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1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333-169787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Offer to Exchange $1,320,000,000 of their outstanding</w:t>
      </w:r>
    </w:p>
    <w:p>
      <w:pPr>
        <w:spacing w:after="0" w:line="14" w:lineRule="exact"/>
        <w:rPr>
          <w:sz w:val="24"/>
          <w:szCs w:val="24"/>
          <w:color w:val="auto"/>
        </w:rPr>
      </w:pPr>
    </w:p>
    <w:p>
      <w:pPr>
        <w:ind w:left="3860" w:right="3860" w:firstLine="96"/>
        <w:spacing w:after="0" w:line="269" w:lineRule="auto"/>
        <w:tabs>
          <w:tab w:leader="none" w:pos="4135" w:val="left"/>
        </w:tabs>
        <w:numPr>
          <w:ilvl w:val="0"/>
          <w:numId w:val="1"/>
        </w:numPr>
        <w:rPr>
          <w:rFonts w:ascii="Arial" w:cs="Arial" w:eastAsia="Arial" w:hAnsi="Arial"/>
          <w:sz w:val="21"/>
          <w:szCs w:val="21"/>
          <w:b w:val="1"/>
          <w:bCs w:val="1"/>
          <w:color w:val="auto"/>
        </w:rPr>
      </w:pPr>
      <w:r>
        <w:rPr>
          <w:rFonts w:ascii="Arial" w:cs="Arial" w:eastAsia="Arial" w:hAnsi="Arial"/>
          <w:sz w:val="14"/>
          <w:szCs w:val="14"/>
          <w:b w:val="1"/>
          <w:bCs w:val="1"/>
          <w:color w:val="auto"/>
        </w:rPr>
        <w:t>3</w:t>
      </w:r>
      <w:r>
        <w:rPr>
          <w:rFonts w:ascii="Arial" w:cs="Arial" w:eastAsia="Arial" w:hAnsi="Arial"/>
          <w:sz w:val="20"/>
          <w:szCs w:val="20"/>
          <w:b w:val="1"/>
          <w:bCs w:val="1"/>
          <w:color w:val="auto"/>
        </w:rPr>
        <w:t>/</w:t>
      </w:r>
      <w:r>
        <w:rPr>
          <w:rFonts w:ascii="Arial" w:cs="Arial" w:eastAsia="Arial" w:hAnsi="Arial"/>
          <w:sz w:val="16"/>
          <w:szCs w:val="16"/>
          <w:b w:val="1"/>
          <w:bCs w:val="1"/>
          <w:color w:val="auto"/>
        </w:rPr>
        <w:t>4</w:t>
      </w:r>
      <w:r>
        <w:rPr>
          <w:rFonts w:ascii="Arial" w:cs="Arial" w:eastAsia="Arial" w:hAnsi="Arial"/>
          <w:sz w:val="20"/>
          <w:szCs w:val="20"/>
          <w:b w:val="1"/>
          <w:bCs w:val="1"/>
          <w:color w:val="auto"/>
        </w:rPr>
        <w:t>% First Mortgage Notes due 2020</w:t>
      </w:r>
      <w:r>
        <w:rPr>
          <w:rFonts w:ascii="Arial" w:cs="Arial" w:eastAsia="Arial" w:hAnsi="Arial"/>
          <w:sz w:val="14"/>
          <w:szCs w:val="14"/>
          <w:b w:val="1"/>
          <w:bCs w:val="1"/>
          <w:color w:val="auto"/>
        </w:rPr>
        <w:t xml:space="preserve"> </w:t>
      </w:r>
      <w:r>
        <w:rPr>
          <w:rFonts w:ascii="Arial" w:cs="Arial" w:eastAsia="Arial" w:hAnsi="Arial"/>
          <w:sz w:val="20"/>
          <w:szCs w:val="20"/>
          <w:b w:val="1"/>
          <w:bCs w:val="1"/>
          <w:color w:val="auto"/>
        </w:rPr>
        <w:t>(CUSIPs 983130 AQ8 and U98347 AG9)</w:t>
      </w:r>
    </w:p>
    <w:p>
      <w:pPr>
        <w:spacing w:after="0" w:line="15" w:lineRule="exact"/>
        <w:rPr>
          <w:sz w:val="24"/>
          <w:szCs w:val="24"/>
          <w:color w:val="auto"/>
        </w:rPr>
      </w:pPr>
    </w:p>
    <w:p>
      <w:pPr>
        <w:ind w:left="5580"/>
        <w:spacing w:after="0"/>
        <w:rPr>
          <w:sz w:val="20"/>
          <w:szCs w:val="20"/>
          <w:color w:val="auto"/>
        </w:rPr>
      </w:pPr>
      <w:r>
        <w:rPr>
          <w:rFonts w:ascii="Arial" w:cs="Arial" w:eastAsia="Arial" w:hAnsi="Arial"/>
          <w:sz w:val="22"/>
          <w:szCs w:val="22"/>
          <w:b w:val="1"/>
          <w:bCs w:val="1"/>
          <w:color w:val="auto"/>
        </w:rPr>
        <w:t>for</w:t>
      </w:r>
    </w:p>
    <w:p>
      <w:pPr>
        <w:spacing w:after="0" w:line="71"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 xml:space="preserve">7 </w:t>
      </w:r>
      <w:r>
        <w:rPr>
          <w:rFonts w:ascii="Arial" w:cs="Arial" w:eastAsia="Arial" w:hAnsi="Arial"/>
          <w:sz w:val="14"/>
          <w:szCs w:val="14"/>
          <w:b w:val="1"/>
          <w:bCs w:val="1"/>
          <w:color w:val="auto"/>
        </w:rPr>
        <w:t>3</w:t>
      </w:r>
      <w:r>
        <w:rPr>
          <w:rFonts w:ascii="Arial" w:cs="Arial" w:eastAsia="Arial" w:hAnsi="Arial"/>
          <w:sz w:val="22"/>
          <w:szCs w:val="22"/>
          <w:b w:val="1"/>
          <w:bCs w:val="1"/>
          <w:color w:val="auto"/>
        </w:rPr>
        <w:t>/</w:t>
      </w:r>
      <w:r>
        <w:rPr>
          <w:rFonts w:ascii="Arial" w:cs="Arial" w:eastAsia="Arial" w:hAnsi="Arial"/>
          <w:sz w:val="17"/>
          <w:szCs w:val="17"/>
          <w:b w:val="1"/>
          <w:bCs w:val="1"/>
          <w:color w:val="auto"/>
        </w:rPr>
        <w:t>4</w:t>
      </w:r>
      <w:r>
        <w:rPr>
          <w:rFonts w:ascii="Arial" w:cs="Arial" w:eastAsia="Arial" w:hAnsi="Arial"/>
          <w:sz w:val="22"/>
          <w:szCs w:val="22"/>
          <w:b w:val="1"/>
          <w:bCs w:val="1"/>
          <w:color w:val="auto"/>
        </w:rPr>
        <w:t>% First Mortgage Notes due 2020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983130 AR6)</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84"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The exchange offer will expire at 5:00 p.m., New York City time, on November 29, 2010, unless we extend the exchange offer.</w:t>
      </w:r>
    </w:p>
    <w:p>
      <w:pPr>
        <w:spacing w:after="0" w:line="96" w:lineRule="exact"/>
        <w:rPr>
          <w:sz w:val="24"/>
          <w:szCs w:val="24"/>
          <w:color w:val="auto"/>
        </w:rPr>
      </w:pPr>
    </w:p>
    <w:p>
      <w:pPr>
        <w:jc w:val="both"/>
        <w:ind w:right="160" w:firstLine="342"/>
        <w:spacing w:after="0" w:line="357" w:lineRule="auto"/>
        <w:rPr>
          <w:sz w:val="20"/>
          <w:szCs w:val="20"/>
          <w:color w:val="auto"/>
        </w:rPr>
      </w:pPr>
      <w:r>
        <w:rPr>
          <w:rFonts w:ascii="Arial" w:cs="Arial" w:eastAsia="Arial" w:hAnsi="Arial"/>
          <w:sz w:val="15"/>
          <w:szCs w:val="15"/>
          <w:color w:val="auto"/>
        </w:rPr>
        <w:t xml:space="preserve">We refer to the registered notes offered in this exchange offer as the “new notes.” We refer to all outstanding $1,320,000,000 aggregate principal amount of our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first mortgage notes due 2020 issued on August 4, 2010 as the “old notes.” The old notes were issued under an indenture, dated as of August 4, 2010.</w:t>
      </w:r>
    </w:p>
    <w:p>
      <w:pPr>
        <w:ind w:right="140" w:firstLine="342"/>
        <w:spacing w:after="0" w:line="256" w:lineRule="auto"/>
        <w:rPr>
          <w:sz w:val="20"/>
          <w:szCs w:val="20"/>
          <w:color w:val="auto"/>
        </w:rPr>
      </w:pPr>
      <w:r>
        <w:rPr>
          <w:rFonts w:ascii="Arial" w:cs="Arial" w:eastAsia="Arial" w:hAnsi="Arial"/>
          <w:sz w:val="18"/>
          <w:szCs w:val="18"/>
          <w:color w:val="auto"/>
        </w:rPr>
        <w:t xml:space="preserve">The old notes are, and, upon consummation of the exchange offer, the new notes will be, pari passu with our outstanding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2017 (the “2017 notes,” which term includes both the unregistered 2017 notes and the registered 2017 notes, each as defined herein), our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“existing 2020 notes,” which term includes both the unregistered existing 2020 notes and the registered existing 2020 notes, each as defined herein) and our obligations under our credit facilities.</w:t>
      </w:r>
    </w:p>
    <w:p>
      <w:pPr>
        <w:spacing w:after="0" w:line="6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Terms of the exchange offer:</w:t>
      </w:r>
    </w:p>
    <w:p>
      <w:pPr>
        <w:spacing w:after="0" w:line="90" w:lineRule="exact"/>
        <w:rPr>
          <w:sz w:val="24"/>
          <w:szCs w:val="24"/>
          <w:color w:val="auto"/>
        </w:rPr>
      </w:pPr>
    </w:p>
    <w:p>
      <w:pPr>
        <w:ind w:left="780" w:right="6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exchange the new notes for all outstanding old notes that are validly tendered pursuant to the exchange offer and not properly withdrawn prior to the expiration of the exchange offer.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of the exchange offer.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50" w:lineRule="exact"/>
        <w:rPr>
          <w:rFonts w:ascii="Arial" w:cs="Arial" w:eastAsia="Arial" w:hAnsi="Arial"/>
          <w:sz w:val="18"/>
          <w:szCs w:val="18"/>
          <w:color w:val="auto"/>
        </w:rPr>
      </w:pPr>
    </w:p>
    <w:p>
      <w:pPr>
        <w:ind w:left="780" w:right="60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will not receive any cash proceeds from the exchange offer.</w:t>
      </w:r>
    </w:p>
    <w:p>
      <w:pPr>
        <w:spacing w:after="0" w:line="90" w:lineRule="exact"/>
        <w:rPr>
          <w:rFonts w:ascii="Arial" w:cs="Arial" w:eastAsia="Arial" w:hAnsi="Arial"/>
          <w:sz w:val="18"/>
          <w:szCs w:val="18"/>
          <w:color w:val="auto"/>
        </w:rPr>
      </w:pPr>
    </w:p>
    <w:p>
      <w:pPr>
        <w:ind w:left="780" w:right="20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issued the old notes in transactions not requiring registration under the Securities Act of 1933, as amended (the “Securities Act”), and as a result, transfer of the old notes is restricted. We are making the exchange offer to satisfy your registration rights as a holder of old notes.</w:t>
      </w:r>
    </w:p>
    <w:p>
      <w:pPr>
        <w:spacing w:after="0" w:line="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There is no established trading market for the new notes.</w:t>
      </w:r>
    </w:p>
    <w:p>
      <w:pPr>
        <w:spacing w:after="0" w:line="90" w:lineRule="exact"/>
        <w:rPr>
          <w:sz w:val="24"/>
          <w:szCs w:val="24"/>
          <w:color w:val="auto"/>
        </w:rPr>
      </w:pPr>
    </w:p>
    <w:p>
      <w:pPr>
        <w:ind w:right="20" w:firstLine="342"/>
        <w:spacing w:after="0" w:line="254" w:lineRule="auto"/>
        <w:rPr>
          <w:sz w:val="20"/>
          <w:szCs w:val="20"/>
          <w:color w:val="auto"/>
        </w:rPr>
      </w:pPr>
      <w:r>
        <w:rPr>
          <w:rFonts w:ascii="Arial" w:cs="Arial" w:eastAsia="Arial" w:hAnsi="Arial"/>
          <w:sz w:val="18"/>
          <w:szCs w:val="18"/>
          <w:color w:val="auto"/>
        </w:rPr>
        <w:t xml:space="preserve">Each broker-dealer that receives new notes pursuant to the exchange offer must acknowledge that it will deliver a prospectus in connection with any resale of such new notes. If the broker-dealer acquired old notes as a result of market making or other trading activities, such broker-dealer may use the prospectus for the exchange offer, as supplemented or amended, in connection with resales of the new notes. Broker-dealers who acquired old notes directly from the issuers in the initial offerings of the old notes must, in the absence of an exemption, comply with the registration and prospectus delivery requirements of the Securities Act in connection with the secondary resales and cannot rely on the position of the staff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SEC no-action letter (publicly available May 13, 1988).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ind w:left="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w:t>
      </w:r>
      <w:hyperlink w:anchor="page1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16 for a discussion of risks you should consider prior to tendering your old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132715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ind w:right="520" w:firstLine="342"/>
        <w:spacing w:after="0" w:line="268" w:lineRule="auto"/>
        <w:rPr>
          <w:sz w:val="20"/>
          <w:szCs w:val="20"/>
          <w:color w:val="auto"/>
        </w:rPr>
      </w:pPr>
      <w:r>
        <w:rPr>
          <w:rFonts w:ascii="Arial" w:cs="Arial" w:eastAsia="Arial" w:hAnsi="Arial"/>
          <w:sz w:val="18"/>
          <w:szCs w:val="18"/>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1" w:lineRule="exact"/>
        <w:rPr>
          <w:sz w:val="24"/>
          <w:szCs w:val="24"/>
          <w:color w:val="auto"/>
        </w:rPr>
      </w:pPr>
    </w:p>
    <w:p>
      <w:pPr>
        <w:jc w:val="both"/>
        <w:ind w:right="60" w:firstLine="342"/>
        <w:spacing w:after="0" w:line="259" w:lineRule="auto"/>
        <w:rPr>
          <w:sz w:val="20"/>
          <w:szCs w:val="20"/>
          <w:color w:val="auto"/>
        </w:rPr>
      </w:pPr>
      <w:r>
        <w:rPr>
          <w:rFonts w:ascii="Arial" w:cs="Arial" w:eastAsia="Arial" w:hAnsi="Arial"/>
          <w:sz w:val="18"/>
          <w:szCs w:val="18"/>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28, 2010</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this prospectus.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5"/>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Special Note Regarding Forward-Looking Statements</w:t>
              </w:r>
            </w:hyperlink>
          </w:p>
        </w:tc>
        <w:tc>
          <w:tcPr>
            <w:tcW w:w="726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6"/>
          </w:tcPr>
          <w:p>
            <w:pPr>
              <w:spacing w:after="0"/>
              <w:rPr>
                <w:sz w:val="17"/>
                <w:szCs w:val="17"/>
                <w:color w:val="auto"/>
              </w:rPr>
            </w:pPr>
          </w:p>
        </w:tc>
        <w:tc>
          <w:tcPr>
            <w:tcW w:w="858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Management’s Discussion And Analysis of Financial Condition and Results of Operations</w:t>
              </w:r>
            </w:hyperlink>
          </w:p>
        </w:tc>
        <w:tc>
          <w:tcPr>
            <w:tcW w:w="470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10420" w:type="dxa"/>
            <w:vAlign w:val="bottom"/>
            <w:gridSpan w:val="2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Further Information Concerning the Board of Directors of Wynn Resorts</w:t>
              </w:r>
            </w:hyperlink>
          </w:p>
        </w:tc>
        <w:tc>
          <w:tcPr>
            <w:tcW w:w="59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Security Ownership of Certain Beneficial Owners and Management</w:t>
              </w:r>
            </w:hyperlink>
          </w:p>
        </w:tc>
        <w:tc>
          <w:tcPr>
            <w:tcW w:w="62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99">
              <w:r>
                <w:rPr>
                  <w:rFonts w:ascii="Arial" w:cs="Arial" w:eastAsia="Arial" w:hAnsi="Arial"/>
                  <w:sz w:val="18"/>
                  <w:szCs w:val="18"/>
                  <w:color w:val="0000EE"/>
                  <w:w w:val="87"/>
                </w:rPr>
                <w:t>Certain Relationships and Related Transactions</w:t>
              </w:r>
            </w:hyperlink>
          </w:p>
        </w:tc>
        <w:tc>
          <w:tcPr>
            <w:tcW w:w="772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Description of the New Notes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80">
              <w:r>
                <w:rPr>
                  <w:rFonts w:ascii="Arial" w:cs="Arial" w:eastAsia="Arial" w:hAnsi="Arial"/>
                  <w:sz w:val="18"/>
                  <w:szCs w:val="18"/>
                  <w:color w:val="0000EE"/>
                  <w:w w:val="88"/>
                </w:rPr>
                <w:t>Description of Certain Indebtedness</w:t>
              </w:r>
            </w:hyperlink>
          </w:p>
        </w:tc>
        <w:tc>
          <w:tcPr>
            <w:tcW w:w="852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Intercreditor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91">
              <w:r>
                <w:rPr>
                  <w:rFonts w:ascii="Arial" w:cs="Arial" w:eastAsia="Arial" w:hAnsi="Arial"/>
                  <w:sz w:val="18"/>
                  <w:szCs w:val="18"/>
                  <w:color w:val="0000EE"/>
                  <w:w w:val="88"/>
                </w:rPr>
                <w:t>Material United States Federal Income Tax Considerations</w:t>
              </w:r>
            </w:hyperlink>
          </w:p>
        </w:tc>
        <w:tc>
          <w:tcPr>
            <w:tcW w:w="692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800" w:type="dxa"/>
            <w:vAlign w:val="bottom"/>
            <w:gridSpan w:val="16"/>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94">
              <w:r>
                <w:rPr>
                  <w:rFonts w:ascii="Arial" w:cs="Arial" w:eastAsia="Arial" w:hAnsi="Arial"/>
                  <w:sz w:val="18"/>
                  <w:szCs w:val="18"/>
                  <w:color w:val="0000EE"/>
                  <w:w w:val="88"/>
                </w:rPr>
                <w:t>Index to Consolidated Financial Statements</w:t>
              </w:r>
            </w:hyperlink>
          </w:p>
        </w:tc>
        <w:tc>
          <w:tcPr>
            <w:tcW w:w="79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the federal securities laws,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tourism and consumer spending trends given the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 taken by our competitors in reaction to adverse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that an outbreak of an infectious disease such as avian flu or the impact a natural disaster may have on the travel and leisure industry;</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16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i w:val="1"/>
          <w:iCs w:val="1"/>
          <w:color w:val="auto"/>
        </w:rPr>
        <w:t xml:space="preserve">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(the “guarantors”). Unless the context otherwise requires, all references in this prospectus to the “Company,” “we,” “us” or “our,” or similar terms, refer to Wynn Las Vegas, LLC and its consolidated subsidiaries (other than Wynn Completion Guarantor, LLC). The 7 </w:t>
      </w:r>
      <w:r>
        <w:rPr>
          <w:rFonts w:ascii="Arial" w:cs="Arial" w:eastAsia="Arial" w:hAnsi="Arial"/>
          <w:sz w:val="10"/>
          <w:szCs w:val="10"/>
          <w:i w:val="1"/>
          <w:iCs w:val="1"/>
          <w:color w:val="auto"/>
        </w:rPr>
        <w:t>3</w:t>
      </w:r>
      <w:r>
        <w:rPr>
          <w:rFonts w:ascii="Arial" w:cs="Arial" w:eastAsia="Arial" w:hAnsi="Arial"/>
          <w:sz w:val="16"/>
          <w:szCs w:val="16"/>
          <w:i w:val="1"/>
          <w:iCs w:val="1"/>
          <w:color w:val="auto"/>
        </w:rPr>
        <w:t>/</w:t>
      </w:r>
      <w:r>
        <w:rPr>
          <w:rFonts w:ascii="Arial" w:cs="Arial" w:eastAsia="Arial" w:hAnsi="Arial"/>
          <w:sz w:val="12"/>
          <w:szCs w:val="12"/>
          <w:i w:val="1"/>
          <w:iCs w:val="1"/>
          <w:color w:val="auto"/>
        </w:rPr>
        <w:t>4</w:t>
      </w:r>
      <w:r>
        <w:rPr>
          <w:rFonts w:ascii="Arial" w:cs="Arial" w:eastAsia="Arial" w:hAnsi="Arial"/>
          <w:sz w:val="16"/>
          <w:szCs w:val="16"/>
          <w:i w:val="1"/>
          <w:iCs w:val="1"/>
          <w:color w:val="auto"/>
        </w:rPr>
        <w:t>% first mortgage notes due 2020 are sometimes referred to herein as the “notes,” which term, except with respect to discussions of income tax consequences and unless the context otherwise requires, includes the new notes and the old notes. The sole member of Wynn Las Vegas, LLC is Wynn Resorts Holdings, LLC (“Wynn Holdings”), and the sole member of Wynn Holdings is Wynn Resorts, Limited (“Wynn Resorts”).</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200" w:firstLine="443"/>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“Encore at Wynn Las Vegas,” or “Encore,” which is located adjacent to and is connected with Wynn Las Vegas. We commenced operations with the opening of Wynn Las Vegas on April 28, 2005. We opened Encore on December 22, 2008. Prior to April 28, 2005, we were solely a development stage company.</w:t>
      </w:r>
    </w:p>
    <w:p>
      <w:pPr>
        <w:spacing w:after="0" w:line="10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believe that Wynn Las Vegas offers exceptional accommodations, amenities and service with 2,716 rooms and suites, including 36 fairway villas and 6 private-entry villas for our premium guests. The Tower Suites at Wynn Las Vegas has received the Forbes five-star and AAA 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43"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Wynn Las Vegas’s approximately 110,000 square foot casino features approximately 140 table games, a baccarat salon, private VIP gaming rooms, a poker room, approximately 1,860 slot machines, and a race and sports book. The resort’s 21 food and beverage outlets feature six fine dining restaurants, including restaurants helmed by award winning chefs. Wynn Las Vegas also offers a showroom,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Vertu and others. Wynn Las Vegas also has a showroom which features “Le Rêve,” a water-based theatrical production. We believe that the unique experience of Wynn Las Vegas drives the significant visitation experienced since opening.</w:t>
      </w:r>
    </w:p>
    <w:p>
      <w:pPr>
        <w:spacing w:after="0" w:line="118"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Encore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13 food and beverage outlets include five restaurants, many of which feature award winning chefs. Encore also</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32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4324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20"/>
        <w:spacing w:after="0" w:line="256" w:lineRule="auto"/>
        <w:rPr>
          <w:sz w:val="20"/>
          <w:szCs w:val="20"/>
          <w:color w:val="auto"/>
        </w:rPr>
      </w:pPr>
      <w:r>
        <w:rPr>
          <w:rFonts w:ascii="Arial" w:cs="Arial" w:eastAsia="Arial" w:hAnsi="Arial"/>
          <w:sz w:val="18"/>
          <w:szCs w:val="18"/>
          <w:color w:val="auto"/>
        </w:rPr>
        <w:t>offers a beach club, a showroom, two night clubs, a spa and salon, approximately 60,000 square feet of meeting space and approximately 27,000 square feet of 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w:t>
      </w:r>
    </w:p>
    <w:p>
      <w:pPr>
        <w:spacing w:after="0" w:line="38" w:lineRule="exact"/>
        <w:rPr>
          <w:sz w:val="20"/>
          <w:szCs w:val="20"/>
          <w:color w:val="auto"/>
        </w:rPr>
      </w:pPr>
    </w:p>
    <w:p>
      <w:pPr>
        <w:ind w:left="200"/>
        <w:spacing w:after="0" w:line="323" w:lineRule="auto"/>
        <w:rPr>
          <w:sz w:val="20"/>
          <w:szCs w:val="20"/>
          <w:color w:val="auto"/>
        </w:rPr>
      </w:pPr>
      <w:r>
        <w:rPr>
          <w:rFonts w:ascii="Arial" w:cs="Arial" w:eastAsia="Arial" w:hAnsi="Arial"/>
          <w:sz w:val="16"/>
          <w:szCs w:val="16"/>
          <w:color w:val="auto"/>
        </w:rPr>
        <w:t>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left="200" w:right="40" w:firstLine="443"/>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left="200" w:right="60" w:firstLine="443"/>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and Redemption of, 2014 Notes</w:t>
      </w:r>
    </w:p>
    <w:p>
      <w:pPr>
        <w:spacing w:after="0" w:line="96"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 xml:space="preserve">On July 21, 2010, Wynn Las Vegas commenced an offer to purchase for cash any and all of the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and a solicitation of consents to amend the indenture and the intercreditor agreement related to the 2014 notes. Concurrently, Wynn Las Vegas announced its intent to subsequently redeem any untendered 2014 notes. Pursuant to the tender offer, we offered $1,004.38 for each $1,000 principal amount of 2014 notes validly tendered and not validly withdrawn on or before the expiration date of such tender offer, plus an additional $30 to holders who tendered their 2014 notes prior to a consent deadline, in each case, including accrued and unpaid interest up to, but not including, the applicable payment date. The consummation of the private offering of the old notes described below was a condition to our obligation to accept for purchase and pay for the 2014 notes pursuant to our offer to purchase and consent solicitation and to redeem any 2014 notes not tendered.</w:t>
      </w:r>
    </w:p>
    <w:p>
      <w:pPr>
        <w:spacing w:after="0" w:line="118" w:lineRule="exact"/>
        <w:rPr>
          <w:sz w:val="20"/>
          <w:szCs w:val="20"/>
          <w:color w:val="auto"/>
        </w:rPr>
      </w:pPr>
    </w:p>
    <w:p>
      <w:pPr>
        <w:ind w:left="200" w:right="240" w:firstLine="443"/>
        <w:spacing w:after="0" w:line="306" w:lineRule="auto"/>
        <w:rPr>
          <w:sz w:val="20"/>
          <w:szCs w:val="20"/>
          <w:color w:val="auto"/>
        </w:rPr>
      </w:pPr>
      <w:r>
        <w:rPr>
          <w:rFonts w:ascii="Arial" w:cs="Arial" w:eastAsia="Arial" w:hAnsi="Arial"/>
          <w:sz w:val="16"/>
          <w:szCs w:val="16"/>
          <w:color w:val="auto"/>
        </w:rPr>
        <w:t>On August 4, 2010, the Issuers issued the old notes at par. The old notes were offered only to qualified institutional buyers and outside the U.S. in accordance with Rule 144A and Regulation S, respectively, under the Securities Act. Wynn Las Vegas used the net proceeds of the offering along with the proceeds of a capital contribution from Wynn Resorts to purchase, and, as applicable, make consent payments for, any and all of the</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9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4495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color w:val="auto"/>
        </w:rPr>
        <w:t>2014 notes that were validly tendered and accepted for payment pursuant to Wynn Las Vegas’s concurrent offer to purchase and consent solicitation with respect to the 2014 notes and to redeem any 2014 notes not tendered.</w:t>
      </w:r>
    </w:p>
    <w:p>
      <w:pPr>
        <w:spacing w:after="0" w:line="132"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On August 4, 2010, Wynn Las Vegas received and accepted the requisite consents from holders of the 2014 notes in connection with its consent solicitation to amend the 2014 notes indenture and related documents pursuant to which the 2014 notes were issued. Wynn Las Vegas accepted for payment all 2014 notes validly tendered and not validly withdrawn on or prior to the consent deadline. On August 4, 2010, tendering holders received the tender offer consideration in the amount of $1,004.38, plus a consent payment in the amount of $30, for each $1,000 principal amount of 2014 notes.</w:t>
      </w:r>
    </w:p>
    <w:p>
      <w:pPr>
        <w:spacing w:after="0" w:line="113"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Also on August 4, 2010, the trustee for the 2014 notes, at the request of the Issuers, gave notice of redemption of any and all of the 2014 notes pursuant to the redemption provisions of the 2014 notes indenture. The redemption price was equal to 103.313% of the aggregate principal amount of the 2014 notes redeemed plus accrued and unpaid interest thereon to September 3, 2010, the date of redemption.</w:t>
      </w:r>
    </w:p>
    <w:p>
      <w:pPr>
        <w:spacing w:after="0" w:line="107" w:lineRule="exact"/>
        <w:rPr>
          <w:sz w:val="20"/>
          <w:szCs w:val="20"/>
          <w:color w:val="auto"/>
        </w:rPr>
      </w:pPr>
    </w:p>
    <w:p>
      <w:pPr>
        <w:ind w:left="200" w:right="100" w:firstLine="443"/>
        <w:spacing w:after="0" w:line="254" w:lineRule="auto"/>
        <w:rPr>
          <w:sz w:val="20"/>
          <w:szCs w:val="20"/>
          <w:color w:val="auto"/>
        </w:rPr>
      </w:pPr>
      <w:r>
        <w:rPr>
          <w:rFonts w:ascii="Arial" w:cs="Arial" w:eastAsia="Arial" w:hAnsi="Arial"/>
          <w:sz w:val="18"/>
          <w:szCs w:val="18"/>
          <w:color w:val="auto"/>
        </w:rPr>
        <w:t>Concurrently with the issuance of the old notes, Wynn Las Vegas, LLC entered into a seventh amendment dated August 4, 2010 to the Wynn Las Vegas Amended and Restated Credit Agreement. After giving effect to this amendment, the maturity date with respect to a portion of Wynn Las Vegas’s revolving credit facility and its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44" w:lineRule="exact"/>
        <w:rPr>
          <w:sz w:val="20"/>
          <w:szCs w:val="20"/>
          <w:color w:val="auto"/>
        </w:rPr>
      </w:pPr>
    </w:p>
    <w:p>
      <w:pPr>
        <w:jc w:val="both"/>
        <w:ind w:left="200" w:right="60" w:firstLine="443"/>
        <w:spacing w:after="0" w:line="306" w:lineRule="auto"/>
        <w:rPr>
          <w:sz w:val="20"/>
          <w:szCs w:val="20"/>
          <w:color w:val="auto"/>
        </w:rPr>
      </w:pPr>
      <w:r>
        <w:rPr>
          <w:rFonts w:ascii="Arial" w:cs="Arial" w:eastAsia="Arial" w:hAnsi="Arial"/>
          <w:sz w:val="16"/>
          <w:szCs w:val="16"/>
          <w:color w:val="auto"/>
        </w:rPr>
        <w:t>On August 19, 2010, Wynn Las Vegas completed its offer to purchase any and all of the 2014 notes. In connection with the tender offer, in addition to the 2014 notes repurchased on August 4, 2010, Wynn Las Vegas accepted for payment an additional $812,000 aggregate principal amount of the 2014 notes that had been validly tendered and not validly withdrawn prior to the expiration date of the tender offer.</w:t>
      </w:r>
    </w:p>
    <w:p>
      <w:pPr>
        <w:spacing w:after="0" w:line="107"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Effective as of September 3, 2010, the 2014 notes indenture was satisfied and discharged in accordance with its terms by the Issuers. On September 3, 2010, the Issuers completed the previously announced redemption of the outstanding 2014 notes. In connection with the redemption of the outstanding 2014 notes, the Issuers deposited a total of approximately $347 million with the trustee for the 2014 notes to repay all amounts outstanding under the 2014 notes and to satisfy and discharge the 2014 notes indenture.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Exchange Offer</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 xml:space="preserve">On September 3, 2010, the Issuers completed an offer to exchange their outstanding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issued on October 19, 2009 due 2017 (the “unregistered 2017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2017 (the “registered 2017 notes”) that have been registered under the Securities Act and their outstanding unregistered existing 2020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“registered existing 2020 notes”) that have been registered under the Securities Act. The exchange offer was made in order to satisfy certain obligations of the Issuers contained in a registration rights agreement, dated as of October 19, 2009 and a registration rights agreement, dated as of April 28, 2010.</w:t>
      </w:r>
    </w:p>
    <w:p>
      <w:pPr>
        <w:spacing w:after="0" w:line="11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The exchange offer expired at 5:00 p.m., New York City time, on August 30, 2010. $499,650,000 in aggregate principal amount of the unregistered 2017 notes and $380,513,000 in aggregate principal amount of unregistered existing 2020 notes were exchanged. The registered 2017 notes and the registered existing 2020 notes are substantially identical to the unregistered 2017 notes and the unregistered existing 2020 notes, respectively, except that the registered 2017 notes and the registered existing 2020 notes have been registered</w:t>
      </w: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90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99060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332" w:lineRule="auto"/>
        <w:rPr>
          <w:sz w:val="20"/>
          <w:szCs w:val="20"/>
          <w:color w:val="auto"/>
        </w:rPr>
      </w:pPr>
      <w:r>
        <w:rPr>
          <w:rFonts w:ascii="Arial" w:cs="Arial" w:eastAsia="Arial" w:hAnsi="Arial"/>
          <w:sz w:val="16"/>
          <w:szCs w:val="16"/>
          <w:color w:val="auto"/>
        </w:rPr>
        <w:t>under the Securities Act, and, as a result, the transfer restrictions and registration rights provisions applicable to the unregistered 2017 notes and the unregistered existing 2020 notes do not apply to the registered 2017 notes and the registered existing 2020 notes.</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Capital Contribution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2, 2010, Wynn Las Vegas received a $50.0 million capital contribution from Wynn Resorts.</w:t>
      </w:r>
    </w:p>
    <w:p>
      <w:pPr>
        <w:spacing w:after="0" w:line="33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240" w:top="45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82"/>
        </w:trPr>
        <w:tc>
          <w:tcPr>
            <w:tcW w:w="3340" w:type="dxa"/>
            <w:vAlign w:val="bottom"/>
            <w:tcBorders>
              <w:top w:val="single" w:sz="8" w:color="auto"/>
              <w:left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b w:val="1"/>
                <w:bCs w:val="1"/>
                <w:color w:val="auto"/>
              </w:rPr>
              <w:t>The Exchange Offer</w:t>
            </w:r>
          </w:p>
        </w:tc>
      </w:tr>
      <w:tr>
        <w:trPr>
          <w:trHeight w:val="291"/>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Old Notes</w:t>
            </w: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 xml:space="preserve">7 </w:t>
            </w:r>
            <w:r>
              <w:rPr>
                <w:rFonts w:ascii="Arial" w:cs="Arial" w:eastAsia="Arial" w:hAnsi="Arial"/>
                <w:sz w:val="11"/>
                <w:szCs w:val="11"/>
                <w:color w:val="auto"/>
                <w:w w:val="92"/>
              </w:rPr>
              <w:t>3</w:t>
            </w:r>
            <w:r>
              <w:rPr>
                <w:rFonts w:ascii="Arial" w:cs="Arial" w:eastAsia="Arial" w:hAnsi="Arial"/>
                <w:sz w:val="18"/>
                <w:szCs w:val="18"/>
                <w:color w:val="auto"/>
                <w:w w:val="92"/>
              </w:rPr>
              <w:t>/</w:t>
            </w:r>
            <w:r>
              <w:rPr>
                <w:rFonts w:ascii="Arial" w:cs="Arial" w:eastAsia="Arial" w:hAnsi="Arial"/>
                <w:sz w:val="13"/>
                <w:szCs w:val="13"/>
                <w:color w:val="auto"/>
                <w:w w:val="92"/>
              </w:rPr>
              <w:t>4</w:t>
            </w:r>
            <w:r>
              <w:rPr>
                <w:rFonts w:ascii="Arial" w:cs="Arial" w:eastAsia="Arial" w:hAnsi="Arial"/>
                <w:sz w:val="18"/>
                <w:szCs w:val="18"/>
                <w:color w:val="auto"/>
                <w:w w:val="92"/>
              </w:rPr>
              <w:t>% First Mortgage Notes due 2020, which we issued on August 4, 2010. The old notes were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issued under the indenture, dated as of August 4, 2010. The old notes are, and, upon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consummation of the exchange offer, the new notes will be, pari passu with the 2017 notes, the</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existing 2020 notes and our obligations under our credit facilities.</w:t>
            </w: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New Notes</w:t>
            </w: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3</w:t>
            </w:r>
            <w:r>
              <w:rPr>
                <w:rFonts w:ascii="Arial" w:cs="Arial" w:eastAsia="Arial" w:hAnsi="Arial"/>
                <w:sz w:val="18"/>
                <w:szCs w:val="18"/>
                <w:color w:val="auto"/>
                <w:w w:val="96"/>
              </w:rPr>
              <w:t>/</w:t>
            </w:r>
            <w:r>
              <w:rPr>
                <w:rFonts w:ascii="Arial" w:cs="Arial" w:eastAsia="Arial" w:hAnsi="Arial"/>
                <w:sz w:val="13"/>
                <w:szCs w:val="13"/>
                <w:color w:val="auto"/>
                <w:w w:val="96"/>
              </w:rPr>
              <w:t>4</w:t>
            </w:r>
            <w:r>
              <w:rPr>
                <w:rFonts w:ascii="Arial" w:cs="Arial" w:eastAsia="Arial" w:hAnsi="Arial"/>
                <w:sz w:val="18"/>
                <w:szCs w:val="18"/>
                <w:color w:val="auto"/>
                <w:w w:val="96"/>
              </w:rPr>
              <w:t>% First Mortgage Notes due 2020, the issuance of which has been registered under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1"/>
              </w:rPr>
              <w:t>Securities Act. The form and the terms of the new notes are substantially identical to those of the</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9"/>
              </w:rPr>
              <w:t>old notes, except that the transfer restrictions, registration rights and liquidated damages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provisions relating to the old notes do not apply to the new notes.</w:t>
            </w: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Offer for Notes</w:t>
            </w: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8"/>
              </w:rPr>
              <w:t>We are offering to issue up to $1,320,000,000 aggregate principal amount of new notes in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exchange for a like principal amount of old notes to satisfy our obligations under the registration</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rights agreement that we entered into when the old notes were issued in transactions</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6"/>
              </w:rPr>
              <w:t>consummated in reliance upon the exemptions from registration provided by Rule 144A and</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Regulation S under the Securities Act.</w:t>
            </w: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Expiration Date; Tenders</w:t>
            </w: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2"/>
              </w:rPr>
              <w:t>The exchange offer will expire at 5:00 p.m., New York City time, on November 29, 2010, unless</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we extend the exchange offer. By tendering your old notes, you represent to us that:</w:t>
            </w:r>
          </w:p>
        </w:tc>
      </w:tr>
      <w:tr>
        <w:trPr>
          <w:trHeight w:val="297"/>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you are not our “affiliate,” as defined in Rule 405 under the Securities Act;</w:t>
            </w: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any new notes you receive in the exchange offer are being acquired by you in the ordinary</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course of your business;</w:t>
            </w: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at the time of the commencement of the exchange offer, neither you nor, to your</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knowledge, anyone receiving new notes from you, has any arrangement or understanding</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with any person to participate in the distribution, as defined in the Securities Act, of the</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new notes in violation of the Securities Act;</w:t>
            </w: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if you are a broker-dealer, you will receive the new notes for your own account in</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exchange for old notes that were acquired by you as a result of your market-making or</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other trading activities and that you will deliver a prospectus in connection with any resale</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of the new notes you receive; for further information regarding resales of the new notes by</w:t>
            </w:r>
          </w:p>
        </w:tc>
      </w:tr>
      <w:tr>
        <w:trPr>
          <w:trHeight w:val="216"/>
        </w:trPr>
        <w:tc>
          <w:tcPr>
            <w:tcW w:w="3340" w:type="dxa"/>
            <w:vAlign w:val="bottom"/>
            <w:tcBorders>
              <w:lef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participating broker-dealers, see the discussion under the caption “Plan of Distribution”;</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and</w:t>
            </w:r>
          </w:p>
        </w:tc>
      </w:tr>
      <w:tr>
        <w:trPr>
          <w:trHeight w:val="291"/>
        </w:trPr>
        <w:tc>
          <w:tcPr>
            <w:tcW w:w="3340" w:type="dxa"/>
            <w:vAlign w:val="bottom"/>
            <w:tcBorders>
              <w:left w:val="single" w:sz="8" w:color="auto"/>
            </w:tcBorders>
          </w:tcPr>
          <w:p>
            <w:pPr>
              <w:spacing w:after="0"/>
              <w:rPr>
                <w:sz w:val="24"/>
                <w:szCs w:val="24"/>
                <w:color w:val="auto"/>
              </w:rPr>
            </w:pPr>
          </w:p>
        </w:tc>
        <w:tc>
          <w:tcPr>
            <w:tcW w:w="1300" w:type="dxa"/>
            <w:vAlign w:val="bottom"/>
          </w:tcPr>
          <w:p>
            <w:pPr>
              <w:ind w:left="10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if you are not a broker-dealer, you are not engaged in, and do not intend to engage in, the</w:t>
            </w:r>
          </w:p>
        </w:tc>
      </w:tr>
      <w:tr>
        <w:trPr>
          <w:trHeight w:val="222"/>
        </w:trPr>
        <w:tc>
          <w:tcPr>
            <w:tcW w:w="3340" w:type="dxa"/>
            <w:vAlign w:val="bottom"/>
            <w:tcBorders>
              <w:lef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distribution of the new notes, as defined in the Securities Act.</w:t>
            </w:r>
          </w:p>
        </w:tc>
      </w:tr>
      <w:tr>
        <w:trPr>
          <w:trHeight w:val="412"/>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Non-Acceptance</w:t>
            </w: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w w:val="93"/>
              </w:rPr>
              <w:t>You may withdraw any old notes tendered in the exchange offer at any time prior to 5:00 p.m.,</w:t>
            </w:r>
          </w:p>
        </w:tc>
      </w:tr>
      <w:tr>
        <w:trPr>
          <w:trHeight w:val="216"/>
        </w:trPr>
        <w:tc>
          <w:tcPr>
            <w:tcW w:w="3340" w:type="dxa"/>
            <w:vAlign w:val="bottom"/>
            <w:tcBorders>
              <w:left w:val="single" w:sz="8" w:color="auto"/>
            </w:tcBorders>
          </w:tcPr>
          <w:p>
            <w:pPr>
              <w:spacing w:after="0"/>
              <w:rPr>
                <w:sz w:val="18"/>
                <w:szCs w:val="18"/>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New York City time, on November 29, 2010, which date we may extend if we extend the</w:t>
            </w:r>
          </w:p>
        </w:tc>
      </w:tr>
      <w:tr>
        <w:trPr>
          <w:trHeight w:val="222"/>
        </w:trPr>
        <w:tc>
          <w:tcPr>
            <w:tcW w:w="3340" w:type="dxa"/>
            <w:vAlign w:val="bottom"/>
            <w:tcBorders>
              <w:left w:val="single" w:sz="8" w:color="auto"/>
            </w:tcBorders>
          </w:tcPr>
          <w:p>
            <w:pPr>
              <w:spacing w:after="0"/>
              <w:rPr>
                <w:sz w:val="19"/>
                <w:szCs w:val="19"/>
                <w:color w:val="auto"/>
              </w:rPr>
            </w:pPr>
          </w:p>
        </w:tc>
        <w:tc>
          <w:tcPr>
            <w:tcW w:w="8120" w:type="dxa"/>
            <w:vAlign w:val="bottom"/>
            <w:tcBorders>
              <w:right w:val="single" w:sz="8" w:color="auto"/>
            </w:tcBorders>
            <w:gridSpan w:val="2"/>
          </w:tcPr>
          <w:p>
            <w:pPr>
              <w:ind w:left="1060"/>
              <w:spacing w:after="0"/>
              <w:rPr>
                <w:sz w:val="20"/>
                <w:szCs w:val="20"/>
                <w:color w:val="auto"/>
              </w:rPr>
            </w:pPr>
            <w:r>
              <w:rPr>
                <w:rFonts w:ascii="Arial" w:cs="Arial" w:eastAsia="Arial" w:hAnsi="Arial"/>
                <w:sz w:val="18"/>
                <w:szCs w:val="18"/>
                <w:color w:val="auto"/>
              </w:rPr>
              <w:t>exchange offer. If</w:t>
            </w:r>
          </w:p>
        </w:tc>
      </w:tr>
      <w:tr>
        <w:trPr>
          <w:trHeight w:val="147"/>
        </w:trPr>
        <w:tc>
          <w:tcPr>
            <w:tcW w:w="3340" w:type="dxa"/>
            <w:vAlign w:val="bottom"/>
            <w:tcBorders>
              <w:left w:val="single" w:sz="8" w:color="auto"/>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6820" w:type="dxa"/>
            <w:vAlign w:val="bottom"/>
            <w:tcBorders>
              <w:bottom w:val="single" w:sz="8" w:color="auto"/>
              <w:right w:val="single" w:sz="8" w:color="auto"/>
            </w:tcBorders>
          </w:tcPr>
          <w:p>
            <w:pPr>
              <w:spacing w:after="0"/>
              <w:rPr>
                <w:sz w:val="12"/>
                <w:szCs w:val="12"/>
                <w:color w:val="auto"/>
              </w:rPr>
            </w:pPr>
          </w:p>
        </w:tc>
      </w:tr>
      <w:tr>
        <w:trPr>
          <w:trHeight w:val="359"/>
        </w:trPr>
        <w:tc>
          <w:tcPr>
            <w:tcW w:w="3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52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80"/>
        <w:spacing w:after="0" w:line="253" w:lineRule="auto"/>
        <w:rPr>
          <w:sz w:val="20"/>
          <w:szCs w:val="20"/>
          <w:color w:val="auto"/>
        </w:rPr>
      </w:pPr>
      <w:r>
        <w:rPr>
          <w:rFonts w:ascii="Arial" w:cs="Arial" w:eastAsia="Arial" w:hAnsi="Arial"/>
          <w:sz w:val="18"/>
          <w:szCs w:val="18"/>
          <w:color w:val="auto"/>
        </w:rPr>
        <w:t>we decide for any reason not to accept any old notes tendered for exchange, the old notes will be returned to the registered holder at our expense promptly after the expiration or termination of the exchange offer. In the case of old notes tendered by book-entry transfer into the exchange agent’s account at The Depository Trust Company (“DTC”), any withdrawn or unaccepted old notes will be credited to the tendering holder’s account at DTC. For further information regarding the withdrawal of tendered old notes, see “The Exchange Offer—Terms of the Exchange Offer; Period for Tendering Old Notes” and “The Exchange Offer—Withdrawal Rights.”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the expiration of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the SEC;</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governmental agency that might materially impair our or the guarantors’ ability to proceed</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with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offer.</w:t>
            </w:r>
          </w:p>
        </w:tc>
      </w:tr>
      <w:tr>
        <w:trPr>
          <w:trHeight w:val="372"/>
        </w:trPr>
        <w:tc>
          <w:tcPr>
            <w:tcW w:w="3560" w:type="dxa"/>
            <w:vAlign w:val="bottom"/>
          </w:tcPr>
          <w:p>
            <w:pPr>
              <w:spacing w:after="0"/>
              <w:rPr>
                <w:sz w:val="24"/>
                <w:szCs w:val="24"/>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0"/>
              </w:rPr>
              <w:t>We may waive any of the above conditions in our reasonable discretion. See the discussion below</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under the caption “The Exchange Offer—Conditions to the Exchange Offer” for more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information regarding the conditions to the exchange offer.</w:t>
            </w:r>
          </w:p>
        </w:tc>
      </w:tr>
      <w:tr>
        <w:trPr>
          <w:trHeight w:val="412"/>
        </w:trPr>
        <w:tc>
          <w:tcPr>
            <w:tcW w:w="3560" w:type="dxa"/>
            <w:vAlign w:val="bottom"/>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3"/>
              </w:rPr>
              <w:t>Unless you comply with the procedure described below under the caption “The Exchange Offer</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tender your old notes by sending (i) the certificates for your old notes (in proper form for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transfer), (ii) a properly completed and duly executed letter of transmittal and (iii) all other</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documents required by the letter of transmittal to U.S. Bank National Association, as</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exchange agent, at one of the addresses listed below under the caption “The Exchange</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Offer—Exchange Agent”; or</w:t>
            </w:r>
          </w:p>
        </w:tc>
      </w:tr>
      <w:tr>
        <w:trPr>
          <w:trHeight w:val="291"/>
        </w:trPr>
        <w:tc>
          <w:tcPr>
            <w:tcW w:w="3560" w:type="dxa"/>
            <w:vAlign w:val="bottom"/>
          </w:tcPr>
          <w:p>
            <w:pPr>
              <w:spacing w:after="0"/>
              <w:rPr>
                <w:sz w:val="24"/>
                <w:szCs w:val="24"/>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5"/>
              </w:rPr>
              <w:t>tender your old notes by using the book-entry transfer procedures described below and</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6"/>
              </w:rPr>
              <w:t>transmitting a properly completed and duly executed letter of transmittal, or an agent’s</w:t>
            </w:r>
          </w:p>
        </w:tc>
      </w:tr>
      <w:tr>
        <w:trPr>
          <w:trHeight w:val="216"/>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message instead of the letter of transmittal, to the exchange agent. For a book-entry</w:t>
            </w:r>
          </w:p>
        </w:tc>
      </w:tr>
      <w:tr>
        <w:trPr>
          <w:trHeight w:val="222"/>
        </w:trPr>
        <w:tc>
          <w:tcPr>
            <w:tcW w:w="3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transfer to constitute a valid tender of</w:t>
            </w:r>
          </w:p>
        </w:tc>
      </w:tr>
      <w:tr>
        <w:trPr>
          <w:trHeight w:val="161"/>
        </w:trPr>
        <w:tc>
          <w:tcPr>
            <w:tcW w:w="35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20" w:type="dxa"/>
            <w:vAlign w:val="bottom"/>
          </w:tcPr>
          <w:p>
            <w:pPr>
              <w:ind w:left="104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18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21843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40"/>
        <w:spacing w:after="0" w:line="286" w:lineRule="auto"/>
        <w:rPr>
          <w:sz w:val="20"/>
          <w:szCs w:val="20"/>
          <w:color w:val="auto"/>
        </w:rPr>
      </w:pPr>
      <w:r>
        <w:rPr>
          <w:rFonts w:ascii="Arial" w:cs="Arial" w:eastAsia="Arial" w:hAnsi="Arial"/>
          <w:sz w:val="16"/>
          <w:szCs w:val="16"/>
          <w:color w:val="auto"/>
        </w:rPr>
        <w:t>your old notes in the exchange offer, U.S. Bank National Association, as exchange agent, must receive a confirmation of book-entry transfer of your old notes into the exchange agent’s account at DTC prior to the expiration or termination of the exchange offer. For more information regarding the use of book-entry transfer procedures, including a description of the required agent’s message, see the discussion below under the caption “The Exchange Offer—Book-Entry Transfers.” As used in this prospectus, 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ectPr>
          <w:pgSz w:w="11900" w:h="16838" w:orient="portrait"/>
          <w:cols w:equalWidth="0" w:num="1">
            <w:col w:w="11260"/>
          </w:cols>
          <w:pgMar w:left="240" w:top="459" w:right="399" w:bottom="1440" w:gutter="0" w:footer="0" w:header="0"/>
        </w:sectPr>
      </w:pPr>
    </w:p>
    <w:p>
      <w:pPr>
        <w:spacing w:after="0" w:line="1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Guaranteed Delivery Procedures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you are a registered holder of old notes and wish to tender your old notes in the exchange offer, but:</w:t>
      </w:r>
    </w:p>
    <w:p>
      <w:pPr>
        <w:spacing w:after="0" w:line="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old notes are not immediately available;</w:t>
      </w:r>
    </w:p>
    <w:p>
      <w:pPr>
        <w:spacing w:after="0" w:line="113"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380"/>
        <w:spacing w:after="0" w:line="332" w:lineRule="auto"/>
        <w:rPr>
          <w:sz w:val="20"/>
          <w:szCs w:val="20"/>
          <w:color w:val="auto"/>
        </w:rPr>
      </w:pPr>
      <w:r>
        <w:rPr>
          <w:rFonts w:ascii="Arial" w:cs="Arial" w:eastAsia="Arial" w:hAnsi="Arial"/>
          <w:sz w:val="16"/>
          <w:szCs w:val="16"/>
          <w:color w:val="auto"/>
        </w:rPr>
        <w:t>time will not permit your old notes or other required documents to reach the exchange agent before the expiration or termination of the exchange offer; or</w:t>
      </w:r>
    </w:p>
    <w:p>
      <w:pPr>
        <w:spacing w:after="0" w:line="4"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560"/>
        <w:spacing w:after="0" w:line="268" w:lineRule="auto"/>
        <w:rPr>
          <w:sz w:val="20"/>
          <w:szCs w:val="20"/>
          <w:color w:val="auto"/>
        </w:rPr>
      </w:pPr>
      <w:r>
        <w:rPr>
          <w:rFonts w:ascii="Arial" w:cs="Arial" w:eastAsia="Arial" w:hAnsi="Arial"/>
          <w:sz w:val="18"/>
          <w:szCs w:val="18"/>
          <w:color w:val="auto"/>
        </w:rPr>
        <w:t>the procedure for book-entry transfer cannot be completed prior to the expiration or termination of the exchange offer;</w:t>
      </w:r>
    </w:p>
    <w:p>
      <w:pPr>
        <w:spacing w:after="0" w:line="51" w:lineRule="exact"/>
        <w:rPr>
          <w:sz w:val="20"/>
          <w:szCs w:val="20"/>
          <w:color w:val="auto"/>
        </w:rPr>
      </w:pPr>
    </w:p>
    <w:p>
      <w:pPr>
        <w:sectPr>
          <w:pgSz w:w="11900" w:h="16838" w:orient="portrait"/>
          <w:cols w:equalWidth="0" w:num="2">
            <w:col w:w="4460" w:space="360"/>
            <w:col w:w="6440"/>
          </w:cols>
          <w:pgMar w:left="240" w:top="459" w:right="399" w:bottom="1440" w:gutter="0" w:footer="0" w:header="0"/>
          <w:type w:val="continuous"/>
        </w:sectPr>
      </w:pPr>
    </w:p>
    <w:p>
      <w:pPr>
        <w:ind w:left="4400" w:right="26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260"/>
          </w:cols>
          <w:pgMar w:left="240" w:top="459" w:right="399" w:bottom="1440" w:gutter="0" w:footer="0" w:header="0"/>
          <w:type w:val="continuous"/>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w:t>
      </w:r>
    </w:p>
    <w:p>
      <w:pPr>
        <w:spacing w:after="0" w:line="2"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60"/>
        <w:spacing w:after="0" w:line="255" w:lineRule="auto"/>
        <w:rPr>
          <w:sz w:val="20"/>
          <w:szCs w:val="20"/>
          <w:color w:val="auto"/>
        </w:rPr>
      </w:pPr>
      <w:r>
        <w:rPr>
          <w:rFonts w:ascii="Arial" w:cs="Arial" w:eastAsia="Arial" w:hAnsi="Arial"/>
          <w:sz w:val="18"/>
          <w:szCs w:val="18"/>
          <w:color w:val="auto"/>
        </w:rPr>
        <w:t>and delivering your old notes, you must either make appropriate arrangements to register ownership of the old notes in your name, or obtain a properly completed bond power from the person in whose name the old notes are registered.</w:t>
      </w:r>
    </w:p>
    <w:p>
      <w:pPr>
        <w:spacing w:after="0" w:line="185" w:lineRule="exact"/>
        <w:rPr>
          <w:sz w:val="20"/>
          <w:szCs w:val="20"/>
          <w:color w:val="auto"/>
        </w:rPr>
      </w:pPr>
    </w:p>
    <w:p>
      <w:pPr>
        <w:ind w:left="4400" w:right="8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9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49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56" w:lineRule="exact"/>
        <w:rPr>
          <w:sz w:val="20"/>
          <w:szCs w:val="20"/>
          <w:color w:val="auto"/>
        </w:rPr>
      </w:pPr>
    </w:p>
    <w:p>
      <w:pPr>
        <w:ind w:left="4400" w:right="16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4" w:lineRule="exact"/>
        <w:rPr>
          <w:sz w:val="20"/>
          <w:szCs w:val="20"/>
          <w:color w:val="auto"/>
        </w:rPr>
      </w:pPr>
    </w:p>
    <w:p>
      <w:pPr>
        <w:ind w:left="4820" w:hanging="423"/>
        <w:spacing w:after="0"/>
        <w:tabs>
          <w:tab w:leader="none" w:pos="4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cannot rely on the applicable interpretations of the staff of the SEC;</w:t>
      </w:r>
    </w:p>
    <w:p>
      <w:pPr>
        <w:spacing w:after="0" w:line="90" w:lineRule="exact"/>
        <w:rPr>
          <w:rFonts w:ascii="Arial" w:cs="Arial" w:eastAsia="Arial" w:hAnsi="Arial"/>
          <w:sz w:val="18"/>
          <w:szCs w:val="18"/>
          <w:color w:val="auto"/>
        </w:rPr>
      </w:pPr>
    </w:p>
    <w:p>
      <w:pPr>
        <w:ind w:left="4820" w:hanging="423"/>
        <w:spacing w:after="0"/>
        <w:tabs>
          <w:tab w:leader="none" w:pos="4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will not be entitled to tender your old notes in the exchange offer; and</w:t>
      </w:r>
    </w:p>
    <w:p>
      <w:pPr>
        <w:spacing w:after="0" w:line="90" w:lineRule="exact"/>
        <w:rPr>
          <w:rFonts w:ascii="Arial" w:cs="Arial" w:eastAsia="Arial" w:hAnsi="Arial"/>
          <w:sz w:val="18"/>
          <w:szCs w:val="18"/>
          <w:color w:val="auto"/>
        </w:rPr>
      </w:pPr>
    </w:p>
    <w:p>
      <w:pPr>
        <w:ind w:left="4820" w:right="300" w:hanging="423"/>
        <w:spacing w:after="0" w:line="268" w:lineRule="auto"/>
        <w:tabs>
          <w:tab w:leader="none" w:pos="4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32" w:lineRule="exact"/>
        <w:rPr>
          <w:sz w:val="20"/>
          <w:szCs w:val="20"/>
          <w:color w:val="auto"/>
        </w:rPr>
      </w:pPr>
    </w:p>
    <w:p>
      <w:pPr>
        <w:ind w:left="4400" w:right="12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2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ind w:left="4820" w:hanging="423"/>
        <w:spacing w:after="0" w:line="298" w:lineRule="auto"/>
        <w:tabs>
          <w:tab w:leader="none" w:pos="4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7"/>
              </w:rPr>
              <w:t>must also be named as a selling noteholder in connection with the registration and</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prospectus delivery requirements of the Securities Act relating to any resale transaction.</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rPr>
              <w:t>Broker-Dealers</w:t>
            </w: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Each broker-dealer that receives new notes for its own account pursuant to the exchange offer</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3"/>
              </w:rPr>
              <w:t>must acknowledge that it will deliver a prospectus in connection with any resale of such new</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notes. The letter of transmittal states that by so acknowledging and delivering a prospectus, a</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2"/>
              </w:rPr>
              <w:t>broker-dealer will not be deemed to admit that it is an “underwriter” within the meaning of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Securities Act. This prospectus, as it may be amended or supplemented from time to time, may</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be used by a broker-dealer in connection with resales of new notes received in exchange for old</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2"/>
              </w:rPr>
              <w:t>notes which were received by the broker-dealer as a result of market-making or other trading</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activities. Under the registration rights agreements, we have agreed that for a period of up to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later of (i) 180 days following the 30th business day after the registration statement containing</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0"/>
              </w:rPr>
              <w:t>this prospectus is declared effective, and (ii) 180 days following the 10th business day after the</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1"/>
              </w:rPr>
              <w:t>exchange offer expires, we will make this prospectus available to any broker-dealer for use in</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94"/>
              </w:rPr>
              <w:t>connection with any such resale. See “Plan of Distribution” beginning on page 189 for more</w:t>
            </w:r>
          </w:p>
        </w:tc>
      </w:tr>
      <w:tr>
        <w:trPr>
          <w:trHeight w:val="222"/>
        </w:trPr>
        <w:tc>
          <w:tcPr>
            <w:tcW w:w="378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information.</w:t>
            </w:r>
          </w:p>
        </w:tc>
      </w:tr>
      <w:tr>
        <w:trPr>
          <w:trHeight w:val="412"/>
        </w:trPr>
        <w:tc>
          <w:tcPr>
            <w:tcW w:w="3780" w:type="dxa"/>
            <w:vAlign w:val="bottom"/>
          </w:tcPr>
          <w:p>
            <w:pPr>
              <w:spacing w:after="0"/>
              <w:rPr>
                <w:sz w:val="20"/>
                <w:szCs w:val="20"/>
                <w:color w:val="auto"/>
              </w:rPr>
            </w:pPr>
            <w:r>
              <w:rPr>
                <w:rFonts w:ascii="Arial" w:cs="Arial" w:eastAsia="Arial" w:hAnsi="Arial"/>
                <w:sz w:val="18"/>
                <w:szCs w:val="18"/>
                <w:color w:val="auto"/>
                <w:w w:val="99"/>
              </w:rPr>
              <w:t>Registration Rights Agreement for the old notes</w:t>
            </w: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8"/>
              </w:rPr>
              <w:t>When we issued the old notes on August 4, 2010, we entered into a registration rights agreement</w:t>
            </w:r>
          </w:p>
        </w:tc>
      </w:tr>
      <w:tr>
        <w:trPr>
          <w:trHeight w:val="216"/>
        </w:trPr>
        <w:tc>
          <w:tcPr>
            <w:tcW w:w="3780" w:type="dxa"/>
            <w:vAlign w:val="bottom"/>
          </w:tcPr>
          <w:p>
            <w:pPr>
              <w:spacing w:after="0"/>
              <w:rPr>
                <w:sz w:val="18"/>
                <w:szCs w:val="18"/>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w w:val="89"/>
              </w:rPr>
              <w:t>with the initial purchasers of the old notes. Under the terms of the registration rights agreement,</w:t>
            </w:r>
          </w:p>
        </w:tc>
      </w:tr>
      <w:tr>
        <w:trPr>
          <w:trHeight w:val="222"/>
        </w:trPr>
        <w:tc>
          <w:tcPr>
            <w:tcW w:w="3780" w:type="dxa"/>
            <w:vAlign w:val="bottom"/>
          </w:tcPr>
          <w:p>
            <w:pPr>
              <w:spacing w:after="0"/>
              <w:rPr>
                <w:sz w:val="19"/>
                <w:szCs w:val="19"/>
                <w:color w:val="auto"/>
              </w:rPr>
            </w:pPr>
          </w:p>
        </w:tc>
        <w:tc>
          <w:tcPr>
            <w:tcW w:w="7260" w:type="dxa"/>
            <w:vAlign w:val="bottom"/>
            <w:gridSpan w:val="2"/>
          </w:tcPr>
          <w:p>
            <w:pPr>
              <w:ind w:left="420"/>
              <w:spacing w:after="0"/>
              <w:rPr>
                <w:sz w:val="20"/>
                <w:szCs w:val="20"/>
                <w:color w:val="auto"/>
              </w:rPr>
            </w:pPr>
            <w:r>
              <w:rPr>
                <w:rFonts w:ascii="Arial" w:cs="Arial" w:eastAsia="Arial" w:hAnsi="Arial"/>
                <w:sz w:val="18"/>
                <w:szCs w:val="18"/>
                <w:color w:val="auto"/>
              </w:rPr>
              <w:t>we agreed to:</w:t>
            </w:r>
          </w:p>
        </w:tc>
      </w:tr>
      <w:tr>
        <w:trPr>
          <w:trHeight w:val="297"/>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file the exchange offer registration statement with the SEC on or prior to March 2, 2010;</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89"/>
              </w:rPr>
              <w:t>use all commercially reasonable efforts to cause the exchange offer registration statement</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to be declared effective no later than May 31, 2011;</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5"/>
              </w:rPr>
              <w:t>use all commercially reasonable efforts to consummate the exchange offer within 30</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88"/>
              </w:rPr>
              <w:t>business days after the date on which the exchange offer registration statement is declared</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effective, or, if later, within 10 business days after the exchange offer expires;</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90"/>
              </w:rPr>
              <w:t>use all commercially reasonable efforts to file a shelf registration statement for the resale</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0"/>
              </w:rPr>
              <w:t>of the old notes if we cannot effect an exchange offer within the time periods listed above</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rPr>
              <w:t>and in certain other circumstances; and</w:t>
            </w:r>
          </w:p>
        </w:tc>
      </w:tr>
      <w:tr>
        <w:trPr>
          <w:trHeight w:val="291"/>
        </w:trPr>
        <w:tc>
          <w:tcPr>
            <w:tcW w:w="3780" w:type="dxa"/>
            <w:vAlign w:val="bottom"/>
          </w:tcPr>
          <w:p>
            <w:pPr>
              <w:spacing w:after="0"/>
              <w:rPr>
                <w:sz w:val="24"/>
                <w:szCs w:val="24"/>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w w:val="89"/>
              </w:rPr>
              <w:t>if we fail to meet our registration obligations, we will pay liquidated damages in an amount</w:t>
            </w:r>
          </w:p>
        </w:tc>
      </w:tr>
      <w:tr>
        <w:trPr>
          <w:trHeight w:val="216"/>
        </w:trPr>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equal to $0.05 per week per $1,000 of the principal amount of old notes held by a holder</w:t>
            </w:r>
          </w:p>
        </w:tc>
      </w:tr>
      <w:tr>
        <w:trPr>
          <w:trHeight w:val="222"/>
        </w:trPr>
        <w:tc>
          <w:tcPr>
            <w:tcW w:w="3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0" w:type="dxa"/>
            <w:vAlign w:val="bottom"/>
          </w:tcPr>
          <w:p>
            <w:pPr>
              <w:ind w:left="180"/>
              <w:spacing w:after="0"/>
              <w:rPr>
                <w:sz w:val="20"/>
                <w:szCs w:val="20"/>
                <w:color w:val="auto"/>
              </w:rPr>
            </w:pPr>
            <w:r>
              <w:rPr>
                <w:rFonts w:ascii="Arial" w:cs="Arial" w:eastAsia="Arial" w:hAnsi="Arial"/>
                <w:sz w:val="18"/>
                <w:szCs w:val="18"/>
                <w:color w:val="auto"/>
                <w:w w:val="91"/>
              </w:rPr>
              <w:t>for each day that we default on our registration obligations during the first 90-day period</w:t>
            </w:r>
          </w:p>
        </w:tc>
      </w:tr>
    </w:tbl>
    <w:p>
      <w:pPr>
        <w:ind w:left="4820" w:right="220"/>
        <w:spacing w:after="0" w:line="261" w:lineRule="auto"/>
        <w:rPr>
          <w:sz w:val="20"/>
          <w:szCs w:val="20"/>
          <w:color w:val="auto"/>
        </w:rPr>
      </w:pPr>
      <w:r>
        <w:rPr>
          <w:rFonts w:ascii="Arial" w:cs="Arial" w:eastAsia="Arial" w:hAnsi="Arial"/>
          <w:sz w:val="18"/>
          <w:szCs w:val="18"/>
          <w:color w:val="auto"/>
        </w:rPr>
        <w:t>immediately following the occurrence of such default, increasing by an additional $0.05 per week per</w:t>
      </w: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722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2722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spacing w:after="0" w:line="259" w:lineRule="auto"/>
        <w:rPr>
          <w:sz w:val="20"/>
          <w:szCs w:val="20"/>
          <w:color w:val="auto"/>
        </w:rPr>
      </w:pPr>
      <w:r>
        <w:rPr>
          <w:rFonts w:ascii="Arial" w:cs="Arial" w:eastAsia="Arial" w:hAnsi="Arial"/>
          <w:sz w:val="18"/>
          <w:szCs w:val="18"/>
          <w:color w:val="auto"/>
        </w:rPr>
        <w:t>$1,000 of the principal amount of old notes for each subsequent 90-day period our registration obligations are not met, up to a maximum of liquidated damages equal to $0.50 per week per $1,000 of the principal amount of old notes.</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such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95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terms of the new notes and those of the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Issuers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Securities Offered</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9"/>
              </w:rPr>
              <w:t xml:space="preserve">$1,320,000,000 aggregate principal amount of 7 </w:t>
            </w:r>
            <w:r>
              <w:rPr>
                <w:rFonts w:ascii="Arial" w:cs="Arial" w:eastAsia="Arial" w:hAnsi="Arial"/>
                <w:sz w:val="11"/>
                <w:szCs w:val="11"/>
                <w:color w:val="auto"/>
                <w:w w:val="99"/>
              </w:rPr>
              <w:t>3</w:t>
            </w:r>
            <w:r>
              <w:rPr>
                <w:rFonts w:ascii="Arial" w:cs="Arial" w:eastAsia="Arial" w:hAnsi="Arial"/>
                <w:sz w:val="18"/>
                <w:szCs w:val="18"/>
                <w:color w:val="auto"/>
                <w:w w:val="99"/>
              </w:rPr>
              <w:t>/</w:t>
            </w:r>
            <w:r>
              <w:rPr>
                <w:rFonts w:ascii="Arial" w:cs="Arial" w:eastAsia="Arial" w:hAnsi="Arial"/>
                <w:sz w:val="13"/>
                <w:szCs w:val="13"/>
                <w:color w:val="auto"/>
                <w:w w:val="99"/>
              </w:rPr>
              <w:t>4</w:t>
            </w:r>
            <w:r>
              <w:rPr>
                <w:rFonts w:ascii="Arial" w:cs="Arial" w:eastAsia="Arial" w:hAnsi="Arial"/>
                <w:sz w:val="18"/>
                <w:szCs w:val="18"/>
                <w:color w:val="auto"/>
                <w:w w:val="99"/>
              </w:rPr>
              <w:t>% First Mortgage Notes due 2020.</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Maturity</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August 15, 2020.</w:t>
            </w: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Subsidiary Guarantees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1"/>
              </w:rPr>
              <w:t>The new notes will be jointly and severally guaranteed by all of our subsidiaries (except Wynn</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0"/>
              </w:rPr>
              <w:t>Capital, which is a co-issuer of the new notes, and Wynn Completion Guarantor, LLC) and will</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rank equal in right of payment with all other senior indebtedness of the guarantors, including the</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7"/>
              </w:rPr>
              <w:t>credit facilities, the 2017 notes, the existing 2020 notes and the old notes. The guarantees may be</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released if the lenders under our credit facilities release the corresponding guarantees provided</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0"/>
              </w:rPr>
              <w:t>by such guarantors in respect of our credit facilities and certain other conditions set forth in the</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indenture governing the notes are satisfied.</w:t>
            </w:r>
          </w:p>
        </w:tc>
      </w:tr>
      <w:tr>
        <w:trPr>
          <w:trHeight w:val="419"/>
        </w:trPr>
        <w:tc>
          <w:tcPr>
            <w:tcW w:w="2920" w:type="dxa"/>
            <w:vAlign w:val="bottom"/>
          </w:tcPr>
          <w:p>
            <w:pPr>
              <w:spacing w:after="0"/>
              <w:rPr>
                <w:sz w:val="20"/>
                <w:szCs w:val="20"/>
                <w:color w:val="auto"/>
              </w:rPr>
            </w:pPr>
            <w:r>
              <w:rPr>
                <w:rFonts w:ascii="Arial" w:cs="Arial" w:eastAsia="Arial" w:hAnsi="Arial"/>
                <w:sz w:val="18"/>
                <w:szCs w:val="18"/>
                <w:color w:val="auto"/>
              </w:rPr>
              <w:t>Interest rate</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year.</w:t>
            </w:r>
          </w:p>
        </w:tc>
      </w:tr>
      <w:tr>
        <w:trPr>
          <w:trHeight w:val="432"/>
        </w:trPr>
        <w:tc>
          <w:tcPr>
            <w:tcW w:w="29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February 15 and August 15 of each year, beginning on February 15, 2011.</w:t>
            </w:r>
          </w:p>
        </w:tc>
      </w:tr>
      <w:tr>
        <w:trPr>
          <w:trHeight w:val="426"/>
        </w:trPr>
        <w:tc>
          <w:tcPr>
            <w:tcW w:w="2920" w:type="dxa"/>
            <w:vAlign w:val="bottom"/>
          </w:tcPr>
          <w:p>
            <w:pPr>
              <w:spacing w:after="0"/>
              <w:rPr>
                <w:sz w:val="20"/>
                <w:szCs w:val="20"/>
                <w:color w:val="auto"/>
              </w:rPr>
            </w:pPr>
            <w:r>
              <w:rPr>
                <w:rFonts w:ascii="Arial" w:cs="Arial" w:eastAsia="Arial" w:hAnsi="Arial"/>
                <w:sz w:val="18"/>
                <w:szCs w:val="18"/>
                <w:color w:val="auto"/>
              </w:rPr>
              <w:t>Ranking</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6"/>
              </w:rPr>
              <w:t>The new notes will be senior obligations of the issuers and will rank pari passu in right of</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1"/>
              </w:rPr>
              <w:t>payment with all other senior indebtedness of the Issuers, including our obligations under our</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credit facilities, the 2017 notes, the existing 2020 notes and the old notes.</w:t>
            </w:r>
          </w:p>
        </w:tc>
      </w:tr>
      <w:tr>
        <w:trPr>
          <w:trHeight w:val="412"/>
        </w:trPr>
        <w:tc>
          <w:tcPr>
            <w:tcW w:w="2920" w:type="dxa"/>
            <w:vAlign w:val="bottom"/>
          </w:tcPr>
          <w:p>
            <w:pPr>
              <w:spacing w:after="0"/>
              <w:rPr>
                <w:sz w:val="20"/>
                <w:szCs w:val="20"/>
                <w:color w:val="auto"/>
              </w:rPr>
            </w:pPr>
            <w:r>
              <w:rPr>
                <w:rFonts w:ascii="Arial" w:cs="Arial" w:eastAsia="Arial" w:hAnsi="Arial"/>
                <w:sz w:val="18"/>
                <w:szCs w:val="18"/>
                <w:color w:val="auto"/>
              </w:rPr>
              <w:t>Security</w:t>
            </w: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2"/>
              </w:rPr>
              <w:t>To the extent permitted by gaming and other applicable laws and subject to certain permitted</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89"/>
              </w:rPr>
              <w:t>liens, the new notes will be secured on an equal and ratable basis (with certain exceptions) with</w:t>
            </w:r>
          </w:p>
        </w:tc>
      </w:tr>
      <w:tr>
        <w:trPr>
          <w:trHeight w:val="216"/>
        </w:trPr>
        <w:tc>
          <w:tcPr>
            <w:tcW w:w="2920" w:type="dxa"/>
            <w:vAlign w:val="bottom"/>
          </w:tcPr>
          <w:p>
            <w:pPr>
              <w:spacing w:after="0"/>
              <w:rPr>
                <w:sz w:val="18"/>
                <w:szCs w:val="18"/>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w w:val="92"/>
              </w:rPr>
              <w:t>our obligations under our credit facilities, the 2017 notes, the existing 2020 notes and the old</w:t>
            </w:r>
          </w:p>
        </w:tc>
      </w:tr>
      <w:tr>
        <w:trPr>
          <w:trHeight w:val="222"/>
        </w:trPr>
        <w:tc>
          <w:tcPr>
            <w:tcW w:w="2920" w:type="dxa"/>
            <w:vAlign w:val="bottom"/>
          </w:tcPr>
          <w:p>
            <w:pPr>
              <w:spacing w:after="0"/>
              <w:rPr>
                <w:sz w:val="19"/>
                <w:szCs w:val="19"/>
                <w:color w:val="auto"/>
              </w:rPr>
            </w:pPr>
          </w:p>
        </w:tc>
        <w:tc>
          <w:tcPr>
            <w:tcW w:w="8100" w:type="dxa"/>
            <w:vAlign w:val="bottom"/>
            <w:gridSpan w:val="2"/>
          </w:tcPr>
          <w:p>
            <w:pPr>
              <w:ind w:left="1280"/>
              <w:spacing w:after="0"/>
              <w:rPr>
                <w:sz w:val="20"/>
                <w:szCs w:val="20"/>
                <w:color w:val="auto"/>
              </w:rPr>
            </w:pPr>
            <w:r>
              <w:rPr>
                <w:rFonts w:ascii="Arial" w:cs="Arial" w:eastAsia="Arial" w:hAnsi="Arial"/>
                <w:sz w:val="18"/>
                <w:szCs w:val="18"/>
                <w:color w:val="auto"/>
              </w:rPr>
              <w:t>notes, by:</w:t>
            </w:r>
          </w:p>
        </w:tc>
      </w:tr>
      <w:tr>
        <w:trPr>
          <w:trHeight w:val="291"/>
        </w:trPr>
        <w:tc>
          <w:tcPr>
            <w:tcW w:w="29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580" w:type="dxa"/>
            <w:vAlign w:val="bottom"/>
          </w:tcPr>
          <w:p>
            <w:pPr>
              <w:ind w:left="180"/>
              <w:spacing w:after="0"/>
              <w:rPr>
                <w:sz w:val="20"/>
                <w:szCs w:val="20"/>
                <w:color w:val="auto"/>
              </w:rPr>
            </w:pPr>
            <w:r>
              <w:rPr>
                <w:rFonts w:ascii="Arial" w:cs="Arial" w:eastAsia="Arial" w:hAnsi="Arial"/>
                <w:sz w:val="18"/>
                <w:szCs w:val="18"/>
                <w:color w:val="auto"/>
                <w:w w:val="89"/>
              </w:rPr>
              <w:t>a perfected first priority lien on substantially all of our existing and future assets, including</w:t>
            </w:r>
          </w:p>
        </w:tc>
      </w:tr>
      <w:tr>
        <w:trPr>
          <w:trHeight w:val="222"/>
        </w:trPr>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Wynn Las Vegas and Encore; and</w:t>
            </w:r>
          </w:p>
        </w:tc>
      </w:tr>
      <w:tr>
        <w:trPr>
          <w:trHeight w:val="291"/>
        </w:trPr>
        <w:tc>
          <w:tcPr>
            <w:tcW w:w="29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580" w:type="dxa"/>
            <w:vAlign w:val="bottom"/>
          </w:tcPr>
          <w:p>
            <w:pPr>
              <w:ind w:left="180"/>
              <w:spacing w:after="0"/>
              <w:rPr>
                <w:sz w:val="20"/>
                <w:szCs w:val="20"/>
                <w:color w:val="auto"/>
              </w:rPr>
            </w:pPr>
            <w:r>
              <w:rPr>
                <w:rFonts w:ascii="Arial" w:cs="Arial" w:eastAsia="Arial" w:hAnsi="Arial"/>
                <w:sz w:val="18"/>
                <w:szCs w:val="18"/>
                <w:color w:val="auto"/>
                <w:w w:val="94"/>
              </w:rPr>
              <w:t>a perfected first priority pledge of the equity interests in Wynn Las Vegas, LLC, Wynn</w:t>
            </w:r>
          </w:p>
        </w:tc>
      </w:tr>
      <w:tr>
        <w:trPr>
          <w:trHeight w:val="216"/>
        </w:trPr>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w w:val="93"/>
              </w:rPr>
              <w:t>Capital, and the guarantors (which pledge, in the case of equity interests in Wynn Las</w:t>
            </w:r>
          </w:p>
        </w:tc>
      </w:tr>
      <w:tr>
        <w:trPr>
          <w:trHeight w:val="222"/>
        </w:trPr>
        <w:tc>
          <w:tcPr>
            <w:tcW w:w="2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Vegas, LLC, is subject to the prior approval of the Nevada gaming authorities).</w:t>
            </w:r>
          </w:p>
        </w:tc>
      </w:tr>
    </w:tbl>
    <w:p>
      <w:pPr>
        <w:spacing w:after="0" w:line="196" w:lineRule="exact"/>
        <w:rPr>
          <w:sz w:val="20"/>
          <w:szCs w:val="20"/>
          <w:color w:val="auto"/>
        </w:rPr>
      </w:pPr>
    </w:p>
    <w:p>
      <w:pPr>
        <w:ind w:left="4400" w:right="360"/>
        <w:spacing w:after="0" w:line="306" w:lineRule="auto"/>
        <w:rPr>
          <w:sz w:val="20"/>
          <w:szCs w:val="20"/>
          <w:color w:val="auto"/>
        </w:rPr>
      </w:pPr>
      <w:r>
        <w:rPr>
          <w:rFonts w:ascii="Arial" w:cs="Arial" w:eastAsia="Arial" w:hAnsi="Arial"/>
          <w:sz w:val="16"/>
          <w:szCs w:val="16"/>
          <w:color w:val="auto"/>
        </w:rPr>
        <w:t>To the extent permitted by gaming and other applicable laws and subject to certain permitted liens, the subsidiary guarantors’ obligations under the guarantees of the new notes will be secured, on an equal and ratable basis (with certain exceptions) with such</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72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3727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4400" w:right="140"/>
        <w:spacing w:after="0" w:line="259" w:lineRule="auto"/>
        <w:rPr>
          <w:sz w:val="20"/>
          <w:szCs w:val="20"/>
          <w:color w:val="auto"/>
        </w:rPr>
      </w:pPr>
      <w:r>
        <w:rPr>
          <w:rFonts w:ascii="Arial" w:cs="Arial" w:eastAsia="Arial" w:hAnsi="Arial"/>
          <w:sz w:val="18"/>
          <w:szCs w:val="18"/>
          <w:color w:val="auto"/>
        </w:rPr>
        <w:t>guarantors’ obligations under the guarantees of our credit facilities, the 2017 notes, the existing 2020 notes and the old notes, by a perfected first priority lien on substantially all of the existing and future assets of the subsidiary guarantors.</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The new notes will not be secured by World Travel, LLC’s aircraft.</w:t>
      </w:r>
    </w:p>
    <w:p>
      <w:pPr>
        <w:sectPr>
          <w:pgSz w:w="11900" w:h="16838" w:orient="portrait"/>
          <w:cols w:equalWidth="0" w:num="1">
            <w:col w:w="11240"/>
          </w:cols>
          <w:pgMar w:left="240" w:top="459" w:right="419" w:bottom="1440" w:gutter="0" w:footer="0" w:header="0"/>
        </w:sect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Release of Collateral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security interests in all of the collateral securing our obligations under the new notes and the obligations of the subsidiary guarantors under the subsidiary guarantees, including the golf course land, may be released under certain circumstances if:</w:t>
      </w:r>
    </w:p>
    <w:p>
      <w:pPr>
        <w:spacing w:after="0" w:line="2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20"/>
        <w:spacing w:after="0" w:line="268" w:lineRule="auto"/>
        <w:rPr>
          <w:sz w:val="20"/>
          <w:szCs w:val="20"/>
          <w:color w:val="auto"/>
        </w:rPr>
      </w:pPr>
      <w:r>
        <w:rPr>
          <w:rFonts w:ascii="Arial" w:cs="Arial" w:eastAsia="Arial" w:hAnsi="Arial"/>
          <w:sz w:val="18"/>
          <w:szCs w:val="18"/>
          <w:color w:val="auto"/>
        </w:rPr>
        <w:t>the lenders under our existing credit facilities release their security interest in such collateral (other than in connection with a refinancing);</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 default or event of default has occurred and is continuing; and</w:t>
      </w:r>
    </w:p>
    <w:p>
      <w:pPr>
        <w:spacing w:after="0" w:line="124"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305" w:lineRule="auto"/>
        <w:rPr>
          <w:sz w:val="20"/>
          <w:szCs w:val="20"/>
          <w:color w:val="auto"/>
        </w:rPr>
      </w:pPr>
      <w:r>
        <w:rPr>
          <w:rFonts w:ascii="Arial" w:cs="Arial" w:eastAsia="Arial" w:hAnsi="Arial"/>
          <w:sz w:val="15"/>
          <w:szCs w:val="15"/>
          <w:color w:val="auto"/>
        </w:rPr>
        <w:t>the lenders under each other outstanding class of secured debt (other than capital lease obligations, mortgage financings and purchase money indebtedness) have released their</w:t>
      </w:r>
    </w:p>
    <w:p>
      <w:pPr>
        <w:spacing w:after="0" w:line="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820"/>
        <w:spacing w:after="0" w:line="302" w:lineRule="auto"/>
        <w:rPr>
          <w:sz w:val="20"/>
          <w:szCs w:val="20"/>
          <w:color w:val="auto"/>
        </w:rPr>
      </w:pPr>
      <w:r>
        <w:rPr>
          <w:rFonts w:ascii="Arial" w:cs="Arial" w:eastAsia="Arial" w:hAnsi="Arial"/>
          <w:sz w:val="16"/>
          <w:szCs w:val="16"/>
          <w:color w:val="auto"/>
        </w:rPr>
        <w:t>security interest in such collateral (which release is required from each of the 2017 notes and the existing 2020 notes once the lenders under our existing credit facilities release their security interest in such collateral (other than in connection with a refinancing)).</w:t>
      </w:r>
    </w:p>
    <w:p>
      <w:pPr>
        <w:spacing w:after="0" w:line="10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The security interests in the golf course land may also be released under certain circumstances if:</w:t>
      </w:r>
    </w:p>
    <w:p>
      <w:pPr>
        <w:spacing w:after="0" w:line="125" w:lineRule="exact"/>
        <w:rPr>
          <w:sz w:val="20"/>
          <w:szCs w:val="20"/>
          <w:color w:val="auto"/>
        </w:rPr>
      </w:pPr>
    </w:p>
    <w:p>
      <w:pPr>
        <w:ind w:left="4820" w:hanging="423"/>
        <w:spacing w:after="0"/>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4820" w:hanging="423"/>
        <w:spacing w:after="0" w:line="332" w:lineRule="auto"/>
        <w:tabs>
          <w:tab w:leader="none" w:pos="4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lenders under our existing credit facilities concurrently release their security interests in the golf course land (other than in connection with a refinancing); and</w:t>
      </w:r>
    </w:p>
    <w:p>
      <w:pPr>
        <w:spacing w:after="0" w:line="4" w:lineRule="exact"/>
        <w:rPr>
          <w:rFonts w:ascii="Arial" w:cs="Arial" w:eastAsia="Arial" w:hAnsi="Arial"/>
          <w:sz w:val="16"/>
          <w:szCs w:val="16"/>
          <w:color w:val="auto"/>
        </w:rPr>
      </w:pPr>
    </w:p>
    <w:p>
      <w:pPr>
        <w:ind w:left="4820" w:right="60" w:hanging="423"/>
        <w:spacing w:after="0" w:line="306" w:lineRule="auto"/>
        <w:tabs>
          <w:tab w:leader="none" w:pos="4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lenders under all other outstanding indebtedness secured by the golf course land (other than capital lease obligations, mortgage financings and purchase money indebtedness) have released their security interest in the golf course land.</w:t>
      </w:r>
    </w:p>
    <w:p>
      <w:pPr>
        <w:spacing w:after="0" w:line="107" w:lineRule="exact"/>
        <w:rPr>
          <w:sz w:val="20"/>
          <w:szCs w:val="20"/>
          <w:color w:val="auto"/>
        </w:rPr>
      </w:pPr>
    </w:p>
    <w:p>
      <w:pPr>
        <w:ind w:left="4400" w:right="100"/>
        <w:spacing w:after="0" w:line="291" w:lineRule="auto"/>
        <w:rPr>
          <w:sz w:val="20"/>
          <w:szCs w:val="20"/>
          <w:color w:val="auto"/>
        </w:rPr>
      </w:pPr>
      <w:r>
        <w:rPr>
          <w:rFonts w:ascii="Arial" w:cs="Arial" w:eastAsia="Arial" w:hAnsi="Arial"/>
          <w:sz w:val="16"/>
          <w:szCs w:val="16"/>
          <w:color w:val="auto"/>
        </w:rPr>
        <w:t>However, if we incur or guarantee debt to finance costs related to the designing, developing and constructing of a project on the golf course parcel pursuant to the debt incurrence baskets described below under the caption “Description of the New Notes—Certain Covenants— Incurrence of Indebtedness and Issuance of Disqualified Stock,” then the security interest in the golf course land may not be released without obtaining the consent of holders of at least 90% of the outstanding principal amount of the notes.</w:t>
      </w:r>
    </w:p>
    <w:p>
      <w:pPr>
        <w:spacing w:after="0" w:line="161" w:lineRule="exact"/>
        <w:rPr>
          <w:sz w:val="20"/>
          <w:szCs w:val="20"/>
          <w:color w:val="auto"/>
        </w:rPr>
      </w:pPr>
    </w:p>
    <w:p>
      <w:pPr>
        <w:ind w:left="4400" w:right="400"/>
        <w:spacing w:after="0" w:line="259" w:lineRule="auto"/>
        <w:rPr>
          <w:sz w:val="20"/>
          <w:szCs w:val="20"/>
          <w:color w:val="auto"/>
        </w:rPr>
      </w:pPr>
      <w:r>
        <w:rPr>
          <w:rFonts w:ascii="Arial" w:cs="Arial" w:eastAsia="Arial" w:hAnsi="Arial"/>
          <w:sz w:val="18"/>
          <w:szCs w:val="18"/>
          <w:color w:val="auto"/>
        </w:rPr>
        <w:t>If our credit facilities are terminated or if the lenders under our credit facilities concurrently release their lien on approximately 20 acres of the golf course land granted by one of our subsidiaries (other than</w:t>
      </w: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400"/>
        <w:spacing w:after="0" w:line="268" w:lineRule="auto"/>
        <w:rPr>
          <w:sz w:val="20"/>
          <w:szCs w:val="20"/>
          <w:color w:val="auto"/>
        </w:rPr>
      </w:pPr>
      <w:r>
        <w:rPr>
          <w:rFonts w:ascii="Arial" w:cs="Arial" w:eastAsia="Arial" w:hAnsi="Arial"/>
          <w:sz w:val="18"/>
          <w:szCs w:val="18"/>
          <w:color w:val="auto"/>
        </w:rPr>
        <w:t>pursuant to a secured refinancing) and no default or event of default exists or is continuing, the security interest in the golf course land may be released.</w:t>
      </w:r>
    </w:p>
    <w:p>
      <w:pPr>
        <w:spacing w:after="0" w:line="145" w:lineRule="exact"/>
        <w:rPr>
          <w:sz w:val="20"/>
          <w:szCs w:val="20"/>
          <w:color w:val="auto"/>
        </w:rPr>
      </w:pPr>
    </w:p>
    <w:p>
      <w:pPr>
        <w:ind w:left="4400" w:right="480"/>
        <w:spacing w:after="0" w:line="256" w:lineRule="auto"/>
        <w:rPr>
          <w:sz w:val="20"/>
          <w:szCs w:val="20"/>
          <w:color w:val="auto"/>
        </w:rPr>
      </w:pPr>
      <w:r>
        <w:rPr>
          <w:rFonts w:ascii="Arial" w:cs="Arial" w:eastAsia="Arial" w:hAnsi="Arial"/>
          <w:sz w:val="18"/>
          <w:szCs w:val="18"/>
          <w:color w:val="auto"/>
        </w:rPr>
        <w:t>In addition, the indenture governing the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ind w:left="200"/>
              <w:spacing w:after="0"/>
              <w:rPr>
                <w:sz w:val="20"/>
                <w:szCs w:val="20"/>
                <w:color w:val="auto"/>
              </w:rPr>
            </w:pPr>
            <w:r>
              <w:rPr>
                <w:rFonts w:ascii="Arial" w:cs="Arial" w:eastAsia="Arial" w:hAnsi="Arial"/>
                <w:sz w:val="18"/>
                <w:szCs w:val="18"/>
                <w:color w:val="auto"/>
                <w:w w:val="94"/>
              </w:rPr>
              <w:t>Optional Redemption After Qualified Equity Offerings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3"/>
              </w:rPr>
              <w:t>At any time prior to August 15, 2013, we may, on one or more occasions, redeem up to 35% of</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9"/>
              </w:rPr>
              <w:t>the outstanding new notes at a redemption price of 107.75% of the principal amount, plus</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1"/>
              </w:rPr>
              <w:t>accrued and unpaid interest, with the net cash proceeds of one or more qualified equity offerings</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 xml:space="preserve">by Wynn Resorts which are contributed to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tc>
      </w:tr>
      <w:tr>
        <w:trPr>
          <w:trHeight w:val="291"/>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at least 65% of the aggregate principal amount of notes issued under the indenture</w:t>
            </w:r>
          </w:p>
        </w:tc>
      </w:tr>
      <w:tr>
        <w:trPr>
          <w:trHeight w:val="216"/>
        </w:trPr>
        <w:tc>
          <w:tcPr>
            <w:tcW w:w="4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governing the notes remains outstanding immediately after the occurrence of such</w:t>
            </w:r>
          </w:p>
        </w:tc>
      </w:tr>
      <w:tr>
        <w:trPr>
          <w:trHeight w:val="222"/>
        </w:trPr>
        <w:tc>
          <w:tcPr>
            <w:tcW w:w="4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redemption; and</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the redemption occurs within 60 days of the closing of the qualified equity offering.</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2"/>
              </w:rPr>
              <w:t>Except pursuant to a qualified equity offering, we cannot redeem the new notes until August 15,</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3"/>
              </w:rPr>
              <w:t>2015. On or after August 15, 2015, we may redeem some or all of the new notes at a premium</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declining ratably to zero, plus accrued and unpaid interest.</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Gaming Redemption</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The new notes will be subject to redemption requirements imposed by gaming laws and</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Change of Control Offer</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9"/>
              </w:rPr>
              <w:t>If a change of control occurs, we must offer to repurchase the new notes at 101% of their</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principal amount, plus accrued and unpaid interest.</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Asset Sales and Events of Loss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2"/>
              </w:rPr>
              <w:t>If we or any of our restricted subsidiaries sell certain assets or experience certain events of loss,</w:t>
            </w:r>
          </w:p>
        </w:tc>
      </w:tr>
      <w:tr>
        <w:trPr>
          <w:trHeight w:val="216"/>
        </w:trPr>
        <w:tc>
          <w:tcPr>
            <w:tcW w:w="4220" w:type="dxa"/>
            <w:vAlign w:val="bottom"/>
          </w:tcPr>
          <w:p>
            <w:pPr>
              <w:spacing w:after="0"/>
              <w:rPr>
                <w:sz w:val="18"/>
                <w:szCs w:val="18"/>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w w:val="91"/>
              </w:rPr>
              <w:t>we may be required to offer to repurchase the notes, the 2017 notes and the existing 2020 notes</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and repay indebtedness under our credit facilities on a pro rata basis.</w:t>
            </w:r>
          </w:p>
        </w:tc>
      </w:tr>
      <w:tr>
        <w:trPr>
          <w:trHeight w:val="412"/>
        </w:trPr>
        <w:tc>
          <w:tcPr>
            <w:tcW w:w="4220" w:type="dxa"/>
            <w:vAlign w:val="bottom"/>
          </w:tcPr>
          <w:p>
            <w:pPr>
              <w:ind w:left="200"/>
              <w:spacing w:after="0"/>
              <w:rPr>
                <w:sz w:val="20"/>
                <w:szCs w:val="20"/>
                <w:color w:val="auto"/>
              </w:rPr>
            </w:pPr>
            <w:r>
              <w:rPr>
                <w:rFonts w:ascii="Arial" w:cs="Arial" w:eastAsia="Arial" w:hAnsi="Arial"/>
                <w:sz w:val="18"/>
                <w:szCs w:val="18"/>
                <w:color w:val="auto"/>
              </w:rPr>
              <w:t>Certain Indenture Provisions</w:t>
            </w: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4220" w:type="dxa"/>
            <w:vAlign w:val="bottom"/>
          </w:tcPr>
          <w:p>
            <w:pPr>
              <w:spacing w:after="0"/>
              <w:rPr>
                <w:sz w:val="19"/>
                <w:szCs w:val="19"/>
                <w:color w:val="auto"/>
              </w:rPr>
            </w:pPr>
          </w:p>
        </w:tc>
        <w:tc>
          <w:tcPr>
            <w:tcW w:w="7240" w:type="dxa"/>
            <w:vAlign w:val="bottom"/>
            <w:gridSpan w:val="2"/>
          </w:tcPr>
          <w:p>
            <w:pPr>
              <w:ind w:left="180"/>
              <w:spacing w:after="0"/>
              <w:rPr>
                <w:sz w:val="20"/>
                <w:szCs w:val="20"/>
                <w:color w:val="auto"/>
              </w:rPr>
            </w:pPr>
            <w:r>
              <w:rPr>
                <w:rFonts w:ascii="Arial" w:cs="Arial" w:eastAsia="Arial" w:hAnsi="Arial"/>
                <w:sz w:val="18"/>
                <w:szCs w:val="18"/>
                <w:color w:val="auto"/>
              </w:rPr>
              <w:t>subsidiaries’ ability to:</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4220" w:type="dxa"/>
            <w:vAlign w:val="bottom"/>
          </w:tcPr>
          <w:p>
            <w:pPr>
              <w:spacing w:after="0"/>
              <w:rPr>
                <w:sz w:val="24"/>
                <w:szCs w:val="24"/>
                <w:color w:val="auto"/>
              </w:rPr>
            </w:pPr>
          </w:p>
        </w:tc>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161"/>
        </w:trPr>
        <w:tc>
          <w:tcPr>
            <w:tcW w:w="42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4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441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54418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940" w:type="dxa"/>
            <w:vAlign w:val="bottom"/>
          </w:tcPr>
          <w:p>
            <w:pPr>
              <w:spacing w:after="0"/>
              <w:rPr>
                <w:sz w:val="19"/>
                <w:szCs w:val="19"/>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engage in other businesses;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transfer and sell assets;</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issue disqualified stock;</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2940" w:type="dxa"/>
            <w:vAlign w:val="bottom"/>
          </w:tcPr>
          <w:p>
            <w:pPr>
              <w:spacing w:after="0"/>
              <w:rPr>
                <w:sz w:val="24"/>
                <w:szCs w:val="24"/>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w:t>
            </w:r>
          </w:p>
        </w:tc>
        <w:tc>
          <w:tcPr>
            <w:tcW w:w="6600" w:type="dxa"/>
            <w:vAlign w:val="bottom"/>
          </w:tcPr>
          <w:p>
            <w:pPr>
              <w:ind w:left="180"/>
              <w:spacing w:after="0"/>
              <w:rPr>
                <w:sz w:val="20"/>
                <w:szCs w:val="20"/>
                <w:color w:val="auto"/>
              </w:rPr>
            </w:pPr>
            <w:r>
              <w:rPr>
                <w:rFonts w:ascii="Arial" w:cs="Arial" w:eastAsia="Arial" w:hAnsi="Arial"/>
                <w:sz w:val="18"/>
                <w:szCs w:val="18"/>
                <w:color w:val="auto"/>
              </w:rPr>
              <w:t>designate restricted and unrestricted subsidiaries.</w:t>
            </w:r>
          </w:p>
        </w:tc>
      </w:tr>
      <w:tr>
        <w:trPr>
          <w:trHeight w:val="412"/>
        </w:trPr>
        <w:tc>
          <w:tcPr>
            <w:tcW w:w="2940" w:type="dxa"/>
            <w:vAlign w:val="bottom"/>
          </w:tcPr>
          <w:p>
            <w:pPr>
              <w:spacing w:after="0"/>
              <w:rPr>
                <w:sz w:val="20"/>
                <w:szCs w:val="20"/>
                <w:color w:val="auto"/>
              </w:rPr>
            </w:pPr>
            <w:r>
              <w:rPr>
                <w:rFonts w:ascii="Arial" w:cs="Arial" w:eastAsia="Arial" w:hAnsi="Arial"/>
                <w:sz w:val="18"/>
                <w:szCs w:val="18"/>
                <w:color w:val="auto"/>
              </w:rPr>
              <w:t>Intercreditor Agreement</w:t>
            </w: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w w:val="87"/>
              </w:rPr>
              <w:t>The trustee under the indenture for the 2017 notes, the trustee under the indenture for the existing</w:t>
            </w:r>
          </w:p>
        </w:tc>
      </w:tr>
      <w:tr>
        <w:trPr>
          <w:trHeight w:val="216"/>
        </w:trPr>
        <w:tc>
          <w:tcPr>
            <w:tcW w:w="2940" w:type="dxa"/>
            <w:vAlign w:val="bottom"/>
          </w:tcPr>
          <w:p>
            <w:pPr>
              <w:spacing w:after="0"/>
              <w:rPr>
                <w:sz w:val="18"/>
                <w:szCs w:val="18"/>
                <w:color w:val="auto"/>
              </w:rPr>
            </w:pP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w w:val="98"/>
              </w:rPr>
              <w:t>2020 notes and the agent for the lenders under our credit facilities have entered into an</w:t>
            </w:r>
          </w:p>
        </w:tc>
      </w:tr>
      <w:tr>
        <w:trPr>
          <w:trHeight w:val="222"/>
        </w:trPr>
        <w:tc>
          <w:tcPr>
            <w:tcW w:w="2940" w:type="dxa"/>
            <w:vAlign w:val="bottom"/>
          </w:tcPr>
          <w:p>
            <w:pPr>
              <w:spacing w:after="0"/>
              <w:rPr>
                <w:sz w:val="19"/>
                <w:szCs w:val="19"/>
                <w:color w:val="auto"/>
              </w:rPr>
            </w:pPr>
          </w:p>
        </w:tc>
        <w:tc>
          <w:tcPr>
            <w:tcW w:w="8100" w:type="dxa"/>
            <w:vAlign w:val="bottom"/>
            <w:gridSpan w:val="2"/>
          </w:tcPr>
          <w:p>
            <w:pPr>
              <w:ind w:left="1260"/>
              <w:spacing w:after="0"/>
              <w:rPr>
                <w:sz w:val="20"/>
                <w:szCs w:val="20"/>
                <w:color w:val="auto"/>
              </w:rPr>
            </w:pPr>
            <w:r>
              <w:rPr>
                <w:rFonts w:ascii="Arial" w:cs="Arial" w:eastAsia="Arial" w:hAnsi="Arial"/>
                <w:sz w:val="18"/>
                <w:szCs w:val="18"/>
                <w:color w:val="auto"/>
                <w:w w:val="90"/>
              </w:rPr>
              <w:t>intercreditor agreement and the trustee under the indenture governing the notes entered into a</w:t>
            </w:r>
          </w:p>
        </w:tc>
      </w:tr>
    </w:tbl>
    <w:p>
      <w:pPr>
        <w:ind w:left="4400" w:right="20"/>
        <w:spacing w:after="0" w:line="284" w:lineRule="auto"/>
        <w:rPr>
          <w:sz w:val="20"/>
          <w:szCs w:val="20"/>
          <w:color w:val="auto"/>
        </w:rPr>
      </w:pPr>
      <w:r>
        <w:rPr>
          <w:rFonts w:ascii="Arial" w:cs="Arial" w:eastAsia="Arial" w:hAnsi="Arial"/>
          <w:sz w:val="16"/>
          <w:szCs w:val="16"/>
          <w:color w:val="auto"/>
        </w:rPr>
        <w:t>joinder agreement and became party to the intercreditor agreement. The intercreditor agreement governs the relationship among the holders of the 2017 notes, the holders of the existing 2020 notes, the holders of the notes, the lenders under our credit facilities and holders of permitted senior and junior indebtedness. By accepting the notes, the holders of the notes, in addition to the trustee, are bound by the terms of the intercreditor agreement. Under the intercreditor agreement, the trustee on behalf of the holders of the 2017 notes, the trustee on behalf of the holders of the existing 2020 notes, the trustee on behalf of the holders of the notes and the agent for the lenders under our credit facilities have appointed a collateral agent with respect to the collateral granted in favor of the holders of the notes, the holders of the 2017 notes, the holders of the 2020 notes, and the lenders under our credit facilities. The liens on the collateral that secure the notes, pursuant to the terms of the intercreditor agreement, rank pari passu with the liens on such collateral that secure our credit facilities, the 2017 notes, the 2020 notes and any other permitted senior secured debt, and rank prior to the liens on such collateral that secure any permitted junior debt. Further, the intercreditor agreement permits us to make certain debt we are otherwise permitted to incur pari passu with the notes.</w:t>
      </w:r>
    </w:p>
    <w:p>
      <w:pPr>
        <w:spacing w:after="0" w:line="131" w:lineRule="exact"/>
        <w:rPr>
          <w:sz w:val="20"/>
          <w:szCs w:val="20"/>
          <w:color w:val="auto"/>
        </w:rPr>
      </w:pPr>
    </w:p>
    <w:p>
      <w:pPr>
        <w:ind w:left="4400" w:right="60"/>
        <w:spacing w:after="0" w:line="290" w:lineRule="auto"/>
        <w:rPr>
          <w:sz w:val="20"/>
          <w:szCs w:val="20"/>
          <w:color w:val="auto"/>
        </w:rPr>
      </w:pPr>
      <w:r>
        <w:rPr>
          <w:rFonts w:ascii="Arial" w:cs="Arial" w:eastAsia="Arial" w:hAnsi="Arial"/>
          <w:sz w:val="16"/>
          <w:szCs w:val="16"/>
          <w:color w:val="auto"/>
        </w:rPr>
        <w:t>The intercreditor agreement provides that, each of the agent under our new credit facilities and, from and after the expiration of 30 days after a payment default or acceleration under any of the indentures governing the 2017 notes, the existing 2020 notes or the notes, holders of a majority in aggregate principal amount of all first-lien debt (excluding the debt under our credit facilities, but including the 2017 notes, the existing 2020 notes and the notes) or the agent under our credit facilities, may instruct the collateral agent to commence the exercise of remedies against the collateral.</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28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rPr>
              <w:t>New notes issued in book-entry form will be issued to Cede &amp; Co. as nominee of DTC.</w:t>
            </w:r>
          </w:p>
        </w:tc>
      </w:tr>
      <w:tr>
        <w:trPr>
          <w:trHeight w:val="432"/>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426"/>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16,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new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June 30, 2010, we had total outstanding debt of approximately $2.6 billion. In addition, our credit agreement and indentures permit us to incur additional indebtedness in the future. Our substantial indebtedness could have important consequences. For example:</w:t>
      </w:r>
    </w:p>
    <w:p>
      <w:pPr>
        <w:spacing w:after="0" w:line="59" w:lineRule="exact"/>
        <w:rPr>
          <w:sz w:val="20"/>
          <w:szCs w:val="20"/>
          <w:color w:val="auto"/>
        </w:rPr>
      </w:pPr>
    </w:p>
    <w:p>
      <w:pPr>
        <w:ind w:left="900" w:right="20" w:hanging="446"/>
        <w:spacing w:after="0" w:line="357"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25" w:lineRule="exact"/>
        <w:rPr>
          <w:rFonts w:ascii="Arial" w:cs="Arial" w:eastAsia="Arial" w:hAnsi="Arial"/>
          <w:sz w:val="16"/>
          <w:szCs w:val="16"/>
          <w:color w:val="auto"/>
        </w:rPr>
      </w:pPr>
    </w:p>
    <w:p>
      <w:pPr>
        <w:ind w:left="900" w:right="12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the 2017 notes, the existing 2020 notes and the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a financial covenant and other covenants that restrict our ability to engage in certain transactions and may impair our ability to respond to changing business and economic conditions.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a minimum interest coverage ratio. If our operations fail to generate adequate cash flow, we may violate this covenant causing a default in our agreements. Future indebtedness or other contracts could contain covenants more restrictive than those contained in our existing debt facilities.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expenditures on luxury and discretionary items, continuation or deepening of the crisis will further adversely affect our operations.</w:t>
      </w:r>
    </w:p>
    <w:p>
      <w:pPr>
        <w:spacing w:after="0" w:line="22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 prospects of debt refinancing, availability of credit to us and to our customers and the profitability of our business.</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There was continued instability in financial and credit markets worldwide in 2009 and 2010. There can be no assurance that the decline is over and there can be no assurance that government response to these conditions will successfully address the fundamental weakness, restore consumer confidence or lead to improvement or increase liquidity in the markets. Customer demand for luxury amenities and leisure activities that we offer may be depressed or continue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5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10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Wynn Resorts’ property in Macau, could draw Asian gaming customers away from Las Vegas.</w:t>
      </w:r>
    </w:p>
    <w:p>
      <w:pPr>
        <w:spacing w:after="0" w:line="19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changes in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current recession and economic crisis have resulted in a significant decline in the amount of tourism and spending in Las Vegas. In 2009, the occupancy rates across Las Vegas have declined by approximately 4.5%, average daily room rates have declined by approximately 22% and Las Vegas Strip gaming revenue has declined approximately 9.4%, compared to 2008. We also experienced increased levels of attrition and cancellation in the group business segment during 2009. During the first six months of 2010, the occupancy rates across Las Vegas have declined by approximately 3%, average daily rooms rates have increased slightly by 0.6% and Las Vegas Strip gaming revenue has increased approximately 2.6%, all compared to the first six months of 2009. If these trends continue, our financial condition, results of operations and cash flows will be adversely affected.</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1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18"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our properties for up to $1.5 billion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9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2020 notes, the 2017 notes and the 2014 notes and would constitute an event of default under our credit facilities.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37.4%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then ownership of 11,076,709 shares of the Wynn Resorts’ common stock. Under the amended and restated stockholders’ agreement, Mr. Wynn, Elaine P. Wynn, and Aruze USA, Inc., have agreed to vote their shares of Wynn Resorts’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bylaws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pursuant to the acquisition of controlling interest statutes, granting voting rights in the control shares acquired.</w:t>
      </w:r>
    </w:p>
    <w:p>
      <w:pPr>
        <w:spacing w:after="0" w:line="2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operations and are subject to various reporting and anti-money laundering regulations. Any violation of anti-money laundering laws or regulations by any of our properties could have a negative effect on our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default occurs with respect to the notes, the value of the collateral may not be sufficient to repay the holders of the notes.</w:t>
      </w:r>
    </w:p>
    <w:p>
      <w:pPr>
        <w:spacing w:after="0" w:line="9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 $414.9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$34.9 million outstanding under the portion of our revolving credit facility maturing in 2015. See “Description of Certain Indebtedness.” As of the same date, after giving effect to the redemption of all issued and outstanding 2014 notes, we had (i) $500.0 million principal amount of 2017 notes outstanding and</w:t>
      </w:r>
    </w:p>
    <w:p>
      <w:pPr>
        <w:spacing w:after="0" w:line="1" w:lineRule="exact"/>
        <w:rPr>
          <w:sz w:val="20"/>
          <w:szCs w:val="20"/>
          <w:color w:val="auto"/>
        </w:rPr>
      </w:pPr>
    </w:p>
    <w:p>
      <w:pPr>
        <w:ind w:right="40" w:firstLine="8"/>
        <w:spacing w:after="0" w:line="292"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$382.0 million principal amount of existing 2020 notes outstanding, which included $30.0 million principal amount of existing 2020 notes payable to an affiliate. Under the indenture governing the notes, we may be permitted to incur additional indebtedness that could be secured by first priority liens on the collateral, which liens would, pursuant to the intercreditor agreement, be pari passu with the liens securing the notes, the 2017 notes, the existing 2020 notes and our credit facilities. We are also permitted to incur additional indebtedness subject to compliance with certain covenants in the indentures governing the notes, the 2017 notes, the existing 2020 notes and our existing credit facilities.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2017 notes, the existing 2020 notes, the notes and the amounts outstanding under our credit facilities. If these proceeds were not sufficient to repay amounts outstanding under the notes, after paying any higher priority creditors and sharing pari passu with obligations under the 2017 notes, the existing 2020 notes and our credit facilities, then holders of the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appraisals of any of the collateral have been prepared by us or on behalf of us in connection with the exchange offer. The fair market value of this collateral is subject to fluctuations based on factors that include, among others, our ability to implement our business strategy, the ability to sell the collateral in an orderly sale, general economic conditions, the availability of buyers and similar factors.</w:t>
      </w:r>
    </w:p>
    <w:p>
      <w:pPr>
        <w:spacing w:after="0" w:line="2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note holders’ liens on all or part of the collateral will be released without their consent if the lenders under our credit facilities release their liens and certain other conditions are met.</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liens on all of the collateral securing the 2017 notes, the existing 2020 notes and the notes, including the golf course land, will be released if the lenders under our credit facilities release their liens on such collateral (other than in connection with a secured refinancing) and (i) no default or event of default has occurred and (ii) the lenders under any other outstanding class of secured debt (other than capital lease obligations, mortgage financings and purchase money indebtedness) have released their security interest in such collateral (which release is required from each of the 2017 notes and the existing 2020 notes once the lenders under our existing credit facilities release their security interest in such collateral (other than in connection with a refinancing)). As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September 10, 2010, after giving effect to (i) the issuance of the old notes and the concurrent amendment of our credit facilities, (ii) reductions in our revolving credit commitments, (iii) conversions by lenders of term loans maturing in 2013 to term loans maturing in 2015, (iv) conversions by lenders of revolving commitments maturing in 2013 to revolving commitments maturing in 2015 and (v) the redemption of all outstanding 2014 notes, the total indebtedness outstanding under our credit facilities was $414.9 million and the total principal amount of the 2017 notes and the existing 2020 notes was $882.0 million.</w:t>
      </w:r>
    </w:p>
    <w:p>
      <w:pPr>
        <w:spacing w:after="0" w:line="11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the liens on the golf course land and related water rights may be released if (i) no default or event of default has occurred and is continuing immediately prior to or after giving effect to such release and (ii) the lenders under all other outstanding indebtedness secured by the golf course land (other than capital lease obligations, mortgage financings and purchase money indebtedness) have released their security interest in the golf course land.</w:t>
      </w:r>
    </w:p>
    <w:p>
      <w:pPr>
        <w:spacing w:after="0" w:line="10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In the event that the security interests on all of the collateral are released, the notes will become our unsecured obligations. As our senior unsecured obligations, the notes would be effectively subordinated to any secured indebtedness of the Issuers and the guarantors up to the value of the collateral securing such indebtedness, would rank senior in right of payment to any subordinated indebtedness of the Issuers and the guarantors, and would rank equal in right of payment to any existing and future unsecured senior indebtedness of the Issuers and the guarantors. In the event that only the security interests in the golf course land and the related water rights are released, the holders of the notes, the existing 2020 notes and the 2017 notes will have a first priority lien on the assets comprising the hotel and casino, and subject to prior gaming approval, the equity interest of Wynn Las Vegas and the equity interest in our restricted subsidiaries.</w:t>
      </w:r>
    </w:p>
    <w:p>
      <w:pPr>
        <w:spacing w:after="0" w:line="1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In addition, the indenture governing the notes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16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The intercreditor agreement permits the agent under our credit facilities to amend the terms of, and waive defaults under, the security documents and to amend certain provisions of the intercreditor agreement without the consent of the holders of the notes.</w:t>
      </w:r>
    </w:p>
    <w:p>
      <w:pPr>
        <w:spacing w:after="0" w:line="4"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security documents create liens on the collateral in favor of a collateral agent to secure our obligations under the credit facilities, the indentures, the 2017 notes, the existing 2020 notes and the notes. However, the intercreditor agreement grants the agent under our credit facilities certain rights that may adversely affect the interest of the holders of the notes under the security documents. The intercreditor agreement permits the agent under our credit facilities, without the consent of the holders of the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agent under our credit facilities is entitled, at any time when the amount outstanding under our credit facilities equals or exceeds</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$100 million and without the consent of 2017 notes trustee or holders of the 2017 notes, the existing 2020 notes trustee or holders of the existing 2020 notes, or the notes trustee or holders of the notes, to amend the subordination provisions of the intercreditor agreement that apply to any permitted junior secured debt that we may incur, provided that such amendment does not affect the provisions governing the relationship between the lenders under our credit facilities, the holders of the 2017 notes, the holders of the existing 2020 notes and the holders of the notes. Any such amendment could increase, perhaps significantly, the rights of any holders of junior debt under the intercreditor agreement to the detriment of the holders of the notes. Any such amendment could also adversely affect the ability of the notes trustee or the holders of the notes to enforce remedies against the collateral and recover the proceeds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Under the intercreditor agreement, the holders of the notes will not be able to control decisions regarding the collateral and to take enforcement actions.</w:t>
      </w:r>
    </w:p>
    <w:p>
      <w:pPr>
        <w:spacing w:after="0" w:line="1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intercreditor agreement provides that, except under very limited circumstances, none of the notes trustee, the holders of the notes, the 2017 notes trustee, the holders of the 2017 notes, the existing 2020 notes trustee or holders of the existing 2020 notes will have the right to direct the collateral agent to enforce remedies against the collateral. As long as any indebtedness is outstanding under our credit facilities, the holders of a majority of the aggregate amount of loans under our credit facilities may instruct the collateral agent to commence the exercise of remedies against the collateral. However, following any event of default under the credit facilities, the agent for the lenders may direct the collateral agent to commence enforcement actions against the collateral without the consent or direction of the notes trustee, the holders of the notes, the 2017 notes trustee, the holders of the 2017 notes, the existing 2020 notes trustee or the holders of the existing 2020 notes. Given that the amount of loans advanced by the lenders under our credit facilities may, from time to time, be substantially different than the outstanding amount of the notes, the lenders’ interests may not be aligned with those of the holders of the notes and the lenders may have different motives or strategies to protect their investment. As such, the lenders under our credit facilities may choose to instruct the collateral agent to enforce the various security interests or may initiate the exercise of other remedies against the collateral at any given time even though allowing us additional time to resolve any issues or take any other actions could increase the likelihood of repayment of the notes. In addition, the intercreditor agreement includes certain provisions, such as waivers of certain rights or consents to certain proceedings in bankruptcy, that may not be enforceable in bankruptcy.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connection with an exercise of remedies, the lenders under our credit facilities, and subject to the terms of the intercreditor agreement, the holders of the 2017 notes, the holders of the existing 2020 notes or the holders of the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notes to additional risks, including, without limitation, additional restrictions on exercising rights against collateral and on otherwise pursuing or obtaining repayment of the notes. See “—Bankruptcy laws may significantly impair your rights to repossess and dispose of collateral securing the notes, and otherwise collect on any amounts due thereunder.”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a result of gaming restrictions, in any foreclosure sale of Wynn Las Vegas or Encore, the purchaser or the operator of the facility would need to be licensed to operate the resort’s casino under the Nevada gaming laws and regulations. If the 2017 notes trustee, the existing 2020 notes trustee, the notes trustee or the lenders under our credit facilities purchased Wynn Las Vegas or Encore at a foreclosure sale, the 2017 notes trustee, the existing 2020 notes trustee, the notes trustee or such lenders would not be permitted to continue gaming operations at either casino unless they retained an entity licensed under the Nevada gaming laws to conduct gaming operations at the facility. The holders of the notes may have to be licensed or found suitable in any event.</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notes trustee must obtain prior approval from, and may be required to be licensed by, the Nevada gaming authorities before the notes trustee can foreclose on the pledged equity interests in our restricted subsidiaries.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 price for, the collateral. The ability to take possession and dispose of the collateral securing the notes upon acceleration of the notes,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otherwise pursue or obtain repayment of the notes, is likely to be significantly impaired or delayed by applicable bankruptcy law if a bankruptcy case is commenced by or against us prior to a taking of possession or disposition of the collateral securing the notes by the notes trustee for the benefit of the holders of the notes.</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notes and the related guarantees.</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 project relate back to the date on which any contractor first commenced work. Accordingly, contractors, subcontractors and suppliers providing goods and services in connection with the project to refurbish and upgrade the rooms and suites at Wynn Las Vegas (which commenced in July 2010) who after recordation of the deed of trust securing the notes otherwise comply with the applicable requirements of Nevada law may have a lien on the property senior in priority to the lien securing the notes until they are paid in full. In the event of a liquidation, proceeds from the sale of collateral will be used to pay the holders of any mechanics’ liens then in existence before holders of the notes.</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 and to otherwise collect on any amounts due thereunder.</w:t>
      </w:r>
    </w:p>
    <w:p>
      <w:pPr>
        <w:spacing w:after="0" w:line="51"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If a bankruptcy case were to be commenced by or against us prior to the repossession and disposition of the note collateral, the right of the trustee of the notes to repossess and dispose of the note collateral upon the occurrence of an event of default under the indenture is likely to be significantly impaired by applicable bankruptcy law. A bankruptcy case may be commenced by us or by certain unsecured creditors as provided in the United States Bankruptcy Code.</w:t>
      </w:r>
    </w:p>
    <w:p>
      <w:pPr>
        <w:spacing w:after="0" w:line="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“automatic stay” under applicable bankruptcy law prohibits secured creditors, such as the holders of the notes, the 2017 notes, the existing 2020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note 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notes trustee could repossess or dispose of the collateral or whether or to what extent, through the requirement of “adequate protection,” the holders of the notes would be compensated for any delay in payment or loss of value of the collateral.</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Under the United States Bankruptcy Code, a claim is a secured claim up to the value of the collateral that secures it. In most cases, interest stops accruing on the date of commencement of the bankruptcy case, but if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might bear on the recovery by the holders of the notes in these circumstances, among others, would include:</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notes. For example, under certain circumstances, a bankruptcy court could approve our or third parties’ motions for sales of collateral on terms favorable to us, require you to accept subordinated or other securities in exchange for the notes, or order substantive consolidation of us with Wynn Resorts in a bankruptcy in which Wynn Resorts was debtor.</w:t>
      </w:r>
    </w:p>
    <w:p>
      <w:pPr>
        <w:spacing w:after="0" w:line="143"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notes would be made; whether or when the trustee could foreclose upon or sell the collateral; whether the terms and conditions of the notes or any rights of the holders of the notes could be altered in a bankruptcy case without the trustee’s or your consent; whether the trustee or you would be able to enforce your rights against the subsidiary guarantors under their guarantees; and whether and to what extent holders of the notes would be compensated for any delay in payment or decline in the collateral’s value.</w:t>
      </w:r>
    </w:p>
    <w:p>
      <w:pPr>
        <w:spacing w:after="0" w:line="18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notes will not have the benefit of a first priority pledge on any equity interests of Wynn Las Vegas until we receive approval from the Nevada Gaming Commission.</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borrowings under our credit facilities, the 2017 notes, the existing 2020 notes and the notes are secured by a first priority pledge of the equity interests of Wynn Las Vegas by its parent, Wynn Holdings. Wynn Holdings has agreed to secure the notes by a first priority lien on the equity interests of Wynn Las Vegas. However, such lien with respect to the equity interests of Wynn Las Vegas cannot be effective to secure the notes without the prior approval from the Nevada Gaming Commission, upon a recommendation from the Nevada State Gaming Control Board. This lien will not be effective unless and until we receive such approval. While we have applied for such approval, we cannot give any assurance that such approval will be granted within any particular time period or at all. The delay between the issuance of the notes and the granting of any regulatory approval necessary to establish the lien on the equity interests may result in rendering the lien subject to avoidance by a bankruptcy trustee if (i) the obligations with respect to the notes constitute “antecedent debt” for purposes of the Bankruptcy Code, (ii) the pledge occurs at a time when Wynn Holdings and its subsidiaries, on a consolidated basis, are insolvent, (iii) the pledge is deemed to occur within 90 days of the commencement of a bankruptcy proceeding of Wynn Holdings and (iv) as a result of such pledge the holders of the notes (or any insider-creditor for whose benefit the transfer is made) would receive more, in light of the pledge, than they would have received in liquidation under chapter 7 of the Bankruptcy Code, if the pledge had not been granted.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have no liens on certain assets.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holders of the notes do not have a lien on our gaming or liquor licenses, because under the Nevada gaming laws they may not be pledged as collateral. In addition, the notes, the 2017 notes, the existing 2020 notes and our credit facilities are not secured by any assets related to Wynn Macau, and the holders of the notes have no claim against those assets. The notes also are not secured by, among other things, World Travel, LLC’s aircraft. Accordingly, such assets are not available to the holders upon an exercise of remedies under the collateral documents.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liens on collateral provided after the notes are issued could also be avoided as preferential transfers.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indenture governing the notes provides that certain future restricted subsidiaries will guarantee the notes and secure their guarantees with liens on their assets. The indenture also requires us to grant liens on certain assets that we and the existing guarantors acquire after the notes are issued. If the entity granting an additional lien was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22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guarantees and liens, and to require holders of the notes to return payments received from us or the guarantors.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creditors or the creditors of the guarantors could challenge the issuance of the notes or the guarantors’ issuance of their guarantees, and the liens on the assets that secure the notes and guarantees, respectively, as fraudulent conveyances or on other grounds. Under the federal bankruptcy law and similar provisions of state fraudulent transfer laws, the issuance of the notes, the delivery of the guarantees and the granting of liens could be avoided (that is, cancelled) as fraudulent transfers, or claims in respect of a note or guarantee could be subordinated to all of our other debts or all of the other debts of the applicable guarantor, if a court determined that the issuer, at the time it issued the notes or granted the liens, or the guarantor, at the time it issued the guarantee or granted the liens (or, in some jurisdictions, when payment became due under the guarantee):</w:t>
      </w:r>
    </w:p>
    <w:p>
      <w:pPr>
        <w:spacing w:after="0" w:line="39"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issued the notes or guarantees, as the case may be, or granted the liens with the intent to hinder, delay or defraud its existing or future creditors; or</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issued the guarantee or granted the liens;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 court likely would find that a guarantor did not receive reasonably equivalent value or fair consideration for its guaranty or pledge of assets unless it benefited directly or indirectly from the issuance of the notes. If the guarantees were avoided or limited under fraudulent transfer or other laws, any claim you may make against the guarantors for amounts payable on the notes would be unenforceable to the extent of such avoidance or limitation.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 holders of the notes may be adversely affected by the failure to perfect security interests in the collateral and other issues generally associated with the realization of security interests in collateral.</w:t>
      </w:r>
    </w:p>
    <w:p>
      <w:pPr>
        <w:spacing w:after="0" w:line="51" w:lineRule="exact"/>
        <w:rPr>
          <w:sz w:val="20"/>
          <w:szCs w:val="20"/>
          <w:color w:val="auto"/>
        </w:rPr>
      </w:pPr>
    </w:p>
    <w:p>
      <w:pPr>
        <w:ind w:right="120" w:firstLine="456"/>
        <w:spacing w:after="0" w:line="307" w:lineRule="auto"/>
        <w:rPr>
          <w:sz w:val="20"/>
          <w:szCs w:val="20"/>
          <w:color w:val="auto"/>
        </w:rPr>
      </w:pPr>
      <w:r>
        <w:rPr>
          <w:rFonts w:ascii="Arial" w:cs="Arial" w:eastAsia="Arial" w:hAnsi="Arial"/>
          <w:sz w:val="15"/>
          <w:szCs w:val="15"/>
          <w:color w:val="auto"/>
        </w:rPr>
        <w:t>Applicable law requires that a security interest in certain tangible and intangible assets can only be properly perfected and its priority retained through certain actions undertaken by the secured party. The liens in the collateral securing the notes may not be perfected with respect to the claims of notes if the collateral agent is not able to take the actions necessary to perfect any of these liens on or prior to the date of the indenture governing the notes. In addition, applicable law requires that certain property and rights acquired after the grant of a general security interest, such as real property, can only be perfected at the time such property and rights are acquired and identified and additional steps to perfect in such property and rights are taken. The Issuers and the guarantors will have limited obligations to perfect the security interest of the holders of the notes in specified collateral. There can be no assurance that the trustee or the collateral agent for the notes will monitor, or that the Issuers will inform such trustee or collateral agent of, the future acquisition of property and rights that constitute collateral, and that the necessary action will be taken to properly perfect the security interest in such after-acquired collateral. The collateral agent for the notes has no obligation to monitor the acquisition of additional property or rights that constitute collateral or the perfection of any security interest. Such failure may result in the loss of the security interest in the collateral or the priority of the security interest in favor of notes against third parties. Circumstances may exist that cause liens to lose perfection or priority, such as, among other things, the passage of time, movement of collateral, changes in name or entity type.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the security interest of the collateral agent will be subject to practical challenges generally associated with the realization of security interests in collateral. For example, the collateral agent may need to obtain the consent of third parties and make additional filings. If we are unable to obtain these consents or make these filings, the security interests may be invalid and the holders will not be entitled to the collateral or any recovery with respect thereto. We cannot assure you that the collateral agent will be able to obtain any such consent. We also cannot assure you that the consents of any third parties will be given when required to facilitate a foreclosure on such assets. Accordingly, the collateral agent may not have the ability to foreclose upon those assets and the value of the collateral may significantly decrease.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 —Change of Control.”</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notes under certain circumstances. If these change of control events or similar events occur at a time when we are prohibited from repurchasing the notes, we may seek the consent of our lenders to purchase the notes or could attempt to refinance the obligations that contain these prohibitions or restrictions. If we do not obtain our lenders’ consent or refinance these obligations, we will not be able to repurchase the notes. Accordingly, the holders of the notes may not receive the change of control purchase price for their notes in the event of a sale or other change of control, which will give the trustee for the notes and the holders of the notes the right to declare an event of default and accelerate the repayment of the notes. See “Description of the New Notes—Events of Default and Remedies.”</w:t>
      </w:r>
    </w:p>
    <w:p>
      <w:pPr>
        <w:spacing w:after="0" w:line="20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holders of the notes should expect payments on the notes to be delayed and/or reduced.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notes.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notes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2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or such beneficial owner fail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notes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acquire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20" w:hanging="547"/>
        <w:spacing w:after="0" w:line="268"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notify the notes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our existing title insurance may not be sufficient to cover all of our secured obligations.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issuance of the old notes, we obtained title insurance on August 5, 2010 in an amount equal to the aggregate principal amount of notes. While we have obtained title insurance in connection with the issuance of the notes, the notes indenture does not require us to maintain, modify or increase the coverage of any title insurance policy we may have from time to time, and the amount of our secured debt, including obligations under our existing or additional hedging agreements, may from time to time be greater than the amount of our title insurance. In addition, certain transactions that we may enter into may have an adverse effect on the coverage provided by any such title insurance policy. Accordingly, the coverage afforded by the title policy previously obtained or any additional title policies we may obtain at any time may not be adequate to cover losses or damages incurred by the holders of the notes as a result of the lack of lien or priority of the mortgages. We did not obtain a survey of the real property collateral in connection with the issuance of the notes. A current survey of the real property collateral may reveal issues that could materially affect the use or value of such real property. Furthermore, we may from time to time obtain or maintain title insurance policies that benefit the lenders under our credit facilities, the holders of the 2017 notes, the existing 2020 notes or other indebtedness, but not the notes. In addition, under certain circumstances, the holders of the notes may be required to share certain proceeds of title insurance that benefit such holders with the lenders under our credit facilities, the holders of the 2017 notes, the existing 2020 notes or other indebtedness. See “Intercreditor Agreement— Application of Proceeds.”</w:t>
      </w:r>
    </w:p>
    <w:p>
      <w:pPr>
        <w:spacing w:after="0" w:line="12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we obtained title insurance on August 5, 2010 in an amount equal to the outstanding principal amount of our loans and commitments under the credit facilities. However, the notes indenture does not require us to maintain, modify or increase the coverage of such title insurance policy in the future, and the amount of our secured debt, including obligations under our existing or additional hedging agreements, may from time to time be greater than the amount of our title insurance obtained in connection with the credit facilities. In addition, certain transactions that we may have entered into after the issuance of the notes or that we may enter into after the date hereof, may have an adverse effect on the coverage provided by such title insurance policy.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new notes are a new issue of securities for which there is currently no public market. An active market may not develop for the new notes offered hereby,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their initial offering price. Future trading prices of the new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disruptions, and there can be no assurance that the new notes will not be subject to such volatility, either of which could have an adverse effect on the price and liquidity of the new notes. We do not intend to apply for listing of the new notes on any securities exchange or for quotation of the new notes in any automated dealer quotation system.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 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143"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20" w:hanging="446"/>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the six months ended June 30, 2010 and for the years ended December 31, 2009, 2008, 2007, 2006 and 2005,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For the Six Months Ended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4"/>
          </w:tcPr>
          <w:p>
            <w:pPr>
              <w:jc w:val="center"/>
              <w:ind w:left="46"/>
              <w:spacing w:after="0"/>
              <w:rPr>
                <w:sz w:val="20"/>
                <w:szCs w:val="20"/>
                <w:color w:val="auto"/>
              </w:rPr>
            </w:pPr>
            <w:r>
              <w:rPr>
                <w:rFonts w:ascii="Arial" w:cs="Arial" w:eastAsia="Arial" w:hAnsi="Arial"/>
                <w:sz w:val="14"/>
                <w:szCs w:val="14"/>
                <w:b w:val="1"/>
                <w:bCs w:val="1"/>
                <w:color w:val="auto"/>
                <w:w w:val="88"/>
              </w:rPr>
              <w:t>For the Year Ended</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December 31,</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center"/>
              <w:ind w:right="242"/>
              <w:spacing w:after="0" w:line="142" w:lineRule="exact"/>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920" w:type="dxa"/>
            <w:vAlign w:val="bottom"/>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10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01"/>
        </w:trPr>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earnings to fixed</w:t>
            </w:r>
          </w:p>
        </w:tc>
        <w:tc>
          <w:tcPr>
            <w:tcW w:w="9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charges(1)</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1.87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3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Deficiency of earnings to cover fixed charges</w:t>
            </w:r>
          </w:p>
        </w:tc>
        <w:tc>
          <w:tcPr>
            <w:tcW w:w="12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(140,387)</w:t>
            </w: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$(284,944)</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$(195,762)</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 (73,381)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3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determining the ratio of earnings to fixed charges, earnings are defined as earnings before income from equity investments plus fixed charges. Fixed charges consist of interest, whether capitalized or expensed, amortization of issuance costs and the estimated interest component of rent expense.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capitalization, on a consolidated basis, as of June 30, 2010:</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9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an as adjusted basis after giving effect to (i) the issuance of the old notes, (ii) the repurchase and redemption of the 2014 notes, (iii) the amendment of our credit facilities, (iv) reductions in our revolving credit commitments, (v) conversions by lenders of term loans maturing in 2013 to term loans maturing in 2015, (vi) conversions by lenders of revolving commitments maturing in 2013 to revolving commitments maturing in 2015 and (vii) the $50.0 million capital contribution from Wynn Resorts.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data in the table should be read in conjunction with “Management’s Discussion and Analysis of Financial Condition and Results of Operations” and our consolidated financial statements and notes thereto.</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June 30, 2010</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Actual</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5"/>
              </w:rPr>
              <w:t>As Adjusted</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3"/>
          </w:tcPr>
          <w:p>
            <w:pPr>
              <w:jc w:val="center"/>
              <w:ind w:right="534"/>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center"/>
              <w:ind w:left="12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net of original issue discount of $2,576 at June 30, 2010</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net of original issue discount of $10,196 at June 30, 2010</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489,804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489,804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net of original issue discount of $4,982 at June 30, 2010</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1,277,238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Credit facilities(1)</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414,941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Aircraft financing</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Payable to affiliate(2)</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2,591,806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2,641,629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Total members’ equity</w:t>
            </w:r>
          </w:p>
        </w:tc>
        <w:tc>
          <w:tcPr>
            <w:tcW w:w="1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1,241,092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1,226,881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3,832,898</w:t>
            </w:r>
          </w:p>
        </w:tc>
        <w:tc>
          <w:tcPr>
            <w:tcW w:w="300" w:type="dxa"/>
            <w:vAlign w:val="bottom"/>
            <w:gridSpan w:val="2"/>
            <w:shd w:val="clear" w:color="auto" w:fill="CCEEFF"/>
          </w:tcPr>
          <w:p>
            <w:pPr>
              <w:jc w:val="center"/>
              <w:ind w:left="12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3,868,510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8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of June 30, 2010, the available undrawn commitments under the revolving credit facility were approximately $146.3 million. 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w:t>
      </w:r>
    </w:p>
    <w:p>
      <w:pPr>
        <w:spacing w:after="0" w:line="2" w:lineRule="exact"/>
        <w:rPr>
          <w:rFonts w:ascii="Arial" w:cs="Arial" w:eastAsia="Arial" w:hAnsi="Arial"/>
          <w:sz w:val="16"/>
          <w:szCs w:val="16"/>
          <w:color w:val="auto"/>
        </w:rPr>
      </w:pPr>
    </w:p>
    <w:p>
      <w:pPr>
        <w:ind w:left="460" w:right="220"/>
        <w:spacing w:after="0" w:line="281" w:lineRule="auto"/>
        <w:rPr>
          <w:rFonts w:ascii="Arial" w:cs="Arial" w:eastAsia="Arial" w:hAnsi="Arial"/>
          <w:sz w:val="16"/>
          <w:szCs w:val="16"/>
          <w:color w:val="auto"/>
        </w:rPr>
      </w:pPr>
      <w:r>
        <w:rPr>
          <w:rFonts w:ascii="Arial" w:cs="Arial" w:eastAsia="Arial" w:hAnsi="Arial"/>
          <w:sz w:val="16"/>
          <w:szCs w:val="16"/>
          <w:color w:val="auto"/>
        </w:rPr>
        <w:t>$414.9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 $34.9 million outstanding under the portion of our revolving credit facility maturing in 2015.</w:t>
      </w:r>
    </w:p>
    <w:p>
      <w:pPr>
        <w:spacing w:after="0" w:line="2" w:lineRule="exact"/>
        <w:rPr>
          <w:rFonts w:ascii="Arial" w:cs="Arial" w:eastAsia="Arial" w:hAnsi="Arial"/>
          <w:sz w:val="16"/>
          <w:szCs w:val="16"/>
          <w:color w:val="auto"/>
        </w:rPr>
      </w:pPr>
    </w:p>
    <w:p>
      <w:pPr>
        <w:ind w:left="460" w:right="180" w:hanging="452"/>
        <w:spacing w:after="0" w:line="29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The purchase of the notes by Wynn Resorts has not been contributed to Wynn Las Vegas and the notes have not been retired. Wynn Resorts tendered $30 million of these 2014 notes for existing 2020 notes. Accordingly, $35.8 million of the 2014 notes and $30 million of the existing 2020 notes held by Wynn Resorts remained on Wynn Las Vegas’ balance sheet as of June 30, 2010, as a payable to affiliate within Long-term Debt. As part of the transaction noted above, Wynn Resorts tendered its $35.8 million of 2014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The selected data presented below as of and for the six months ended June 30, 2010 and 2009 is derived from our unaudited consolidated financial statements. The selected data presented below as of and for the years ended December 31, 2009, 2008, 2007, 2006 and 2005 is derived from our audited consolidated financial statements.</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80" w:type="dxa"/>
            <w:vAlign w:val="bottom"/>
            <w:gridSpan w:val="6"/>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260" w:type="dxa"/>
            <w:vAlign w:val="bottom"/>
          </w:tcPr>
          <w:p>
            <w:pPr>
              <w:spacing w:after="0"/>
              <w:rPr>
                <w:sz w:val="14"/>
                <w:szCs w:val="14"/>
                <w:color w:val="auto"/>
              </w:rPr>
            </w:pPr>
          </w:p>
        </w:tc>
        <w:tc>
          <w:tcPr>
            <w:tcW w:w="1780" w:type="dxa"/>
            <w:vAlign w:val="bottom"/>
            <w:tcBorders>
              <w:bottom w:val="single" w:sz="8" w:color="auto"/>
            </w:tcBorders>
            <w:gridSpan w:val="6"/>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11"/>
          </w:tcPr>
          <w:p>
            <w:pPr>
              <w:jc w:val="right"/>
              <w:ind w:right="1000"/>
              <w:spacing w:after="0"/>
              <w:rPr>
                <w:sz w:val="20"/>
                <w:szCs w:val="20"/>
                <w:color w:val="auto"/>
              </w:rPr>
            </w:pPr>
            <w:r>
              <w:rPr>
                <w:rFonts w:ascii="Arial" w:cs="Arial" w:eastAsia="Arial" w:hAnsi="Arial"/>
                <w:sz w:val="14"/>
                <w:szCs w:val="14"/>
                <w:b w:val="1"/>
                <w:bCs w:val="1"/>
                <w:color w:val="auto"/>
                <w:w w:val="87"/>
              </w:rPr>
              <w:t>Years Ended December 31,</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00" w:type="dxa"/>
            <w:vAlign w:val="bottom"/>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88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(in</w:t>
            </w:r>
          </w:p>
        </w:tc>
        <w:tc>
          <w:tcPr>
            <w:tcW w:w="7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Net revenues(1)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$ 636,928</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$ 604,481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$1,230,120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$1,099,891</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$1,295,851</w:t>
            </w:r>
          </w:p>
        </w:tc>
        <w:tc>
          <w:tcPr>
            <w:tcW w:w="1220" w:type="dxa"/>
            <w:vAlign w:val="bottom"/>
            <w:gridSpan w:val="5"/>
          </w:tcPr>
          <w:p>
            <w:pPr>
              <w:jc w:val="right"/>
              <w:ind w:right="200"/>
              <w:spacing w:after="0"/>
              <w:rPr>
                <w:sz w:val="20"/>
                <w:szCs w:val="20"/>
                <w:color w:val="auto"/>
              </w:rPr>
            </w:pPr>
            <w:r>
              <w:rPr>
                <w:rFonts w:ascii="Arial" w:cs="Arial" w:eastAsia="Arial" w:hAnsi="Arial"/>
                <w:sz w:val="18"/>
                <w:szCs w:val="18"/>
                <w:color w:val="auto"/>
              </w:rPr>
              <w:t>$1,139,348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$722,292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72,373</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2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2,020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67,454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Operating (loss) income</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(51,707)</w:t>
            </w: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(66,730)</w:t>
            </w:r>
          </w:p>
        </w:tc>
        <w:tc>
          <w:tcPr>
            <w:tcW w:w="1120" w:type="dxa"/>
            <w:vAlign w:val="bottom"/>
            <w:gridSpan w:val="5"/>
          </w:tcPr>
          <w:p>
            <w:pPr>
              <w:jc w:val="right"/>
              <w:ind w:right="100"/>
              <w:spacing w:after="0"/>
              <w:rPr>
                <w:sz w:val="20"/>
                <w:szCs w:val="20"/>
                <w:color w:val="auto"/>
              </w:rPr>
            </w:pPr>
            <w:r>
              <w:rPr>
                <w:rFonts w:ascii="Arial" w:cs="Arial" w:eastAsia="Arial" w:hAnsi="Arial"/>
                <w:sz w:val="18"/>
                <w:szCs w:val="18"/>
                <w:color w:val="auto"/>
              </w:rPr>
              <w:t>(144,279)</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(58,616)</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199,825</w:t>
            </w:r>
          </w:p>
        </w:tc>
        <w:tc>
          <w:tcPr>
            <w:tcW w:w="1220" w:type="dxa"/>
            <w:vAlign w:val="bottom"/>
            <w:gridSpan w:val="5"/>
          </w:tcPr>
          <w:p>
            <w:pPr>
              <w:jc w:val="right"/>
              <w:ind w:right="200"/>
              <w:spacing w:after="0"/>
              <w:rPr>
                <w:sz w:val="20"/>
                <w:szCs w:val="20"/>
                <w:color w:val="auto"/>
              </w:rPr>
            </w:pPr>
            <w:r>
              <w:rPr>
                <w:rFonts w:ascii="Arial" w:cs="Arial" w:eastAsia="Arial" w:hAnsi="Arial"/>
                <w:sz w:val="18"/>
                <w:szCs w:val="18"/>
                <w:color w:val="auto"/>
              </w:rPr>
              <w:t>115,047</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12,446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(150,439)</w:t>
            </w:r>
          </w:p>
        </w:tc>
        <w:tc>
          <w:tcPr>
            <w:tcW w:w="1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(141,647)</w:t>
            </w: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(309,870)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(129,794)</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12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9,808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(45,274)</w:t>
            </w:r>
          </w:p>
        </w:tc>
      </w:tr>
      <w:tr>
        <w:trPr>
          <w:trHeight w:val="351"/>
        </w:trPr>
        <w:tc>
          <w:tcPr>
            <w:tcW w:w="4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82"/>
              </w:rPr>
              <w:t>As of June 30,</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42"/>
        </w:trPr>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2"/>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240" w:type="dxa"/>
            <w:vAlign w:val="bottom"/>
          </w:tcPr>
          <w:p>
            <w:pPr>
              <w:spacing w:after="0"/>
              <w:rPr>
                <w:sz w:val="12"/>
                <w:szCs w:val="12"/>
                <w:color w:val="auto"/>
              </w:rPr>
            </w:pPr>
          </w:p>
        </w:tc>
        <w:tc>
          <w:tcPr>
            <w:tcW w:w="8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50,318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66,354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123,315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3"/>
              </w:rPr>
              <w:t>$  146,521</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   93,820</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   87,777</w:t>
            </w:r>
          </w:p>
        </w:tc>
      </w:tr>
      <w:tr>
        <w:trPr>
          <w:trHeight w:val="20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investments(2)</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197,517</w:t>
            </w:r>
          </w:p>
        </w:tc>
        <w:tc>
          <w:tcPr>
            <w:tcW w:w="2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394,757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5,710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23,973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865,130</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214,574</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30,996</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7"/>
              </w:rPr>
              <w:t>4,138,885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4"/>
              </w:rPr>
              <w:t>4,254,324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4,584,271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3,647,256</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3,119,888</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3,195,828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w w:val="87"/>
              </w:rPr>
              <w:t>2,691,435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4"/>
              </w:rPr>
              <w:t>2,638,083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2,897,328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2,034,603</w:t>
            </w:r>
          </w:p>
        </w:tc>
        <w:tc>
          <w:tcPr>
            <w:tcW w:w="240" w:type="dxa"/>
            <w:vAlign w:val="bottom"/>
          </w:tcPr>
          <w:p>
            <w:pPr>
              <w:spacing w:after="0"/>
              <w:rPr>
                <w:sz w:val="18"/>
                <w:szCs w:val="18"/>
                <w:color w:val="auto"/>
              </w:rPr>
            </w:pPr>
          </w:p>
        </w:tc>
        <w:tc>
          <w:tcPr>
            <w:tcW w:w="1020" w:type="dxa"/>
            <w:vAlign w:val="bottom"/>
            <w:gridSpan w:val="4"/>
          </w:tcPr>
          <w:p>
            <w:pPr>
              <w:jc w:val="right"/>
              <w:ind w:right="140"/>
              <w:spacing w:after="0"/>
              <w:rPr>
                <w:sz w:val="20"/>
                <w:szCs w:val="20"/>
                <w:color w:val="auto"/>
              </w:rPr>
            </w:pPr>
            <w:r>
              <w:rPr>
                <w:rFonts w:ascii="Arial" w:cs="Arial" w:eastAsia="Arial" w:hAnsi="Arial"/>
                <w:sz w:val="18"/>
                <w:szCs w:val="18"/>
                <w:color w:val="auto"/>
              </w:rPr>
              <w:t>1,678,597</w:t>
            </w:r>
          </w:p>
        </w:tc>
        <w:tc>
          <w:tcPr>
            <w:tcW w:w="2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1,749,267</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w w:val="87"/>
              </w:rPr>
              <w:t>1,241,092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4"/>
              </w:rPr>
              <w:t>1,385,553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1,257,563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1,375,020</w:t>
            </w: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1,242,770</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1,224,829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cash and investments primarily reflect the proceeds of our debt and equity financings that were restricted for the construction of Encore and prior to December 31, 2005, for Wynn Las Vegas.</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long-term debt, long-term amounts due to affiliates, and an interest rate swap.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and Encore, a destination casino resort located adjacent to and connected to Wynn Las Vegas, which opened on December 22, 2008. Until the opening of Wynn Las Vegas in 2005, we were solely a development stage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September 15,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9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spacing w:after="0"/>
              <w:rPr>
                <w:sz w:val="14"/>
                <w:szCs w:val="14"/>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Square Footage</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140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 w:type="dxa"/>
            <w:vAlign w:val="bottom"/>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Encore</w:t>
            </w:r>
          </w:p>
        </w:tc>
        <w:tc>
          <w:tcPr>
            <w:tcW w:w="900" w:type="dxa"/>
            <w:vAlign w:val="bottom"/>
          </w:tcPr>
          <w:p>
            <w:pPr>
              <w:jc w:val="right"/>
              <w:spacing w:after="0"/>
              <w:rPr>
                <w:sz w:val="20"/>
                <w:szCs w:val="20"/>
                <w:color w:val="auto"/>
              </w:rPr>
            </w:pPr>
            <w:r>
              <w:rPr>
                <w:rFonts w:ascii="Arial" w:cs="Arial" w:eastAsia="Arial" w:hAnsi="Arial"/>
                <w:sz w:val="18"/>
                <w:szCs w:val="18"/>
                <w:color w:val="auto"/>
              </w:rPr>
              <w:t>2,034</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3240" w:type="dxa"/>
            <w:vAlign w:val="bottom"/>
            <w:gridSpan w:val="3"/>
          </w:tcPr>
          <w:p>
            <w:pPr>
              <w:jc w:val="right"/>
              <w:ind w:right="980"/>
              <w:spacing w:after="0"/>
              <w:rPr>
                <w:sz w:val="20"/>
                <w:szCs w:val="20"/>
                <w:color w:val="auto"/>
              </w:rPr>
            </w:pPr>
            <w:r>
              <w:rPr>
                <w:rFonts w:ascii="Arial" w:cs="Arial" w:eastAsia="Arial" w:hAnsi="Arial"/>
                <w:sz w:val="18"/>
                <w:szCs w:val="18"/>
                <w:color w:val="auto"/>
              </w:rPr>
              <w:t>90</w:t>
            </w:r>
          </w:p>
        </w:tc>
        <w:tc>
          <w:tcPr>
            <w:tcW w:w="1280" w:type="dxa"/>
            <w:vAlign w:val="bottom"/>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utilizes approximately 18 additional acres across Sands Avenue, a portion of which is improved with an employee parking garage.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features:</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private baccarat salons and a sports book;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luxury hotel accommodations in 2,034 all-suite rooms;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featuring Hermes, Chanel and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 July 2010, we commenced a project to refurbish and upgrade the rooms and suites at Wynn Las Vegas. The total project budget is approximately</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$83 million and is expected to be completed early in the second quarter of 2011. As a part of this project we are temporarily removing floors from service which reduces our total number of rooms available during the construction period.</w:t>
      </w:r>
    </w:p>
    <w:p>
      <w:pPr>
        <w:spacing w:after="0" w:line="13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Approximately 142 acres of land immediately adjacent to both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reduced consumer and corporate spending, and new U.S. political leadership, the outlook for the gaming, travel, and entertainment industries both domestically and abroad remains highly uncertain. Auto traffic into Las Vegas, airline capacity and air travel to McCarran International airport have continued to declined year over year, resulting in lower casino volumes and a reduced demand for hotel rooms. This slowdown was particularly significant in the fourth quarter of 2008 and has continued throughout 2009 and the first half of 2010. Based on our experience over this past year and current market conditions, we believe that Wynn Las Vegas and Encore have, and are likely to continue to experience lower than historical room rates, casino volumes and accordingly lower departmental profitability. In addition, significant new supply in Las Vegas will put additional pressure on occupancy and room rates during 2010.</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result of the current economic and market conditions, we have increasingly focused on efficiency initiatives that we began implementing at Wynn Las Vegas in early 2009. These initiatives include reductions in pay for salaried employees in Las Vegas, reduced work weeks for full-time hourly employees, the substantial reduction of 2009 bonus accruals and a suspension of the employer match to the 401(k)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results of operations for the periods presented are not comparable as the year ended December 31, 2009 includes a full year of operations for Encore, whereas in 2008, Encore was open for only 10 days. Encore did not significantly impact our results of operations for the year ended December 31, 2008. We also believe that our operating results at both properties for the six months ended June 30, 2010, were adversely impacted by the weakened economy and significant new supply that was added to the Las Vegas market in late 2009. In addition, we believe that our operating results at both properties for the six months ended June 30, 2010 and 2009 and for the years ended December 31, 2009 and 2008, were adversely impacted by the weakened global economy. Disruptions in the global financial and stock markets and reduced levels of consumer spending have and are likely to continue to adversely impact our financial results.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recorded a net loss for the quarter ended June 30, 2010 of $68.7 million compared to a net loss of $46.2 million recorded during the quarter ended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June 30, 2009. For the six months ended June 30, 2010 we recorded a net loss of $150.4 million compared to a net loss of $141.6 million for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June 30, 2009.</w:t>
      </w:r>
    </w:p>
    <w:p>
      <w:pPr>
        <w:spacing w:after="0" w:line="16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We recorded a net loss for the year ended December 31, 2009 of $309.9 million, which represents a $180.1 million increase from the net loss of</w:t>
      </w:r>
    </w:p>
    <w:p>
      <w:pPr>
        <w:spacing w:after="0" w:line="38"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$129.8 million recorded during the year ended December 31, 2008. This decrease is primarily due to an increase in depreciation and amortization expense of $144.1 million associated with the assets placed in service for Encore and an increase in interest expense of $81.4 million as we no longer capitalized interest during 2009 with the opening of Encore in December 2008.</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three months ended June 30, 2010 compared to the three months ended June 30,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1040" w:firstLine="456"/>
        <w:spacing w:after="0" w:line="335" w:lineRule="auto"/>
        <w:rPr>
          <w:sz w:val="20"/>
          <w:szCs w:val="20"/>
          <w:color w:val="auto"/>
        </w:rPr>
      </w:pPr>
      <w:r>
        <w:rPr>
          <w:rFonts w:ascii="Arial" w:cs="Arial" w:eastAsia="Arial" w:hAnsi="Arial"/>
          <w:sz w:val="15"/>
          <w:szCs w:val="15"/>
          <w:color w:val="auto"/>
        </w:rPr>
        <w:t>Net revenues for the three months ended June 30, 2010 are comprised of $117.2 million in casino revenues (36.8% of total net revenues) and $201.1 million of net non-casino revenues (63.2% of total net revenues). Net revenues for the three months ended June 30, 2009 were comprised of $124.3 million in casino revenues (39.7% of total net revenues) and $188.7 million of net non-casino revenues (60.3% of total net revenues).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$7.1 million (or 5.8%) to $117.2 million for the three months ended June 30, 2010, compared to $124.3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2009. During the three months ended June 30, 2010, we experienced a 1.8% decrease in drop and a decrease in the average table games win percentage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compared to the prior year quarter. Our average table games win percentage (before discounts) of 20% was below the expected range of 21% to 24% for the three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2010. For the three months ended June 30, 2009, our average table games win percentage (before discounts) was 20.7%. Slot handle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decreased 19.7% during the three months ended June 30, 2010 compared to the prior year quarter; however, slot win declined only 1.6% as more play shifted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hold machines.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three months ended June 30, 2010, room revenues were approximately $78.8 million, which represents a $2.6 million (or 3.2%) decrease over the $81.5 million generated in the three months ended June 30, 2009. We continued to experience a decrease in room rates during the three months ended June 30, 2010, compared to the three months ended June 30, 2009. We believe this is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86.6%</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non-casino revenues for the three months ended June 30, 2010 include: food and beverage revenues of approximately $111.5 million, retail revenues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$21.5 million, entertainment revenues of approximately $15.6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$16.8 million. Other non-gaming revenues for the three months ended June 30, 2009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$99.9 million, retail revenues of approximately $22.1 million, entertainment revenues of approximately $12.3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$16.1 million. The increase in food and beverage revenue is due primarily to business in our nightclubs including the opening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Encore Beach Club and Surrender nightclub in May 2010. Entertainment revenues increased over the prior year quarter primarily due to performances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Garth Brooks in the Encore Theater which started in December 2009, as well as increased revenue from our Le Rêve show.</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During the three months ended June 30, 2010, departmental expenses included casino expenses of $68.6 million, room expenses of $30.9 million, food and beverage expenses of $68.4 million, and entertainment, retail and other expenses of $33.6 million. Also included are general and administrative expenses of approximately $57.1 million and approximately $2.6 million charged as a provision for doubtful accounts receivable. During the three months ended June 30, 2009, departmental expenses included casino expenses of $60.7 million, room expenses of $26.7 million, food and beverage expenses of $61.8 million, and entertainment, retail and other expenses of $33.6 million. Also included are general and administrative expenses of approximately $57.6 million and approximately $4.5 million charged as a provision for doubtful accounts receivable. The increase in casino and room expenses were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Entertainment, retail and other expenses in aggregate remained constant compared to the prior year quarter. Entertainment expenses increased primarily as a result of performances by Garth Brooks but were offset by lower expenses associated with our retail operations. General and administrative expenses decreased as a result of lower advertising expenses offset partially by higher repairs and replacement expenses associated with general property maintenance. Our provision for doubtful accounts receivable decreased during the three months ended June 30, 2010, compared to the prior year’s quarter.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$4.8 million for the quarter ended June 30, 2010, compared to $4.7 million for the quarter ended June 30, 2009.</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During the three months ended June 30, 2010, we incurred $1.6 million of pre-opening costs. We incurred no pre-opening costs for the three months ended June 30, 2009. Pre-opening costs incurred during the three months ended June 30, 2010, were related the Encore Beach Club which opened on May 28,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and amortization for the three months ended June 30, 2010 was $67.6 million compared to $78.4 million for the three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 This decrease is primarily due to assets with a 5-year life being fully depreciated as of April 2010 at Wynn Las Vegas.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Property charges and other for the three months ended June 30, 2010, were $0.5 million compared to a net gain of $6.6 million for the three months ended June 30, 2009. Property charges and other for the three months ended June 30, 2010 related to miscellaneous renovations and abandonments at Wynn Las Vegas and Encore.</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charges and other for the three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was $46.2 million, net of capitalized interest of $0.4 million, for the three months ended June 30, 2010, compared to $37.7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ended June 30, 2009. There was no interest capitalized during the three months ended June 30, 2009. Interest expense increased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million primarily due to increased interest related to the 2017 notes, offset by lower average borrowings outstanding on the Wynn Las Vegas credit facilities.</w:t>
      </w:r>
    </w:p>
    <w:p>
      <w:pPr>
        <w:spacing w:after="0" w:line="18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$2.3 million for the three months ended June 30, 2010, resulting from the decrease in the fair value of our interest rate swap from March 31, 2010 to June 30, 2010. We had no interest rate swaps during the prior year quarter.</w:t>
      </w:r>
    </w:p>
    <w:p>
      <w:pPr>
        <w:spacing w:after="0" w:line="140"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In connection with the offer to exchange the then outstanding 2014 notes for unregistered existing 2020 notes (the “2014/2020 exchange offer”) consummated in April 2010, the direct costs incurred with third parties of $3.2 million were expensed.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June 30, 2010 compared to the six months ended June 30, 2009.</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Net revenues for the six months ended June 30, 2010 are comprised of $256.7 million in casino revenues (40.3% of total net revenues) and $380.2 million of net non-casino revenues (59.7% of total net revenues). Net revenues for the six months ended June 30, 2009 were comprised of $241.8 million in casino revenues (40% of total net revenues) and $362.7 million of net non-casino revenues (60% of total net revenues).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$14.9 million (or 6.2%) to $256.7 million for the six months ended June 30, 2010, compared to $241.8 million for the six months ended June 30, 2009. During the six months ended June 30, 2010, we experienced a 2.8% increase in drop and an increase in the average table games win percentage compared to the prior year. Our average table games win percentage (before discounts) of 21.7% was within the expected range of 21% to 24% for the six months ended June 30, 2010. For the six months ended June 30, 2009, our average table games win percentage (before discounts) was 19.2%. Slot handle decreased 23.3% during the six months ended June 30, 2010 as compared to 2009; however slot win decreased only 12.8% compared to the prior year.</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six months ended June 30, 2010, room revenues were approximately $156.4 million, which represents a $10.1 million (or 6.1%) decrease over the $166.5 million generated in the six months ended June 30, 2009. We continued to experience a decrease in room rates during the six months ended June 30, 2010, compared to the six months ended June 30, 2009. We believe this is due to the current economic conditions in which we operate in the U.S. and the increased capacity in the Las Vegas market including the opening of a new large scale casino hotel in Las Vegas in December 2009. See the table below for key operating measures related to our room revenue.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91.0%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six months ended June 30, 2010 include: food and beverage revenues of approximately $207.4 million, retail revenues of approximately $40.4 million, entertainment revenues of approximately $33.7 million, and other revenues from outlets such as the spa and salon, of approximately $31.4 million. Other non-gaming revenues for the six months ended June 30, 2009 included food and beverage revenues of approximately $196.9 million, retail revenues of approximately $41.7 million, entertainment revenues of approximately $25 million, and other revenues from outlets, including the spa and salon, of approximately $30.1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During the six months ended June 30, 2010, departmental expenses included casino expenses of $145.4 million, room expenses of $61.5 million, food and beverage expenses of $126.4 million, and entertainment, retail and other expenses of $69.5 million. Also included are general and administrative expenses of approximately $116.9 million and approximately $9.3 million charged as a provision for doubtful accounts receivable. During the six months ended June 30, 2009, departmental expenses included casino expenses of $136.7 million, room expenses of $53 million, food and beverage expenses of $118.9 million, and entertainment, retail and other expenses of $63 million. Also included are general and administrative expenses of approximately $122.3 million and approximately $5.1 million charged as a provision for doubtful accounts receivable. The increase in casino and room expenses was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General and administrative expenses decreased as a result of lower advertising expenses and our cost savings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initiatives offset partially by higher repairs and replacement expenses associated with general property maintenance. Our provision for doubtful accounts receivable increased during the six months ended June 30, 2010, compared to the prior year. This increase is primarily due to a reduction in the bad debt reserve taken in the first half of 2009 as a result of strong collection trends.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indentures governing the 2017 notes, the existing 2020 notes and the notes. Management fees were $9.6 million for the six months ended June 30, 2010, compared to $9.1 million for the six months ended June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During the six months ended June 30, 2010, we incurred $2 million of pre-opening costs. We incurred no preopening costs for the six months ended June 30, 2009. Pre-opening costs incurred during the six months ended June 30, 2010, were related to the Encore Beach Club which opened on May 28,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Depreciation and amortization for the six months ended June 30, 2010 was $146.5 million compared to $155.9 million for the six months ended June 30, 2009. This decrease is primarily due to assets with a 5-year life being fully depreciated as of April 2010 at Wynn Las Vegas, offset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Property charges and other for the six months ended June 30, 2010, were $1.7 million compared to approximately $7.3 million for the six months ended June 30, 2009. Property charges and other for the six months ended June 30, 2010 related to miscellaneous renovations and abandonments at Wynn Las Vegas and Encore.</w:t>
      </w:r>
    </w:p>
    <w:p>
      <w:pPr>
        <w:spacing w:after="0" w:line="140"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color w:val="auto"/>
        </w:rPr>
        <w:t>Property charges and other for the six months ended June 30, 2009, include the write-off of $13.4 million of aircraft purchase deposits. On February 19, 2009, we cancelled an agreement to purchase an aircraft. The deposit was refundable to the extent another buyer was found. Due to the uncertainty as to the recoverability of this deposit, we wrote off the deposit in the first quarter of 2009. In the second quarter of 2009 another buyer was found and we recovered $8.1 million of our deposit. The remaining property charges were related to miscellaneous renovations and abandonments at Wynn Las Vegas and Encore.</w:t>
      </w:r>
    </w:p>
    <w:p>
      <w:pPr>
        <w:spacing w:after="0" w:line="9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Interest expense was $91.3 million, net of capitalized interest of $0.6 million, for the six months ended June 30, 2010, compared to $74.5 million for the six months ended June 30, 2009. There was no interest capitalized during the six months ended June 30, 2009. Interest expense increased approximately</w:t>
      </w:r>
    </w:p>
    <w:p>
      <w:pPr>
        <w:ind w:right="660"/>
        <w:spacing w:after="0" w:line="261" w:lineRule="auto"/>
        <w:rPr>
          <w:sz w:val="20"/>
          <w:szCs w:val="20"/>
          <w:color w:val="auto"/>
        </w:rPr>
      </w:pPr>
      <w:r>
        <w:rPr>
          <w:rFonts w:ascii="Arial" w:cs="Arial" w:eastAsia="Arial" w:hAnsi="Arial"/>
          <w:sz w:val="18"/>
          <w:szCs w:val="18"/>
          <w:color w:val="auto"/>
        </w:rPr>
        <w:t>$16.8 million primarily due to increased interest related to the 2017 notes, offset by lower average borrowings outstanding on the Wynn Las Vegas credit facilities.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Changes in the fair value of our interest rate swaps are recorded as an increase (or decrease) in swap fair value in each period. We recorded an expense of approximately $4.6 million for the six months ended June 30, 2010, resulting from the decrease in the fair value of our interest rate swap from December 31, 2009 to June 30, 2010. We had no interest rate swaps during the prior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2014/2020 exchange offer consummated in April 2010, the direct costs incurred with third parties of $3.2 million were expensed.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2009 compared to the year ended December 31, 2008.</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earlier, 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1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 $268.5 million generated in the year ended December 31, 2008. This increase is a result of the addition of 2,034 suites at Encore which opened in</w:t>
      </w:r>
    </w:p>
    <w:p>
      <w:pPr>
        <w:ind w:right="400"/>
        <w:spacing w:after="0" w:line="261" w:lineRule="auto"/>
        <w:rPr>
          <w:sz w:val="20"/>
          <w:szCs w:val="20"/>
          <w:color w:val="auto"/>
        </w:rPr>
      </w:pPr>
      <w:r>
        <w:rPr>
          <w:rFonts w:ascii="Arial" w:cs="Arial" w:eastAsia="Arial" w:hAnsi="Arial"/>
          <w:sz w:val="18"/>
          <w:szCs w:val="18"/>
          <w:color w:val="auto"/>
        </w:rPr>
        <w:t>December 2008. We continued to experience a decrease in occupancy and room rates during the year ended December 31, 2009, compared to the year ended December 31, 2008. See the table below for key operating measures related to our room revenue.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7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$ 217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$ 288</w:t>
            </w:r>
          </w:p>
        </w:tc>
        <w:tc>
          <w:tcPr>
            <w:tcW w:w="2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Occupancy</w:t>
            </w:r>
          </w:p>
        </w:tc>
        <w:tc>
          <w:tcPr>
            <w:tcW w:w="1200" w:type="dxa"/>
            <w:vAlign w:val="bottom"/>
            <w:gridSpan w:val="2"/>
          </w:tcPr>
          <w:p>
            <w:pPr>
              <w:jc w:val="right"/>
              <w:ind w:right="572"/>
              <w:spacing w:after="0"/>
              <w:rPr>
                <w:sz w:val="20"/>
                <w:szCs w:val="20"/>
                <w:color w:val="auto"/>
              </w:rPr>
            </w:pPr>
            <w:r>
              <w:rPr>
                <w:rFonts w:ascii="Arial" w:cs="Arial" w:eastAsia="Arial" w:hAnsi="Arial"/>
                <w:sz w:val="18"/>
                <w:szCs w:val="18"/>
                <w:color w:val="auto"/>
              </w:rPr>
              <w:t>85.2%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91.8%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w w:val="84"/>
              </w:rPr>
              <w:t>$ 185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$ 265</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included food and beverage revenues of approximately $305.7 million, retail revenues of approximately $86.1 million, entertainment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During the year ended December 31, 2009, departmental expenses included casino expense of $277.6 million, rooms expense of $106.8 million, food and beverage expense of $238.3 million, and entertainment, retail and other expense of $133.8 million. Also included are general and administrative expenses of approximately $248.5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our indentures. Management fees were $18.4 million for the year ended December 31, 2009, compared to $16.5 million for the year ended December 31,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 our guests, we make enhancements and refinements to the properties. Costs relating to assets retired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 result of these enhancement and remodel efforts have been expensed as property charges. Property charges and other for the year ended December 31, 2009 include the following: (a) a $16.7 million charge for the abandonment of the front porte-cochere at Encore at Wynn Las Vegas to make way for an addition to that property; (b) a $5.3 million charge for the write-off of two aircraft deposits; and (c) $2.5 million related to miscellaneous remodels, abandonments and loss on sale of equipment.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response to our evaluation of Wynn Las Vegas and Encore and the reactions of our guests, we continue to make enhancements to the property.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unregistered 2017 notes issued in October 2009. These increases were offset by lower interest rates on our variable rate debt and lower average balances outstanding during 2009 compared to the prior year.</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from December 31, 2007 to December 31, 2008.</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recorded a loss on early extinguishment of debt of $3.8 million during the year ended December 31, 2009. Through an offer to purchase loans outstanding under the Wynn Las Vegas credit agreement,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2008 compared to financial results for the year ended December 31, 2007.</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Net revenues for the year ended December 31, 2008 were comprised of $479.7 million in net casino revenues (43.6% of total net revenues) and $620.2 million of net non-casino revenues (56.4% of total net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revenues). Net revenues for the year ended December 31, 2007 were comprised of $642.3 million in net casino revenues (49.6% of total net revenues) and $653.5 million of net non-casino revenues (50.4% of total net revenues). Our results for 2008 include the 10 days of operations at Encore which opened December 22, 2008.</w:t>
      </w:r>
    </w:p>
    <w:p>
      <w:pPr>
        <w:spacing w:after="0" w:line="14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$479.7 million represents a decrease of approximately $162.6 million (or 25.3%) from casino revenues of $642.3 million for the year ended December 31, 2007. For the year ended December 31, 2008, we experienced a 7.1% decrease in drop and our average table games win percentage (before discounts) of 20.0% was below the expected range of 21% to 24%. During the year ended December 31, 2007, our average table games win percentage (before discounts) was 25.3%. Slot handle decreased 12.9% during the year ended December 31, 2008 as compared to 2007, and our slot win percentage for the years ended December 31, 2008 and 2007 were within the expected range of 4.5% and 5.5%. As noted above, we believe the decrease in casino volumes reflect the overall slowdown in the global economy. In the fourth quarter of 2008, casino revenue at Wynn Las Vegas, including Encore, declined 43.3% compared to the fourth quarter of 2007 as a result of a decrease in table games drop of 20.2% and a decline in our average table games win percentage to 15.3% compared to</w:t>
      </w:r>
    </w:p>
    <w:p>
      <w:pPr>
        <w:spacing w:after="0" w:line="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23.5% in the prior year fourth quarter. Slot handle at Wynn Las Vegas, including Encore, decreased 22.7% during the fourth quarter of 2008 compared to the fourth quarter of 2007.</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2008, room revenues were approximately $268.5 million, which represents a $17.2 million (or 6%) decrease from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$285.7 million generated for the year ended December 31, 2007. The decrease is primarily driven by decreased occupancy and rates at Wynn Las Vegas, offset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revenues generated from the 10 days of operations at Encore. In the fourth quarter of 2008, room revenue at Wynn Las Vegas, including Encore, declined by 14%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 our occupancy percentage declined 14.6% and the average daily rate declined 6%, all compared to the fourth quarter of 2007. Room rates have continued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decline as the economic slow down reduces demand for our product.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 for Wynn Las Vegas, including Encore.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Year Ended</w:t>
            </w:r>
          </w:p>
        </w:tc>
      </w:tr>
      <w:tr>
        <w:trPr>
          <w:trHeight w:val="161"/>
        </w:trPr>
        <w:tc>
          <w:tcPr>
            <w:tcW w:w="76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76"/>
              </w:rPr>
              <w:t>2007</w:t>
            </w:r>
          </w:p>
        </w:tc>
        <w:tc>
          <w:tcPr>
            <w:tcW w:w="200" w:type="dxa"/>
            <w:vAlign w:val="bottom"/>
          </w:tcPr>
          <w:p>
            <w:pPr>
              <w:spacing w:after="0"/>
              <w:rPr>
                <w:sz w:val="12"/>
                <w:szCs w:val="12"/>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88"/>
              </w:rPr>
              <w:t>$ 288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Occupancy</w:t>
            </w:r>
          </w:p>
        </w:tc>
        <w:tc>
          <w:tcPr>
            <w:tcW w:w="1300" w:type="dxa"/>
            <w:vAlign w:val="bottom"/>
            <w:gridSpan w:val="2"/>
          </w:tcPr>
          <w:p>
            <w:pPr>
              <w:jc w:val="right"/>
              <w:ind w:right="672"/>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96.0%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w w:val="88"/>
              </w:rPr>
              <w:t>$ 265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$305.7 million, retail revenues of approximately $86.1 million, entertainment revenues of approximately $66.2 million, and other revenues from outlets, including the spa and salon, of approximately $49.8 million. Other non-casino revenues for the year ended December 31, 2007 included food and beverage revenues of approximately</w:t>
      </w:r>
    </w:p>
    <w:p>
      <w:pPr>
        <w:spacing w:after="0" w:line="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$311 million, retail revenues of approximately $94.8 million, entertainment revenues of approximately $64.5 million, and other revenues from outlets, including the spa and salon, of approximately $50.2 million. Food and beverage revenues and retail revenues declined in 2008 as compared to 2007 as a result of fewer customers and customers spending less due to current economic conditions. Entertainment revenues increased approximately $10.9 million from Le Rêve at Wynn Las Vegas, offset by a decrease of $9.2 million due to the close of Spamalot in mid-July 2008. Together with the producers, we elected to end Spamalot’s run at Wynn Las Vegas in July 2008 pursuant to the terms of our contract.</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During the year ended December 31, 2008, departmental expenses included casino expenses of $258 million, rooms expenses of $73.8 million, food and beverage expenses of $188.5 million,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entertainment, retail and other expenses of $132.9 million. General and administrative expenses of approximately $199.5 million and approximately $24.9 million charged as a provision for doubtful accounts receivable. During the year ended December 31, 2007, departmental expenses included casino expenses of</w:t>
      </w:r>
    </w:p>
    <w:p>
      <w:pPr>
        <w:ind w:right="240"/>
        <w:spacing w:after="0" w:line="292" w:lineRule="auto"/>
        <w:rPr>
          <w:sz w:val="20"/>
          <w:szCs w:val="20"/>
          <w:color w:val="auto"/>
        </w:rPr>
      </w:pPr>
      <w:r>
        <w:rPr>
          <w:rFonts w:ascii="Arial" w:cs="Arial" w:eastAsia="Arial" w:hAnsi="Arial"/>
          <w:sz w:val="16"/>
          <w:szCs w:val="16"/>
          <w:color w:val="auto"/>
        </w:rPr>
        <w:t>$276.5 million, room expenses of $75.8 million, food and beverage expenses of $192.5 million, and entertainment, retail and other expenses of $145.5 million. Also included are general and administrative expenses of approximately $199.8 million and approximately $21.1 million charged as a provision for doubtful accounts receivable. Departmental expenses decreased commensurate with the decrease in revenues. General and administrative expenses increased with the opening of Encore, offset by a reduction in employee bonuses for the year ended December 31, 2008. Our provision for doubtful accounts receivable increased compared to the prior year primarily due to an additional provision in light of global economic uncertainties.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$16.5 million for the year ended December 31, 2008 compared to $19.5 million for the prior year as a result of decreased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of $72.4 million increased by $65.9 million compared to the $6.5 million incurred during the year ended December 31, 2007. Pre-opening costs for the year ended December 31, 2008 relate to Encore. Pre-opening costs related to Encore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year ended December 31, 2008 was $169.6 million, an increase of $16.8 million compared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$152.8 million incurred in the year ended December 31, 2007. This increase related primarily to shortened estimated lives, beginning in March 2008, of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hotel room furniture, fixtures and equipment at Wynn Las Vegas based on a planned room renovation and the opening of Encore.</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construction of Wynn Las Vegas and Encore, costs incurred in the construction of the buildings, improvements to land and the purchases of assets for use in operations were capitalized. Once Wynn Las Vegas and Encore opened on April 28, 2005 and December 22, 2008, respectively, these assets were placed into service and we began recognizing the associated depreciation expense.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2008 of $22.4 million increased by $16.4 million compared to the $6 million incurred for the year ended December 31, 2007.</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upon our evaluation of Wynn Las Vegas and the reactions of our guests, we continue to make enhancements and refinements to Wynn Las Vegas. Costs relating to assets retired as a result of these enhancement and remodel efforts have been expensed as property charges. During the year ended December 31, 2008, property charges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Property charges for the year ended December 31, 2007 were related to renovations to portions of the Le Rêve Theater, the abandonment of a marquee sign, the conversion of two retail outlets and a nightclub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Interest income was $4.8 million for the year ended December 31, 2008, a decrease of $9.4 million compared to $14.2 million for the year ended December 31, 2007. This decrease was primarily due to reduced interest income earned on invested cash balances during the year ended December 31, 2008 compared to 2007 as our cash was used to fund costs related to the development and construction of Encore, along with a decrease in interest rates on our invested cash balance.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Interest expense was $75.9 million, net of capitalized interest of $80.4 million for the year ended December 31, 2008 compared to $86.1 million, net of capitalized interest of $33.6 million, for the year ended December 31, 2007. Interest expense increased approximately $24.1 million related to the additional $400 million of 2014 notes issued in November 2007 and approximately $12.5 million net related to borrowings under our credit facilities and other. This increase was offset by an approximate $46.8 million increase in capitalized interest due to the construction costs of Encore. In future periods, interest expense will increase significantly as we no longer capitalize such costs with the opening of Encore.</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an increase (decrease) in swap fair value. We recorded a decrease in swap fair value of approximately $0.4 million for the year ended December 31, 2008 and a decrease in swap fair value of approximately $4.4 million for the year ended December 31, 2007 resulting from a decrease in the fair value of our interest rate swap from December 31, 2007 to December 31, 2008 and a decrease in the fair value of our interest rate swap from December 31, 2006 to December 31, 2007, respectively.</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Loss on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that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cash provided by operations for the six months ended June 30, 2010 was $27.1 million compared to $1.3 million used in operations for the six months ended June 30, 2009. Operating cash flows were positively impacted by an improvement in our operating loss and benefits from ordinary working capital changes.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cash provided by operations for the year ended December 31, 2009 was $80.4 million compared to $135.1 million provided by operations for the year ended December 31, 2008. Operating cash flows were negatively impacted by increased interest as we no longer capitalized such cost with the opening of Encore in 2008, a decrease in departmental profit due to current economic conditions and the opening of Encore, and decreased benefits from ordinary working capital changes, offset by decreases in pre-opening costs that were incurred during 2008 related to Encore.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June 30, 2010, we had approximately $50.3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June 30, 2010, we had approximately $146.3 million available to draw under our Wynn Las Vegas credit facilities.</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At December 31, 2009, we had approximately $66.4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2009, we had $185 million of availability under our senior revolving credit facility.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scheduled quarterly payments on one note payable, we have no debt maturities until September 2012.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Capital expenditures were approximately $84.1 million for the six months ended June 30, 2010, and related primarily to the Encore Beach Club. Capital expenditures were approximately $245 million for the year ended December 31, 2009, and were related primarily to cash payments on construction and retention payables for Encore. Capital expenditures were approximately $1.1 billion for the year ended December 31, 2008 and were almost entirely related to the construction of Encore.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August 15, 2005, Wynn Las Vegas, LLC loaned $80 million to Wynn Resorts. In July 2008, Wynn Resorts repaid the $80 million.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June 30, 2010, our Wynn Las Vegas Amended and Restated Credit Agreement (the “Credit Agreement”) consisted of a $457.9 million revolving credit facility (the “Wynn Las Vegas Revolver”) and an $80.4 million term loan facility (the “Wynn Las Vegas Term Loan”) (together the “Wynn Las Vegas Credit Facilities”). As of June 30, 2010, we had borrowed $291.7 million under the Wynn Las Vegas Revolver. We also had $19.9 million of outstanding letters of credit that reduce our availability under the Wynn Las Vegas Revolver. We had availability of $146.3 million under the Wynn Las Vegas Revolver as of June 30, 2010. On August 4, 2010, Wynn Las Vegas entered into a seventh amendment to the Credit Agreement. After giving effect to this amendment, the maturity date with respect to a portion of the Wynn Las Vegas Revolver and the Wynn Las Vegas Term Loan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During the year ended December 31, 2009, Wynn Resorts made capital contributions to us in the amount of $413 million. The proceeds from these contributions were used to fund construction costs of Encore paid during the year, to fund the paydown on the Wynn Las Vegas Revolver pursuant to the fourth amendment to our credit facilities, and to fund the offer to purchase loans outstanding under the Credit Agreement described below.</w:t>
      </w:r>
    </w:p>
    <w:p>
      <w:pPr>
        <w:spacing w:after="0" w:line="10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March 26, 2010, the Issuers commenced the 2014/2020 exchange offer upon the terms and subject to the conditions set forth in an offering memorandum (the “2014/2020 offering memorandum”), and a related letter of transmittal. The 2014/2020 exchange offer was conditioned upon, among other things, the tender of at least $250 million aggregate principal amount of 2014 notes. The unregistered existing 2020 notes were offered only to qualified institutional buyers and outside the United States in accordance with Rule 144A and Regulation S, respectively, under the Securities Act. As of April 23, 2010, the exchange offer expiration date, approximately $382 million of the 2014 notes were validly tendered for exchange for unregistered existing 2020 notes. This includes $30 million of the 2014 notes that were purchased by Wynn Resorts in 2009. The 2014/2020 exchange offer closed on April 28, 2010.</w:t>
      </w:r>
    </w:p>
    <w:p>
      <w:pPr>
        <w:spacing w:after="0" w:line="12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As further described in the 2014/2020 offering memorandum, noteholders who validly tendered 2014 notes prior to the early delivery time received an early delivery payment of 1% of the amount tendered in cash which totaled approximately $3.8 million. In accordance with accounting standards, this will be included as deferred financing costs and amortized over the life of the existing 2020 notes.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August 2010, Wynn Las Vegas issued $1.32 billion of old notes and concurrently commenced a tender offer for all of its then outstanding 2014 notes. For a description of this transaction, see “Summary—Recent Developments—Cash Tender Offer for, and Redemption of, 2014 Notes.”</w:t>
      </w:r>
    </w:p>
    <w:p>
      <w:pPr>
        <w:spacing w:after="0" w:line="8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existing 2020 notes and the old notes rank pari passu in right of payment with borrowings under the Wynn Las Vegas Credit Facilities and the 2017 notes. The existing 2020 notes and the old notes are senior secured obligations of the Issuers, are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the Wynn Las Vegas Credit Facilities and the 2017 notes.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(b) received relief from certain financial covenants, (c) increased the Wynn Las Vegas Revolver by $65 million, (d) repurchased $87.6 million of Wynn Las Vegas Revolver loans at a discount, and (e) used the net proceeds received from the issuance of the unregistered 2017 notes to repay amounts outstanding, including a permanent reduction in the Wynn Las Vegas Credit Facilities of $360 million.</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During the six months ended June 30, 2009, Wynn Resorts made capital contributions to us in the amount of $328.5 million. The proceeds from these contributions were used to fund construction costs of Encore paid during the six months ended June 30, 2009 and to fund paydowns on the Wynn Las Vegas Credit Facilities.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1.75:1 to 1.25:1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our Credit Agreement, we expanded the availability of the Wynn Las Vegas Revolver by $65 million.</w:t>
      </w:r>
    </w:p>
    <w:p>
      <w:pPr>
        <w:spacing w:after="0" w:line="19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September 2009, we entered into a fifth amendment to our Credit Agreement. This amendment, among other things, permitted the issuance of the unregistered 2017 notes and required that 75% of the net cash proceeds from such issuance be applied to prepay loans and reduce commitments under the Credit Agreement.</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October 2009, the Issuers issued, in a private offering, the unregistered 2017 notes at a price of 97.823% of the principal amount. The unregistered 2017 notes rank pari passu with the borrowing under the Wynn Las Vegas Credit Facilities and the outstanding unregistered existing 2020 notes issued by the Issuers. The unregistered 2017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Credit Agreement described above, we used the proceeds of this offering to repay amounts outstanding under the Wynn Las Vegas Revolver and Wynn Las Vegas Term Loan.</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(x) in the case of the portion of the Wynn Las Vegas Term Loan maturing in August 2013, 1.875% and (y) in the case of the portion of the Wynn Las Vegas Term Loan maturing in August 2015, 3.00%, in each case on the outstanding balance.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Wynn Las Vegas Credit Facilities are an obligation of Wynn Las Vegas, LLC and are guaranteed by and secured by substantially all of the assets (except the corporate aircraft) of each of its subsidiaries (other than Wynn Completion Guarantor, LLC). The obligations of Wynn Las Vegas, LLC and the guarantors under the Credit Agreement rank pari passu in right of payment with their existing and future senior indebtedness, including indebtedness with respect to the 2017 notes, the existing 2020 notes and the notes and senior in right of payment to all of their existing and future subordinated indebtedness.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Credit Agreement contains a requirement that we must make mandatory repayments of indebtedness from specified percentages of excess cash flow. If Wynn Las Vegas has a Consolidated Leverage Ratio, as defined in the Credit Agreement, of greater than 3.5:1, such repayment is defined as 50% of Excess Cash Flow, as defined in the Credit Agreement. If the Consolidated Leverage Ratio is equal to or less than 3.5:1,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2010, and therefore we do not expect to make any mandatory repayments pursuant to this requirement during 2010.</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Credit Agreement contains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Interest Coverage Ratio, as defined, not less than 1.25:1 as of June 30, 2010. Management believes that we were in compliance with all covenants at June 30, 2010. As of the last day of each fiscal quarter, we are required to maintain a minimum Consolidated Interest Coverage Ratio for the four quarter fiscal period ended as of such date of (x) at least 1.00:1 for each quarter ended through June 30, 2013, (y) at least 1.40:1 for the quarter ended September 30, 2013, and (z) at least 1.60:1 for each quarter ended thereafter through maturity.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June 30, 2010, we had $19.9 million of outstanding letters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2009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96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rPr>
              <w:t>4 to 5</w:t>
            </w:r>
          </w:p>
        </w:tc>
        <w:tc>
          <w:tcPr>
            <w:tcW w:w="84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$531.5</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304.0</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294.6</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111.6</w:t>
            </w:r>
          </w:p>
        </w:tc>
        <w:tc>
          <w:tcPr>
            <w:tcW w:w="620" w:type="dxa"/>
            <w:vAlign w:val="bottom"/>
          </w:tcPr>
          <w:p>
            <w:pPr>
              <w:jc w:val="right"/>
              <w:spacing w:after="0"/>
              <w:rPr>
                <w:sz w:val="20"/>
                <w:szCs w:val="20"/>
                <w:color w:val="auto"/>
              </w:rPr>
            </w:pPr>
            <w:r>
              <w:rPr>
                <w:rFonts w:ascii="Arial" w:cs="Arial" w:eastAsia="Arial" w:hAnsi="Arial"/>
                <w:sz w:val="18"/>
                <w:szCs w:val="18"/>
                <w:color w:val="auto"/>
              </w:rPr>
              <w:t>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266.8</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430.4</w:t>
            </w:r>
          </w:p>
        </w:tc>
        <w:tc>
          <w:tcPr>
            <w:tcW w:w="34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2,332.8</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3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3,677.1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2009. Such rates are at historical lows as of December 31, 2009. Actual rates will vary.</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restricted under the indentures governing the 2017 notes, the existing 2020 notes and the notes from making certain “restricted payments” as defined in the indentures.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Wynn Las Vegas Credit Facilities contain similar restrictions.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Las Vegas and Encore intend to fund their operations and capital requirements from operating cash flow and availability under the Wynn Las Vegas Credit Facilities. We cannot be sure that Wynn Las Vegas and Encore will generate sufficient cash flow from operations or that future borrowings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some foreign countries, but the United States assets of foreign customers may be used to satisfy judgments entered in the United States. At June 30, 2010, December 31, 2009 and December 31, 2008, approximately 67%, 68% and 69%, respectively, of our casino accounts receivable were owed by customers from foreign countries, primarily in Asia. The collectability of markers given by foreign customers is affected by a number of factors including changes in currency exchange rates, business or economic conditions or other significant events in the customers’ home countries.</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22"/>
              <w:spacing w:after="0"/>
              <w:rPr>
                <w:sz w:val="20"/>
                <w:szCs w:val="20"/>
                <w:color w:val="auto"/>
              </w:rPr>
            </w:pPr>
            <w:r>
              <w:rPr>
                <w:rFonts w:ascii="Arial" w:cs="Arial" w:eastAsia="Arial" w:hAnsi="Arial"/>
                <w:sz w:val="14"/>
                <w:szCs w:val="14"/>
                <w:b w:val="1"/>
                <w:bCs w:val="1"/>
                <w:color w:val="auto"/>
                <w:w w:val="82"/>
              </w:rPr>
              <w:t>June 30,</w:t>
            </w:r>
          </w:p>
        </w:tc>
        <w:tc>
          <w:tcPr>
            <w:tcW w:w="8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2010</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143,851</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149,786</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142,515</w:t>
            </w:r>
          </w:p>
        </w:tc>
        <w:tc>
          <w:tcPr>
            <w:tcW w:w="2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69,839</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66,328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64,530</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7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48.5%</w:t>
            </w:r>
          </w:p>
        </w:tc>
        <w:tc>
          <w:tcPr>
            <w:tcW w:w="16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44.3%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08"/>
        </w:trPr>
        <w:tc>
          <w:tcPr>
            <w:tcW w:w="51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w:t>
            </w:r>
          </w:p>
        </w:tc>
        <w:tc>
          <w:tcPr>
            <w:tcW w:w="1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5100" w:type="dxa"/>
            <w:vAlign w:val="bottom"/>
          </w:tcPr>
          <w:p>
            <w:pPr>
              <w:ind w:left="220"/>
              <w:spacing w:after="0"/>
              <w:rPr>
                <w:sz w:val="20"/>
                <w:szCs w:val="20"/>
                <w:color w:val="auto"/>
              </w:rPr>
            </w:pPr>
            <w:r>
              <w:rPr>
                <w:rFonts w:ascii="Arial" w:cs="Arial" w:eastAsia="Arial" w:hAnsi="Arial"/>
                <w:sz w:val="18"/>
                <w:szCs w:val="18"/>
                <w:color w:val="auto"/>
              </w:rPr>
              <w:t>days</w:t>
            </w:r>
          </w:p>
        </w:tc>
        <w:tc>
          <w:tcPr>
            <w:tcW w:w="1740" w:type="dxa"/>
            <w:vAlign w:val="bottom"/>
          </w:tcPr>
          <w:p>
            <w:pPr>
              <w:jc w:val="right"/>
              <w:ind w:right="512"/>
              <w:spacing w:after="0"/>
              <w:rPr>
                <w:sz w:val="20"/>
                <w:szCs w:val="20"/>
                <w:color w:val="auto"/>
              </w:rPr>
            </w:pPr>
            <w:r>
              <w:rPr>
                <w:rFonts w:ascii="Arial" w:cs="Arial" w:eastAsia="Arial" w:hAnsi="Arial"/>
                <w:sz w:val="18"/>
                <w:szCs w:val="18"/>
                <w:color w:val="auto"/>
              </w:rPr>
              <w:t>39.0%</w:t>
            </w:r>
          </w:p>
        </w:tc>
        <w:tc>
          <w:tcPr>
            <w:tcW w:w="1640" w:type="dxa"/>
            <w:vAlign w:val="bottom"/>
          </w:tcPr>
          <w:p>
            <w:pPr>
              <w:jc w:val="right"/>
              <w:ind w:right="512"/>
              <w:spacing w:after="0"/>
              <w:rPr>
                <w:sz w:val="20"/>
                <w:szCs w:val="20"/>
                <w:color w:val="auto"/>
              </w:rPr>
            </w:pPr>
            <w:r>
              <w:rPr>
                <w:rFonts w:ascii="Arial" w:cs="Arial" w:eastAsia="Arial" w:hAnsi="Arial"/>
                <w:sz w:val="18"/>
                <w:szCs w:val="18"/>
                <w:color w:val="auto"/>
              </w:rPr>
              <w:t>37.9%</w:t>
            </w:r>
          </w:p>
        </w:tc>
        <w:tc>
          <w:tcPr>
            <w:tcW w:w="1100" w:type="dxa"/>
            <w:vAlign w:val="bottom"/>
          </w:tcPr>
          <w:p>
            <w:pPr>
              <w:jc w:val="right"/>
              <w:spacing w:after="0"/>
              <w:rPr>
                <w:sz w:val="20"/>
                <w:szCs w:val="20"/>
                <w:color w:val="auto"/>
              </w:rPr>
            </w:pPr>
            <w:r>
              <w:rPr>
                <w:rFonts w:ascii="Arial" w:cs="Arial" w:eastAsia="Arial" w:hAnsi="Arial"/>
                <w:sz w:val="18"/>
                <w:szCs w:val="18"/>
                <w:color w:val="auto"/>
              </w:rPr>
              <w:t>31.0%</w:t>
            </w:r>
          </w:p>
        </w:tc>
      </w:tr>
    </w:tbl>
    <w:p>
      <w:pPr>
        <w:spacing w:after="0" w:line="15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At June 30, 2010, a 100 basis-point change in the allowance for doubtful accounts as a percentage of casino accounts receivable would change the provision for doubtful accounts by approximately $1.4 million.</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June 30, 2010, changes in the swap fair values are being recorded in our Consolidated Statements of Operations, as the swaps do not qualify for hedge accounting.</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these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variability of fluctuation between periods. We adjust this amount by applying a non-performance valuation, considering our creditworthiness or the creditworthiness of our counterparties at each settlement date, as applicable.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share-based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issued by Wynn Resorts.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granted by Wynn Resorts. We estimate the expected stock price volatility using a combination of implied and historical factors related to Wynn Resorts’ stock price in accordance with applicable accounting standards. As Wynn Resorts’ stock price fluctuates, this estimate will change. For example, a 10% change in the volatility assumption for 2009 would have resulted in an approximate $1.8 million change in fair value. Expected term represents the estimated average time between the option’s grant date and its exercise date. Because of Wynn Resorts’ limited trading history as a public company we have elected to use the simplified method prescribed by applicable accounting standards, for companies with a limited trading history to estimate the expected term. Once Wynn Resorts has sufficient trading history, we will estimate the expected term using historical experience for options that have been granted to employees within Wynn Resorts’ stock option plan. A 10% change in the expected term assumption for 2009 would have resulted in an approximate $1.0 million change in fair value. These assumed changes in fair value would have been recognized over the vesting schedule of such awards.</w:t>
      </w:r>
    </w:p>
    <w:p>
      <w:pPr>
        <w:spacing w:after="0" w:line="12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six months ended June 30, 2010 and 2009, the Company recorded $6 million and $4.6 million, respectively, in share-based compensation with a corresponding credit to contributed capital. For the years ended December 31, 2009 and 2008, the Company recorded $8.4 million and $9.5 million, respectively, in share-based compensation with a corresponding credit to contributed capital.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June 2009, the Financial Accounting Standards Board (the “FASB”) issued new accounting standards regarding the consolidation of variable interest entities. These new accounting standards address the effects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adoption of these new accounting standards did not have a material effect on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2009 on our expected long-term indebtedness. However, we cannot predict the LIBOR rate that will be in effect in the future. As of December 31, 2009, such rates were at historic lows. Actual rates will vary. The one-month LIBOR rate at December 31, 2009 of 0.23% was used for all variable rate calculations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660" w:type="dxa"/>
            <w:vAlign w:val="bottom"/>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480" w:type="dxa"/>
            <w:vAlign w:val="bottom"/>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Fixed rate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1,700.0</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500.0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2,200.0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Variable rate</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$ 1.1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6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$41.6</w:t>
            </w:r>
          </w:p>
        </w:tc>
        <w:tc>
          <w:tcPr>
            <w:tcW w:w="1140" w:type="dxa"/>
            <w:vAlign w:val="bottom"/>
            <w:gridSpan w:val="3"/>
          </w:tcPr>
          <w:p>
            <w:pPr>
              <w:jc w:val="right"/>
              <w:ind w:right="412"/>
              <w:spacing w:after="0"/>
              <w:rPr>
                <w:sz w:val="20"/>
                <w:szCs w:val="20"/>
                <w:color w:val="auto"/>
              </w:rPr>
            </w:pPr>
            <w:r>
              <w:rPr>
                <w:rFonts w:ascii="Arial" w:cs="Arial" w:eastAsia="Arial" w:hAnsi="Arial"/>
                <w:sz w:val="18"/>
                <w:szCs w:val="18"/>
                <w:color w:val="auto"/>
              </w:rPr>
              <w:t>$294.3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June 30, 2010, we have one interest rate swap agreement to hedge a portion of the underlying interest rate risk on borrowings under the Credit Agreement. Under this swap agreement, we pay a fixed interest rate of 2.485% on borrowings of $250 million incurred under the Credit Agreement in exchange for receipts on the same amount at a variable interest rate based on the applicable LIBOR at the time of payment. This interest rate swap fixes the interest rate on $250 million of borrowings under the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2010, our interest rate swap had an approximate liability fair value of $8.8 million and is included in long-term liabilities in the accompanying Consolidated Balance Sheets. The fair value approximates the amount we would have paid if this contract had settled at the valuation date. Fair value is estimated based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2009 and using estimated future LIBOR rates based upon implied forward rates in the yield curve.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4"/>
                <w:szCs w:val="14"/>
                <w:b w:val="1"/>
                <w:bCs w:val="1"/>
                <w:color w:val="auto"/>
                <w:w w:val="91"/>
              </w:rPr>
              <w:t>Expected Maturity Date</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ind w:left="120"/>
              <w:spacing w:after="0"/>
              <w:rPr>
                <w:sz w:val="20"/>
                <w:szCs w:val="20"/>
                <w:color w:val="auto"/>
              </w:rPr>
            </w:pPr>
            <w:r>
              <w:rPr>
                <w:rFonts w:ascii="Arial" w:cs="Arial" w:eastAsia="Arial" w:hAnsi="Arial"/>
                <w:sz w:val="12"/>
                <w:szCs w:val="12"/>
                <w:b w:val="1"/>
                <w:bCs w:val="1"/>
                <w:color w:val="auto"/>
                <w:w w:val="81"/>
              </w:rPr>
              <w:t>(in</w:t>
            </w: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millions)</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5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120" w:type="dxa"/>
            <w:vAlign w:val="bottom"/>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$250.0</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Average pay rate</w:t>
            </w:r>
          </w:p>
        </w:tc>
        <w:tc>
          <w:tcPr>
            <w:tcW w:w="116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72"/>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1.91%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June 30, 2010, approximately 94% of our long-term debt was based on fixed rates, including the notional amount related to our interest rate swap. Based on our borrowings as of June 30, 2010, an assumed 1% change in variable rates would cause our annual interest cost to change by approximately $1.6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00"/>
          </w:cols>
          <w:pgMar w:left="24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which is located adjacent to and is connected with Wynn Las Vegas. Wynn Las Vegas, LLC was formed on April 17, 2001 as a Nevada limited liability company. The sole member of the Wynn Las Vegas, LLC is Wynn Holdings. The sole member of Wynn Holdings is Wynn Resorts.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June 30, 2010, Wynn Las Vegas, LLC owned the one share that was issued and outstanding. Wynn Capital has neither any significant net assets nor any operating activity. Its sole function is to serve as the co-issuer of the notes, the existing 2020 notes and the 2017 notes.</w:t>
      </w:r>
    </w:p>
    <w:p>
      <w:pPr>
        <w:spacing w:after="0" w:line="14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Due to a number of factors, including disruptions in global economies, stagnant credit markets, and reduced consumer spending, 2009 was a difficult year for the U.S. casino resort business. Auto traffic into Las Vegas, airline capacity and air travel to McCarran International Airport has declined, resulting in lower casino volumes and a reduced demand for hotel rooms. The current adverse global economic conditions, as well as the addition of new supply in late 2009, will likely continue to cause us to experience lower than historical room rates, casino volumes and profitability.</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color w:val="auto"/>
        </w:rPr>
        <w:t>Wynn Las Vegas opened on April 28, 2005. Wynn Las Vegas offers exceptional accommodations, amenities and service with 2,716 rooms and suites, including 36 fairway villas and 6 private-entry villas for our premium guests. The Tower Suites at Wynn Las Vegas has received both the Forbes five-star and</w:t>
      </w:r>
    </w:p>
    <w:p>
      <w:pPr>
        <w:ind w:firstLine="8"/>
        <w:spacing w:after="0" w:line="261"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five-diamond distinctions for 2010. The Spa at Wynn Las Vegas earned five-star recognition from Forbes for the second year in a row. The Spa at Wynn Las Vegas and the Spa at Encore are the only spas in Las Vegas to be recognized with the Forbes five-star award.</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approximately 110,000 square foot casino features approximately 140 table games, a baccarat salon, private VIP gaming rooms, a poker room, approximately 1,860 slot machines, and a race and sports book. The resort’s 21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Vertu and others. Wynn Las Vegas also has a showroom which features “Le Rêve,” a water-based theatrical production. We believe that the unique experience of Wynn Las Vegas drives the significant visitation experienced since opening.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Encore is located immediately adjacent to and is connected with Wynn Las Vegas and features a 2,034 all-suite hotel as well as an approximately 76,000 square foot casino with approximately 90 table games, a baccarat salon, private VIP gaming rooms, approximately 790 slot machines and a sports book. In its first full year of operations, the Encore Tower Suites has received both the Forbes five-star and AAA five-diamond awards. The Spa at Encore also earned five-star recognition from Forbes. The resort’s 13 food and beverage outlets include five restaurants, many of which feature award winning chefs. Encore also offers a night club, a spa and salon, approximately 60,000 square feet of meeting space and approximately 27,000 square feet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upscale retail outlets featuring boutiques from Hermes, Chanel and others. The Encore Theater featured several headliner entertainment acts during 2009, including the return of Garth Brooks. Our agreement with Garth Brooks provides for the performance of 300 shows in the Encore Theater before 2014, but is cancelable by either party under certain conditions.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May 2010, we completed a project to replace Encore’s porte cochere on Las Vegas Boulevard with the Encore Beach Club that features pools, food and beverage and nightlife offerings.</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are temporarily removing floors from service which reduces our total number of rooms available during the construction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Wynn Las Vegas and Encore. We have incurred and will continue to incur these capital expenditures at Wynn Las Vegas and Encore.</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Approximately 142 acres of land adjacent to both Wynn Las Vegas and Encore is currently improved with a golf course. While we may develop this property in the future, due to the economic environment and certain restrictions in our credit facilities, we have no immediate plans to do so.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affiliate,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customer. Wynn Las Vegas and Encore are located on the Las Vegas Strip and compete with other high-quality resorts and hotel casinos on the Strip,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the recently opened City Center and others,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Wynn Las Vegas and Encore face additional competition from new multi-billion dollar resorts including, without limitation, City Center which added approximately 6,000 rooms in 2009. Cosmopolitan, a $3.9 billion condo/hotel/casino resort located on the Las Vegas Strip, and the remaining phases of City Center are expected to open in 2010.</w:t>
      </w:r>
    </w:p>
    <w:p>
      <w:pPr>
        <w:spacing w:after="0" w:line="14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2009, the economic environment in the gaming and hotel markets in Las Vegas continued to experience declines including among other things, a 3.0% decrease in visitation to 36.4 million visitors, a 9.4% decrease in Las Vegas Strip gaming revenue and a 22% decrease in average daily room rates, all as compared to the year ended December 2008. We, along with our competitors, have responded to the deterioration in consumer spending by aggressively marketing and pricing our Las Vegas offerings.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Operating Environment</w:t>
      </w:r>
    </w:p>
    <w:p>
      <w:pPr>
        <w:spacing w:after="0" w:line="96"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the outlook for the gaming, travel and entertainment industries continues to remain highly uncertain. This slow down was particularly significant in the fourth quarter of 2008 and has continued throughout the first half of 2010. Based on our experience over this past year and current market conditions, we believe that our operations will continue to experience lower than historical room rates, casino volumes and departmental profitability. Significant new supply in Las Vegas has and will continue to put additional pressure on occupancy and room rates during 2010.</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the current economic and market conditions, we have focused on efficiency initiatives that we began implementing at our resort complex and corporate offices in early 2009. We continually review the cost structure of our operating properties and corporate offices to identify further opportunities to reduce costs.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Holdings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Capital., a co-issuer of the debt securities, was not required to be registered or licensed, but may be required to be found suitable as a lender or financing source.</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other action which the Nevada Gaming Commission finds to be inconsistent with holding the registered company’s voting securities for investment purposes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Activities which are not deemed to be inconsistent with holding voting securities for investment purposes only include:</w:t>
      </w:r>
    </w:p>
    <w:p>
      <w:pPr>
        <w:spacing w:after="0" w:line="8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Public Offerings. </w:t>
      </w:r>
      <w:r>
        <w:rPr>
          <w:rFonts w:ascii="Arial" w:cs="Arial" w:eastAsia="Arial" w:hAnsi="Arial"/>
          <w:sz w:val="18"/>
          <w:szCs w:val="18"/>
          <w:color w:val="auto"/>
        </w:rPr>
        <w:t>We may not make a public offering without the prior approval of the Nevada Gaming Commission if the proceeds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are intended to be used to construct, acquire or finance gaming facilities in Nevada, or to retire or extend obligations incurred for those purposes or for similar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with such persons (collectively, “licensees”), and who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6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446"/>
        <w:spacing w:after="0" w:line="357"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we had a total of approximately 12,300 employees.</w:t>
      </w:r>
    </w:p>
    <w:p>
      <w:pPr>
        <w:spacing w:after="0" w:line="171"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5,800 of our employees. In May 2007, the table games dealers at Wynn Las Vegas elected the Transportation Workers Union to represent them. Contract negotiations concluded November 2009 with the only open item at that time being the duration of the contract. The negotiated agreement was never submitted by the Transportation Workers Union to the Wynn Las Vegas dealers for ratification. Since November 2009, certain provisions of the proposed agreement have been implemented by Wynn Las Vegas and other working conditions issues have been brought back to the bargaining table by both parties. Certain other unions may seek to organize the workers at Wynn Las Vegas and Encore. Unionization, pressure to unionize, or other forms of collective bargaining could increase our labor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most important marks are our trademarks and service marks that use the name “WYNN”. Wynn Holdings has filed applications with the PTO and various foreign patent and trademark registries, to register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variety of the WYNN-related trademarks and service marks in connection with a variety of goods and services. These marks include “WYNN LAS VEGAS” and “ENCORE”. Some of the applications are based upon ongoing use and others are based upon a bona fide intent to use the marks in the future.</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LAS VEGAS” and “ENCORE”. Some of the applications are based upon ongoing use and others are based upon a bona fide intent to use the marks in the future.</w:t>
      </w:r>
    </w:p>
    <w:p>
      <w:pPr>
        <w:spacing w:after="0" w:line="11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We have retained counsel and intend to take all steps necessary to not only acquire, but protect our intellectual property rights against unauthorized use throughout the world.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the 2017 notes, the existing 2020 notes and the notes and our credit facilities.</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240" w:top="459" w:right="6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September 15, 2010. All directors hold their positions until their terms expire and until their respective successors are elected and qualified. Executive officers are appointed by the Board of Directors of Wynn Resorts and serve at the discretion of the Board of Directors,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68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7"/>
                <w:szCs w:val="17"/>
                <w:color w:val="auto"/>
              </w:rPr>
            </w:pPr>
          </w:p>
        </w:tc>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w w:val="99"/>
              </w:rPr>
              <w:t>Chairman of the Board and Chief Executive Officer and President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Russell Goldsmith</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Executive Vice President—Chief Administrative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w w:val="89"/>
              </w:rPr>
              <w:t>Senior Vice President and Chief Financial Officer, Wynn Las Vegas, LLC</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5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right="320"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Wynn Resorts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Wynn Resorts, a position she has held since January 2005. In addition, Ms. Chen is the Chief Operating Officer of Wynn Resorts (Macau), S.A., a wholly owned indirect subsidiary of Wynn Resorts, a role she has served in since June 2002, and is a member of the Board of Directors of Wynn Macau. Ms. Chen is responsible for managing the Wynn Resorts’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Wynn Resorts’ Asian operations contributes to the Board’s ability to evaluate and make informed decisions that affect those operations. This experience becomes ever more important to Wynn Resorts and its stockholders as the percentage of the Wynn Resorts’ operational revenue and profits generated from its Macau operations increases.</w:t>
      </w:r>
    </w:p>
    <w:p>
      <w:pPr>
        <w:spacing w:after="0" w:line="134"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Wynn Resorts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his extensive knowledge of the Wynn Resorts’ background, development and financing arrangements and his experience with financing and equity markets, Mr. Moran provides the Board insight that is important to the Board’s oversight of the Wynn Resorts’ financial structure. His guidance in the evaluation of capital deployment and management of the Wynn Resorts’ balance sheet is especially valuable. In addition, he brings to the Board experience in political and public policy matters.</w:t>
      </w:r>
    </w:p>
    <w:p>
      <w:pPr>
        <w:spacing w:after="0" w:line="137" w:lineRule="exact"/>
        <w:rPr>
          <w:sz w:val="20"/>
          <w:szCs w:val="20"/>
          <w:color w:val="auto"/>
        </w:rPr>
      </w:pPr>
    </w:p>
    <w:p>
      <w:pPr>
        <w:jc w:val="both"/>
        <w:ind w:right="300" w:firstLine="456"/>
        <w:spacing w:after="0" w:line="262"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62, serves as Chief Operating Officer of Wynn Resorts, a position he has held since June 2002, and is a member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Gaming Compliance Committee. Mr. Schorr also serves as a member of the Board of Directors of Wynn Macau and as an officer of several of Wynn Resorts’ other subsidiaries.</w:t>
      </w:r>
    </w:p>
    <w:p>
      <w:pPr>
        <w:spacing w:after="0" w:line="13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Board considered Mr. Schorr’s importance to Wynn Resorts’ operations and marketing strategy and his tenure with Wynn Resorts in electing him to the Board in July 2010. Mr. Schorr has worked with Mr. Wynn and most of the senior management team at Wynn Resorts for over 20 years in many different jurisdictions.</w:t>
      </w:r>
    </w:p>
    <w:p>
      <w:pPr>
        <w:spacing w:after="0" w:line="134"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Elaine P. Wynn. </w:t>
      </w:r>
      <w:r>
        <w:rPr>
          <w:rFonts w:ascii="Arial" w:cs="Arial" w:eastAsia="Arial" w:hAnsi="Arial"/>
          <w:sz w:val="16"/>
          <w:szCs w:val="16"/>
          <w:color w:val="auto"/>
        </w:rPr>
        <w:t>Elaine Wynn, 68, has served as a director of Wynn Resorts since October 2002. In addition to her service as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0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Wynn Resorts’ properties. In addition, her significant community and philanthropic contributions have guided the Wynn Resorts’ efforts in these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2013 Annual Meeting of Stockholders)</w:t>
      </w:r>
    </w:p>
    <w:p>
      <w:pPr>
        <w:spacing w:after="0" w:line="84"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Wynn Resorts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and as an officer and/or director of several of our subsidiaries. Mr. Wynn is the former husband of Elaine P. Wynn.</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 operator of destination casino resorts. Mr. Wynn’s involvement with our casino resorts provides a distinct advantage over other gaming enterprises. As founder, Chairman and Chief Executive Officer, he has a unique perspective into the operations and vision for Wynn Resorts. Mr. Wynn’s senior leadership experience also enables him to provide insights and guidance and to assess and respond to situations encountered in serving on Wynn Resorts’ Board.</w:t>
      </w:r>
    </w:p>
    <w:p>
      <w:pPr>
        <w:spacing w:after="0" w:line="13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Wynn Resorts since October 2007. Dr. Irani is Chairman and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After the opening of Wynn Macau in 2006, Wynn Resorts sought additional representation on the Board by executives with experience in managing international operations and with keen insight into international relations, which are of increasing importance to Wynn Resorts.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10"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Wynn Resorts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Mr. Shoemaker has served on the Board of Directors of Wynn Resorts since its formation in 2002. With his extensive knowledge of Wynn Resorts’ background, development and financing arrangements and his deep experience as a financial executive serving as the Chairman of First Boston, Mr. Shoemaker contributes particularly to the Board’s oversight of Wynn Resorts’ financial matters. Mr. Shoemaker’s experience in this respect has continued to be important to Wynn Resorts during the current financial crisis, and enables him to provide strong leadership of the Audit Committee.</w:t>
      </w:r>
    </w:p>
    <w:p>
      <w:pPr>
        <w:spacing w:after="0" w:line="107"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Wynn Resorts since August 2003. Mr. Wayson has been a principal of Wayson’s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Wynn Resorts’ business and to provide insights to Wynn Resorts’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Wynn Resorts since May 2008. Mr. Goldsmith has served as Chief Executive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Wynn Resorts.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67, has served as Vice Chairman of the Board of Wynn Resorts since October 2002. Mr. Okada also serves as a member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Wynn Macau. In 1969, Mr. Okada founded Universal Lease Co. Ltd., which became Aruze Corp. in 1998. In November 2009, the name of Aruze Corp. was changed to Universal Entertainment Corporation (“Universal”)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 suitable by the Nevada Gaming Commission as a major shareholder of Wynn Resorts.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18" w:lineRule="exact"/>
        <w:rPr>
          <w:sz w:val="20"/>
          <w:szCs w:val="20"/>
          <w:color w:val="auto"/>
        </w:rPr>
      </w:pPr>
    </w:p>
    <w:p>
      <w:pPr>
        <w:jc w:val="both"/>
        <w:ind w:right="14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Wynn Resorts’ Vice Chairman, brings an international perspective that is essential to Wynn Resorts’ strategic vision. In addition, his primary business as a manufacturer and developer of gaming equipment adds significant value to our operations.</w:t>
      </w:r>
    </w:p>
    <w:p>
      <w:pPr>
        <w:spacing w:after="0" w:line="5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Wynn Resorts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Wynn Resorts’ operations. In addition, his legal background and service as our Compliance Director and Chair of Wynn Resorts’ Compliance Committee is an important element of maintaining our regulatory structure and probity.</w:t>
      </w:r>
    </w:p>
    <w:p>
      <w:pPr>
        <w:spacing w:after="0" w:line="134"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62, has served as a director of Wynn Resorts since October 2002. He is also Vice Chairman and a member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 Wynn Macau.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1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Wynn Resorts’ background, development and marketing strategy in Asia contribute to the Board’s oversight of these aspects of Wynn Resorts’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Wynn Resorts.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Wynn Resorts, positions he had held since September 2002. Mr. Strzemp served as Wynn Resorts’ Treasurer from March 2003 to March 2006.</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Wynn Resorts’ Chief Financial Officer and Treasurer. Prior to his promotion in March 2008, Mr. Maddox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Wynn Resorts’ Senior Vice President of Business Development and Treasurer, positions he held since January 2007 and May 2006, respectively. From June 2005 to December 31, 2006, Mr. Maddox served as the Senior Vice President of Business Development for Wynn Las Vegas, LLC. From March 2003 to June 2005, Mr. Maddox was the Chief Financial Officer of Wynn Resorts (Macau), S.A. From May 2002 through March 2003, Mr. Maddox was Wynn Resorts’ Treasurer and Vice President—Investor Relations.</w:t>
      </w:r>
    </w:p>
    <w:p>
      <w:pPr>
        <w:spacing w:after="0" w:line="13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Wynn Resorts, a position she has held since March 2006. Ms. Sinatra is also the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General Counsel of Worldwide Wynn, LLC, a wholly owned subsidiary of Wynn Resorts, a position she has held since January 2004. She also serves as an officer of several of Wynn Resorts’ subsidiaries.</w:t>
      </w:r>
    </w:p>
    <w:p>
      <w:pPr>
        <w:spacing w:after="0" w:line="132"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position he has held since October 2005. From July 2005 through October 2005,</w:t>
      </w:r>
      <w:r>
        <w:rPr>
          <w:rFonts w:ascii="Arial" w:cs="Arial" w:eastAsia="Arial" w:hAnsi="Arial"/>
          <w:sz w:val="18"/>
          <w:szCs w:val="18"/>
          <w:b w:val="1"/>
          <w:bCs w:val="1"/>
          <w:color w:val="auto"/>
        </w:rPr>
        <w:t xml:space="preserve"> </w:t>
      </w:r>
      <w:r>
        <w:rPr>
          <w:rFonts w:ascii="Arial" w:cs="Arial" w:eastAsia="Arial" w:hAnsi="Arial"/>
          <w:sz w:val="18"/>
          <w:szCs w:val="18"/>
          <w:color w:val="auto"/>
        </w:rPr>
        <w:t>Mr. Pascal was the Executive Vice President and Chief Operating Officer of Wynn Las Vegas, LLC. Mr. Pascal served as the Senior Vice President—Product Marketing and Development for Wynn Resorts from August 2003 to July 2005. From March 2001 to September 2003, Mr. Pascal was Chief Executive Officer of WagerWorks, Inc. a developer and supplier of remote gaming applications.</w:t>
      </w:r>
    </w:p>
    <w:p>
      <w:pPr>
        <w:spacing w:after="0" w:line="136"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position he has held since April 2009.</w:t>
      </w:r>
      <w:r>
        <w:rPr>
          <w:rFonts w:ascii="Arial" w:cs="Arial" w:eastAsia="Arial" w:hAnsi="Arial"/>
          <w:sz w:val="18"/>
          <w:szCs w:val="18"/>
          <w:b w:val="1"/>
          <w:bCs w:val="1"/>
          <w:color w:val="auto"/>
        </w:rPr>
        <w:t xml:space="preserve"> </w:t>
      </w:r>
      <w:r>
        <w:rPr>
          <w:rFonts w:ascii="Arial" w:cs="Arial" w:eastAsia="Arial" w:hAnsi="Arial"/>
          <w:sz w:val="18"/>
          <w:szCs w:val="18"/>
          <w:color w:val="auto"/>
        </w:rPr>
        <w:t>From June 2005 to April 2009, Mr. Peterson was the Vice President and Chief Financial Officer for Wynn Resorts (Macau), S.A. From September 2002 to June 2005, Mr. Peterson was the Vice President—Finance of Wynn Las Vegas, LLC. From April 2001 to September 2002, Mr. Peterson was Assistant Vice President—Finance of Wynn Holdings.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Seven of the eleven members of the Board of Directors in 2009 are independent under the listing standards of The NASDAQ Stock Market LLC (“NASDAQ”). In addition, the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or his or her immediate family member. None of the independent directors has any economic relationship with Wynn Resorts other than receipt of his director’s compensation. Additionally, all related party transactions are considered under Wynn Resorts’ related party policy (described in additional detail below). None of the independent directors is engaged in any related party transaction with Wynn Resorts. Mr. Wynn, Mr. Okada, Elaine P. Wynn and Ms. Chen have been determined not to be independent. On July 29, 2010, Mr. Schorr was appointed as the twelfth Director. Mr. Schorr is not independent under the listing standards of The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Nominating and Corporate</w:t>
            </w:r>
          </w:p>
        </w:tc>
      </w:tr>
      <w:tr>
        <w:trPr>
          <w:trHeight w:val="161"/>
        </w:trPr>
        <w:tc>
          <w:tcPr>
            <w:tcW w:w="534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Audit</w:t>
            </w:r>
          </w:p>
        </w:tc>
        <w:tc>
          <w:tcPr>
            <w:tcW w:w="1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6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484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7"/>
                <w:szCs w:val="17"/>
                <w:color w:val="auto"/>
              </w:rPr>
            </w:pPr>
          </w:p>
        </w:tc>
        <w:tc>
          <w:tcPr>
            <w:tcW w:w="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X</w:t>
            </w:r>
          </w:p>
        </w:tc>
        <w:tc>
          <w:tcPr>
            <w:tcW w:w="16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Chair</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6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6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rPr>
              <w:t>X</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Option</w:t>
            </w:r>
          </w:p>
        </w:tc>
        <w:tc>
          <w:tcPr>
            <w:tcW w:w="320" w:type="dxa"/>
            <w:vAlign w:val="bottom"/>
          </w:tcPr>
          <w:p>
            <w:pPr>
              <w:spacing w:after="0"/>
              <w:rPr>
                <w:sz w:val="12"/>
                <w:szCs w:val="12"/>
                <w:color w:val="auto"/>
              </w:rPr>
            </w:pPr>
          </w:p>
        </w:tc>
        <w:tc>
          <w:tcPr>
            <w:tcW w:w="12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6"/>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($)(1)(3)</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5"/>
              </w:rPr>
              <w:t>$  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$ 126,500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$ 114,000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6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stock-based compensation. See Wynn Resorts’ Annual Report on Form 10-K for the year ended December 31, 2009, Note 14 to its Consolidated Financial Statements for assumptions used in computing fair value.</w:t>
      </w:r>
    </w:p>
    <w:p>
      <w:pPr>
        <w:spacing w:after="0" w:line="25" w:lineRule="exact"/>
        <w:rPr>
          <w:rFonts w:ascii="Arial" w:cs="Arial" w:eastAsia="Arial" w:hAnsi="Arial"/>
          <w:sz w:val="16"/>
          <w:szCs w:val="16"/>
          <w:color w:val="auto"/>
        </w:rPr>
      </w:pPr>
    </w:p>
    <w:p>
      <w:pPr>
        <w:ind w:left="460" w:right="8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and a $20,000 annual retainer for his service as Wynn Resorts’ Compliance Director.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62" w:lineRule="exact"/>
        <w:rPr>
          <w:rFonts w:ascii="Arial" w:cs="Arial" w:eastAsia="Arial" w:hAnsi="Arial"/>
          <w:sz w:val="18"/>
          <w:szCs w:val="18"/>
          <w:color w:val="auto"/>
        </w:rPr>
      </w:pPr>
    </w:p>
    <w:p>
      <w:pPr>
        <w:ind w:left="900" w:right="8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spacing w:after="0" w:line="50" w:lineRule="exact"/>
        <w:rPr>
          <w:rFonts w:ascii="Arial" w:cs="Arial" w:eastAsia="Arial" w:hAnsi="Arial"/>
          <w:sz w:val="18"/>
          <w:szCs w:val="18"/>
          <w:color w:val="auto"/>
        </w:rPr>
      </w:pPr>
    </w:p>
    <w:p>
      <w:pPr>
        <w:ind w:left="900" w:right="88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51"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Mr. Okada and Elaine P. Wynn, who each are greater than five percent beneficial owners of Wynn Resorts’ common stock, have not previously been granted equity awards for their service as directors.</w:t>
      </w:r>
    </w:p>
    <w:p>
      <w:pPr>
        <w:spacing w:after="0" w:line="5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71"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Directors who are not employees of Wynn Resorts currently receive a monthly fee of $5,000 for services as a director. Directors who serve on the Compensation Committee or the Nominating/Governance Committee receive an additional monthly fee of $1,000 per committee ($2,000 for committee chairmen). Directors who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and for 2010 consisted of a grant of 5,000 stock options. All directors are provided complementary room, food and beverage privileges at our properties in connection with their attendance at board or committee meetings or other Wynn Resorts events and are reimbursed for any other out of pocket expenses related to attendance at meetings. Wynn Resorts does not provide non-equity incentive plan awards or deferred compensation or retirement plans for non-employee directors.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Wynn Resorts’ compensation arrangements to assess whether they are appropriately structured to enable Wynn Resorts to attract and retain superior employees in key positions while rewarding achievement of financial, property development, and operating performance. To achieve these objectives, Wynn Resorts’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Wynn Resorts. Annually, the Committee reviews compensation data of those with whom Wynn Resorts competes for talent. The Committee considers the recommendations of the Chief Executive Officer and Chief Operating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Wynn Resorts to align rewards with performance. The Committee believes that Wynn Resorts’ peer companies are those companies with which Wynn Resorts competes for talent and stockholder investment. While cash bonuses are considered annually, reviews of base salary and equity incentives are conducted only on a periodic basis or in response to delivery of identified value creation for Wynn Resorts stockholders. When considering adjustments in base salary, or awards of cash bonuses or equity incentives, the Committee reviews both total compensation of peer companies and contribution to Wynn Resorts.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Wynn Resorts’ total direct compensation for named executive officers generally includes (a) base salary, (b) discretionary bonuses, (c) annual cash incentive compensation, and (d) long term equity incentives.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Wynn Resorts has not granted equity awards to Mr. Wynn, at his election. The Compensation Committee reviews total compensation annually, along with value created from past incentives, to assess whether Wynn Resorts’ compensation program achieves its objectives of attracting and retaining superior management while rewarding achievement of specific property and financial performance goals. Wynn Resorts’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Wynn Resorts and its stockholders.</w:t>
      </w:r>
    </w:p>
    <w:p>
      <w:pPr>
        <w:spacing w:after="0" w:line="14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Wynn Resorts’ goal of attracting and retaining high-quality and experienced executives, Wynn Resorts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Wynn Resorts’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Wynn Resorts management for 2009 outside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Wynn Resorts’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shares and success in adjusting Wynn Resorts’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Wynn Resorts’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 Incentive Plan, as well as the maximum percentage of base salary that can be paid to each participant. As provided under the Incentive Plan, named executive officer participants (other than Mr. Wynn) have a maximum annual incentive under the Plan of 200% of Base Salary, and Mr. Wynn’s maximum annual incentive is 250%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his Base Salary. In light of the adverse economic conditions in 2009, the Compensation Committee did not establish targets or award annual incentives under the Incentive Plan in 2009.</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Long Term Incentives</w:t>
      </w:r>
      <w:r>
        <w:rPr>
          <w:rFonts w:ascii="Arial" w:cs="Arial" w:eastAsia="Arial" w:hAnsi="Arial"/>
          <w:sz w:val="16"/>
          <w:szCs w:val="16"/>
          <w:color w:val="auto"/>
        </w:rPr>
        <w:t>. 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Wynn Resorts,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Wynn Resorts’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Wynn Resorts’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Wynn Resorts who owns a large percentage of Wynn Resorts’ outstanding stock, does not participate in Wynn Resorts’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Wynn Resorts and Wynn Resorts terminates the executive without cause, such awards will vest pro-rata on a monthly basis to the termination date. These long term incentive grants were made after thorough analysis of Wynn Resorts’ overhang of equity grants, peer group compensation with the goal of retaining and rewarding Wynn Resorts’ most senior and valuable management. As Wynn Resorts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Wynn Resort’s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Wynn Resorts.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Wynn Resorts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Wynn Resorts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right="160" w:firstLine="456"/>
        <w:spacing w:after="0" w:line="302" w:lineRule="auto"/>
        <w:rPr>
          <w:sz w:val="20"/>
          <w:szCs w:val="20"/>
          <w:color w:val="auto"/>
        </w:rPr>
      </w:pPr>
      <w:r>
        <w:rPr>
          <w:rFonts w:ascii="Arial" w:cs="Arial" w:eastAsia="Arial" w:hAnsi="Arial"/>
          <w:sz w:val="15"/>
          <w:szCs w:val="15"/>
          <w:color w:val="auto"/>
        </w:rPr>
        <w:t>In addition to base salary, annual incentive compensation and long term equity incentives, Wynn Resorts also provides certain of its named executive officers with a number of executive benefits. The primary executive benefits include certain health insurance coverage, life insurance premiums, discounts and complementary privileges with respect to Wynn Resorts’ properties which are described in the footnotes to the “2009 Summary Compensation Table.” In 2009, executives also received matching contributions under Wynn Resorts’ 401(k) program until March 16, 2009, when Wynn Resorts suspended 401(k) matches for all employees, including the named executive officers. In addition, Messrs. Wynn and Schorr have access to Wynn Resorts’ aircraft pursuant to time sharing agreements described in “Certain Relationships and Related Transactions—Aircraft Arrangements.” For security purposes, the Board of Directors requires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Wynn to travel on Wynn Resorts’ aircraft for both personal and business travel, and Wynn Resorts provides a car and driver (and security when necessary) for his personal use. Consistent with competitive practice in Macau, Ms. Chen receives a car and driver, certain housing and living expenses and assistance with tax preparation.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February 1, 2007 and September 15, 2008, which has a term expiring in 2020. Mr. Wynn, a holder of approximately 8.95% of Wynn Resorts’ common stock, has not received any equity awards as part of his compensation as Chief Executive Officer of Wynn Resorts. Mr. Wynn currently receives a base salary of $2,762,500 per year, and participates in the Incentive Plan. Mr. Wynn is provided with Wynn Resorts paid life insurance and disability policies, as well as participation in Wynn Resorts’ 401(k) plan. He also receives certain executive benefits described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8"/>
              </w:rPr>
              <w:t>Non-Equity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1"/>
                <w:szCs w:val="11"/>
                <w:color w:val="auto"/>
              </w:rPr>
            </w:pPr>
          </w:p>
        </w:tc>
        <w:tc>
          <w:tcPr>
            <w:tcW w:w="9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6"/>
              </w:rPr>
              <w:t>Compensation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3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and Chief Executive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2,953,125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4,062,500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$ 1,370,206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8,385,831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$ 1,141,588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8,454,088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11,246,505</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and Treasurer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779,988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5,650,000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248,067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15,026,299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5,397,500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13,786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17,664,896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Chief Operating Officer and, as of July 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2010, Director</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1,817,308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13,913,740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$ 1,153,817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18,884,865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1,947,115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21,830,000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26,079,058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3,500,000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646,033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5,896,033</w:t>
            </w:r>
          </w:p>
        </w:tc>
        <w:tc>
          <w:tcPr>
            <w:tcW w:w="0" w:type="dxa"/>
            <w:vAlign w:val="bottom"/>
          </w:tcPr>
          <w:p>
            <w:pPr>
              <w:spacing w:after="0"/>
              <w:rPr>
                <w:sz w:val="1"/>
                <w:szCs w:val="1"/>
                <w:color w:val="auto"/>
              </w:rPr>
            </w:pPr>
          </w:p>
        </w:tc>
      </w:tr>
      <w:tr>
        <w:trPr>
          <w:trHeight w:val="316"/>
        </w:trPr>
        <w:tc>
          <w:tcPr>
            <w:tcW w:w="3320" w:type="dxa"/>
            <w:vAlign w:val="bottom"/>
            <w:gridSpan w:val="3"/>
          </w:tcPr>
          <w:p>
            <w:pPr>
              <w:spacing w:after="0"/>
              <w:rPr>
                <w:sz w:val="20"/>
                <w:szCs w:val="20"/>
                <w:color w:val="auto"/>
              </w:rPr>
            </w:pPr>
            <w:r>
              <w:rPr>
                <w:rFonts w:ascii="Arial" w:cs="Arial" w:eastAsia="Arial" w:hAnsi="Arial"/>
                <w:sz w:val="18"/>
                <w:szCs w:val="18"/>
                <w:color w:val="auto"/>
              </w:rPr>
              <w:t>Linda Chen</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200"/>
              <w:spacing w:after="0"/>
              <w:rPr>
                <w:sz w:val="20"/>
                <w:szCs w:val="20"/>
                <w:color w:val="auto"/>
              </w:rPr>
            </w:pPr>
            <w:r>
              <w:rPr>
                <w:rFonts w:ascii="Arial" w:cs="Arial" w:eastAsia="Arial" w:hAnsi="Arial"/>
                <w:sz w:val="18"/>
                <w:szCs w:val="18"/>
                <w:color w:val="auto"/>
                <w:w w:val="91"/>
              </w:rPr>
              <w:t>President of Wynn International Marketing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951,701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84"/>
              </w:rPr>
              <w:t>1,000,000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8,348,244</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858,565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11,158,510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10,795,000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11,010,020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63,539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23,868,559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651,079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3,651,079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2,750,000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6,956,870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10,450,253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60" w:hanging="332"/>
        <w:spacing w:after="0" w:line="298"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Wynn Resorts’ Annual Report on Form 10-K for the year ended December 31, 2009, Note 14 to its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0" w:lineRule="exact"/>
        <w:rPr>
          <w:rFonts w:ascii="Arial" w:cs="Arial" w:eastAsia="Arial" w:hAnsi="Arial"/>
          <w:sz w:val="18"/>
          <w:szCs w:val="18"/>
          <w:color w:val="auto"/>
        </w:rPr>
      </w:pPr>
    </w:p>
    <w:p>
      <w:pPr>
        <w:ind w:left="800" w:right="60" w:hanging="454"/>
        <w:spacing w:after="0" w:line="254" w:lineRule="auto"/>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personal use of Wynn Resorts’ aircraft of $1,198,056 (Mr. Wynn receives no tax-gross ups relating to the value of aircraft usage that is imputed to him as compensation);</w:t>
      </w:r>
    </w:p>
    <w:p>
      <w:pPr>
        <w:ind w:left="800" w:hanging="454"/>
        <w:spacing w:after="0"/>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$12,806;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90" w:lineRule="exact"/>
        <w:rPr>
          <w:sz w:val="20"/>
          <w:szCs w:val="20"/>
          <w:color w:val="auto"/>
        </w:rPr>
      </w:pPr>
    </w:p>
    <w:p>
      <w:pPr>
        <w:ind w:left="800" w:hanging="454"/>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15" w:lineRule="exact"/>
        <w:rPr>
          <w:rFonts w:ascii="Arial" w:cs="Arial" w:eastAsia="Arial" w:hAnsi="Arial"/>
          <w:sz w:val="18"/>
          <w:szCs w:val="18"/>
          <w:color w:val="auto"/>
        </w:rPr>
      </w:pPr>
    </w:p>
    <w:p>
      <w:pPr>
        <w:jc w:val="both"/>
        <w:ind w:left="800" w:right="380" w:hanging="454"/>
        <w:spacing w:after="0" w:line="255"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90" w:lineRule="exact"/>
        <w:rPr>
          <w:sz w:val="20"/>
          <w:szCs w:val="20"/>
          <w:color w:val="auto"/>
        </w:rPr>
      </w:pPr>
    </w:p>
    <w:p>
      <w:pPr>
        <w:ind w:left="800" w:hanging="454"/>
        <w:spacing w:after="0" w:line="254"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personal use of Wynn Resorts’ aircraft of $103,421 (Mr. Schorr receives no tax-gross ups relating to the value of aircraft usage that is imputed to him as compensation);</w:t>
      </w: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9" w:lineRule="exact"/>
        <w:rPr>
          <w:rFonts w:ascii="Arial" w:cs="Arial" w:eastAsia="Arial" w:hAnsi="Arial"/>
          <w:sz w:val="18"/>
          <w:szCs w:val="18"/>
          <w:color w:val="auto"/>
        </w:rPr>
      </w:pPr>
    </w:p>
    <w:p>
      <w:pPr>
        <w:ind w:left="800" w:right="120" w:hanging="454"/>
        <w:spacing w:after="0" w:line="255"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90"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15" w:lineRule="exact"/>
        <w:rPr>
          <w:rFonts w:ascii="Arial" w:cs="Arial" w:eastAsia="Arial" w:hAnsi="Arial"/>
          <w:sz w:val="18"/>
          <w:szCs w:val="18"/>
          <w:color w:val="auto"/>
        </w:rPr>
      </w:pPr>
    </w:p>
    <w:p>
      <w:pPr>
        <w:jc w:val="both"/>
        <w:ind w:left="800" w:right="240" w:hanging="454"/>
        <w:spacing w:after="0" w:line="255"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awards when they were granted, as Wynn Resorts did not regularly pay dividends at that time.</w:t>
      </w:r>
    </w:p>
    <w:p>
      <w:pPr>
        <w:spacing w:after="0" w:line="14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459" w:right="3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6"/>
          </w:tcPr>
          <w:p>
            <w:pPr>
              <w:ind w:left="8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Number of</w:t>
            </w: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Vested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Exercisable</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59.44</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11/02/14</w:t>
            </w:r>
          </w:p>
        </w:tc>
        <w:tc>
          <w:tcPr>
            <w:tcW w:w="10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51.08</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11/07/15</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03/25/13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33,333</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56.67</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00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05/06/18</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47.12</w:t>
            </w:r>
          </w:p>
        </w:tc>
        <w:tc>
          <w:tcPr>
            <w:tcW w:w="3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05/06/19</w:t>
            </w:r>
          </w:p>
        </w:tc>
        <w:tc>
          <w:tcPr>
            <w:tcW w:w="1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Wynn Resorts’ stock at year-end which was $58.23 per share.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Wynn Resorts on the vesting date, except as discussed below under “Potential Payments Upon Termination or Change in Control.”</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500" w:type="dxa"/>
            <w:vAlign w:val="bottom"/>
            <w:gridSpan w:val="5"/>
          </w:tcPr>
          <w:p>
            <w:pPr>
              <w:ind w:left="580"/>
              <w:spacing w:after="0"/>
              <w:rPr>
                <w:sz w:val="20"/>
                <w:szCs w:val="20"/>
                <w:color w:val="auto"/>
              </w:rPr>
            </w:pPr>
            <w:r>
              <w:rPr>
                <w:rFonts w:ascii="Arial" w:cs="Arial" w:eastAsia="Arial" w:hAnsi="Arial"/>
                <w:sz w:val="14"/>
                <w:szCs w:val="14"/>
                <w:b w:val="1"/>
                <w:bCs w:val="1"/>
                <w:color w:val="auto"/>
              </w:rPr>
              <w:t>Option Awards</w:t>
            </w:r>
          </w:p>
        </w:tc>
        <w:tc>
          <w:tcPr>
            <w:tcW w:w="210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9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8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76"/>
              </w:rPr>
              <w:t>$</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240" w:type="dxa"/>
            <w:vAlign w:val="bottom"/>
          </w:tcPr>
          <w:p>
            <w:pPr>
              <w:spacing w:after="0"/>
              <w:rPr>
                <w:sz w:val="14"/>
                <w:szCs w:val="14"/>
                <w:color w:val="auto"/>
              </w:rPr>
            </w:pPr>
          </w:p>
        </w:tc>
        <w:tc>
          <w:tcPr>
            <w:tcW w:w="108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080" w:type="dxa"/>
            <w:vAlign w:val="bottom"/>
            <w:gridSpan w:val="2"/>
          </w:tcPr>
          <w:p>
            <w:pPr>
              <w:jc w:val="center"/>
              <w:ind w:left="139"/>
              <w:spacing w:after="0"/>
              <w:rPr>
                <w:sz w:val="20"/>
                <w:szCs w:val="20"/>
                <w:color w:val="auto"/>
              </w:rPr>
            </w:pPr>
            <w:r>
              <w:rPr>
                <w:rFonts w:ascii="Arial" w:cs="Arial" w:eastAsia="Arial" w:hAnsi="Arial"/>
                <w:sz w:val="18"/>
                <w:szCs w:val="18"/>
                <w:color w:val="auto"/>
                <w:w w:val="95"/>
              </w:rPr>
              <w:t>$   658,313</w:t>
            </w:r>
          </w:p>
        </w:tc>
        <w:tc>
          <w:tcPr>
            <w:tcW w:w="4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35,000</w:t>
            </w:r>
          </w:p>
        </w:tc>
        <w:tc>
          <w:tcPr>
            <w:tcW w:w="108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90"/>
              </w:rPr>
              <w:t>$ 1,034,250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Wynn Resorts’ common stock on the date the stock award vested or the stock options were exercised. Upon vesting of the stock awards, the executive also was paid an amount equal to the dividends that had accrued on the shares prior to their vesting.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Wynn Resorts without cause upon notice to the employee, so long as a “separation payment” is paid as provided for in such contracts. Cause is defined as (i) willful destruction of property of Wynn Resorts or an affiliate having a material value to Wynn Resorts or such affiliate; (ii) fraud, embezzlement, theft, or comparable dishonest activity;</w:t>
      </w:r>
    </w:p>
    <w:p>
      <w:pPr>
        <w:spacing w:after="0" w:line="1" w:lineRule="exact"/>
        <w:rPr>
          <w:sz w:val="20"/>
          <w:szCs w:val="20"/>
          <w:color w:val="auto"/>
        </w:rPr>
      </w:pPr>
    </w:p>
    <w:p>
      <w:pPr>
        <w:ind w:right="20" w:firstLine="8"/>
        <w:spacing w:after="0" w:line="252" w:lineRule="auto"/>
        <w:tabs>
          <w:tab w:leader="none" w:pos="3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Wynn Resorts, that is not cured within 15 days after written notice thereof; (v) willful and knowing material misrepresentation to Wynn Resorts’ or an affiliate’s board of directors; (vi) willful violation of a material policy of Wynn Resorts or an affiliate, which does or could result in material harm to Wynn Resorts or to Wynn Resorts’ reputation; or (vii) material violation of a statutory or common law duty of loyalty or fiduciary duty to Wynn Resorts or an affiliate.</w:t>
      </w:r>
    </w:p>
    <w:p>
      <w:pPr>
        <w:spacing w:after="0" w:line="14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Wynn Resorts without cause or upon termination by the employee for good reason after a change in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Wynn Resorts’ closing stock price on that date. These benefits are in addition to benefits available prior to the occurrence of any termination of employment, including under then-exercisable stock options, and benefits generally available to all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Wynn Resorts’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Termination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7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Election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7400" w:type="dxa"/>
            <w:vAlign w:val="bottom"/>
          </w:tcPr>
          <w:p>
            <w:pPr>
              <w:spacing w:after="0"/>
              <w:rPr>
                <w:sz w:val="12"/>
                <w:szCs w:val="12"/>
                <w:color w:val="auto"/>
              </w:rPr>
            </w:pPr>
          </w:p>
        </w:tc>
        <w:tc>
          <w:tcPr>
            <w:tcW w:w="16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7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Disability(2)</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Term(2)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Control(2)</w:t>
            </w:r>
          </w:p>
        </w:tc>
        <w:tc>
          <w:tcPr>
            <w:tcW w:w="2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33,150,000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33,150,000</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20,312,500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52,812,500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52,812,500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2,000,000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33,912,649</w:t>
            </w:r>
          </w:p>
        </w:tc>
        <w:tc>
          <w:tcPr>
            <w:tcW w:w="20" w:type="dxa"/>
            <w:vAlign w:val="bottom"/>
          </w:tcPr>
          <w:p>
            <w:pPr>
              <w:spacing w:after="0"/>
              <w:rPr>
                <w:sz w:val="18"/>
                <w:szCs w:val="18"/>
                <w:color w:val="auto"/>
              </w:rPr>
            </w:pPr>
          </w:p>
        </w:tc>
      </w:tr>
      <w:tr>
        <w:trPr>
          <w:trHeight w:val="228"/>
        </w:trPr>
        <w:tc>
          <w:tcPr>
            <w:tcW w:w="740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377,655</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377,655</w:t>
            </w:r>
          </w:p>
        </w:tc>
        <w:tc>
          <w:tcPr>
            <w:tcW w:w="24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3,916,667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3,916,667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3,195,833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3,195,833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6,563,669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3,111,500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3,116,652</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367,788</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ind w:left="460" w:right="18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Wynn Resorts has not terminated or expired. Using the closing price on December 31, 2009, the value of such 50,000 shares would have been $2,911,500 plus accrued dividends of $200,000.</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Wynn Resorts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Termination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without Cause</w:t>
            </w:r>
          </w:p>
        </w:tc>
        <w:tc>
          <w:tcPr>
            <w:tcW w:w="660" w:type="dxa"/>
            <w:vAlign w:val="bottom"/>
          </w:tcPr>
          <w:p>
            <w:pPr>
              <w:spacing w:after="0"/>
              <w:rPr>
                <w:sz w:val="12"/>
                <w:szCs w:val="12"/>
                <w:color w:val="auto"/>
              </w:rPr>
            </w:pPr>
          </w:p>
        </w:tc>
        <w:tc>
          <w:tcPr>
            <w:tcW w:w="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Election</w:t>
            </w:r>
          </w:p>
        </w:tc>
        <w:tc>
          <w:tcPr>
            <w:tcW w:w="66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During the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9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Control(5)</w:t>
            </w:r>
          </w:p>
        </w:tc>
        <w:tc>
          <w:tcPr>
            <w:tcW w:w="20" w:type="dxa"/>
            <w:vAlign w:val="bottom"/>
          </w:tcPr>
          <w:p>
            <w:pPr>
              <w:spacing w:after="0"/>
              <w:rPr>
                <w:sz w:val="14"/>
                <w:szCs w:val="14"/>
                <w:color w:val="auto"/>
              </w:rPr>
            </w:pPr>
          </w:p>
        </w:tc>
      </w:tr>
      <w:tr>
        <w:trPr>
          <w:trHeight w:val="201"/>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4,816,667</w:t>
            </w:r>
          </w:p>
        </w:tc>
        <w:tc>
          <w:tcPr>
            <w:tcW w:w="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4,816,667</w:t>
            </w:r>
          </w:p>
        </w:tc>
        <w:tc>
          <w:tcPr>
            <w:tcW w:w="20" w:type="dxa"/>
            <w:vAlign w:val="bottom"/>
          </w:tcPr>
          <w:p>
            <w:pPr>
              <w:spacing w:after="0"/>
              <w:rPr>
                <w:sz w:val="17"/>
                <w:szCs w:val="17"/>
                <w:color w:val="auto"/>
              </w:rPr>
            </w:pPr>
          </w:p>
        </w:tc>
      </w:tr>
      <w:tr>
        <w:trPr>
          <w:trHeight w:val="216"/>
        </w:trPr>
        <w:tc>
          <w:tcPr>
            <w:tcW w:w="49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9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7,666,667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7,666,667</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21,112,500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2,381,249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15,557,500</w:t>
            </w:r>
          </w:p>
        </w:tc>
        <w:tc>
          <w:tcPr>
            <w:tcW w:w="20" w:type="dxa"/>
            <w:vAlign w:val="bottom"/>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492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267,506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1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Wynn Resorts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termination without cause 250,000 shares of restricted stock would vest on a pro-rated basis based on the number of months since the grant date, so long as the employee’s employment agreement with Wynn Resorts has not terminated or expired. Using the closing price on December 31, 2009, the value of such 38,265 shares would have been $2,228,189 plus accrued dividends of $153,060.</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1,583,333</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1,583,333</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2,583,000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2,583,333</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9,607,999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5,386,510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6,223,000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149,489</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20" w:hanging="452"/>
        <w:spacing w:after="0" w:line="252"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00" w:hanging="452"/>
        <w:spacing w:after="0" w:line="28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ind w:left="460" w:right="380" w:hanging="452"/>
        <w:spacing w:after="0" w:line="300"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64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4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8"/>
              </w:rPr>
              <w:t>Election</w:t>
            </w:r>
          </w:p>
        </w:tc>
        <w:tc>
          <w:tcPr>
            <w:tcW w:w="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7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During the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7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Term(6)</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Control(6)</w:t>
            </w:r>
          </w:p>
        </w:tc>
        <w:tc>
          <w:tcPr>
            <w:tcW w:w="20" w:type="dxa"/>
            <w:vAlign w:val="bottom"/>
          </w:tcPr>
          <w:p>
            <w:pPr>
              <w:spacing w:after="0"/>
              <w:rPr>
                <w:sz w:val="14"/>
                <w:szCs w:val="14"/>
                <w:color w:val="auto"/>
              </w:rPr>
            </w:pPr>
          </w:p>
        </w:tc>
      </w:tr>
      <w:tr>
        <w:trPr>
          <w:trHeight w:val="201"/>
        </w:trPr>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right"/>
              <w:ind w:right="660"/>
              <w:spacing w:after="0" w:line="201" w:lineRule="exact"/>
              <w:rPr>
                <w:sz w:val="20"/>
                <w:szCs w:val="20"/>
                <w:color w:val="auto"/>
              </w:rPr>
            </w:pPr>
            <w:r>
              <w:rPr>
                <w:rFonts w:ascii="Arial" w:cs="Arial" w:eastAsia="Arial" w:hAnsi="Arial"/>
                <w:sz w:val="18"/>
                <w:szCs w:val="18"/>
                <w:color w:val="auto"/>
                <w:w w:val="85"/>
              </w:rPr>
              <w:t>Amount earned and</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9"/>
              </w:rPr>
              <w:t>2,394,167</w:t>
            </w:r>
          </w:p>
        </w:tc>
        <w:tc>
          <w:tcPr>
            <w:tcW w:w="74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2,394,167</w:t>
            </w:r>
          </w:p>
        </w:tc>
        <w:tc>
          <w:tcPr>
            <w:tcW w:w="20" w:type="dxa"/>
            <w:vAlign w:val="bottom"/>
          </w:tcPr>
          <w:p>
            <w:pPr>
              <w:spacing w:after="0"/>
              <w:rPr>
                <w:sz w:val="17"/>
                <w:szCs w:val="17"/>
                <w:color w:val="auto"/>
              </w:rPr>
            </w:pPr>
          </w:p>
        </w:tc>
      </w:tr>
      <w:tr>
        <w:trPr>
          <w:trHeight w:val="216"/>
        </w:trPr>
        <w:tc>
          <w:tcPr>
            <w:tcW w:w="7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0"/>
              </w:rPr>
              <w:t>unpaid through the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7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date of termination.</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4,333,250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1,403,254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1,555,750</w:t>
            </w:r>
          </w:p>
        </w:tc>
        <w:tc>
          <w:tcPr>
            <w:tcW w:w="2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552,500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700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409,127</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Wynn Resorts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ind w:left="460" w:right="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Wynn Resorts has not terminated or expired. Using the closing price on December 31, 2009, the value of such restricted stock grants upon vesting would have been $1,455,750, plus accrued dividends of $100,000.</w:t>
      </w:r>
    </w:p>
    <w:p>
      <w:pPr>
        <w:spacing w:after="0" w:line="1"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Wynn Resorts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Warrants and Rights(1)</w:t>
            </w:r>
          </w:p>
        </w:tc>
        <w:tc>
          <w:tcPr>
            <w:tcW w:w="5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14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0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(a)</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14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0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5,246,593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is a wholly owned subsidiary of ours.</w:t>
      </w:r>
    </w:p>
    <w:p>
      <w:pPr>
        <w:spacing w:after="0" w:line="19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a wholly owned subsidiary of Wynn Holdings. Wynn Holdings is a wholly owned subsidiary of Wynn Resorts. The following table sets forth, as of September 28, 2010, (unless otherwise indicated), certain information regarding the shares of Wynn Resorts’ common stock beneficially owned by: (i) each director; (ii) each stockholder who is known by Wynn Resorts to beneficially own in excess of 5% of the outstanding shares of Wynn Resorts’ common stock based on information reported on Schedule 13D or 13G filed with the SEC; (iii) each of the executive officers of Wynn Resorts named in the Summary Compensation Table; and (iv) all executive officers of Wynn Resorts and directors of Wynn Resorts. There were 123,944,173 shares outstanding as of September 28, 2010.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720" w:type="dxa"/>
            <w:vAlign w:val="bottom"/>
          </w:tcPr>
          <w:p>
            <w:pPr>
              <w:spacing w:after="0"/>
              <w:rPr>
                <w:sz w:val="14"/>
                <w:szCs w:val="14"/>
                <w:color w:val="auto"/>
              </w:rPr>
            </w:pPr>
          </w:p>
        </w:tc>
        <w:tc>
          <w:tcPr>
            <w:tcW w:w="28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Beneficial Ownership Of Shares(1)</w:t>
            </w:r>
          </w:p>
        </w:tc>
        <w:tc>
          <w:tcPr>
            <w:tcW w:w="0" w:type="dxa"/>
            <w:vAlign w:val="bottom"/>
          </w:tcPr>
          <w:p>
            <w:pPr>
              <w:spacing w:after="0"/>
              <w:rPr>
                <w:sz w:val="1"/>
                <w:szCs w:val="1"/>
                <w:color w:val="auto"/>
              </w:rPr>
            </w:pPr>
          </w:p>
        </w:tc>
      </w:tr>
      <w:tr>
        <w:trPr>
          <w:trHeight w:val="142"/>
        </w:trPr>
        <w:tc>
          <w:tcPr>
            <w:tcW w:w="782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Number</w:t>
            </w:r>
          </w:p>
        </w:tc>
        <w:tc>
          <w:tcPr>
            <w:tcW w:w="10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5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11,026,708</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10,894,326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7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1200 17th Street, Suite 1600</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7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Moran(12)(13)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265,800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D. Boone Wayson(12)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88,500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Matt Maddox(15)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97,000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260,500</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Kim Sinatra(17)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7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(15 persons)(18)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47,915,056</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100" w:hanging="572"/>
        <w:spacing w:after="0" w:line="253"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260" w:hanging="572"/>
        <w:spacing w:after="0" w:line="254"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50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1" w:lineRule="exact"/>
        <w:rPr>
          <w:rFonts w:ascii="Arial" w:cs="Arial" w:eastAsia="Arial" w:hAnsi="Arial"/>
          <w:sz w:val="16"/>
          <w:szCs w:val="16"/>
          <w:color w:val="auto"/>
        </w:rPr>
      </w:pPr>
    </w:p>
    <w:p>
      <w:pPr>
        <w:ind w:left="580" w:right="24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Aruze USA, Inc. is a wholly owned subsidiary of Universal Entertainment Corporation (“Universal”)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2"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580" w:right="120" w:hanging="572"/>
        <w:spacing w:after="0" w:line="300" w:lineRule="auto"/>
        <w:tabs>
          <w:tab w:leader="none" w:pos="5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1" w:lineRule="exact"/>
        <w:rPr>
          <w:rFonts w:ascii="Arial" w:cs="Arial" w:eastAsia="Arial" w:hAnsi="Arial"/>
          <w:sz w:val="15"/>
          <w:szCs w:val="15"/>
          <w:color w:val="auto"/>
        </w:rPr>
      </w:pPr>
    </w:p>
    <w:p>
      <w:pPr>
        <w:ind w:left="58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580" w:right="60" w:hanging="572"/>
        <w:spacing w:after="0" w:line="281" w:lineRule="auto"/>
        <w:tabs>
          <w:tab w:leader="none" w:pos="5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Plan and subject to a Restricted Stock Agreement which provides such grant will vest on July 31, 2012; (ii) 100,000 shares of restricted stock granted pursuant to Wynn Resorts’ 2002 Stock Plan and subject to a Restricted Stock Agreement which provides such grant will vest on December 5, 2016; and (iii) 130,000 shares subject to an immediately exercisable option to purchase Wynn Resorts common stock granted pursuant to Wynn Resorts’ 2002 Stock Incentive Plan.</w:t>
      </w:r>
    </w:p>
    <w:p>
      <w:pPr>
        <w:spacing w:after="0" w:line="2" w:lineRule="exact"/>
        <w:rPr>
          <w:rFonts w:ascii="Arial" w:cs="Arial" w:eastAsia="Arial" w:hAnsi="Arial"/>
          <w:sz w:val="16"/>
          <w:szCs w:val="16"/>
          <w:color w:val="auto"/>
        </w:rPr>
      </w:pPr>
    </w:p>
    <w:p>
      <w:pPr>
        <w:ind w:left="580" w:right="10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(ii) 2,500 unvested shares of restricted stock of Wynn Resorts’ common stock granted pursuant to Wynn Resorts’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8"/>
          <w:szCs w:val="18"/>
          <w:color w:val="auto"/>
        </w:rPr>
      </w:pPr>
    </w:p>
    <w:p>
      <w:pPr>
        <w:jc w:val="both"/>
        <w:ind w:left="580" w:right="2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11,000 shares subject to an immediately exercisable option to purchase Wynn Resorts’ common stock granted pursuant to Wynn Resorts’ 2002 Stock Incentive Plan; and (ii) 5,000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11,000 shares subject to immediately exercisable options to purchase Wynn Resorts’ common stock granted pursuant to Wynn Resorts’ 2002 Stock Incentive Plan; and (ii) 7,500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2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31,000 shares subject to immediately exercisable options to purchase Wynn Resorts’ common stock granted pursuant to Wynn Resorts’ 2002 Stock Incentive Plan; and (ii) 7,500 unvested shares of restricted stock of Wynn Resorts’ common stock granted pursuant to Wynn Resorts’ 2002 Stock Incentive Plan.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150,000 shares of the Wynn Resorts’ common stock held by John A. Moran, as Trustee.</w:t>
      </w:r>
    </w:p>
    <w:p>
      <w:pPr>
        <w:spacing w:after="0" w:line="9" w:lineRule="exact"/>
        <w:rPr>
          <w:rFonts w:ascii="Arial" w:cs="Arial" w:eastAsia="Arial" w:hAnsi="Arial"/>
          <w:sz w:val="18"/>
          <w:szCs w:val="18"/>
          <w:color w:val="auto"/>
        </w:rPr>
      </w:pPr>
    </w:p>
    <w:p>
      <w:pPr>
        <w:ind w:left="580" w:right="240" w:hanging="572"/>
        <w:spacing w:after="0" w:line="250"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Wynn Resorts’ 2002 Stock Plan and subject to a Restricted Stock Agreement which provides such grant will vest on December 5, 2016; and (ii) 15,800 shares owned in a family trust.</w:t>
      </w:r>
    </w:p>
    <w:p>
      <w:pPr>
        <w:ind w:left="580" w:right="440" w:hanging="572"/>
        <w:spacing w:after="0" w:line="261"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 333 shares subject to immediately exercisable options to purchase Wynn Resorts common stock pursuant to Wynn Resorts’ 2002 Stock Incentive Plan; (ii) 50,000 shares of restricted stock granted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60"/>
        <w:spacing w:after="0" w:line="284" w:lineRule="auto"/>
        <w:rPr>
          <w:sz w:val="20"/>
          <w:szCs w:val="20"/>
          <w:color w:val="auto"/>
        </w:rPr>
      </w:pPr>
      <w:r>
        <w:rPr>
          <w:rFonts w:ascii="Arial" w:cs="Arial" w:eastAsia="Arial" w:hAnsi="Arial"/>
          <w:sz w:val="16"/>
          <w:szCs w:val="16"/>
          <w:color w:val="auto"/>
        </w:rPr>
        <w:t>pursuant to Wynn Resorts’ 2002 Stock Purchase Plan and subject to a Restricted Stock Agreement which provides such grant will vest on December 5, 2016; (iii) 10,000 shares of restricted stock granted pursuant to Wynn Resorts’ 2002 Stock Purchase Plan and subject to a Restricted Stock Agreement which provides such grant will vest on May 7, 2012; and (iv) 16,667 options that vest on November 7, 2010.</w:t>
      </w:r>
    </w:p>
    <w:p>
      <w:pPr>
        <w:spacing w:after="0" w:line="1"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(i) 500 shares of Wynn Resorts’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580"/>
        <w:spacing w:after="0" w:line="250" w:lineRule="auto"/>
        <w:rPr>
          <w:rFonts w:ascii="Arial" w:cs="Arial" w:eastAsia="Arial" w:hAnsi="Arial"/>
          <w:sz w:val="16"/>
          <w:szCs w:val="16"/>
          <w:color w:val="auto"/>
        </w:rPr>
      </w:pPr>
      <w:r>
        <w:rPr>
          <w:rFonts w:ascii="Arial" w:cs="Arial" w:eastAsia="Arial" w:hAnsi="Arial"/>
          <w:sz w:val="18"/>
          <w:szCs w:val="18"/>
          <w:color w:val="auto"/>
        </w:rPr>
        <w:t>(ii) 65,000 shares subject to immediately exercisable options to purchase Wynn Resorts common stock pursuant to Wynn Resorts’ 2002 Stock Incentive Plan.</w:t>
      </w:r>
    </w:p>
    <w:p>
      <w:pPr>
        <w:jc w:val="both"/>
        <w:ind w:left="580" w:right="180" w:hanging="572"/>
        <w:spacing w:after="0" w:line="250"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Wynn Resorts’ 2002 Stock Plan and subject to a Restricted Stock Agreement which provides such grant will vest on December 5, 2016; and (ii) 25,000 shares of restricted stock granted pursuant to Wynn Resorts’ 2002 Stock Plan and subject to a Restricted Stock Agreement which provides such grant will vest on July 31, 2011.</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352,333 shares subject to immediately exercisable stock options and 16,667 shares that will vest in the next 60 days.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87"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On January 6, 2010, Mr. Wynn, the Chairman of the Board and Chief Executive Officer of Wynn Resorts, Elaine P. Wynn,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of Wynn Resorts, and Aruze USA, a greater than 5% stockholder of Wynn Resorts, entered into an Amended and Restated Stockholders Agreement (the “Amended and Restated Stockholders Agreement”) whereby that certain Stockholders Agreement, entered into as of April 11, 2002, between Mr. Wynn and Aruze USA, as amended by that certain Amendment to Stockholders Agreement, entered into as of November 8, 2006, between Mr. Wynn and Aruze USA,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then ownership of 11,076,709 shares of Wynn Resorts’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Wynn Resorts held by them and subject to the terms of the Amended and Restated Stockholders Agreement in a manner so as to elect to the Wynn Resorts’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18" w:lineRule="exact"/>
        <w:rPr>
          <w:sz w:val="20"/>
          <w:szCs w:val="20"/>
          <w:color w:val="auto"/>
        </w:rPr>
      </w:pPr>
    </w:p>
    <w:p>
      <w:pPr>
        <w:jc w:val="both"/>
        <w:ind w:right="3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Wynn Resorts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Wynn Resorts is responsible for all expenses incurred in exhibiting and safeguarding those works from The Wynn Collection that it exhibits in its properties, including the cost of insurance (including terrorism insurance) and taxes.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Holdings entered into agreements with Mr. Wynn that confirm and clarify</w:t>
      </w:r>
      <w:r>
        <w:rPr>
          <w:rFonts w:ascii="Arial" w:cs="Arial" w:eastAsia="Arial" w:hAnsi="Arial"/>
          <w:sz w:val="16"/>
          <w:szCs w:val="16"/>
          <w:b w:val="1"/>
          <w:bCs w:val="1"/>
          <w:color w:val="auto"/>
        </w:rPr>
        <w:t xml:space="preserve"> </w:t>
      </w:r>
      <w:r>
        <w:rPr>
          <w:rFonts w:ascii="Arial" w:cs="Arial" w:eastAsia="Arial" w:hAnsi="Arial"/>
          <w:sz w:val="16"/>
          <w:szCs w:val="16"/>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 Wynn Holdings has sub-licensed rights to the “Wynn” name, persona and marks to Wynn Resorts.</w:t>
      </w:r>
    </w:p>
    <w:p>
      <w:pPr>
        <w:spacing w:after="0" w:line="113"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 approved by the Audit Committee of the Board of Directors of Wynn Resorts.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Wynn Resorts. The term of the lease commenced as of March 1, 2010 and runs concurrent with Mr. Wynn’s employment agreement with Wynn Resorts;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Wynn Resorts’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Wynn Resorts, covering their personal use of Wynn Resorts-owned aircraft. These time-share agreements require Wynn Resorts to include as taxable compensation of such executive, his and his family’s share of the direct costs that Wynn Resorts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Wynn Resorts.</w:t>
      </w:r>
    </w:p>
    <w:p>
      <w:pPr>
        <w:spacing w:after="0" w:line="111"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Wynn Resorts to prepay any such items. These deposits are replenished on an ongoing basis as needed. At December 31, 2009, Mr. Wynn, Elaine P. Wynn and Mr. Schorr had credit balances with Wynn Resorts of $478,401, $162,449 and $26,531 respectively.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Aruze Slot Purchase. </w:t>
      </w:r>
      <w:r>
        <w:rPr>
          <w:rFonts w:ascii="Arial" w:cs="Arial" w:eastAsia="Arial" w:hAnsi="Arial"/>
          <w:sz w:val="18"/>
          <w:szCs w:val="18"/>
          <w:color w:val="auto"/>
        </w:rPr>
        <w:t>In 2009, Wynn Macau purchased 10 slot machines, along with related parts and services, from Aruze USA, a corporation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one of Wynn Resorts’ directors, Mr. Okada, currently serves as Chairman and Treasurer, for use at Wynn Macau. The Aruze machines were purchased in an arm’s length transaction at market prices for a total purchase price of approximately $165,000.</w:t>
      </w:r>
    </w:p>
    <w:p>
      <w:pPr>
        <w:spacing w:after="0" w:line="132"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Wynn Resorts (or its subsidiaries) employs (a) Andrew Pascal, the nephew of Elaine P. Wynn, as President of Wynn Las Vegas;</w:t>
      </w:r>
    </w:p>
    <w:p>
      <w:pPr>
        <w:spacing w:after="0" w:line="38" w:lineRule="exact"/>
        <w:rPr>
          <w:sz w:val="20"/>
          <w:szCs w:val="20"/>
          <w:color w:val="auto"/>
        </w:rPr>
      </w:pPr>
    </w:p>
    <w:p>
      <w:pPr>
        <w:ind w:right="60" w:firstLine="8"/>
        <w:spacing w:after="0" w:line="287" w:lineRule="auto"/>
        <w:tabs>
          <w:tab w:leader="none" w:pos="2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Wynn Resorts,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Wynn Resorts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Wynn Resorts anticipates that these individuals will continue to serve in their respective positions during 2010.</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Subject to the terms and conditions detailed in this prospectus, we will accept for exchange old notes that are properly tendered prior to the expiration date and not withdrawn as permitted below. When we refer to the term expiration date, we mean 5:00 p.m., New York City time, November 29, 2010. We may, however, extend the period of time that the exchange offer is open. In such event, the term expiration date means the latest time and date to which the exchange offer is extended.</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the date of this prospectus, $1,320,000,000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Old notes tendered in the exchange offer must be in denominations of principal amount of $2,000 and integral multiples of $1,000 in excess of $2,000.</w:t>
      </w:r>
    </w:p>
    <w:p>
      <w:pPr>
        <w:spacing w:after="0" w:line="19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to the exchange offer specified under “—Conditions to the Exchange Offer.” In the event of a material change in the exchange offer, including the waiver of a material condition, we will extend the offer period if necessary so that at least five business days remain in the offer following notice of the material change.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102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such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jc w:val="both"/>
        <w:ind w:left="900" w:right="40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 See “Plan of Distribution.”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notes. See “—Conditions to the Exchange Offer.” For purposes of the exchange offer, we will be deemed to have accepted properly tendered old notes for exchange if and when we give oral (confirmed in writing) or written notice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receives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the address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the expiration of the exchange offer:</w:t>
      </w:r>
    </w:p>
    <w:p>
      <w:pPr>
        <w:spacing w:after="0" w:line="4"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conditions stated above are for our sole benefit and may be asserted by us regardless of the circumstances giving rise to any condition or may be waived by us in whole or in part at any time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reasonable discretion. Our failure at any time to exercise any of the foregoing rights will not be deemed a waiver of any such right and each such right will be deemed an ongoing right which may be asserted at any time.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indenture is no longer qualified under the Trust Indenture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 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available to any broker-dealer for use in connection with any such resale.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 You can find the definitions of certain terms used in this description under the subheading “Certain Definitions.” The Issuers will issue the new notes under an indenture (as amended or supplemented from time to time, the “Indenture”), dated as of August 4, 2010, among the Issuers, as joint and several obligors, the Guarantors and U.S. Bank National Association, as trustee (the “trustee”). This is the same indenture under which the old notes were issued. The terms of the new notes will include those stated in the Indenture and those made part of the Indenture by reference to the Trust Indenture Act of 1939, as amended. The Collateral Documents referred to under the caption “— Security” define the terms of the collateral that will secure the new notes and the Note Guarantees. The term “Notes” shall also include the new notes and the old notes and the term “Note Guarantees” shall also include the guarantees of the new notes and the guarantees of the old notes.</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Note Guarantees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and will serve as a corporate co-issuer of the Notes.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$1,320,000,000;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mature on August 15, 2020;</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(based on a 360-day year of twelve 30-day months), which will accrue from the issue date of the Notes offered hereby, payable in arrears each February 15 and August 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August 15, 2015, at a premium declining ratably to par;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325"/>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200" w:hanging="325"/>
        <w:spacing w:after="0" w:line="306"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all of the Domestic Subsidiaries other than the Completion Guarantor, which is an Unrestricted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Security and Ranking</w:t>
      </w:r>
      <w:r>
        <w:rPr>
          <w:rFonts w:ascii="Arial" w:cs="Arial" w:eastAsia="Arial" w:hAnsi="Arial"/>
          <w:sz w:val="18"/>
          <w:szCs w:val="18"/>
          <w:color w:val="auto"/>
        </w:rPr>
        <w:t>. The new notes and the Note Guarantees offered hereby:</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right="40" w:hanging="325"/>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will be secured, in the case of the Notes, by a perfected first priority lien on (1) substantially all of the existing and future assets of Wynn Las Vegas other than gaming and liquor licenses and other assets in which the grant of a security interest is restricted by their terms or by law, and (2) subject to the prior approval of the Nevada Gaming Authorities, the pledged Equity Interests held by Wynn Resorts Holdings in Wynn Las Vegas;</w:t>
      </w:r>
    </w:p>
    <w:p>
      <w:pPr>
        <w:spacing w:after="0" w:line="25" w:lineRule="exact"/>
        <w:rPr>
          <w:rFonts w:ascii="Arial" w:cs="Arial" w:eastAsia="Arial" w:hAnsi="Arial"/>
          <w:sz w:val="16"/>
          <w:szCs w:val="16"/>
          <w:color w:val="auto"/>
        </w:rPr>
      </w:pPr>
    </w:p>
    <w:p>
      <w:pPr>
        <w:jc w:val="both"/>
        <w:ind w:left="900" w:right="12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be secured, in the case of the Note Guarantees, by a perfected first priority lien on substantially all of the Guarantors’ existing and future assets other than the Aircraft Assets and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900" w:right="52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Wynn Las Vegas’ borrowings under the Credit Agreement, the 2014 Notes, the 2017 Notes and the 2020 Notes, which borrowings, 2014 Notes, 2017 Notes and 2020 Notes are secured by a perfected first priority lien on the same assets as are subject to the lien securing the Notes and the Note Guarantees (subject to certain exceptions); and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trustee has entered into the Intercreditor Agreement to govern the relations between the holders of the Notes, the holders of the 2017 Notes, the holders of the 2020 Notes,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Notes and the Note Guarantees under specified circumstances.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Notes, the holders of the 2017 Notes, the holders of the 2020 Notes and any other Pari Passu Debt in accordance with the sharing provisions of the Intercreditor Agreement. See “Intercreditor Agreement.”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Indenture provides that under certain circumstances if (i) the lenders under the Credit Agreement release their first priority security interest in all of the Collateral and (ii)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holders of the Notes’ first priority security interest in all of the Collateral will also be released. See “—Security—Release of Collateral.”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Indenture provides that the holders of the Notes’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securing the Notes may be released with the consent of the holders of 95% of the Notes then outstanding.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Principal, Maturity and Interest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Issuers will issue up to $1,320,000,000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Notes and any additional Notes subsequently issued under the Indenture will be treated as a single class for all purposes under the Indenture, including, without limitation, waivers, amendments, redemptions and offers to purchase. It is possible, however, that any such additional Notes will not be treated as part of the same issue for United States federal income tax purposes. The Issuers will issue new notes in denominations of $2,000 and integral multiples of $1,000 in excess of $2,000. The new notes will mature on August 15, 2020.</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Interest on the new notes will accrue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and is payable semiannually in arrears on February 15 and August 15, with the first interest payment date being February 15, 2011. Interest on overdue principal and interest and Liquidated Damages, if any, will accrue at a rate that is 1% higher than the then applicable interest rate on the new notes. The Issuers will make each interest payment to the holders of record on the immediately preceding February 1 and August 1.</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or, if interest has already been paid, from the date it was most recently paid. Interest will be computed on the basis of a 360-day year comprised of twelve 30-day months.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Methods of Receiving Payments on the Notes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All payments on the Notes will be made at the office or agency of the paying agent and registrar within the City and State of New York unless the Issuers elect to make interest payments by check mailed to the holders of the Notes at their addresses set forth in the register of holders.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Paying Agent and Registrar for the Notes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Transfer and Exchange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Note Guarantees are joint and several obligations of the Guarantors. The obligations of each Guarantor under its Note Guarantee are limited as necessary to prevent such Note Guarantee from constituting a fraudulent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conveyance under applicable law. See “Risk Factors—Risks Related to the Notes.” Federal and state statutes allow courts, under specific circumstances, to void the guarantees, and require holders of the Notes to return payments received from us or the Guarantors.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Note Guarantees are secured by substantially all of the assets of the Guarantors (other than the Aircraft Assets and gaming and liquor licenses and other assets in which the grant of a security interest is prohibited by their terms or by law) as more fully described below under the caption “—Security—Security for the Note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280" w:firstLine="421"/>
        <w:spacing w:after="0" w:line="306" w:lineRule="auto"/>
        <w:tabs>
          <w:tab w:leader="none" w:pos="1579"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Net Proceeds of such sale or other disposition are applied in accordance with the applicable provisions of the Indenture.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Note Guarantees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right="20" w:firstLine="443"/>
        <w:spacing w:after="0" w:line="291"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the lenders under the Credit Agreement release the guarantees by such Guarantor under the Credit Agreement (provided that it will not be deemed to be a release of the first priority security interest requiring the automatic release by the holders of the Notes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4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Sales” provisions of the Indenture;</w:t>
      </w:r>
    </w:p>
    <w:p>
      <w:pPr>
        <w:spacing w:after="0" w:line="59"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Wynn Las Vegas designates such Guarantor, if a Restricted Subsidiary,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“—Repurchase at the Option of Holders—Asset Sales” and “—Certain Covenants—Designation of Restricted and Unrestricted Subsidiaries.”</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51" w:lineRule="exact"/>
        <w:rPr>
          <w:sz w:val="20"/>
          <w:szCs w:val="20"/>
          <w:color w:val="auto"/>
        </w:rPr>
      </w:pPr>
    </w:p>
    <w:p>
      <w:pPr>
        <w:ind w:left="460" w:right="40" w:firstLine="443"/>
        <w:spacing w:after="0" w:line="259"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Wynn Las Vegas Resort and Encore at Wynn Las Vegas, other than gaming and liquor licenses and other assets in which the grant of a security interest is prohibited by their terms or by law;</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perfected first priority pledge of the Equity Interests held by the Issuers in any of their respective existing or future Restricted Subsidiaries.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 As a result, the new notes will not be secured by any such gaming or liquor licenses. In addition, we will not receive the consent of the Nevada Gaming Authorities to the pledge of the Equity Interests in Wynn Las Vegas described above prior to closing. Although we expect to have filed an application for such consent prior to or soon after closing, we can provide no assurance as to when such consent will be granted, if at all.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Subject to liens permitted by the Collateral Documents, and to the extent permitted by Gaming Laws and other applicable laws, the Note Guarantees are secured by, among other things, a perfected first priority security interest in substantially all of the existing and future assets (other than gaming and liquor licenses) of the Guarantors, provided that the Note Guarantee of World Travel, LLC is not secured by the Aircraft Assets.</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firstLine="443"/>
        <w:spacing w:after="0" w:line="255"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lenders under the Credit Agreement release their first priority security interest in all of the Collateral (provided that it will not be deemed to be a release of the first priority security interest requiring the automatic release by the holders of the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306" w:lineRule="auto"/>
        <w:tabs>
          <w:tab w:leader="none" w:pos="1147"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Wynn Las Vegas delivers an officers’ certificate to the trustee confirming that the conditions in clauses (1), (2) and (3) above have been satisfied. In addition, the holders’ security interest in all or substantially all of the Collateral may be released at any time with the consent of the holders of 95% of the aggregate principal amount of Notes then outstanding.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the Golf Course Land release their security interest in the Golf Course Land;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and (3) above have been satisfied.</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“Phase III Project”)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that the Issuers or the Guarantors grant any Lien on the Golf Course Land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Golf Course Land has been released as set forth in the first paragraph above,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holders of the Notes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 In the event that, following the automatic release of the holders of the Notes’ security interest in the Home Site Land, Wynn Las Vegas or any of the Restricted Subsidiaries grants a security interest in any or all of the Home Site Land to secure other Indebtedness or any guarantee thereof, such Person will concurrently grant a first priority security interest on such portions of the Home Site Land in favor of the trustee for the benefit of the holders of the Notes to secure the Notes (or, if such Person is a Guarantor, its Note Guarantee of the Notes). That security interest in favor of the trustee for the benefit of the holders of the Notes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holders of the Notes and may determine to release their liens under different circumstances, which would nevertheless result in the automatic release of the first priority liens by the holders of the Notes.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80" w:firstLine="443"/>
        <w:spacing w:after="0" w:line="332" w:lineRule="auto"/>
        <w:tabs>
          <w:tab w:leader="none" w:pos="1147"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ind w:left="460" w:firstLine="443"/>
        <w:spacing w:after="0" w:line="253"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 Points of Diversion with respect to any water permits held by the Issuers or any of the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 (A) access such Points of Diversion, (B) own and operate such wells and (C) transport such water to the water features of the Project and/or the Golf Course;</w:t>
      </w:r>
    </w:p>
    <w:p>
      <w:pPr>
        <w:spacing w:after="0" w:line="66" w:lineRule="exact"/>
        <w:rPr>
          <w:rFonts w:ascii="Arial" w:cs="Arial" w:eastAsia="Arial" w:hAnsi="Arial"/>
          <w:sz w:val="18"/>
          <w:szCs w:val="18"/>
          <w:color w:val="auto"/>
        </w:rPr>
      </w:pPr>
    </w:p>
    <w:p>
      <w:pPr>
        <w:ind w:left="460" w:right="300" w:firstLine="443"/>
        <w:spacing w:after="0" w:line="259" w:lineRule="auto"/>
        <w:tabs>
          <w:tab w:leader="none" w:pos="1147" w:val="left"/>
        </w:tabs>
        <w:numPr>
          <w:ilvl w:val="1"/>
          <w:numId w:val="82"/>
        </w:numPr>
        <w:rPr>
          <w:rFonts w:ascii="Arial" w:cs="Arial" w:eastAsia="Arial" w:hAnsi="Arial"/>
          <w:sz w:val="18"/>
          <w:szCs w:val="18"/>
          <w:color w:val="auto"/>
        </w:rPr>
      </w:pPr>
      <w:r>
        <w:rPr>
          <w:rFonts w:ascii="Arial" w:cs="Arial" w:eastAsia="Arial" w:hAnsi="Arial"/>
          <w:sz w:val="18"/>
          <w:szCs w:val="18"/>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 (6) above;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At any time prior to August 15, 2013, the Issuers may, on any one or more occasions, redeem up to 35% of the aggregate principal amount of Notes issued under the Indenture at a redemption price of 107.75% of the principal amount, plus accrued and unpaid interest and Liquidated Damages, if any, to the redemption date, with the net cash proceeds of one or more Qualified Equity Offerings of Wynn Resorts that are contributed to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65% of the aggregate principal amount of Notes issued under the Indenture remains outstanding immediately after the occurrence of such redemption and that the redemption occurs within 60 days of the date of the closing of such Qualified Equity Offering.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August 15, 2015.</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or after August 15, 2015,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August 15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4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Percentage</w:t>
            </w:r>
          </w:p>
        </w:tc>
        <w:tc>
          <w:tcPr>
            <w:tcW w:w="200" w:type="dxa"/>
            <w:vAlign w:val="bottom"/>
          </w:tcPr>
          <w:p>
            <w:pPr>
              <w:spacing w:after="0"/>
              <w:rPr>
                <w:sz w:val="14"/>
                <w:szCs w:val="14"/>
                <w:color w:val="auto"/>
              </w:rPr>
            </w:pPr>
          </w:p>
        </w:tc>
      </w:tr>
      <w:tr>
        <w:trPr>
          <w:trHeight w:val="210"/>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103.875%</w:t>
            </w: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102.583%</w:t>
            </w: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101.292%</w:t>
            </w: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100.000%</w:t>
            </w:r>
          </w:p>
        </w:tc>
      </w:tr>
    </w:tbl>
    <w:p>
      <w:pPr>
        <w:spacing w:after="0" w:line="14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right="60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50" w:lineRule="exact"/>
        <w:rPr>
          <w:rFonts w:ascii="Arial" w:cs="Arial" w:eastAsia="Arial" w:hAnsi="Arial"/>
          <w:sz w:val="18"/>
          <w:szCs w:val="18"/>
          <w:color w:val="auto"/>
        </w:rPr>
      </w:pPr>
    </w:p>
    <w:p>
      <w:pPr>
        <w:ind w:left="920" w:right="60" w:firstLine="421"/>
        <w:spacing w:after="0" w:line="268" w:lineRule="auto"/>
        <w:tabs>
          <w:tab w:leader="none" w:pos="1588"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90" w:lineRule="exact"/>
        <w:rPr>
          <w:rFonts w:ascii="Arial" w:cs="Arial" w:eastAsia="Arial" w:hAnsi="Arial"/>
          <w:sz w:val="18"/>
          <w:szCs w:val="18"/>
          <w:color w:val="auto"/>
        </w:rPr>
      </w:pPr>
    </w:p>
    <w:p>
      <w:pPr>
        <w:ind w:left="1500" w:right="260" w:firstLine="389"/>
        <w:spacing w:after="0" w:line="256" w:lineRule="auto"/>
        <w:tabs>
          <w:tab w:leader="none" w:pos="2155"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 in either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1160" w:hanging="257"/>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40"/>
          </w:cols>
          <w:pgMar w:left="240" w:top="459" w:right="3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$2,000 or an integral multiple of $1,000 in excess of $2,000)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400" w:firstLine="443"/>
        <w:spacing w:after="0" w:line="268" w:lineRule="auto"/>
        <w:tabs>
          <w:tab w:leader="none" w:pos="11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 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00" w:firstLine="421"/>
        <w:spacing w:after="0" w:line="370" w:lineRule="auto"/>
        <w:tabs>
          <w:tab w:leader="none" w:pos="1588" w:val="left"/>
        </w:tabs>
        <w:numPr>
          <w:ilvl w:val="1"/>
          <w:numId w:val="88"/>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the 2014 Notes, the 2017 Notes and the 2020 Notes, and subject to other Permitted Liens 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the 2014 Notes, the 2017 Notes and the 2020 Notes, and subject to other Permitted Liens and the terms of the Intercreditor Agreement) in favor of the trustee, on behalf of the holders of Notes, as security for the Notes.</w:t>
      </w:r>
    </w:p>
    <w:p>
      <w:pPr>
        <w:spacing w:after="0" w:line="12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Any Net Proceeds from Asset Sales that are not applied or invested as provided in the preceding paragraph will constitute “Excess Net Proceeds.”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“Excess Proceeds”),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then outstanding under the Credit Agreement (such amount being the “Asset Sale Offer Amount”), to make an offer (an “Asset Sale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Proceeds less the Asset Sale Offer Amount (the “Asset Sale Repayment Amount”) will concurrently be applied to repay any term Indebtedness outstanding under the Credit Agreement in accordance with the requirements of the Credit Agreement; provided, however,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the 2014 Notes, the 2017 Notes, the 2020 Notes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any Event of Loss with respect to Collateral (other than Events of Loss with respect to Collateral comprising Encore at Wynn Las Vegas at any time prior to the completion of Encore at Wynn Las Vegas in accordance with the Disbursement Agreement,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$500.0 million:</w:t>
      </w:r>
    </w:p>
    <w:p>
      <w:pPr>
        <w:spacing w:after="0" w:line="35" w:lineRule="exact"/>
        <w:rPr>
          <w:sz w:val="20"/>
          <w:szCs w:val="20"/>
          <w:color w:val="auto"/>
        </w:rPr>
      </w:pPr>
    </w:p>
    <w:p>
      <w:pPr>
        <w:ind w:left="460" w:right="400" w:firstLine="443"/>
        <w:spacing w:after="0" w:line="332"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4"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89"/>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Wynn Las Vegas Resort or Encore at Wynn Las Vegas,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 Certain Covenants—Line of Business.”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Any Net Loss Proceeds that are (1) not reinvested as provided in the first sentence of this covenant or (2) otherwise required, pursuant to the Credit Agreement, to be applied to reduce Indebtedness of Wynn Las Vegas, in each case, will be deemed “Excess Loss Proceeds.”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“Event of Loss Offer Amount”), to make an offer (an “Event of Loss Offer”) to all holders of Notes and, to the extent required, the holders of such Pari Passu Debt to repurchase such Notes and such Pari Passu Debt at an offer price equal to 100% of the principal amount of the Notes and such Pari Passu Debt to be purchased plus accrued and unpaid interest and Liquidated Damages, if any, on the Notes and such other Pari Passu Debt to the date of repurchase, which offer price will be payable in cash. The amount of any such Excess Loss Proceeds less the Event of Loss Offer Amount (the “Event of Loss Repayment Amount”) will concurrently be applied to repay any Indebtedness outstanding under the Credit Agreement in accordance with the requirements of the Credit Agreement; provided, however,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the 2014 Notes, the 2017 Notes, the 2020 Notes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 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 Any Event of Loss Offer made pursuant to the terms of the indenture governing the 2014 Notes, the 2017 Notes or the 2020 Notes shall be required to be made to the holders of the Notes, as holders of Pari Passu Debt (as defined in those indentures).</w:t>
      </w: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 of Loss Offer Amount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the 2014 Notes, the 2017 Notes and the 2020 Notes,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the 2014 Notes, the 2017 Notes and the 2020 Notes, and subject to other Permitted Liens and the terms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Intercreditor Agreement), on any property or assets rebuilt, repaired, replaced or constructed with such Net Loss Proceeds on the terms set forth in the Indenture and the Collateral Documents.</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$500.0 million, Wynn Las Vegas (or the applicable Restricted Subsidiary, as the case may be) will be required to receive consideration:</w:t>
      </w:r>
    </w:p>
    <w:p>
      <w:pPr>
        <w:spacing w:after="0" w:line="59" w:lineRule="exact"/>
        <w:rPr>
          <w:sz w:val="20"/>
          <w:szCs w:val="20"/>
          <w:color w:val="auto"/>
        </w:rPr>
      </w:pPr>
    </w:p>
    <w:p>
      <w:pPr>
        <w:ind w:left="460" w:right="580" w:firstLine="443"/>
        <w:spacing w:after="0" w:line="268" w:lineRule="auto"/>
        <w:tabs>
          <w:tab w:leader="none" w:pos="114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with Securities Laws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Selection and Notice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less than all of the Notes are to be redeemed at any time, the trustee will select Notes for redemption on a pro rata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91"/>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92"/>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right="160" w:firstLine="443"/>
        <w:spacing w:after="0" w:line="298" w:lineRule="auto"/>
        <w:tabs>
          <w:tab w:leader="none" w:pos="1147" w:val="left"/>
        </w:tabs>
        <w:numPr>
          <w:ilvl w:val="1"/>
          <w:numId w:val="92"/>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“Restricted Payments”),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57" w:lineRule="exact"/>
        <w:rPr>
          <w:sz w:val="20"/>
          <w:szCs w:val="20"/>
          <w:color w:val="auto"/>
        </w:rPr>
      </w:pPr>
    </w:p>
    <w:p>
      <w:pPr>
        <w:ind w:left="460" w:right="60" w:firstLine="443"/>
        <w:spacing w:after="0" w:line="256" w:lineRule="auto"/>
        <w:tabs>
          <w:tab w:leader="none" w:pos="1147"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160" w:firstLine="421"/>
        <w:spacing w:after="0" w:line="335" w:lineRule="auto"/>
        <w:tabs>
          <w:tab w:leader="none" w:pos="1579" w:val="left"/>
        </w:tabs>
        <w:numPr>
          <w:ilvl w:val="1"/>
          <w:numId w:val="94"/>
        </w:numPr>
        <w:rPr>
          <w:rFonts w:ascii="Arial" w:cs="Arial" w:eastAsia="Arial" w:hAnsi="Arial"/>
          <w:sz w:val="15"/>
          <w:szCs w:val="15"/>
          <w:color w:val="auto"/>
        </w:rPr>
      </w:pPr>
      <w:r>
        <w:rPr>
          <w:rFonts w:ascii="Arial" w:cs="Arial" w:eastAsia="Arial" w:hAnsi="Arial"/>
          <w:sz w:val="15"/>
          <w:szCs w:val="15"/>
          <w:color w:val="auto"/>
        </w:rPr>
        <w:t>50% of the Consolidated Net Income of Wynn Las Vegas and its Restricted Subsidiaries for the period (taken as one accounting period) from the beginning of January 1, 2010 to the end of Wynn Las Vegas’ most recently ended fiscal quarter for which internal financial statements are available at the time of such Restricted Payment (or, if such Consolidated Net Income for such period is a deficit, less 100% of such deficit); plus</w:t>
      </w:r>
    </w:p>
    <w:p>
      <w:pPr>
        <w:spacing w:after="0" w:line="7" w:lineRule="exact"/>
        <w:rPr>
          <w:rFonts w:ascii="Arial" w:cs="Arial" w:eastAsia="Arial" w:hAnsi="Arial"/>
          <w:sz w:val="15"/>
          <w:szCs w:val="15"/>
          <w:color w:val="auto"/>
        </w:rPr>
      </w:pPr>
    </w:p>
    <w:p>
      <w:pPr>
        <w:jc w:val="both"/>
        <w:ind w:left="920" w:right="460" w:firstLine="421"/>
        <w:spacing w:after="0" w:line="306" w:lineRule="auto"/>
        <w:tabs>
          <w:tab w:leader="none" w:pos="1588" w:val="left"/>
        </w:tabs>
        <w:numPr>
          <w:ilvl w:val="1"/>
          <w:numId w:val="94"/>
        </w:numPr>
        <w:rPr>
          <w:rFonts w:ascii="Arial" w:cs="Arial" w:eastAsia="Arial" w:hAnsi="Arial"/>
          <w:sz w:val="16"/>
          <w:szCs w:val="16"/>
          <w:color w:val="auto"/>
        </w:rPr>
      </w:pPr>
      <w:r>
        <w:rPr>
          <w:rFonts w:ascii="Arial" w:cs="Arial" w:eastAsia="Arial" w:hAnsi="Arial"/>
          <w:sz w:val="16"/>
          <w:szCs w:val="16"/>
          <w:color w:val="auto"/>
        </w:rPr>
        <w:t>100% of the aggregate net cash proceeds received by Wynn Las Vegas subsequent to January 1, 2010 as a contribution to its common equity capital, excluding (i) any such net cash proceeds received by Wynn Las Vegas subsequent to January 1, 2010 to the extent consisting of capital contributions made to Wynn Las Vegas for the purpose of satisfying the “in-balance” requirements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57" w:lineRule="auto"/>
        <w:rPr>
          <w:sz w:val="20"/>
          <w:szCs w:val="20"/>
          <w:color w:val="auto"/>
        </w:rPr>
      </w:pPr>
      <w:r>
        <w:rPr>
          <w:rFonts w:ascii="Arial" w:cs="Arial" w:eastAsia="Arial" w:hAnsi="Arial"/>
          <w:sz w:val="15"/>
          <w:szCs w:val="15"/>
          <w:color w:val="auto"/>
        </w:rPr>
        <w:t>the Disbursement Agreement and (ii) any such net cash proceeds received by Wynn Las Vegas to the extent used to incur Indebtedness pursuant to clause (16) of the covenant described below under the caption “—Incurrence of Indebtedness and Issuance of Disqualified Stock”; plus</w:t>
      </w:r>
    </w:p>
    <w:p>
      <w:pPr>
        <w:ind w:left="920" w:firstLine="420"/>
        <w:spacing w:after="0" w:line="291" w:lineRule="auto"/>
        <w:rPr>
          <w:sz w:val="20"/>
          <w:szCs w:val="20"/>
          <w:color w:val="auto"/>
        </w:rPr>
      </w:pPr>
      <w:r>
        <w:rPr>
          <w:rFonts w:ascii="Arial" w:cs="Arial" w:eastAsia="Arial" w:hAnsi="Arial"/>
          <w:sz w:val="16"/>
          <w:szCs w:val="16"/>
          <w:color w:val="auto"/>
        </w:rPr>
        <w:t>(c)(i) to the extent that any Restricted Investment that was made after January 1, 2010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plus</w:t>
      </w:r>
    </w:p>
    <w:p>
      <w:pPr>
        <w:spacing w:after="0" w:line="39" w:lineRule="exact"/>
        <w:rPr>
          <w:sz w:val="20"/>
          <w:szCs w:val="20"/>
          <w:color w:val="auto"/>
        </w:rPr>
      </w:pPr>
    </w:p>
    <w:p>
      <w:pPr>
        <w:jc w:val="both"/>
        <w:ind w:left="920" w:right="240" w:firstLine="421"/>
        <w:spacing w:after="0" w:line="306" w:lineRule="auto"/>
        <w:tabs>
          <w:tab w:leader="none" w:pos="1588" w:val="left"/>
        </w:tabs>
        <w:numPr>
          <w:ilvl w:val="0"/>
          <w:numId w:val="95"/>
        </w:numPr>
        <w:rPr>
          <w:rFonts w:ascii="Arial" w:cs="Arial" w:eastAsia="Arial" w:hAnsi="Arial"/>
          <w:sz w:val="16"/>
          <w:szCs w:val="16"/>
          <w:color w:val="auto"/>
        </w:rPr>
      </w:pPr>
      <w:r>
        <w:rPr>
          <w:rFonts w:ascii="Arial" w:cs="Arial" w:eastAsia="Arial" w:hAnsi="Arial"/>
          <w:sz w:val="16"/>
          <w:szCs w:val="16"/>
          <w:color w:val="auto"/>
        </w:rPr>
        <w:t>100% of any cash dividends or cash distributions received by Wynn Las Vegas or any of its Restricted Subsidiaries after January 1, 2010 from any Restricted Investment (including any Investment in an Unrestricted Subsidiary of Wynn Las Vegas), to the extent that such dividends or distributions were not otherwise included in the Consolidated Net Income of Wynn Las Vegas for such period; 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the extent that any Unrestricted Subsidiary of Wynn Las Vegas that is so designated after January 1, 2010 (other than the Completion Guarantor) is redesignated as a Restricted Subsidiary after January 1, 2010, the lesser of (i) the Fair Market Value of Wynn Las Vegas’ Investment in such Subsidiary as of the date of such redesignation or (ii) such Fair Market Value as of the date on which such Subsidiary was originally designated as an Unrestricted Subsidiary.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100" w:firstLine="443"/>
        <w:spacing w:after="0" w:line="306"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25"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making of any Restricted Payment in exchange for, or out of the net cash proceeds from the substantially concurrent contribution of common equity capital to Wynn Las Vegas, provided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firstLine="443"/>
        <w:spacing w:after="0" w:line="259" w:lineRule="auto"/>
        <w:tabs>
          <w:tab w:leader="none" w:pos="11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sz w:val="20"/>
          <w:szCs w:val="20"/>
          <w:color w:val="auto"/>
        </w:rPr>
      </w:pPr>
    </w:p>
    <w:p>
      <w:pPr>
        <w:ind w:left="460" w:firstLine="438"/>
        <w:spacing w:after="0" w:line="253" w:lineRule="auto"/>
        <w:rPr>
          <w:sz w:val="20"/>
          <w:szCs w:val="20"/>
          <w:color w:val="auto"/>
        </w:rPr>
      </w:pPr>
      <w:r>
        <w:rPr>
          <w:rFonts w:ascii="Arial" w:cs="Arial" w:eastAsia="Arial" w:hAnsi="Arial"/>
          <w:sz w:val="18"/>
          <w:szCs w:val="18"/>
          <w:color w:val="auto"/>
        </w:rPr>
        <w:t>(6)(a)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provided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sz w:val="20"/>
          <w:szCs w:val="20"/>
          <w:color w:val="auto"/>
        </w:rPr>
      </w:pPr>
    </w:p>
    <w:p>
      <w:pPr>
        <w:ind w:left="460" w:right="200" w:firstLine="443"/>
        <w:spacing w:after="0" w:line="332" w:lineRule="auto"/>
        <w:tabs>
          <w:tab w:leader="none" w:pos="1147"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$75.0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20" w:firstLine="443"/>
        <w:spacing w:after="0" w:line="332" w:lineRule="auto"/>
        <w:tabs>
          <w:tab w:leader="none" w:pos="1228"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“incur”) any Indebtedness (including Acquired Debt), or</w:t>
      </w:r>
    </w:p>
    <w:p>
      <w:pPr>
        <w:ind w:right="80" w:firstLine="8"/>
        <w:spacing w:after="0" w:line="315" w:lineRule="auto"/>
        <w:tabs>
          <w:tab w:leader="none" w:pos="249" w:val="left"/>
        </w:tabs>
        <w:numPr>
          <w:ilvl w:val="0"/>
          <w:numId w:val="99"/>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“Permitted Debt”):</w:t>
      </w:r>
    </w:p>
    <w:p>
      <w:pPr>
        <w:spacing w:after="0" w:line="113" w:lineRule="exact"/>
        <w:rPr>
          <w:sz w:val="20"/>
          <w:szCs w:val="20"/>
          <w:color w:val="auto"/>
        </w:rPr>
      </w:pPr>
    </w:p>
    <w:p>
      <w:pPr>
        <w:ind w:left="460" w:right="40" w:firstLine="443"/>
        <w:spacing w:after="0" w:line="303" w:lineRule="auto"/>
        <w:tabs>
          <w:tab w:leader="none" w:pos="1147"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less</w:t>
      </w:r>
    </w:p>
    <w:p>
      <w:pPr>
        <w:spacing w:after="0" w:line="1" w:lineRule="exact"/>
        <w:rPr>
          <w:rFonts w:ascii="Arial" w:cs="Arial" w:eastAsia="Arial" w:hAnsi="Arial"/>
          <w:sz w:val="15"/>
          <w:szCs w:val="15"/>
          <w:color w:val="auto"/>
        </w:rPr>
      </w:pPr>
    </w:p>
    <w:p>
      <w:pPr>
        <w:ind w:left="720" w:hanging="256"/>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59" w:lineRule="exact"/>
        <w:rPr>
          <w:sz w:val="20"/>
          <w:szCs w:val="20"/>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(12), (13), (14) or (15) of this paragraph or under this clause (3);</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intercompany Indebtedness between or among Wynn Las Vegas and any of its Restricted Subsidiaries; provided, however, that:</w:t>
      </w:r>
    </w:p>
    <w:p>
      <w:pPr>
        <w:spacing w:after="0" w:line="50" w:lineRule="exact"/>
        <w:rPr>
          <w:rFonts w:ascii="Arial" w:cs="Arial" w:eastAsia="Arial" w:hAnsi="Arial"/>
          <w:sz w:val="18"/>
          <w:szCs w:val="18"/>
          <w:color w:val="auto"/>
        </w:rPr>
      </w:pPr>
    </w:p>
    <w:p>
      <w:pPr>
        <w:ind w:left="920" w:right="180" w:firstLine="421"/>
        <w:spacing w:after="0" w:line="255" w:lineRule="auto"/>
        <w:tabs>
          <w:tab w:leader="none" w:pos="1579"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2" w:lineRule="exact"/>
        <w:rPr>
          <w:sz w:val="20"/>
          <w:szCs w:val="20"/>
          <w:color w:val="auto"/>
        </w:rPr>
      </w:pPr>
    </w:p>
    <w:p>
      <w:pPr>
        <w:ind w:left="920" w:firstLine="420"/>
        <w:spacing w:after="0" w:line="298" w:lineRule="auto"/>
        <w:rPr>
          <w:sz w:val="20"/>
          <w:szCs w:val="20"/>
          <w:color w:val="auto"/>
        </w:rPr>
      </w:pPr>
      <w:r>
        <w:rPr>
          <w:rFonts w:ascii="Arial" w:cs="Arial" w:eastAsia="Arial" w:hAnsi="Arial"/>
          <w:sz w:val="16"/>
          <w:szCs w:val="16"/>
          <w:color w:val="auto"/>
        </w:rPr>
        <w:t>(b)(i)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32" w:lineRule="exact"/>
        <w:rPr>
          <w:sz w:val="20"/>
          <w:szCs w:val="20"/>
          <w:color w:val="auto"/>
        </w:rPr>
      </w:pPr>
    </w:p>
    <w:p>
      <w:pPr>
        <w:ind w:left="1160" w:hanging="257"/>
        <w:spacing w:after="0"/>
        <w:tabs>
          <w:tab w:leader="none" w:pos="11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firstLine="443"/>
        <w:spacing w:after="0" w:line="306" w:lineRule="auto"/>
        <w:tabs>
          <w:tab w:leader="none" w:pos="114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$60.0 million at any time outstanding;</w:t>
      </w:r>
    </w:p>
    <w:p>
      <w:pPr>
        <w:spacing w:after="0" w:line="25" w:lineRule="exact"/>
        <w:rPr>
          <w:rFonts w:ascii="Arial" w:cs="Arial" w:eastAsia="Arial" w:hAnsi="Arial"/>
          <w:sz w:val="16"/>
          <w:szCs w:val="16"/>
          <w:color w:val="auto"/>
        </w:rPr>
      </w:pPr>
    </w:p>
    <w:p>
      <w:pPr>
        <w:ind w:left="460" w:right="140" w:firstLine="443"/>
        <w:spacing w:after="0" w:line="291" w:lineRule="auto"/>
        <w:tabs>
          <w:tab w:leader="none" w:pos="114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00"/>
        <w:spacing w:after="0" w:line="302" w:lineRule="auto"/>
        <w:rPr>
          <w:rFonts w:ascii="Arial" w:cs="Arial" w:eastAsia="Arial" w:hAnsi="Arial"/>
          <w:sz w:val="16"/>
          <w:szCs w:val="16"/>
          <w:color w:val="auto"/>
        </w:rPr>
      </w:pPr>
      <w:r>
        <w:rPr>
          <w:rFonts w:ascii="Arial" w:cs="Arial" w:eastAsia="Arial" w:hAnsi="Arial"/>
          <w:sz w:val="16"/>
          <w:szCs w:val="16"/>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 the holders of the Notes continue to have a perfected first priority security interest in the Golf Course Land;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2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$100.0 million;</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2014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2017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2020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incurrence by the Issuers of the Notes issued on the date of the Indenture and the Note Guarantees;</w:t>
      </w:r>
    </w:p>
    <w:p>
      <w:pPr>
        <w:spacing w:after="0" w:line="90" w:lineRule="exact"/>
        <w:rPr>
          <w:rFonts w:ascii="Arial" w:cs="Arial" w:eastAsia="Arial" w:hAnsi="Arial"/>
          <w:sz w:val="18"/>
          <w:szCs w:val="18"/>
          <w:color w:val="auto"/>
        </w:rPr>
      </w:pPr>
    </w:p>
    <w:p>
      <w:pPr>
        <w:ind w:left="460" w:right="460" w:firstLine="443"/>
        <w:spacing w:after="0" w:line="332" w:lineRule="auto"/>
        <w:tabs>
          <w:tab w:leader="none" w:pos="12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right="140" w:firstLine="443"/>
        <w:spacing w:after="0" w:line="289" w:lineRule="auto"/>
        <w:tabs>
          <w:tab w:leader="none" w:pos="123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provided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37"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(17)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460" w:right="26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Notes, the Indenture, the 2014 Notes, the 2014 Notes indenture, the 2017 Notes, the 2017 Notes indenture, the 2020 Notes, the 2020 Notes indenture, any Guarantees of such notes, or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acquisition of the Capital Stock of any Person, or property or assets of any Person by Wynn Las Vegas or any of its Restricted Subsidiaries, if the encumbrances or restrictions (a) existed at the time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51" w:lineRule="exact"/>
        <w:rPr>
          <w:sz w:val="20"/>
          <w:szCs w:val="20"/>
          <w:color w:val="auto"/>
        </w:rPr>
      </w:pPr>
    </w:p>
    <w:p>
      <w:pPr>
        <w:ind w:left="460" w:right="28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280" w:firstLine="443"/>
        <w:spacing w:after="0" w:line="306" w:lineRule="auto"/>
        <w:tabs>
          <w:tab w:leader="none" w:pos="114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09"/>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provided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“Affiliate Transaction”),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 with respect to any Affiliate Transaction or series of related Affiliate Transactions involving aggregate consideration in excess of</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$10.0 million, a resolution of the Board of Directors of Wynn Capital set forth in an officers’ certificate certifying that such Affiliate Transaction</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complies with this covenant and that such Affiliate Transaction has been approved by a majority of the disinterested members of the Board of</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Directors of Wynn Capital, to the extent that there are any such disinterested members of such Boards of Directors; and</w:t>
      </w:r>
    </w:p>
    <w:p>
      <w:pPr>
        <w:spacing w:after="0" w:line="8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with respect to any Affiliate Transaction or series of related Affiliate Transactions involving aggregate consideration in excess of</w:t>
      </w:r>
    </w:p>
    <w:p>
      <w:pPr>
        <w:spacing w:after="0" w:line="38" w:lineRule="exact"/>
        <w:rPr>
          <w:sz w:val="20"/>
          <w:szCs w:val="20"/>
          <w:color w:val="auto"/>
        </w:rPr>
      </w:pPr>
    </w:p>
    <w:p>
      <w:pPr>
        <w:ind w:left="920"/>
        <w:spacing w:after="0" w:line="323" w:lineRule="auto"/>
        <w:rPr>
          <w:sz w:val="20"/>
          <w:szCs w:val="20"/>
          <w:color w:val="auto"/>
        </w:rPr>
      </w:pPr>
      <w:r>
        <w:rPr>
          <w:rFonts w:ascii="Arial" w:cs="Arial" w:eastAsia="Arial" w:hAnsi="Arial"/>
          <w:sz w:val="16"/>
          <w:szCs w:val="16"/>
          <w:color w:val="auto"/>
        </w:rPr>
        <w:t>$25.0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12" w:lineRule="exact"/>
        <w:rPr>
          <w:sz w:val="20"/>
          <w:szCs w:val="20"/>
          <w:color w:val="auto"/>
        </w:rPr>
      </w:pPr>
    </w:p>
    <w:p>
      <w:pPr>
        <w:ind w:left="460" w:right="200" w:firstLine="443"/>
        <w:spacing w:after="0" w:line="256"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 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4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leases by Wynn Las Vegas to one or more of its Affiliates of space at the Wynn Las Vegas Resort, at market rental rates, for the development and operation of a Ferrari and Maserati automobile dealership pursuant to the Dealership Lease Agreement, to the extent permitted under the Collateral Documents;</w:t>
      </w:r>
    </w:p>
    <w:p>
      <w:pPr>
        <w:spacing w:after="0" w:line="59" w:lineRule="exact"/>
        <w:rPr>
          <w:sz w:val="20"/>
          <w:szCs w:val="20"/>
          <w:color w:val="auto"/>
        </w:rPr>
      </w:pPr>
    </w:p>
    <w:p>
      <w:pPr>
        <w:ind w:left="460" w:right="40" w:firstLine="438"/>
        <w:spacing w:after="0" w:line="256" w:lineRule="auto"/>
        <w:rPr>
          <w:sz w:val="20"/>
          <w:szCs w:val="20"/>
          <w:color w:val="auto"/>
        </w:rPr>
      </w:pPr>
      <w:r>
        <w:rPr>
          <w:rFonts w:ascii="Arial" w:cs="Arial" w:eastAsia="Arial" w:hAnsi="Arial"/>
          <w:sz w:val="18"/>
          <w:szCs w:val="18"/>
          <w:color w:val="auto"/>
        </w:rPr>
        <w:t>(6)(i)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sz w:val="20"/>
          <w:szCs w:val="20"/>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(12), (13) or (14) of the definition thereof; and</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provided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enter into any sale and leaseback transaction (except with respect to the Aircraft Assets so long as, and to the extent that, such Aircraft Assets are not Collateral); provided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357" w:lineRule="auto"/>
        <w:rPr>
          <w:sz w:val="20"/>
          <w:szCs w:val="20"/>
          <w:color w:val="auto"/>
        </w:rPr>
      </w:pPr>
      <w:r>
        <w:rPr>
          <w:rFonts w:ascii="Arial" w:cs="Arial" w:eastAsia="Arial" w:hAnsi="Arial"/>
          <w:sz w:val="15"/>
          <w:szCs w:val="15"/>
          <w:color w:val="auto"/>
        </w:rPr>
        <w:t>Management Fee is proposed to be paid to be greater than 6.5 to 1.0 (calculated on a pro forma basis, giving effect to the payment of the Management Fees proposed to be paid and any Indebtedness proposed to be incurred to finance the payment of such Management Fees); or</w:t>
      </w:r>
    </w:p>
    <w:p>
      <w:pPr>
        <w:ind w:left="920" w:right="300" w:firstLine="421"/>
        <w:spacing w:after="0" w:line="268" w:lineRule="auto"/>
        <w:tabs>
          <w:tab w:leader="none" w:pos="15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6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firstLine="443"/>
        <w:spacing w:after="0" w:line="268"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(6)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20" w:firstLine="443"/>
        <w:spacing w:after="0" w:line="259" w:lineRule="auto"/>
        <w:tabs>
          <w:tab w:leader="none" w:pos="114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4" w:lineRule="exact"/>
        <w:rPr>
          <w:sz w:val="20"/>
          <w:szCs w:val="20"/>
          <w:color w:val="auto"/>
        </w:rPr>
      </w:pPr>
    </w:p>
    <w:p>
      <w:pPr>
        <w:ind w:left="460" w:right="80" w:firstLine="438"/>
        <w:spacing w:after="0" w:line="259" w:lineRule="auto"/>
        <w:rPr>
          <w:sz w:val="20"/>
          <w:szCs w:val="20"/>
          <w:color w:val="auto"/>
        </w:rPr>
      </w:pPr>
      <w:r>
        <w:rPr>
          <w:rFonts w:ascii="Arial" w:cs="Arial" w:eastAsia="Arial" w:hAnsi="Arial"/>
          <w:sz w:val="18"/>
          <w:szCs w:val="18"/>
          <w:color w:val="auto"/>
        </w:rPr>
        <w:t>(1)(a) 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sz w:val="20"/>
          <w:szCs w:val="20"/>
          <w:color w:val="auto"/>
        </w:rPr>
      </w:pPr>
    </w:p>
    <w:p>
      <w:pPr>
        <w:ind w:left="920" w:firstLine="421"/>
        <w:spacing w:after="0" w:line="254" w:lineRule="auto"/>
        <w:tabs>
          <w:tab w:leader="none" w:pos="158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00" w:firstLine="421"/>
        <w:spacing w:after="0" w:line="332" w:lineRule="auto"/>
        <w:tabs>
          <w:tab w:leader="none" w:pos="1579"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306" w:lineRule="auto"/>
        <w:tabs>
          <w:tab w:leader="none" w:pos="114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 the event such Restricted Subsidiary or subchapter “C” corporation owns real property that (i) is contiguous to any real property included in the Collateral, (ii) has a Fair Market Value in excess of $50.0 million in the aggregate or $25.0 million individually or (iii) is required pursuant to the terms of the Credit Agreement to be included in the Collateral, cause such Restricted Subsidiary or subchapter “C” corporation to execute and deliver to the trustee:</w:t>
      </w:r>
    </w:p>
    <w:p>
      <w:pPr>
        <w:spacing w:after="0" w:line="25" w:lineRule="exact"/>
        <w:rPr>
          <w:rFonts w:ascii="Arial" w:cs="Arial" w:eastAsia="Arial" w:hAnsi="Arial"/>
          <w:sz w:val="16"/>
          <w:szCs w:val="16"/>
          <w:color w:val="auto"/>
        </w:rPr>
      </w:pPr>
    </w:p>
    <w:p>
      <w:pPr>
        <w:ind w:left="920" w:right="320" w:firstLine="421"/>
        <w:spacing w:after="0" w:line="259" w:lineRule="auto"/>
        <w:tabs>
          <w:tab w:leader="none" w:pos="157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80" w:firstLine="443"/>
        <w:spacing w:after="0" w:line="306" w:lineRule="auto"/>
        <w:tabs>
          <w:tab w:leader="none" w:pos="114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requested by the Trustee from time to time in order to:</w:t>
      </w:r>
    </w:p>
    <w:p>
      <w:pPr>
        <w:spacing w:after="0" w:line="4" w:lineRule="exact"/>
        <w:rPr>
          <w:sz w:val="20"/>
          <w:szCs w:val="20"/>
          <w:color w:val="auto"/>
        </w:rPr>
      </w:pPr>
    </w:p>
    <w:p>
      <w:pPr>
        <w:ind w:left="1160" w:hanging="257"/>
        <w:spacing w:after="0"/>
        <w:tabs>
          <w:tab w:leader="none" w:pos="11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superior to the rights of all third Persons, in each case, equal and ratable with the Liens securing the obligations under the Credit Agreement and subject to Permitted Liens; and</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 Notwithstanding the foregoing, in any offer or payment of consideration for, or as an inducement to, any consent, waiver or amendment of any of the terms or provisions of the Indenture or the Notes in connection with an exchange offer, Wynn Las Vegas may exclude (i) holders or beneficial owners of the Notes that are not institutional “accredited investors” as defined in subparagraphs (a)(1), (2), (3) or (7) of Rule 501 under the Securities Act, and (ii) holders or beneficial owners of the Notes in any jurisdiction where the inclusion of such holders or beneficial owners would require Wynn Las Vegas to comply with the registration requirements or other similar requirements under any securities laws of such jurisdiction, or the solicitation of such consent, waiver or amendment from, or the granting of such consent or waiver, or the approval of such amendment by, holders or beneficial owners in such jurisdiction would be unlawful, in each case as determined by Wynn Las Vegas in its sole discretion.</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30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4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20" w:firstLine="421"/>
        <w:spacing w:after="0" w:line="332" w:lineRule="auto"/>
        <w:tabs>
          <w:tab w:leader="none" w:pos="158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4" w:lineRule="exact"/>
        <w:rPr>
          <w:rFonts w:ascii="Arial" w:cs="Arial" w:eastAsia="Arial" w:hAnsi="Arial"/>
          <w:sz w:val="16"/>
          <w:szCs w:val="16"/>
          <w:color w:val="auto"/>
        </w:rPr>
      </w:pPr>
    </w:p>
    <w:p>
      <w:pPr>
        <w:ind w:left="460" w:right="100" w:firstLine="443"/>
        <w:spacing w:after="0" w:line="259"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40" w:firstLine="421"/>
        <w:spacing w:after="0" w:line="268" w:lineRule="auto"/>
        <w:tabs>
          <w:tab w:leader="none" w:pos="15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50" w:lineRule="exact"/>
        <w:rPr>
          <w:rFonts w:ascii="Arial" w:cs="Arial" w:eastAsia="Arial" w:hAnsi="Arial"/>
          <w:sz w:val="18"/>
          <w:szCs w:val="18"/>
          <w:color w:val="auto"/>
        </w:rPr>
      </w:pPr>
    </w:p>
    <w:p>
      <w:pPr>
        <w:ind w:left="920" w:right="200" w:firstLine="421"/>
        <w:spacing w:after="0" w:line="259" w:lineRule="auto"/>
        <w:tabs>
          <w:tab w:leader="none" w:pos="15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60"/>
          </w:cols>
          <w:pgMar w:left="240" w:top="459" w:right="2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59"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59" w:lineRule="exact"/>
        <w:rPr>
          <w:rFonts w:ascii="Arial" w:cs="Arial" w:eastAsia="Arial" w:hAnsi="Arial"/>
          <w:sz w:val="18"/>
          <w:szCs w:val="18"/>
          <w:color w:val="auto"/>
        </w:rPr>
      </w:pPr>
    </w:p>
    <w:p>
      <w:pPr>
        <w:ind w:left="460" w:firstLine="443"/>
        <w:spacing w:after="0" w:line="268" w:lineRule="auto"/>
        <w:tabs>
          <w:tab w:leader="none" w:pos="12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reasonable indemnity or security against any loss, liability or expense. Except to enforce the right to receive payment of principal, interest or premium, if any,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Liquidated Damages, if any, when due, no holder of a Note may pursue any remedy with respect to the Indenture or the Notes unless:</w:t>
      </w:r>
    </w:p>
    <w:p>
      <w:pPr>
        <w:spacing w:after="0" w:line="84" w:lineRule="exact"/>
        <w:rPr>
          <w:sz w:val="20"/>
          <w:szCs w:val="20"/>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Generally, if an Event of Default occurs, subject to the provisions of the Intercreditor Agreement and the Indenture,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All proceeds of the Collateral must be shared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lenders under our Credit Agreement, the holders of the 2020 Notes, the holders of the 2017 Notes, the holders of the 2014 Notes and any other Pari Passu Debt in accordance with the sharing provisions of the Indenture and the Intercreditor Agreement. In addition, legal and procedural restrictions may impair the exercise by the trustee of its rights and remedies. See “—Gaming Law Limitations on Foreclosure,” “— Bankruptcy Limitations on Foreclosure” and “—Real Property Collateral.”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00"/>
          </w:cols>
          <w:pgMar w:left="24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59" w:lineRule="exact"/>
        <w:rPr>
          <w:sz w:val="20"/>
          <w:szCs w:val="20"/>
          <w:color w:val="auto"/>
        </w:rPr>
      </w:pPr>
    </w:p>
    <w:p>
      <w:pPr>
        <w:ind w:left="460" w:right="120" w:firstLine="443"/>
        <w:spacing w:after="0" w:line="357" w:lineRule="auto"/>
        <w:tabs>
          <w:tab w:leader="none" w:pos="114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Intercreditor Agreement imposes restrictions on the exercise of rights and remedies by the holders of the Notes with respect to the Collateral, including the ability to amend or modify the Collateral Documents and the ability to release the Collateral. See “Intercreditor Agreement.”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Notes—Bankruptcy laws may significantly impair your rights to repossess and dispose of collateral securing the Notes, and otherwise collect on any amounts due thereunder” and “—In the event that a bankruptcy court orders the substantive consolidation of us with certain affiliated parties, payments on the Notes could be delayed or reduced.”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be held liable, in certain limited circumstances, for the costs of remediating a release of or preventing a threatened release of hazardous substances at a mortgaged property. There may be similar risks under state laws or common law theories.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(“Legal Defeasance”) except for:</w:t>
      </w:r>
    </w:p>
    <w:p>
      <w:pPr>
        <w:spacing w:after="0" w:line="59" w:lineRule="exact"/>
        <w:rPr>
          <w:sz w:val="20"/>
          <w:szCs w:val="20"/>
          <w:color w:val="auto"/>
        </w:rPr>
      </w:pPr>
    </w:p>
    <w:p>
      <w:pPr>
        <w:ind w:left="460" w:right="20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ind w:left="460" w:right="120" w:firstLine="4"/>
        <w:spacing w:after="0" w:line="292" w:lineRule="auto"/>
        <w:tabs>
          <w:tab w:leader="none" w:pos="69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ind w:left="460" w:right="20" w:firstLine="443"/>
        <w:spacing w:after="0" w:line="256"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1"/>
          <w:numId w:val="134"/>
        </w:numPr>
        <w:rPr>
          <w:rFonts w:ascii="Arial" w:cs="Arial" w:eastAsia="Arial" w:hAnsi="Arial"/>
          <w:sz w:val="16"/>
          <w:szCs w:val="16"/>
          <w:color w:val="auto"/>
        </w:rPr>
      </w:pPr>
      <w:r>
        <w:rPr>
          <w:rFonts w:ascii="Arial" w:cs="Arial" w:eastAsia="Arial" w:hAnsi="Arial"/>
          <w:sz w:val="16"/>
          <w:szCs w:val="16"/>
          <w:color w:val="auto"/>
        </w:rPr>
        <w:t>in the case of Legal Defeasance, the Issuers must deliver to the trustee an opinion of counsel to the effect that, assuming no intervening bankruptcy of the Issuers or any Guarantor between the date of deposit and the 91st day following the deposit and assuming that no holder of Notes is an “insider” of either Issuer under applicable bankruptcy law, after the 91st day following the deposit, the trust funds will not be subject to the effect of any applicable bankruptcy, insolvency, reorganization or similar laws affecting creditors’ rights generally;</w:t>
      </w:r>
    </w:p>
    <w:p>
      <w:pPr>
        <w:spacing w:after="0" w:line="31" w:lineRule="exact"/>
        <w:rPr>
          <w:rFonts w:ascii="Arial" w:cs="Arial" w:eastAsia="Arial" w:hAnsi="Arial"/>
          <w:sz w:val="16"/>
          <w:szCs w:val="16"/>
          <w:color w:val="auto"/>
        </w:rPr>
      </w:pPr>
    </w:p>
    <w:p>
      <w:pPr>
        <w:ind w:left="460" w:right="80" w:firstLine="443"/>
        <w:spacing w:after="0" w:line="259"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and the Indenture,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Subject to the provisions of the Intercreditor Agreement and the Indenture, the trustee will release the Liens in favor of the trustee (at the sole cost and expense of the Issuers) on:</w:t>
      </w:r>
    </w:p>
    <w:p>
      <w:pPr>
        <w:spacing w:after="0" w:line="51" w:lineRule="exact"/>
        <w:rPr>
          <w:sz w:val="20"/>
          <w:szCs w:val="20"/>
          <w:color w:val="auto"/>
        </w:rPr>
      </w:pPr>
    </w:p>
    <w:p>
      <w:pPr>
        <w:ind w:left="1160" w:hanging="257"/>
        <w:spacing w:after="0"/>
        <w:tabs>
          <w:tab w:leader="none" w:pos="11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Collateral that is condemned, seized or taken by the power of eminent domain or otherwise confiscated pursuant to an Event of Loss; provided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6"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 Credit Agreement concurrently release their security interest in such assets, so long as no Default or Event of Default exists or is continuing immediately prior to or after giving effect to such release; and</w:t>
      </w:r>
    </w:p>
    <w:p>
      <w:pPr>
        <w:spacing w:after="0" w:line="62"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and the Indenture,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Indenture provides that any amendment or modification to the definition of “Excluded Assets” in the Security Agreements or the definition of “Excluded Property” in the Deeds of Trust shall require the consent of the trustee if as a result of such amendment or modification the Notes will not be secured by substantially all of our and the guarantors’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and the Indenture,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amended, restated or modified Collateral Documents contain terms no less favorable to the trustee or the holders of the Notes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amendment, restatement or modification does not otherwise adversely affect the rights or remedies of the trustee or the holders of the Notes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2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1160" w:hanging="257"/>
        <w:spacing w:after="0"/>
        <w:tabs>
          <w:tab w:leader="none" w:pos="1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40" w:hanging="337"/>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4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1160" w:hanging="257"/>
        <w:spacing w:after="0"/>
        <w:tabs>
          <w:tab w:leader="none" w:pos="11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60" w:firstLine="421"/>
        <w:spacing w:after="0" w:line="332" w:lineRule="auto"/>
        <w:tabs>
          <w:tab w:leader="none" w:pos="157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91" w:lineRule="auto"/>
        <w:tabs>
          <w:tab w:leader="none" w:pos="1588" w:val="left"/>
        </w:tabs>
        <w:numPr>
          <w:ilvl w:val="1"/>
          <w:numId w:val="140"/>
        </w:numPr>
        <w:rPr>
          <w:rFonts w:ascii="Arial" w:cs="Arial" w:eastAsia="Arial" w:hAnsi="Arial"/>
          <w:sz w:val="16"/>
          <w:szCs w:val="16"/>
          <w:color w:val="auto"/>
        </w:rPr>
      </w:pPr>
      <w:r>
        <w:rPr>
          <w:rFonts w:ascii="Arial" w:cs="Arial" w:eastAsia="Arial" w:hAnsi="Arial"/>
          <w:sz w:val="16"/>
          <w:szCs w:val="16"/>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9" w:lineRule="exact"/>
        <w:rPr>
          <w:rFonts w:ascii="Arial" w:cs="Arial" w:eastAsia="Arial" w:hAnsi="Arial"/>
          <w:sz w:val="16"/>
          <w:szCs w:val="16"/>
          <w:color w:val="auto"/>
        </w:rPr>
      </w:pPr>
    </w:p>
    <w:p>
      <w:pPr>
        <w:ind w:left="460" w:right="160" w:firstLine="443"/>
        <w:spacing w:after="0" w:line="306" w:lineRule="auto"/>
        <w:tabs>
          <w:tab w:leader="none" w:pos="114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the Note Guarantees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the Note Guarantees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Anyone who receives this offering memorandum may obtain a copy of the Indenture, the Collateral Documents and the registration rights agreement without charge by writing to Wynn Las Vegas, LLC, 3131 Las Vegas Boulevard South, Las Vegas, NV 89109, Attention: Legal Department.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1020" w:firstLine="456"/>
        <w:spacing w:after="0" w:line="268" w:lineRule="auto"/>
        <w:rPr>
          <w:sz w:val="20"/>
          <w:szCs w:val="20"/>
          <w:color w:val="auto"/>
        </w:rPr>
      </w:pPr>
      <w:r>
        <w:rPr>
          <w:rFonts w:ascii="Arial" w:cs="Arial" w:eastAsia="Arial" w:hAnsi="Arial"/>
          <w:sz w:val="18"/>
          <w:szCs w:val="18"/>
          <w:color w:val="auto"/>
        </w:rPr>
        <w:t>The new notes will be issued in the form of one or more notes in global form (the “Global Notes”). The new notes will be issued in minimum denominations of $2,000 and integral multiples of $1,000 in excess thereof.</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Global Notes will be deposited upon issuance with the trustee as custodian for DTC, in New York, New York, and registered in the name of DTC or its nominee (such nominee being referred to as the “Global Note Holder”), in each case, for credit to an account of a direct or indirect participant in DTC as described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4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12" w:lineRule="exact"/>
        <w:rPr>
          <w:sz w:val="20"/>
          <w:szCs w:val="20"/>
          <w:color w:val="auto"/>
        </w:rPr>
      </w:pPr>
    </w:p>
    <w:p>
      <w:pPr>
        <w:ind w:right="28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ind w:left="460" w:right="40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Global Notes for Certificated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Certificated Notes for Global Notes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 Day Settlement and Payment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and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The PORTAL Alliance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2014 Notes</w:t>
      </w:r>
      <w:r>
        <w:rPr>
          <w:rFonts w:ascii="Arial" w:cs="Arial" w:eastAsia="Arial" w:hAnsi="Arial"/>
          <w:sz w:val="18"/>
          <w:szCs w:val="18"/>
          <w:color w:val="auto"/>
        </w:rPr>
        <w:t xml:space="preserve">” means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2017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issued by the Issuers.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2020 Notes</w:t>
      </w:r>
      <w:r>
        <w:rPr>
          <w:rFonts w:ascii="Arial" w:cs="Arial" w:eastAsia="Arial" w:hAnsi="Arial"/>
          <w:sz w:val="18"/>
          <w:szCs w:val="18"/>
          <w:color w:val="auto"/>
        </w:rPr>
        <w:t xml:space="preserve">” means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issued by the Issuers.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December 14, 2004,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00" w:firstLine="443"/>
        <w:spacing w:after="0" w:line="259"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Art Rental and Licensing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171"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principal amount of $42.0 million.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“Permitted Dispositions”):</w:t>
      </w:r>
    </w:p>
    <w:p>
      <w:pPr>
        <w:spacing w:after="0" w:line="51" w:lineRule="exact"/>
        <w:rPr>
          <w:sz w:val="20"/>
          <w:szCs w:val="20"/>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720" w:firstLine="443"/>
        <w:spacing w:after="0" w:line="332" w:lineRule="auto"/>
        <w:tabs>
          <w:tab w:leader="none" w:pos="114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40" w:firstLine="443"/>
        <w:spacing w:after="0" w:line="332" w:lineRule="auto"/>
        <w:tabs>
          <w:tab w:leader="none" w:pos="123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80" w:firstLine="443"/>
        <w:spacing w:after="0" w:line="305" w:lineRule="auto"/>
        <w:tabs>
          <w:tab w:leader="none" w:pos="1228"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w:t>
      </w:r>
    </w:p>
    <w:p>
      <w:pPr>
        <w:ind w:left="460" w:right="60" w:firstLine="4"/>
        <w:spacing w:after="0" w:line="261" w:lineRule="auto"/>
        <w:tabs>
          <w:tab w:leader="none" w:pos="7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2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firstLine="443"/>
        <w:spacing w:after="0" w:line="256" w:lineRule="auto"/>
        <w:tabs>
          <w:tab w:leader="none" w:pos="12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“Attributable Debt</w:t>
      </w:r>
      <w:r>
        <w:rPr>
          <w:rFonts w:ascii="Arial" w:cs="Arial" w:eastAsia="Arial" w:hAnsi="Arial"/>
          <w:sz w:val="16"/>
          <w:szCs w:val="16"/>
          <w:color w:val="auto"/>
        </w:rPr>
        <w:t>” in respect of a sale and leaseback transaction means, at the time of determination, the present value of the obligation of the lessee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(provided that the full faith and credit of the United States is pledged in support of those securities) having maturities of not more than six months from the date of acquisition;</w:t>
      </w:r>
    </w:p>
    <w:p>
      <w:pPr>
        <w:spacing w:after="0" w:line="59" w:lineRule="exact"/>
        <w:rPr>
          <w:rFonts w:ascii="Arial" w:cs="Arial" w:eastAsia="Arial" w:hAnsi="Arial"/>
          <w:sz w:val="18"/>
          <w:szCs w:val="18"/>
          <w:color w:val="auto"/>
        </w:rPr>
      </w:pPr>
    </w:p>
    <w:p>
      <w:pPr>
        <w:ind w:left="460" w:right="18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20" w:firstLine="443"/>
        <w:spacing w:after="0" w:line="268"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180" w:firstLine="443"/>
        <w:spacing w:after="0" w:line="306"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180" w:firstLine="421"/>
        <w:spacing w:after="0" w:line="259" w:lineRule="auto"/>
        <w:tabs>
          <w:tab w:leader="none" w:pos="157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firstLine="421"/>
        <w:spacing w:after="0" w:line="290" w:lineRule="auto"/>
        <w:tabs>
          <w:tab w:leader="none" w:pos="1588"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UEC,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UEC and Aruze USA or (B) otherwise remain the direct or indirect Beneficial Owners of the Voting Stock of Wynn Resorts held by UEC)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w:t>
      </w:r>
    </w:p>
    <w:p>
      <w:pPr>
        <w:spacing w:after="0" w:line="113" w:lineRule="exact"/>
        <w:rPr>
          <w:rFonts w:ascii="Arial" w:cs="Arial" w:eastAsia="Arial" w:hAnsi="Arial"/>
          <w:sz w:val="16"/>
          <w:szCs w:val="16"/>
          <w:color w:val="auto"/>
        </w:rPr>
      </w:pPr>
    </w:p>
    <w:p>
      <w:pPr>
        <w:ind w:left="460" w:right="80" w:firstLine="443"/>
        <w:spacing w:after="0" w:line="291"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39" w:lineRule="exact"/>
        <w:rPr>
          <w:rFonts w:ascii="Arial" w:cs="Arial" w:eastAsia="Arial" w:hAnsi="Arial"/>
          <w:sz w:val="16"/>
          <w:szCs w:val="16"/>
          <w:color w:val="auto"/>
        </w:rPr>
      </w:pPr>
    </w:p>
    <w:p>
      <w:pPr>
        <w:ind w:left="460" w:right="84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2014 Notes to the extent any of the 2014 Notes are then outstanding;</w:t>
      </w:r>
    </w:p>
    <w:p>
      <w:pPr>
        <w:spacing w:after="0" w:line="50" w:lineRule="exact"/>
        <w:rPr>
          <w:rFonts w:ascii="Arial" w:cs="Arial" w:eastAsia="Arial" w:hAnsi="Arial"/>
          <w:sz w:val="18"/>
          <w:szCs w:val="18"/>
          <w:color w:val="auto"/>
        </w:rPr>
      </w:pPr>
    </w:p>
    <w:p>
      <w:pPr>
        <w:ind w:left="460" w:right="84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2017 Notes to the extent any of the 2017 Notes are then outstanding; or</w:t>
      </w:r>
    </w:p>
    <w:p>
      <w:pPr>
        <w:spacing w:after="0" w:line="50" w:lineRule="exact"/>
        <w:rPr>
          <w:rFonts w:ascii="Arial" w:cs="Arial" w:eastAsia="Arial" w:hAnsi="Arial"/>
          <w:sz w:val="18"/>
          <w:szCs w:val="18"/>
          <w:color w:val="auto"/>
        </w:rPr>
      </w:pPr>
    </w:p>
    <w:p>
      <w:pPr>
        <w:ind w:left="460" w:right="840" w:firstLine="443"/>
        <w:spacing w:after="0" w:line="268"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event constituting a “change of control” under the indenture governing the 2020 Notes to the extent any of the 2020 Notes are then outstanding.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jc w:val="both"/>
        <w:ind w:left="460" w:right="240" w:firstLine="443"/>
        <w:spacing w:after="0" w:line="259" w:lineRule="auto"/>
        <w:tabs>
          <w:tab w:leader="none" w:pos="114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specified Person for any period, the Consolidated Net Income of such Person for such period plus, without duplication:</w:t>
      </w:r>
    </w:p>
    <w:p>
      <w:pPr>
        <w:spacing w:after="0" w:line="51" w:lineRule="exact"/>
        <w:rPr>
          <w:sz w:val="20"/>
          <w:szCs w:val="20"/>
          <w:color w:val="auto"/>
        </w:rPr>
      </w:pPr>
    </w:p>
    <w:p>
      <w:pPr>
        <w:ind w:left="460" w:right="24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provision for taxes based on income or profits or the Tax Amount of such Person and its Restricted Subsidiaries for such period, to the extent that such provision for taxes or Tax Amount was included in computing such Consolidated Net Income; plus</w:t>
      </w:r>
    </w:p>
    <w:p>
      <w:pPr>
        <w:spacing w:after="0" w:line="50" w:lineRule="exact"/>
        <w:rPr>
          <w:rFonts w:ascii="Arial" w:cs="Arial" w:eastAsia="Arial" w:hAnsi="Arial"/>
          <w:sz w:val="18"/>
          <w:szCs w:val="18"/>
          <w:color w:val="auto"/>
        </w:rPr>
      </w:pPr>
    </w:p>
    <w:p>
      <w:pPr>
        <w:jc w:val="both"/>
        <w:ind w:left="460" w:right="140" w:firstLine="443"/>
        <w:spacing w:after="0" w:line="256"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charges incurred in respect of letter of credit or bankers’ acceptance financings, and net of the effect of all payments made or received pursuant to Hedging Obligations), to the extent that any such expense was deducted in computing such Consolidated Net Income; plus</w:t>
      </w:r>
    </w:p>
    <w:p>
      <w:pPr>
        <w:spacing w:after="0" w:line="51" w:lineRule="exact"/>
        <w:rPr>
          <w:sz w:val="20"/>
          <w:szCs w:val="20"/>
          <w:color w:val="auto"/>
        </w:rPr>
      </w:pPr>
    </w:p>
    <w:p>
      <w:pPr>
        <w:ind w:left="460" w:right="120" w:firstLine="443"/>
        <w:spacing w:after="0" w:line="298" w:lineRule="auto"/>
        <w:tabs>
          <w:tab w:leader="none" w:pos="1147"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plus</w:t>
      </w:r>
    </w:p>
    <w:p>
      <w:pPr>
        <w:spacing w:after="0" w:line="31" w:lineRule="exact"/>
        <w:rPr>
          <w:rFonts w:ascii="Arial" w:cs="Arial" w:eastAsia="Arial" w:hAnsi="Arial"/>
          <w:sz w:val="16"/>
          <w:szCs w:val="16"/>
          <w:color w:val="auto"/>
        </w:rPr>
      </w:pPr>
    </w:p>
    <w:p>
      <w:pPr>
        <w:ind w:left="460" w:right="38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pre-opening expenses, to the extent such pre-opening expenses were deducted in calculating Consolidated Net Income on a consolidated basis; 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non-cash items reducing Consolidated Net Income for such period; minus</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287" w:lineRule="auto"/>
        <w:tabs>
          <w:tab w:leader="none" w:pos="23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60" w:firstLine="443"/>
        <w:spacing w:after="0" w:line="259"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firstLine="443"/>
        <w:spacing w:after="0" w:line="256"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00" w:firstLine="443"/>
        <w:spacing w:after="0" w:line="268" w:lineRule="auto"/>
        <w:tabs>
          <w:tab w:leader="none" w:pos="114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Subsidiaries as of such date; plus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December 14, 2004, among Wynn Show Performers, the securities intermediary named therein and the collateral agent, (2) the Control Agreement, dated as of December 14, 2004, among Wynn Las Vegas, the securities intermediary named therein and the collateral agent, (3) the Control Agreement, dated as of December 14, 2004, among Las Vegas Jet, LLC, the securities intermediary named therein and the collateral agent, each as amended, modified or otherwise supplemented from time to time in accordance with its terms, the Indenture and the other Collateral Documents and (4) the Collateral Account Control Agreement, dated as of September 18, 2008, among Wynn Las Vegas, the securities intermediary named therein and the collateral agent.</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Amended and Restated Credit Agreement, dated as of August 15, 2006,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Societe Generale,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Dealership Lease Agreement</w:t>
      </w:r>
      <w:r>
        <w:rPr>
          <w:rFonts w:ascii="Arial" w:cs="Arial" w:eastAsia="Arial" w:hAnsi="Arial"/>
          <w:sz w:val="16"/>
          <w:szCs w:val="16"/>
          <w:color w:val="auto"/>
        </w:rPr>
        <w:t>” means the Dealership Lease Agreement, dated as of January 13, 2005, between Wynn Las Vegas, as lessor, and PW Automotive, LLC, as lessee, with respect to the lease of space at the Wynn Las Vegas Resort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Deeds of Trust</w:t>
      </w:r>
      <w:r>
        <w:rPr>
          <w:rFonts w:ascii="Arial" w:cs="Arial" w:eastAsia="Arial" w:hAnsi="Arial"/>
          <w:sz w:val="16"/>
          <w:szCs w:val="16"/>
          <w:color w:val="auto"/>
        </w:rPr>
        <w:t>” means the deeds of trust entered into by the Issuers and the Guarantors, from time to time for the benefit of the collateral agent to secure the obligations under the Indenture and the Notes in accordance with the provisions of the Indenture and the Collateral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Amended and Restated Master Disbursement Agreement, dated as of October 25, 2007, among Wynn Las Vegas,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Wynn Las Vegas hotel and casino resort and connected directly to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hotel.</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and Aruze, USA, Inc.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xml:space="preserve">”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59"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 xml:space="preserve">and including increases in ownership of Restricted Subsidiaries, during the four- quarter reference period or subsequent to such reference period and on or prior to the Calculation Date will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(in accordance with Regulation S-X under the Securities Act) as if they had occurred on the first day of the four-quarter reference period;</w:t>
      </w:r>
    </w:p>
    <w:p>
      <w:pPr>
        <w:spacing w:after="0" w:line="59" w:lineRule="exact"/>
        <w:rPr>
          <w:sz w:val="20"/>
          <w:szCs w:val="20"/>
          <w:color w:val="auto"/>
        </w:rPr>
      </w:pPr>
    </w:p>
    <w:p>
      <w:pPr>
        <w:ind w:left="460" w:right="14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80" w:firstLine="443"/>
        <w:spacing w:after="0" w:line="306"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2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4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consolidated interest expense of such Person and its Restricted Subsidiaries that was capitalized during such period; 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interest on Indebtedness of another Person that is guaranteed by such Person or one of its Restricted Subsidiaries or secured by a Lien on assets of such Person or one of its Restricted Subsidiaries, whether or not such Guarantee or Lien is called upon; 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 or Guarantors.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 or Guarantor.</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or Guarantors is, or may be, at any time subject.</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the Restricted Subsidiaries or Guarantors.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December 14, 2004,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firstLine="443"/>
        <w:spacing w:after="0" w:line="312" w:lineRule="auto"/>
        <w:tabs>
          <w:tab w:leader="none" w:pos="114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90" w:lineRule="exact"/>
        <w:rPr>
          <w:sz w:val="20"/>
          <w:szCs w:val="20"/>
          <w:color w:val="auto"/>
        </w:rPr>
      </w:pPr>
    </w:p>
    <w:p>
      <w:pPr>
        <w:ind w:left="460" w:right="400" w:firstLine="443"/>
        <w:spacing w:after="0" w:line="268" w:lineRule="auto"/>
        <w:tabs>
          <w:tab w:leader="none" w:pos="114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5"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other Person that provides a Guarantee by executing a supplemental indenture in accordance with the provisions of the Indenture, 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50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w:t>
      </w:r>
      <w:r>
        <w:rPr>
          <w:rFonts w:ascii="Arial" w:cs="Arial" w:eastAsia="Arial" w:hAnsi="Arial"/>
          <w:sz w:val="16"/>
          <w:szCs w:val="16"/>
          <w:i w:val="1"/>
          <w:iCs w:val="1"/>
          <w:color w:val="auto"/>
        </w:rPr>
        <w:t>holder</w:t>
      </w:r>
      <w:r>
        <w:rPr>
          <w:rFonts w:ascii="Arial" w:cs="Arial" w:eastAsia="Arial" w:hAnsi="Arial"/>
          <w:sz w:val="16"/>
          <w:szCs w:val="16"/>
          <w:color w:val="auto"/>
        </w:rPr>
        <w:t>” means any registered holder, from time to time, of the Notes. Only registered holders will have any rights under the Indenture.</w:t>
      </w:r>
    </w:p>
    <w:p>
      <w:pPr>
        <w:spacing w:after="0" w:line="19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 Release of Portions of the Golf Course Land.”</w:t>
      </w:r>
    </w:p>
    <w:p>
      <w:pPr>
        <w:spacing w:after="0" w:line="140"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Intercreditor Agreement</w:t>
      </w:r>
      <w:r>
        <w:rPr>
          <w:rFonts w:ascii="Arial" w:cs="Arial" w:eastAsia="Arial" w:hAnsi="Arial"/>
          <w:sz w:val="15"/>
          <w:szCs w:val="15"/>
          <w:color w:val="auto"/>
        </w:rPr>
        <w:t>” means the Intercreditor Agreement, dated as of December 14, 2004, among the trustee for the 2014 Notes, the trustee for the 2017 Notes, the trustee for the 2020 Notes, the trustee for the Notes, the administrative agent under the Credit Agreement, the collateral agent and the other parties thereto from time to time, as such agreement may be amended, modified, restated or supplemented in accordance with the terms of the Indenture.</w:t>
      </w:r>
    </w:p>
    <w:p>
      <w:pPr>
        <w:spacing w:after="0" w:line="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is used for employee parking and other ancillary uses.</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 entered into in connection with the exchange offering.</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December 14, 2004,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Macau Project</w:t>
      </w:r>
      <w:r>
        <w:rPr>
          <w:rFonts w:ascii="Arial" w:cs="Arial" w:eastAsia="Arial" w:hAnsi="Arial"/>
          <w:sz w:val="16"/>
          <w:szCs w:val="16"/>
          <w:color w:val="auto"/>
        </w:rPr>
        <w:t>” means the casino and hotel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 together with the Encore project adjacent thereto.</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December 14, 2004,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Guarantors and the trustee.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Income</w:t>
      </w:r>
      <w:r>
        <w:rPr>
          <w:rFonts w:ascii="Arial" w:cs="Arial" w:eastAsia="Arial" w:hAnsi="Arial"/>
          <w:sz w:val="16"/>
          <w:szCs w:val="16"/>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and to the same extent that such amounts would have been included in the calculation of net income if incurred by Wynn Las Vegas directly, excluding (to the extent previously taken into account in computing net income), however:</w:t>
      </w:r>
    </w:p>
    <w:p>
      <w:pPr>
        <w:spacing w:after="0" w:line="51" w:lineRule="exact"/>
        <w:rPr>
          <w:sz w:val="20"/>
          <w:szCs w:val="20"/>
          <w:color w:val="auto"/>
        </w:rPr>
      </w:pPr>
    </w:p>
    <w:p>
      <w:pPr>
        <w:jc w:val="both"/>
        <w:ind w:left="460" w:right="40" w:firstLine="443"/>
        <w:spacing w:after="0" w:line="259"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the Tax Amount on such extraordinary gain (or loss).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80" w:firstLine="443"/>
        <w:spacing w:after="0" w:line="268"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68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320" w:firstLine="443"/>
        <w:spacing w:after="0" w:line="268" w:lineRule="auto"/>
        <w:tabs>
          <w:tab w:leader="none" w:pos="114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as to which neither Wynn Las Vegas nor any of its Restricted Subsidiaries (a) provides credit support of any kind (including any undertaking, agreement or instrument that would constitute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Indebtedness) (other than a pledge of the Equity Interests of the Unrestricted Subsidiary that is an obligor with respect to such Indebtedness), (b) is directly or indirectly liable as a guarantor or otherwise, or (c) constitutes the lender;</w:t>
      </w:r>
    </w:p>
    <w:p>
      <w:pPr>
        <w:spacing w:after="0" w:line="51" w:lineRule="exact"/>
        <w:rPr>
          <w:sz w:val="20"/>
          <w:szCs w:val="20"/>
          <w:color w:val="auto"/>
        </w:rPr>
      </w:pPr>
    </w:p>
    <w:p>
      <w:pPr>
        <w:ind w:left="460" w:right="280" w:firstLine="443"/>
        <w:spacing w:after="0" w:line="256"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means any Indebtedness, other than Indebtedness incurred under the Credit Agreement, that is pari passu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60" w:firstLine="4"/>
        <w:spacing w:after="0" w:line="302" w:lineRule="auto"/>
        <w:tabs>
          <w:tab w:leader="none" w:pos="719"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60" w:firstLine="443"/>
        <w:spacing w:after="0" w:line="268"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right="20" w:firstLine="443"/>
        <w:spacing w:after="0" w:line="306" w:lineRule="auto"/>
        <w:tabs>
          <w:tab w:leader="none" w:pos="1147"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jc w:val="both"/>
        <w:ind w:left="460" w:right="240" w:firstLine="4"/>
        <w:spacing w:after="0" w:line="255" w:lineRule="auto"/>
        <w:tabs>
          <w:tab w:leader="none" w:pos="69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380" w:firstLine="443"/>
        <w:spacing w:after="0" w:line="306" w:lineRule="auto"/>
        <w:tabs>
          <w:tab w:leader="none" w:pos="1147" w:val="left"/>
        </w:tabs>
        <w:numPr>
          <w:ilvl w:val="1"/>
          <w:numId w:val="184"/>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9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20" w:firstLine="443"/>
        <w:spacing w:after="0" w:line="332" w:lineRule="auto"/>
        <w:tabs>
          <w:tab w:leader="none" w:pos="122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Investments held by a Person in a third Person at the time such Person is acquired by Wynn Las Vegas or any Restricted Subsidiary of Wynn Las Vegas; provided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23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306"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Liens on property of a Person existing at the time such Person is merged into or consolidated with Wynn Las Vegas or any of the Restricted Subsidiaries, provided such Liens were in existence prior to the contemplation of such merger or consolidation and do not extend to any assets other than those of the Person merged into or consolidated with Wynn Las Vegas or any of the Restricted Subsidiaries;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in favor of Wynn Las Vegas or any of the Restricted Subsidiaries, provided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or any of the Restricted Subsidiaries (other than materials or supplies acquired in connection with developing, constructing, expanding or equipping of the Projects), provided such Liens were in existence prior to the contemplation of such acquisition;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w:t>
      </w:r>
    </w:p>
    <w:p>
      <w:pPr>
        <w:spacing w:after="0" w:line="90" w:lineRule="exact"/>
        <w:rPr>
          <w:rFonts w:ascii="Arial" w:cs="Arial" w:eastAsia="Arial" w:hAnsi="Arial"/>
          <w:sz w:val="18"/>
          <w:szCs w:val="18"/>
          <w:color w:val="auto"/>
        </w:rPr>
      </w:pPr>
    </w:p>
    <w:p>
      <w:pPr>
        <w:ind w:left="460" w:right="120" w:firstLine="443"/>
        <w:spacing w:after="0" w:line="256"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20" w:firstLine="443"/>
        <w:spacing w:after="0" w:line="255"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Liens on the Collateral created by the Indenture and the Collateral Documents securing the Indebtedness and other Obligations under the Indenture and the Collateral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Covenants—Incurrence of Indebtedness and Issuance of Disqualified Stock”;</w:t>
      </w:r>
    </w:p>
    <w:p>
      <w:pPr>
        <w:spacing w:after="0" w:line="61"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40" w:firstLine="443"/>
        <w:spacing w:after="0" w:line="259" w:lineRule="auto"/>
        <w:tabs>
          <w:tab w:leader="none" w:pos="12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9"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920" w:right="340" w:firstLine="421"/>
        <w:spacing w:after="0" w:line="268" w:lineRule="auto"/>
        <w:tabs>
          <w:tab w:leader="none" w:pos="157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Permitted Refinancing Indebtedness being incurred is secured by a Lien of equivalent or lesser priority than the Indebtedness being refinanced, and</w:t>
      </w:r>
    </w:p>
    <w:p>
      <w:pPr>
        <w:spacing w:after="0" w:line="50" w:lineRule="exact"/>
        <w:rPr>
          <w:rFonts w:ascii="Arial" w:cs="Arial" w:eastAsia="Arial" w:hAnsi="Arial"/>
          <w:sz w:val="18"/>
          <w:szCs w:val="18"/>
          <w:color w:val="auto"/>
        </w:rPr>
      </w:pPr>
    </w:p>
    <w:p>
      <w:pPr>
        <w:ind w:left="920" w:right="300" w:firstLine="421"/>
        <w:spacing w:after="0" w:line="259"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60" w:firstLine="443"/>
        <w:spacing w:after="0" w:line="298" w:lineRule="auto"/>
        <w:tabs>
          <w:tab w:leader="none" w:pos="12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(17)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32" w:lineRule="auto"/>
        <w:tabs>
          <w:tab w:leader="none" w:pos="123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1240" w:hanging="337"/>
        <w:spacing w:after="0"/>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90" w:lineRule="exact"/>
        <w:rPr>
          <w:rFonts w:ascii="Arial" w:cs="Arial" w:eastAsia="Arial" w:hAnsi="Arial"/>
          <w:sz w:val="18"/>
          <w:szCs w:val="18"/>
          <w:color w:val="auto"/>
        </w:rPr>
      </w:pPr>
    </w:p>
    <w:p>
      <w:pPr>
        <w:ind w:left="460" w:right="680" w:firstLine="443"/>
        <w:spacing w:after="0" w:line="268" w:lineRule="auto"/>
        <w:tabs>
          <w:tab w:leader="none" w:pos="12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100" w:firstLine="443"/>
        <w:spacing w:after="0" w:line="305" w:lineRule="auto"/>
        <w:tabs>
          <w:tab w:leader="none" w:pos="1235" w:val="left"/>
        </w:tabs>
        <w:numPr>
          <w:ilvl w:val="1"/>
          <w:numId w:val="190"/>
        </w:numPr>
        <w:rPr>
          <w:rFonts w:ascii="Arial" w:cs="Arial" w:eastAsia="Arial" w:hAnsi="Arial"/>
          <w:sz w:val="15"/>
          <w:szCs w:val="15"/>
          <w:color w:val="auto"/>
        </w:rPr>
      </w:pPr>
      <w:r>
        <w:rPr>
          <w:rFonts w:ascii="Arial" w:cs="Arial" w:eastAsia="Arial" w:hAnsi="Arial"/>
          <w:sz w:val="15"/>
          <w:szCs w:val="15"/>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w:t>
      </w:r>
    </w:p>
    <w:p>
      <w:pPr>
        <w:ind w:left="460"/>
        <w:spacing w:after="0"/>
        <w:rPr>
          <w:rFonts w:ascii="Arial" w:cs="Arial" w:eastAsia="Arial" w:hAnsi="Arial"/>
          <w:sz w:val="15"/>
          <w:szCs w:val="15"/>
          <w:color w:val="auto"/>
        </w:rPr>
      </w:pPr>
      <w:r>
        <w:rPr>
          <w:rFonts w:ascii="Arial" w:cs="Arial" w:eastAsia="Arial" w:hAnsi="Arial"/>
          <w:sz w:val="16"/>
          <w:szCs w:val="16"/>
          <w:color w:val="auto"/>
        </w:rPr>
        <w:t>— Incurrence of Indebtedness and Issuance of Disqualified Stock” which liens may be of equal or lesser priority as the liens securing the Notes;</w:t>
      </w:r>
    </w:p>
    <w:p>
      <w:pPr>
        <w:spacing w:after="0" w:line="106" w:lineRule="exact"/>
        <w:rPr>
          <w:rFonts w:ascii="Arial" w:cs="Arial" w:eastAsia="Arial" w:hAnsi="Arial"/>
          <w:sz w:val="15"/>
          <w:szCs w:val="15"/>
          <w:color w:val="auto"/>
        </w:rPr>
      </w:pPr>
    </w:p>
    <w:p>
      <w:pPr>
        <w:jc w:val="both"/>
        <w:ind w:left="460" w:right="40" w:firstLine="443"/>
        <w:spacing w:after="0" w:line="298" w:lineRule="auto"/>
        <w:tabs>
          <w:tab w:leader="none" w:pos="123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provided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ind w:left="460" w:right="420" w:firstLine="443"/>
        <w:spacing w:after="0" w:line="259" w:lineRule="auto"/>
        <w:tabs>
          <w:tab w:leader="none" w:pos="12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(16)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2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not specified in clauses (1) through (26)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[intentionally omitted]; and</w:t>
      </w:r>
    </w:p>
    <w:p>
      <w:pPr>
        <w:spacing w:after="0" w:line="90" w:lineRule="exact"/>
        <w:rPr>
          <w:rFonts w:ascii="Arial" w:cs="Arial" w:eastAsia="Arial" w:hAnsi="Arial"/>
          <w:sz w:val="18"/>
          <w:szCs w:val="18"/>
          <w:color w:val="auto"/>
        </w:rPr>
      </w:pPr>
    </w:p>
    <w:p>
      <w:pPr>
        <w:jc w:val="both"/>
        <w:ind w:left="460" w:right="340" w:firstLine="443"/>
        <w:spacing w:after="0" w:line="259" w:lineRule="auto"/>
        <w:tabs>
          <w:tab w:leader="none" w:pos="1235" w:val="left"/>
        </w:tabs>
        <w:numPr>
          <w:ilvl w:val="1"/>
          <w:numId w:val="190"/>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6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firstLine="443"/>
        <w:spacing w:after="0" w:line="298"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60" w:firstLine="443"/>
        <w:spacing w:after="0" w:line="332" w:lineRule="auto"/>
        <w:tabs>
          <w:tab w:leader="none" w:pos="11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60" w:firstLine="443"/>
        <w:spacing w:after="0" w:line="268"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Land</w:t>
      </w:r>
      <w:r>
        <w:rPr>
          <w:rFonts w:ascii="Arial" w:cs="Arial" w:eastAsia="Arial" w:hAnsi="Arial"/>
          <w:sz w:val="16"/>
          <w:szCs w:val="16"/>
          <w:color w:val="auto"/>
        </w:rPr>
        <w:t>” means that portion of the Project Site described in an exhibit to the Disbursement Agreement, as in effect on the date of the Indenture, together with all improvements thereon and all rights appurtenant thereto on which the Wynn Las Vegas Resort is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w:t>
      </w:r>
      <w:r>
        <w:rPr>
          <w:rFonts w:ascii="Arial" w:cs="Arial" w:eastAsia="Arial" w:hAnsi="Arial"/>
          <w:sz w:val="18"/>
          <w:szCs w:val="18"/>
          <w:i w:val="1"/>
          <w:iCs w:val="1"/>
          <w:color w:val="auto"/>
        </w:rPr>
        <w:t>e.g.</w:t>
      </w:r>
      <w:r>
        <w:rPr>
          <w:rFonts w:ascii="Arial" w:cs="Arial" w:eastAsia="Arial" w:hAnsi="Arial"/>
          <w:sz w:val="18"/>
          <w:szCs w:val="18"/>
          <w:color w:val="auto"/>
        </w:rPr>
        <w:t xml:space="preserve"> ordinary income or long term capital gain) shall be taken into account.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Golf Course Lease,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Wynn Las Vegas Resort and Encore at Wynn Las Vegas.</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or preferred stock (other than Disqualified Stock) of Wynn Resorts, or of securities convertible into, or exchangeable for, such common stock or preferred stock (other than Disqualified Stock) which results in gross proceeds to Wynn Resorts of at least $50.0 million, to the extent that such gross receipts are contributed as a cash capital contribution to Wynn Las Vegas.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Wynn Las Vegas Resort, Encore at Wynn Las Vegas and the Macau Project shall count as separate projects.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Assets</w:t>
      </w:r>
      <w:r>
        <w:rPr>
          <w:rFonts w:ascii="Arial" w:cs="Arial" w:eastAsia="Arial" w:hAnsi="Arial"/>
          <w:sz w:val="18"/>
          <w:szCs w:val="18"/>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jc w:val="both"/>
        <w:ind w:left="460" w:right="80" w:firstLine="443"/>
        <w:spacing w:after="0" w:line="259"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Pledge and Security Agreement, dated as of the date of the Indenture, among the Issuers, the Restricted Subsidiaries, Wynn Resorts Holdings and the collateral agent to secure the obligations of the Issuers, the Restricted Subsidiaries and Wynn Resorts Holdings under the Indenture and the Notes, and</w:t>
      </w:r>
    </w:p>
    <w:p>
      <w:pPr>
        <w:spacing w:after="0" w:line="59"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December 14, 2004,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Stockholders Agreement</w:t>
      </w:r>
      <w:r>
        <w:rPr>
          <w:rFonts w:ascii="Arial" w:cs="Arial" w:eastAsia="Arial" w:hAnsi="Arial"/>
          <w:sz w:val="16"/>
          <w:szCs w:val="16"/>
          <w:color w:val="auto"/>
        </w:rPr>
        <w:t>” means that certain Amended and Restated Stockholders Agreement, dated as of January 6, 2010, by and among Stephen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Elaine P. Wynn and Aruze USA, as in effect on the date of the Indenture.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60" w:firstLine="443"/>
        <w:spacing w:after="0" w:line="298"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firstLine="443"/>
        <w:spacing w:after="0" w:line="332"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4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 (2) 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UEC</w:t>
      </w:r>
      <w:r>
        <w:rPr>
          <w:rFonts w:ascii="Arial" w:cs="Arial" w:eastAsia="Arial" w:hAnsi="Arial"/>
          <w:sz w:val="18"/>
          <w:szCs w:val="18"/>
          <w:color w:val="auto"/>
        </w:rPr>
        <w:t>” means Universal Entertainment Corporation, a Japanese public corporation.</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the Completion Guarantor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198"/>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 Incurrence of Indebtedness and Issuance of Disqualified Stock,”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if such designation had occurred at the beginning of the four-quarter reference period and (2) no Default or Event of Default would be in existence following such designation.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December 14, 2004,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 Resort</w:t>
      </w:r>
      <w:r>
        <w:rPr>
          <w:rFonts w:ascii="Arial" w:cs="Arial" w:eastAsia="Arial" w:hAnsi="Arial"/>
          <w:sz w:val="18"/>
          <w:szCs w:val="18"/>
          <w:color w:val="auto"/>
        </w:rPr>
        <w:t>” means the Wynn Las Vegas hotel and casino resort.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00"/>
          </w:cols>
          <w:pgMar w:left="240" w:top="460" w:right="3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December 14, 2004, we entered into a credit agreement and related ancillary agreements for secured revolving credit and term loan facilities, which credit agreement was refinanced on August 15, 2006 with our amended and restated credit agreement and has since been amended. We entered into an amendment to our amended and restated credit agreement in connection with the issuance of the old notes as described under “Summary—Recent Developments —Cash Tender Offer for, and Redemption of, 2014 Notes.” As of September 10, 2010, after giving effect to the issuance of the old notes and the concurrent amendment of our credit facilities, reductions in our revolving credit commitments, conversions by lenders of term loans maturing in 2013 to term loans maturing in 2015 and conversions by lenders of revolving commitments maturing in 2013 to revolving commitments maturing in 2015, we had approximately $306.9 million of available undrawn commitments and approximately $414.9 million outstanding under our senior secured credit facility, consisting of approximately $44.3 million outstanding under the portion of our senior secured term loan credit facility maturing in 2013, approximately $330.6 million outstanding under the portion of our senior secured term loan credit facility maturing in 2015, approximately $5.1 million outstanding under the portion of our revolving credit facility maturing in 2013 and approximately $34.9 million outstanding under the portion of our revolving credit facility maturing in 2015.</w:t>
      </w:r>
    </w:p>
    <w:p>
      <w:pPr>
        <w:spacing w:after="0" w:line="12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purposes of calculating interest, loans under the credit facilities will be designated, at our election, as Eurodollar Loans or, in certain circumstances, Base Rate Loans.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Eurodollar Loans bear interest at the Eurodollar rate plus a borrowing margin of (x) 3.000% in the case of our revolving loans maturing in 2013 and, through June 30, 2013, our revolving loans and term loans maturing in 2015 and (y) 1.875% in the case of our term loans maturing in 2013. After June 30, 2013, for loans maturing in 2015, Eurodollar Loans will bear interest at the Eurodollar rate plus a borrowing margin determined pursuant to a pricing grid, such that, if our consolidated leverage ratio is equal to or less than 6 to 1, the borrowing margin added to the Eurodollar rate is 3.00%, if our consolidated leverage ratio is greater than 6 to 1 but equal to or less than 6.5 to 1 the borrowing margin added to the Eurodollar rate is 3.25%, and if our consolidated leverage ratio is greater than 6.5 to 1 the borrowing margin added to the Eurodollar rate is 3.5%, adjusted on each date that financial statements are delivered by us to the lenders pursuant to the credit agreement. Interest on Eurodollar Loans is payable at the end of the applicable interest period in the case of interest periods of one, two or three months, and every three months in the case of interest periods of six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Rate Loans bear interest at (a) the “base rate,” which is the greatest of (i) the rate most recently announced by Deutsche Bank as its “prime rate,”</w:t>
      </w:r>
    </w:p>
    <w:p>
      <w:pPr>
        <w:spacing w:after="0" w:line="38" w:lineRule="exact"/>
        <w:rPr>
          <w:sz w:val="20"/>
          <w:szCs w:val="20"/>
          <w:color w:val="auto"/>
        </w:rPr>
      </w:pPr>
    </w:p>
    <w:p>
      <w:pPr>
        <w:ind w:right="20" w:firstLine="8"/>
        <w:spacing w:after="0" w:line="287" w:lineRule="auto"/>
        <w:tabs>
          <w:tab w:leader="none" w:pos="258"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Federal Funds Rate plus 0.50% per annum and (iii) in the case of all loans (other than term loans maturing in 2013), the Eurodollar rate for a one month interest period plus 1.00%; plus, in each case (b) a borrowing margin of (x) 2.000% in the case of our revolving loans maturing in 2013 and, through June 30, 2013, our revolving loans and term loans maturing in 2015 and (y) 0.875% in the case of our term loans maturing in 2013. After June 30, 2013, for revolving loans and term loans maturing in 2015, Base Rate Loans will bear interest at the base rate plus a borrowing margin determined pursuant to a pricing grid, such that, if our consolidated leverage ratio is equal to or less than 6 to 1, the borrowing margin added to the base rate is 2.00%, if our consolidated leverage ratio is greater than 6 to 1 but equal to or less than 6.5 to 1 the borrowing margin added to the base rate is 2.25%, and if our consolidated leverage ratio is greater than 6.5 to 1 the borrowing margin added to the base rate is 2.5%, adjusted on each date that financial statements are delivered by us to the lenders pursuant to the credit agreement. Interest on Base Rate Loans is payable quarterly in arrears. We also pay, quarterly in arrears, a fee equal to 1.000% per annum on the daily average of unborrowed availability under the revolving facility.</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credit facilities are guaranteed by each of our subsidiaries, other than Wynn Completion Guarantor, LLC. Subject to the intercreditor agreement, and certain exceptions, our obligations and each of the guarantees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credit facilities are secured by: (1) a first priority pledge of all member’s interests owned by Wynn Las Vegas, LLC in its subsidiaries and Wynn Holdings’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credit facilities rank equal in right of payment with their existing and future senior indebtedness, including indebtedness with respect to the notes, the 2017 notes and the existing 2020 notes and ranks senior in right of payment to all of their existing and future subordinated indebtedness.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scheduled amortization payments, we are required to make mandatory prepayments of indebtedness under the credit facilities from a portion of the net proceeds of all debt offerings (other than those constituting certain permitted debt), the net proceeds from certain dispositions, the net proceeds from asset sales, insurance or condemnation proceeds, and liquidated damages under certain project documents received by us, in each case, with specified prepayment thresholds, exceptions and subject in certain cases to reinvestment periods. We are also required to make mandatory repayments of indebtedness under the credit facilities from 50% of excess cash flow, which percentage may be eliminated based on our leverage ratio. We have the option to prepay all or any portion of the indebtedness under the credit facilities at any time without premium or penalty.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our ability to: incur additional indebtedness, including guarantees; create, incur, assume or permit to exist liens on property and assets; declare or pay dividends and make distributions or restrict the ability of our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are required to maintain a Consolidated Interest Coverage Ratio of no less than 1.00 to 1 for the reporting periods ending September 30, 2010 through and including June 30, 2013, no less than 1.40 to 1 for the period ending September 30, 2013, and no less than 1.60 to 1 from and after December 31, 2013. Our management believes that Wynn Las Vegas, LLC was in compliance with such covenant as of June 30,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2017</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On October 19, 2009, we issued $500 million aggregate principal amount of 2017 notes at a price of 97.823% of the principal amount. The 2017 notes mature on November 1, 2017 and bear interest at the rate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per year. We pay interest on the 2017 notes on May 1st and November 1st of each year. Commencing November 1, 2013, the 2017 notes will become redeemable at our option at a price equal to 103.938% of the principal amount redeemed and declining ratably on November 1st of each year thereafter to 100.000% on or after November 1, 2015.</w:t>
      </w:r>
    </w:p>
    <w:p>
      <w:pPr>
        <w:spacing w:after="0" w:line="113"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indenture governing the 2017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2017 notes are our obligations, guaranteed by each of our subsidiaries, other than Wynn Completion Guarantor, LLC. Wynn Resorts does not guarantee our obligations under the 2017 notes. Subject to the intercreditor agreement and certain exceptions, the 2017 notes and the guarantees thereof are secured by: (1) a first priority pledge of all of the member’s interests owned by Wynn Las Vegas, LLC in its subsidiaries and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2017 notes rank equal to the right of payment with our existing and future senior secured indebtedness, including indebtedness with respect to our credit facilities described above, the existing 2020 notes, the old notes and the new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7</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On April 28, 2010, we issued $382,010,000 aggregate principal amount of existing 2020 notes in exchange for 2014 notes. The existing 2020 notes mature on May 1, 2020 and bear interest at the rate of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 We pay interest on the existing 2020 notes on May 1st and November 1st of each year. Commencing May 1, 2015, the existing 2020 notes will become redeemable at our option at a price equal to 103.938% of the principal amount redeemed and declining ratably on May 1st of each year thereafter to 100.000% on or after May 1, 2018.</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indenture governing the existing 2020 notes contains covenants limiting our ability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existing 2020 notes are our obligations, guaranteed by each of our subsidiaries, other than Wynn Completion Guarantor, LLC. Wynn Resorts does not guarantee our obligations under the existing 2020 notes.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intercreditor agreement and certain exceptions, the existing 2020 notes and the guarantees thereof are secured by: (1) a first priority pledge of all of the member’s interests owned by Wynn Las Vegas, LLC in its subsidiaries and of 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existing 2020 notes rank equal to the right of payment with our existing and future senior secured indebtedness, including indebtedness with respect to our credit facilities described above, the 2017 notes, the old notes and the new notes, and rank senior in right of payment to all of our existing and future subordinated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First Mortgage Notes due 2020</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On August 4, 2010, we issued $1,320,000,000 aggregate principal amount of old notes. The old notes mature on August 15, 2020 and bear interest at the rate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year. We pay interest on the old notes on February 15th and August 15th of each year. Commencing August 15, 2015, the old notes will become redeemable at our option at a price equal to 107.75% of the principal amount redeemed and declining ratably on August 15th of each year thereafter to 100.000% on or after August 15, 2018.</w:t>
      </w:r>
    </w:p>
    <w:p>
      <w:pPr>
        <w:spacing w:after="0" w:line="143"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indenture governing the old notes contains covenants limiting our ability to pay dividends or distributions or repurchase equity; incur additional debt; make investments; create liens on assets to secure debt; enter into transactions with affiliates; issue stock of, or member’s interests in, subsidiaries; enter into sale-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leaseback transactions; engage in other businesses; merge or consolidate with another company; transfer and sell assets; issue disqualified stock; create dividend and other payment restrictions affecting subsidiaries; designate restricted and unrestricted subsidiaries and other specified types of transactions.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old notes are our obligations, guaranteed by each of our subsidiaries, other than Wynn Completion Guarantor, LLC. Wynn Resorts does not guarantee our obligations under the old notes.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Subject to the intercreditor agreement and certain exceptions, the old notes and the guarantees thereof are secured by: (1) a first priority pledge of all of the member’s interests owned by Wynn Las Vegas, LLC in its subsidiaries and of Wynn Holdings’ 100% member’s interest in Wynn Las Vegas, LLC, subject to the prior approval of the Nevada Gaming Commission, the application for which is pending;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obligations and the obligations of the guarantors under the old notes rank equal to the right of payment with our existing and future senior secured indebtedness, including indebtedness with respect to our credit facilities described above, the 2017 notes and the existing 2020 notes, and rank senior in right of payment to all of our existing and future subordinated indebtedness.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(as amended or supplemented from time to time, including by any joinder agreement, the “intercreditor agreement”) that was entered into among the agent under the credit facilities, the trustee on behalf of the 2017 note holders, the trustee on behalf of the existing 2020 note holders, the trustee on behalf of the note holders and Deutsche Bank Trust Company Americas, in its capacity as collateral agent for each of the parties, may be joined in the future by the representative of any future first lien indebtedness permitted to be incurred which is secured by any collateral (together with indebtedness under the credit facilities, the 2017 notes, the existing 2020 notes and the notes, the “senior debt”) and the representative of any future second lien indebtedness permitted to be incurred which is secured by any collateral (the “junior debt”). By accepting the notes, the note holders, in addition to the notes trustee, are bound by the terms of the intercreditor agreement. The intercreditor agreement sets forth certain agreements among the parties regarding, among other things, the priority of their claims and interests in the collateral securing the senior debt and the junior debt and other assets we own, the method of decision-making among the lenders, the 2017 note holders, the existing 2020 note holders, the note holders, any other senior debt holders and the junior debt holders, the arrangements applicable to actions with respect to approval rights and waivers, certain limitations on rights of enforcement upon default and the application of proceeds of enforcement. This is a summary of the material terms and provisions of the intercreditor agreement, and you should review the intercreditor agreement for a complete statement of its terms and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intercreditor agreement, each party appoints Deutsche Bank Trust Company Americas to act as collateral agent with respect to all of the collateral (in separate capacities with respect to collateral and any separate collateral, as applicable) securing the senior debt (including with respect to the notes and the credit facilities), and certain of the collateral securing the junior debt, to exercise any remedies in respect thereof upon the occurrence of an event of default, and to act as specified in the intercreditor agreement under each of the security documents to which it is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Priority of Liens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intercreditor agreement provides that:</w:t>
      </w:r>
    </w:p>
    <w:p>
      <w:pPr>
        <w:spacing w:after="0" w:line="90" w:lineRule="exact"/>
        <w:rPr>
          <w:sz w:val="20"/>
          <w:szCs w:val="20"/>
          <w:color w:val="auto"/>
        </w:rPr>
      </w:pPr>
    </w:p>
    <w:p>
      <w:pPr>
        <w:ind w:left="900" w:right="160" w:hanging="325"/>
        <w:spacing w:after="0" w:line="294"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the extent that our indebtedness represented by the notes is permitted to be incurred and secured on a first lien basis by the credit facilities, the 2017 notes, and the existing 2020 notes, the liens granted for the benefit of the note holders with respect to our assets and the assets pledged by the guarantors are pari passu in priority (which priority is first, subject to permitted liens) with the liens on such assets granted for the benefit of the lenders under the credit facilities, the liens granted for the benefit of the holders of the 2017 notes, the liens granted for the benefit of the holders of the existing 2020 notes and the permitted liens on such assets that may be granted for the benefit of any other senior debt holders; and</w:t>
      </w:r>
    </w:p>
    <w:p>
      <w:pPr>
        <w:spacing w:after="0" w:line="34" w:lineRule="exact"/>
        <w:rPr>
          <w:rFonts w:ascii="Arial" w:cs="Arial" w:eastAsia="Arial" w:hAnsi="Arial"/>
          <w:sz w:val="16"/>
          <w:szCs w:val="16"/>
          <w:color w:val="auto"/>
        </w:rPr>
      </w:pPr>
    </w:p>
    <w:p>
      <w:pPr>
        <w:ind w:left="900" w:right="140" w:hanging="325"/>
        <w:spacing w:after="0" w:line="370" w:lineRule="auto"/>
        <w:tabs>
          <w:tab w:leader="none" w:pos="9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the liens on such assets granted for the benefit of the junior debt holders are junior to the liens on such assets granted for the benefit of the note holders, the holders of the 2017 notes, the holders of the existing 2020 notes, the lenders under the credit facilities and any other senior debt holder;</w:t>
      </w:r>
    </w:p>
    <w:p>
      <w:pPr>
        <w:spacing w:after="0" w:line="6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foregoing shall be effective at all times during the term of the intercreditor agreement, notwithstanding: (i) the initiation of any bankruptcy, moratorium, reorganization or other insolvency proceeding with respect to any credit party; (ii) the priorities which would otherwise result from the order of creation, attachment or perfection of any such lien; (iii) the taking of possession of any of the collateral by the collateral agent, any lender, the trustee under the indenture for the 2017 notes, the trustee under the indenture for the existing 2020 notes, the trustee under the indenture for the notes, any holder of 2017 notes, any holder of existing 2020 notes, any note holder, any holder (or representative of any holder) of other senior debt, or any holder (or representative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of any holder) of any junior debt or; (iv) the filing of any financing statement or the recording of any deed of trust, mortgage or other instrument in any recording office; (v) the order in which any of the obligations with respect to the senior debt or the junior debt were created or in which any of the loan or note documents were filed or recorded; or (vi) whether any such lien is now perfected, hereafter ceases to be perfected, is avoidable by any bankruptcy trustee or otherwise is set aside, invalidated or lapses.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Actions of the Collateral Agent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intercreditor agreement provides that the collateral agent has the sole and exclusive right to exercise rights and enforce remedies under the security documents to which it is a party. In exercising its rights and enforcing its remedies under such security documents, the collateral agent shall, subject to the terms and conditions of the intercreditor agreement, at all times act at the direction of the required secured creditors in respect of any particular matter. The identity of the required secured creditors is determined as follows:</w:t>
      </w:r>
    </w:p>
    <w:p>
      <w:pPr>
        <w:spacing w:after="0" w:line="62" w:lineRule="exact"/>
        <w:rPr>
          <w:sz w:val="20"/>
          <w:szCs w:val="20"/>
          <w:color w:val="auto"/>
        </w:rPr>
      </w:pPr>
    </w:p>
    <w:p>
      <w:pPr>
        <w:ind w:left="900" w:hanging="325"/>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for purposes of causing the collateral agent to commence enforcement proceedings against the collateral pursuant to the security documents:</w:t>
      </w:r>
    </w:p>
    <w:p>
      <w:pPr>
        <w:spacing w:after="0" w:line="113" w:lineRule="exact"/>
        <w:rPr>
          <w:rFonts w:ascii="Arial" w:cs="Arial" w:eastAsia="Arial" w:hAnsi="Arial"/>
          <w:sz w:val="16"/>
          <w:szCs w:val="16"/>
          <w:color w:val="auto"/>
        </w:rPr>
      </w:pPr>
    </w:p>
    <w:p>
      <w:pPr>
        <w:ind w:left="1480" w:right="80" w:hanging="446"/>
        <w:spacing w:after="0" w:line="302" w:lineRule="auto"/>
        <w:tabs>
          <w:tab w:leader="none" w:pos="1480" w:val="left"/>
        </w:tabs>
        <w:numPr>
          <w:ilvl w:val="1"/>
          <w:numId w:val="202"/>
        </w:numPr>
        <w:rPr>
          <w:rFonts w:ascii="Arial" w:cs="Arial" w:eastAsia="Arial" w:hAnsi="Arial"/>
          <w:sz w:val="15"/>
          <w:szCs w:val="15"/>
          <w:color w:val="auto"/>
        </w:rPr>
      </w:pPr>
      <w:r>
        <w:rPr>
          <w:rFonts w:ascii="Arial" w:cs="Arial" w:eastAsia="Arial" w:hAnsi="Arial"/>
          <w:sz w:val="15"/>
          <w:szCs w:val="15"/>
          <w:color w:val="auto"/>
        </w:rPr>
        <w:t>at any time after the expiration of 30 days following the earlier of (A) the occurrence and continuation of (1) a default with respect to any first lien secured obligations (other than the credit facilities) as a result of the default for 30 days in the payment when due of interest on, or liquidated damages, if any, with respect to, any first lien secured obligations (other than the credit facilities) or (2) the Issuers default in the payment when due (at maturity, upon redemption, repurchase or otherwise) of the principal of, or premium, if any, on any first lien secured obligations (other than the credit facilities) or (B) an acceleration of any first lien secured obligations (other than the credit facilities), then</w:t>
      </w:r>
    </w:p>
    <w:p>
      <w:pPr>
        <w:spacing w:after="0" w:line="1" w:lineRule="exact"/>
        <w:rPr>
          <w:rFonts w:ascii="Arial" w:cs="Arial" w:eastAsia="Arial" w:hAnsi="Arial"/>
          <w:sz w:val="15"/>
          <w:szCs w:val="15"/>
          <w:color w:val="auto"/>
        </w:rPr>
      </w:pPr>
    </w:p>
    <w:p>
      <w:pPr>
        <w:ind w:left="1480" w:right="100"/>
        <w:spacing w:after="0" w:line="286" w:lineRule="auto"/>
        <w:rPr>
          <w:rFonts w:ascii="Arial" w:cs="Arial" w:eastAsia="Arial" w:hAnsi="Arial"/>
          <w:sz w:val="15"/>
          <w:szCs w:val="15"/>
          <w:color w:val="auto"/>
        </w:rPr>
      </w:pPr>
      <w:r>
        <w:rPr>
          <w:rFonts w:ascii="Arial" w:cs="Arial" w:eastAsia="Arial" w:hAnsi="Arial"/>
          <w:sz w:val="16"/>
          <w:szCs w:val="16"/>
          <w:color w:val="auto"/>
        </w:rPr>
        <w:t>(x) holders of a majority in aggregate principal amount of all first lien secured obligations (other than the credit facilities) or (y) the agent acting for the lenders under the credit facilities shall constitute the required secured creditors for purposes of causing the collateral agent to commence enforcement proceedings pursuant to the security documents and (ii) at any time that an event of default exists under the credit facilities, then the agent on behalf of the lenders under the credit facilities shall constitute the required secured creditors for purposes of causing the collateral agent to commence enforcement proceedings pursuant to the security documents; provided, however, that if an event described in clause (i)(A) or (i)(B) above has occurred and is continuing for more than 30 days and an event of default has occurred and is continuing under the credit facilities, then, for purposes of causing the collateral agent to commence enforcement proceedings against the collateral pursuant to the security documents, either (x) the agent on behalf of the lenders under the credit facilities or (y) holders of a majority in aggregate principal amount of all first lien secured obligations (other than the credit facilities) shall constitute the required secured creditors;</w:t>
      </w:r>
    </w:p>
    <w:p>
      <w:pPr>
        <w:spacing w:after="0" w:line="43" w:lineRule="exact"/>
        <w:rPr>
          <w:rFonts w:ascii="Arial" w:cs="Arial" w:eastAsia="Arial" w:hAnsi="Arial"/>
          <w:sz w:val="15"/>
          <w:szCs w:val="15"/>
          <w:color w:val="auto"/>
        </w:rPr>
      </w:pPr>
    </w:p>
    <w:p>
      <w:pPr>
        <w:ind w:left="1480" w:right="180" w:hanging="446"/>
        <w:spacing w:after="0" w:line="259" w:lineRule="auto"/>
        <w:tabs>
          <w:tab w:leader="none" w:pos="14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for purposes of causing the collateral agent to commence enforcement proceedings against the account holding the proceeds of term loans and certain proceeds of revolving loans made under the credit facilities, the agent under the credit facilities shall constitute the required secured creditors;</w:t>
      </w:r>
    </w:p>
    <w:p>
      <w:pPr>
        <w:spacing w:after="0" w:line="59" w:lineRule="exact"/>
        <w:rPr>
          <w:rFonts w:ascii="Arial" w:cs="Arial" w:eastAsia="Arial" w:hAnsi="Arial"/>
          <w:sz w:val="18"/>
          <w:szCs w:val="18"/>
          <w:color w:val="auto"/>
        </w:rPr>
      </w:pPr>
    </w:p>
    <w:p>
      <w:pPr>
        <w:ind w:left="1480" w:right="60" w:hanging="446"/>
        <w:spacing w:after="0" w:line="290"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 xml:space="preserve">once enforcement proceedings have been commenced in accordance with the first bullet point above, if holders of a majority in aggregate principal amount of all first lien secured obligations (other than the credit facilities), or the agent for the lenders under the credit facilities, (but not both) has directed the collateral agent to commence such proceedings, then only the required secured creditors that directed the collateral agent to commence such proceedings shall be required to direct the collateral agent to discontinue the proceedings;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collateral agent shall not discontinue such proceedings if any other required secured creditors who, at such time,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direct the collateral agent to commence the exercise of remedies in accordance with the first bullet point above instruct the collateral agent to continue such proceedings;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40"/>
          </w:cols>
          <w:pgMar w:left="240" w:top="460" w:right="3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84" w:lineRule="auto"/>
        <w:tabs>
          <w:tab w:leader="none" w:pos="148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 xml:space="preserve">for purposes of directing the manner and method of enforcement proceedings, once commenced in accordance with the first bullet point above, the collateral agent shall make all decisions that it deems appropriate to diligently prosecute and complete such proceedings unless instructed to do otherwise by a joint committee appointed with the written consent of representatives of each class of first lien secured parties (acting in accordance with their respective facility agreements), to perform such duties and with such authority to act on behalf of each class of first lien secured parties or, if a joint committee is not then in effect, by all of the representatives of each class of first lien secured obligations, (including agent for the lenders acting under the credit facilities), acting together, who shall constitute the required secured creditors under such circumstances. If the collateral agent requests instructions from the required secured creditors with respect to the manner and method of enforcement proceedings, then; (i) if a joint committee has been formed and is then in effect, such joint committee shall constitute the required secured creditors; and (ii) if a joint committee has not been formed or is not then in effect all of the representatives of each class of first lien secured obligations (including the agent for the lenders under the credit facilities), acting together, shall constitute the required secured creditors;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notwithstanding clause (ii) above, if the collateral agent receives conflicting instructions from (1) the agent for the lenders under the credit facilities and (2) holders of a majority in aggregate principal amount of all first lien secured obligations (other than the credit facilities), the collateral agent shall act pursuant to the requested instructions received from the agent for the lenders (acting under the credit facilities) and (b) if one of (x) the agent for the lenders (acting under the credit facilities) or (y) holders of a majority in aggregate principal amount of all first lien secured obligations (other than the credit facilities) responds with instructions to the collateral agent within ten (10) banking days but the other fails to respond during such time frame, then subject to clause (a) above the required secured creditors under such circumstances shall constitute the persons or person who responded during such time frame;</w:t>
      </w:r>
    </w:p>
    <w:p>
      <w:pPr>
        <w:spacing w:after="0" w:line="51" w:lineRule="exact"/>
        <w:rPr>
          <w:rFonts w:ascii="Arial" w:cs="Arial" w:eastAsia="Arial" w:hAnsi="Arial"/>
          <w:sz w:val="16"/>
          <w:szCs w:val="16"/>
          <w:color w:val="auto"/>
        </w:rPr>
      </w:pPr>
    </w:p>
    <w:p>
      <w:pPr>
        <w:ind w:left="1480" w:right="60" w:hanging="446"/>
        <w:spacing w:after="0" w:line="304" w:lineRule="auto"/>
        <w:tabs>
          <w:tab w:leader="none" w:pos="148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for purposes of amending, modifying, varying or waiving any provisions of the security documents in respect of the collateral, including waiving any event of default thereunder, the agent for the lenders under the credit facilities shall constitute the required secured creditors entitled to amend, modify, vary or waive any provision of the security documents in respect of the collateral (without the consent of the trustee under the indenture governing the 2017 notes, the holders of the 2017 notes, the trustee under the indenture governing the existing 2020 notes, the holders of the existing 2020 notes, the trustee under the indenture governing the notes, the holders of the notes, the representative of any other senior debt, the holders of any other senior debt, the representative of any junior debt or the holders of any junior debt). Any such amendments, modifications or waivers shall be effective, and shall automatically apply to, any security documents entered into for the benefit of any other senior debt and junior debt including the 2017 notes, the existing 2020 notes and the notes. In addition, neither the trustee under the indenture governing the notes nor the holders of the notes shall have any right to amend or modify any provisions of the security documents. Notwithstanding the foregoing, unless such amendment, modification, variance or waiver is expressly permitted to occur without the consent of the trustee under the terms of the indenture governing the notes, the trustee under the indenture governing the 2017 notes, the trustee under the indenture governing the existing 2020 notes, and without the consent of the representative of any senior or junior debt under the terms of any indenture, note or other document evidencing or governing such senior or junior debt, to the extent that such amendment, modification, variance or waiver will result in the release of any portion of the collateral under the security documents, the consent of the trustee under the indenture governing the notes, the trustee under the indenture governing the 2017 notes, and the trustee under the existing 2020 notes will be required and the consent of a representative of such senior or junior debt or holder of such senior or junior debt may be required. To the extent such amendment, modification, variance or waiver will adversely affect the interests of any holders of senior debt or junior debt in a manner that does not similarly affect the interests of the lenders under the credit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0"/>
        <w:spacing w:after="0" w:line="294" w:lineRule="auto"/>
        <w:rPr>
          <w:sz w:val="20"/>
          <w:szCs w:val="20"/>
          <w:color w:val="auto"/>
        </w:rPr>
      </w:pPr>
      <w:r>
        <w:rPr>
          <w:rFonts w:ascii="Arial" w:cs="Arial" w:eastAsia="Arial" w:hAnsi="Arial"/>
          <w:sz w:val="16"/>
          <w:szCs w:val="16"/>
          <w:color w:val="auto"/>
        </w:rPr>
        <w:t>facilities, the consent of a representative of such senior or junior debt, as the case may be, will be required. In addition, any default occurring under a security document by reason of a default under the indenture governing the 2017 notes, the indenture governing the existing 2020 notes, the indenture governing the notes, the indenture or the instrument governing any senior or junior debt may only be waived by the trustee under the indenture governing the 2017 notes, the trustee under the indenture governing the existing 2020 notes, the trustee under the indenture governing the notes, the trustee or the representative of any senior or junior debt, as the case may be;</w:t>
      </w:r>
    </w:p>
    <w:p>
      <w:pPr>
        <w:spacing w:after="0" w:line="35" w:lineRule="exact"/>
        <w:rPr>
          <w:sz w:val="20"/>
          <w:szCs w:val="20"/>
          <w:color w:val="auto"/>
        </w:rPr>
      </w:pPr>
    </w:p>
    <w:p>
      <w:pPr>
        <w:jc w:val="both"/>
        <w:ind w:left="1480" w:right="20" w:hanging="446"/>
        <w:spacing w:after="0" w:line="259"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purposes of adjusting settlement of all insurance claims and condemnation awards in the event of any covered loss, theft or destruction or condemnation of any collateral, and all claims under insurance constituting collateral, then, subject to the following paragraphs, the required secured creditors at such times shall be the agent under the credit facilities;</w:t>
      </w:r>
    </w:p>
    <w:p>
      <w:pPr>
        <w:spacing w:after="0" w:line="59" w:lineRule="exact"/>
        <w:rPr>
          <w:rFonts w:ascii="Arial" w:cs="Arial" w:eastAsia="Arial" w:hAnsi="Arial"/>
          <w:sz w:val="18"/>
          <w:szCs w:val="18"/>
          <w:color w:val="auto"/>
        </w:rPr>
      </w:pPr>
    </w:p>
    <w:p>
      <w:pPr>
        <w:ind w:left="1480" w:right="380" w:hanging="446"/>
        <w:spacing w:after="0" w:line="259"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credit facilities have been paid in full and the commitments of the lenders under the credit facilities have terminated, then the required secured creditors at such times shall be the representatives of each class of any other first lien secured obligations;</w:t>
      </w:r>
    </w:p>
    <w:p>
      <w:pPr>
        <w:spacing w:after="0" w:line="59" w:lineRule="exact"/>
        <w:rPr>
          <w:rFonts w:ascii="Arial" w:cs="Arial" w:eastAsia="Arial" w:hAnsi="Arial"/>
          <w:sz w:val="18"/>
          <w:szCs w:val="18"/>
          <w:color w:val="auto"/>
        </w:rPr>
      </w:pPr>
    </w:p>
    <w:p>
      <w:pPr>
        <w:ind w:left="1480" w:right="140" w:hanging="446"/>
        <w:spacing w:after="0" w:line="255" w:lineRule="auto"/>
        <w:tabs>
          <w:tab w:leader="none" w:pos="14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at the time of an action by the required secured creditors, all of our obligations under the existing 2020 notes, all of our obligations under the 2017 notes, all of our obligations under the credit facilities, all of our obligations under the notes, and all of our obligations under any other senior debt have all been paid in full and the commitments of the lenders under the credit facilities and the commitments of any other lenders under any other senior debt have terminated, then the required secured creditors at such times shall be each representative of any junior debt.</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indenture governing the notes provides that the consent of the trustee for the holders of the notes will not be required for any amendment to the intercreditor agreement providing the trustee for the holders of the notes greater rights to participate in decisions regarding collateral and/or the enforcement of security documents.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Permanent Standstill With Respect to Junior Debt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intercreditor agreement provides that, if there is a payment default or an acceleration with respect to the senior debt, then the collateral agent shall have the right to notify the representative of any junior debt of such default, and any payments thereafter received by any junior debt holders (continuing until such time, if any, as all such defaults have been cured) shall be turned over to the collateral agent for application against the indebtedness under the senior debt, and be applied in accordance with the intercreditor agreement.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intercreditor agreement provides that, at any time that there is any outstanding indebtedness under the senior debt, the representative of any junior debt (and the junior debt holders) shall not be permitted to exercise any remedies, or to instruct the collateral agent to exercise any remedies, with respect to the collateral following a default under any instrument governing such junior debt, except with the prior consent of each representative of senior debt (including the agent under the credit facilities, the trustee under the indenture governing the notes, the trustee under the indenture governing the 2017 notes and the trustee under the indenture governing the existing 2020 notes). In particular, the representative of such junior debt will not have the right to (or instruct the collateral agent to) commence foreclosure proceedings against any portion of the collateral, or take other actions with respect to the collateral, except as described in the previous sentence.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the representative of any junior debt shall have the right upon a default:</w:t>
      </w:r>
    </w:p>
    <w:p>
      <w:pPr>
        <w:spacing w:after="0" w:line="90" w:lineRule="exact"/>
        <w:rPr>
          <w:sz w:val="20"/>
          <w:szCs w:val="20"/>
          <w:color w:val="auto"/>
        </w:rPr>
      </w:pPr>
    </w:p>
    <w:p>
      <w:pPr>
        <w:ind w:left="900" w:right="500" w:hanging="325"/>
        <w:spacing w:after="0" w:line="357" w:lineRule="auto"/>
        <w:tabs>
          <w:tab w:leader="none" w:pos="90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to take actions to preserve or protect the liens securing such junior debt (so long as the actions are not adverse to the lenders under the credit facilities, the holders of the 2017 notes, the holders of the existing 2020 notes, the holders of the notes or the holders of any other senior debt);</w:t>
      </w:r>
    </w:p>
    <w:p>
      <w:pPr>
        <w:ind w:left="900" w:right="180" w:hanging="325"/>
        <w:spacing w:after="0" w:line="268"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to purchase or payoff all amounts owed under the senior debt (provided that such junior debt holders shall not be required in such circumstances to pay any prepayment charges or premiums payable under the terms of the senior debt);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accelerate such junior indebtedness;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existing 2020 notes, the 2017 notes or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Proceeds received in connection with any exercise of remedies against the collateral shall be applied:</w:t>
      </w:r>
    </w:p>
    <w:p>
      <w:pPr>
        <w:spacing w:after="0" w:line="90" w:lineRule="exact"/>
        <w:rPr>
          <w:sz w:val="20"/>
          <w:szCs w:val="20"/>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first, to certain costs and expenses of the collateral agent in connection with undertaking such enforcement;</w:t>
      </w:r>
    </w:p>
    <w:p>
      <w:pPr>
        <w:spacing w:after="0" w:line="90"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second, to the payment of all principal and interest outstanding under the senior debt and other extensions of credit under the senior debt (including with respect to any protective advances made by the agent or lenders under our credit facilities or the holders of the notes or the trustee under the indenture governing the notes, or the holders of the existing 2020 notes or the trustee under the indenture governing the existing 2020 notes, or the holders of the 2017 notes or the trustee under the indenture governing the 2017 notes), pro rata among the senior debt based on the outstanding amounts thereof;</w:t>
      </w:r>
    </w:p>
    <w:p>
      <w:pPr>
        <w:spacing w:after="0" w:line="61"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third, to the payment of all obligations outstanding under the senior debt other than the items set forth above, pro rata among the senior debt based on the outstanding amounts thereof;</w:t>
      </w:r>
    </w:p>
    <w:p>
      <w:pPr>
        <w:spacing w:after="0" w:line="50"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fourth, to the payment of all principal and interest outstanding under the junior debt (including with respect to any protective advances made by the holders of the junior debt or their representatives), pro rata among the junior debt based on the outstanding amounts thereof;</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fifth, to the payment of all obligations outstanding under the junior debt other than principal and interest, pro rata among the junior debt based on the outstanding amounts thereof;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sixth, to whomever is lawfully entitled to receive any remaining funds.</w:t>
      </w:r>
    </w:p>
    <w:p>
      <w:pPr>
        <w:spacing w:after="0" w:line="171"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In addition, the intercreditor agreement provides that certain non-pro rata payments received by any note holder, any existing 2020 note holder, any 2017 note holder, any lender under the credit facilities or any other senior debt holder shall be remitted to the collateral agent for redistribution in a pro rata manner among each senior debt holder. Subject to certain exceptions, payments subject to this pro rata redistribution requirement include, among other things,</w:t>
      </w:r>
    </w:p>
    <w:p>
      <w:pPr>
        <w:spacing w:after="0" w:line="1" w:lineRule="exact"/>
        <w:rPr>
          <w:sz w:val="20"/>
          <w:szCs w:val="20"/>
          <w:color w:val="auto"/>
        </w:rPr>
      </w:pPr>
    </w:p>
    <w:p>
      <w:pPr>
        <w:jc w:val="both"/>
        <w:ind w:right="80" w:firstLine="8"/>
        <w:spacing w:after="0" w:line="255" w:lineRule="auto"/>
        <w:tabs>
          <w:tab w:leader="none" w:pos="21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proceeds of any exercise of any lender, any 2017 note holder, any existing 2020 note holder or any note holder’s right of setoff, banker’s lien or counterclaim, or from any security or from any realization (whether through attachment, foreclosure or otherwise) of our assets or our affiliates’ assets, and (ii) payments made after an event of default has occurred and is continuing.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in Bankruptcy</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intercreditor agreement provides that in any bankruptcy of Wynn Las Vegas, Wynn Capital or any of the guarantors, no junior debt holders and no representative of any junior debt shall, among other things:</w:t>
      </w:r>
    </w:p>
    <w:p>
      <w:pPr>
        <w:spacing w:after="0" w:line="51" w:lineRule="exact"/>
        <w:rPr>
          <w:sz w:val="20"/>
          <w:szCs w:val="20"/>
          <w:color w:val="auto"/>
        </w:rPr>
      </w:pPr>
    </w:p>
    <w:p>
      <w:pPr>
        <w:ind w:left="900" w:right="240" w:hanging="325"/>
        <w:spacing w:after="0" w:line="256"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the holders of the notes, the holders of the existing 2020 notes, the holders of the 2017 notes or the holders of other senior debt (and the lenders, the holders of the notes, the holders of the existing 2020 notes, the holders of the 2017 notes and the holders of other senior debt correspondingly shall agree not to take any action challenging the liens in favor of any such junior debt holders);</w:t>
      </w:r>
    </w:p>
    <w:p>
      <w:pPr>
        <w:spacing w:after="0" w:line="62" w:lineRule="exact"/>
        <w:rPr>
          <w:rFonts w:ascii="Arial" w:cs="Arial" w:eastAsia="Arial" w:hAnsi="Arial"/>
          <w:sz w:val="18"/>
          <w:szCs w:val="18"/>
          <w:color w:val="auto"/>
        </w:rPr>
      </w:pPr>
    </w:p>
    <w:p>
      <w:pPr>
        <w:ind w:left="900" w:right="320" w:hanging="325"/>
        <w:spacing w:after="0" w:line="256"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oppose or contest any motion of the agent under the credit facilities, the trustee under the indenture governing the notes, the trustee under the indenture governing the existing 2020 notes, the trustee under the indenture governing the 2017 notes or any representative of other senior debt holders for relief from the automatic stay or any injunction against foreclosure or enforcement of the credit facilities, the notes, the existing 2020 notes, the 2017 notes or other senior debt;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68"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the notes, the existing 2020 notes, the 2017 notes or other senior debt at any foreclosure sale;</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the credit facilities, the trustee under the indenture governing the notes, the trustee under the indenture governing the existing 2020 notes, the trustee under the indenture governing the 2017 notes or any representative of other senior debt holders so long as such use of cash collateral calls for:</w:t>
      </w:r>
    </w:p>
    <w:p>
      <w:pPr>
        <w:spacing w:after="0" w:line="59"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Wynn Capital or certain of their affiliates, or for the preservation of the collateral;</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such junior debt;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payment of bankruptcy administrative expenses; or</w:t>
      </w:r>
    </w:p>
    <w:p>
      <w:pPr>
        <w:spacing w:after="0" w:line="9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vote to accept any plan of reorganization or restructuring plan unless lenders collectively holding two-thirds of the aggregate outstanding amount of loans under the credit facilities, the holders of the notes collectively holding two-thirds of the aggregate outstanding amount of the notes, the holders of the existing 2020 notes collectively holding two-thirds of the aggregate outstanding amount of the existing 2020 notes and holders of the 2017 notes collectively holding two-thirds of the aggregate outstanding amount of the 2017 notes have voted to accept such plan.</w:t>
      </w:r>
    </w:p>
    <w:p>
      <w:pPr>
        <w:spacing w:after="0" w:line="1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foregoing provisions shall not restrict the representative of any junior debt (and any junior debt holders) from, subject to the terms of the intercreditor agreement, voting unsecured claims based upon the indebtedness owed to them, or contesting any valuation of the collateral asserted for purposes of valuing the secured claims of the lenders under the credit facilities, the 2017 note holders and/or the existing 2020 note holders and/or the note holders and/or any other senior debt holders and/or any junior debt holders (except that the representative of such junior debt and the junior debt holders shall not have the right to assert the lack of adequate protection of their liens as a basis for opposing relief sought in the bankruptcy that has been approved by the holders of the senior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Waivers by Junior Debt Holders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intercreditor agreement, the junior debt holders waive certain rights generally afforded junior creditors relative to senior creditors under applicable law, including each of the following:</w:t>
      </w:r>
    </w:p>
    <w:p>
      <w:pPr>
        <w:spacing w:after="0" w:line="51" w:lineRule="exact"/>
        <w:rPr>
          <w:sz w:val="20"/>
          <w:szCs w:val="20"/>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right to challenge the liens of the senior debt holders based upon any of the following:</w:t>
      </w:r>
    </w:p>
    <w:p>
      <w:pPr>
        <w:spacing w:after="0" w:line="9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the indenture governing the 2017 notes, the indenture governing the existing 2020 notes, the indenture governing the notes or any other senior debt agreement (even if conditions to any such advances have not been satisfied);</w:t>
      </w:r>
    </w:p>
    <w:p>
      <w:pPr>
        <w:spacing w:after="0" w:line="59"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the credit facilities, the indenture governing the 2017 notes, the indenture governing the existing 2020 notes, the indenture governing the notes or any other senior debt agreement;</w:t>
      </w:r>
    </w:p>
    <w:p>
      <w:pPr>
        <w:spacing w:after="0" w:line="50" w:lineRule="exact"/>
        <w:rPr>
          <w:rFonts w:ascii="Arial" w:cs="Arial" w:eastAsia="Arial" w:hAnsi="Arial"/>
          <w:sz w:val="18"/>
          <w:szCs w:val="18"/>
          <w:color w:val="auto"/>
        </w:rPr>
      </w:pPr>
    </w:p>
    <w:p>
      <w:pPr>
        <w:ind w:left="1480" w:right="40" w:hanging="446"/>
        <w:spacing w:after="0" w:line="259" w:lineRule="auto"/>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 increase or reduction in the amount of any available credit or an increase or reduction in the amount of principal obligations under the credit facilities, the 2017 notes, the existing 2020 notes, the notes or any other senior debt agreement, or the interest, premium, fees or other amounts payable thereunder;</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senior debt;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340"/>
          </w:cols>
          <w:pgMar w:left="240" w:top="460" w:right="3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56"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the credit facilities, the trustee under the indenture governing the notes, the trustee under the indenture governing the existing 2020 notes, the trustee under the indenture governing the 2017 notes or any representative of other senior debt, other than gross negligence or willful misconduct, to the maximum extent permitted by law.</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Duty to Inform</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of the agent under the credit facilities (on behalf of itself and the lenders), the trustee under the indenture governing the notes (on behalf of itself and the holders of the notes), the trustee under the indenture governing the existing 2020 notes (on behalf of itself and the holders of the existing 2020 notes), the trustee under the indenture governing the 2017 notes (on behalf of itself and the holders of the 2017 notes), the representative of any other senior debt (on behalf of itself and any other senior debt holders) and the representative of any junior debt (on behalf of itself and any junior debt holders) waive any claim that any other party to the intercreditor agreement has any duty to keep the other parties to the intercreditor agreement informed as to circumstances bearing upon the risk of nonpayment of the credit facilities, the notes, the existing 2020 notes, the 2017 notes or any other senior debt or any junior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representative of each class of senior debt and each class of junior debt (acting on their own behalf and on behalf of the holders of such debt) release each other such representative from all liability to the full extent permitted by law, except for fraud and willful misconduct. Each such representative (on its own behalf and on behalf of the holders of debt it represents) waives any and all duties and other obligations, including fiduciary duties, that may be owed to it by any other such representative, except as specifically set forth in the intercreditor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Intercreditor Agreement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Except as provided in the next sentence, any amendments to the intercreditor agreement shall require the consent of each party who, at the time of such amendment, is a party thereto. Notwithstanding the foregoing, the agent under the credit facilities will also have the right, at any time when the amount outstanding under the credit facilities equals or exceeds $100.0 million, to amend the intercreditor agreement without the consent of the trustee under the indenture for the notes or the holders of the notes, or the trustee under the indenture for the existing 2020 notes or the holders of the existing 2020 notes, or the trustee under the indenture for the 2017 notes or the holders of the 2017 notes, so long as such amendment only affects the subordination provisions in respect of any junior debt but does not affect the provisions governing the relationship between the lenders under the credit facilities, the holders of the 2017 notes, the holders of the existing 2020 notes and the holders of the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Intercreditor Arrangements Also Applicable to Refinancing</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intercreditor agreement provides that the intercreditor arrangements described above also shall apply to (i) any replacement debt arising as a consequence of refinancing of the credit facilities, the 2017 notes, the existing 2020 notes or the notes, (ii) any additional senior debt permitted under the credit facilities, the indenture governing the 2017 notes, the indenture governing the existing 2020 notes and the indenture governing the notes and (iii) any additional junior debt permitted under the credit facilities, the indenture governing the 2017 notes, the indenture governing the existing 2020 notes and the indenture governing the notes.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United States federal income tax law in effect on the date of this prospectus,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laws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 A holder who does not exchange its old notes for new notes pursuant to the exchange offer will not recognize any gain or loss, for United States federal income tax purposes, upon consummation of the exchange offer.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make this prospectus, as amended or supplemented, available to any broker-dealer for use in connection with any such resale. In addition, until January 26, 2011, all dealers effecting transactions in the new notes may be required to deliver a prospectus.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who holds old notes acquired for its own account as a result of market-making activities, and who receives new notes in exchange for old notes pursuant to the exchange offer, and any broker or dealer that participates in a distribution of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and any profit of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jc w:val="both"/>
        <w:ind w:left="900" w:right="380" w:hanging="325"/>
        <w:spacing w:after="0" w:line="259"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(publicly available May 13, 1988), Morgan Stanley &amp; Co. Incorporated, SEC no-action letter (publicly available June 5, 1991) and Shearman &amp; Sterling, SEC no-action letter (publicly available July 2, 1993); and</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a period of up to the later of (i) 180 days following the 30</w:t>
      </w:r>
      <w:r>
        <w:rPr>
          <w:rFonts w:ascii="Arial" w:cs="Arial" w:eastAsia="Arial" w:hAnsi="Arial"/>
          <w:sz w:val="10"/>
          <w:szCs w:val="10"/>
          <w:color w:val="auto"/>
        </w:rPr>
        <w:t>th</w:t>
      </w:r>
      <w:r>
        <w:rPr>
          <w:rFonts w:ascii="Arial" w:cs="Arial" w:eastAsia="Arial" w:hAnsi="Arial"/>
          <w:sz w:val="16"/>
          <w:szCs w:val="16"/>
          <w:color w:val="auto"/>
        </w:rPr>
        <w:t xml:space="preserve"> business day after the registration statement containing this prospectus is declared effective, and (ii) 180 days following the 10</w:t>
      </w:r>
      <w:r>
        <w:rPr>
          <w:rFonts w:ascii="Arial" w:cs="Arial" w:eastAsia="Arial" w:hAnsi="Arial"/>
          <w:sz w:val="10"/>
          <w:szCs w:val="10"/>
          <w:color w:val="auto"/>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New York, New York.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consolidated financial statements and schedule of Wynn Las Vegas, LLC at December 31, 2009 and 2008, and for each of the three years in the period ended December 31, 2009,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we are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as of and for the three and six months ended June 30, 2010 and 2009</w:t>
            </w: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940" w:type="dxa"/>
            <w:vAlign w:val="bottom"/>
            <w:gridSpan w:val="13"/>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6600" w:type="dxa"/>
            <w:vAlign w:val="bottom"/>
            <w:tcBorders>
              <w:bottom w:val="single" w:sz="8" w:color="0000EE"/>
            </w:tcBorders>
            <w:gridSpan w:val="9"/>
          </w:tcPr>
          <w:p>
            <w:pPr>
              <w:spacing w:after="0" w:line="184" w:lineRule="exact"/>
              <w:rPr>
                <w:rFonts w:ascii="Arial" w:cs="Arial" w:eastAsia="Arial" w:hAnsi="Arial"/>
                <w:sz w:val="18"/>
                <w:szCs w:val="18"/>
                <w:color w:val="0000EE"/>
                <w:w w:val="86"/>
              </w:rPr>
            </w:pPr>
            <w:hyperlink w:anchor="page195">
              <w:r>
                <w:rPr>
                  <w:rFonts w:ascii="Arial" w:cs="Arial" w:eastAsia="Arial" w:hAnsi="Arial"/>
                  <w:sz w:val="18"/>
                  <w:szCs w:val="18"/>
                  <w:color w:val="0000EE"/>
                  <w:w w:val="86"/>
                </w:rPr>
                <w:t>Condensed Consolidated Balance Sheets – June 30, 2010 (unaudited) and December 31, 2009</w:t>
              </w:r>
            </w:hyperlink>
          </w:p>
        </w:tc>
        <w:tc>
          <w:tcPr>
            <w:tcW w:w="3900" w:type="dxa"/>
            <w:vAlign w:val="bottom"/>
            <w:gridSpan w:val="3"/>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3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96">
              <w:r>
                <w:rPr>
                  <w:rFonts w:ascii="Arial" w:cs="Arial" w:eastAsia="Arial" w:hAnsi="Arial"/>
                  <w:sz w:val="18"/>
                  <w:szCs w:val="18"/>
                  <w:color w:val="0000EE"/>
                  <w:w w:val="87"/>
                </w:rPr>
                <w:t>Condensed Consolidated Statements of Operations (unaudited) – Three and six months ended June 30, 2010 and 2009</w:t>
              </w:r>
            </w:hyperlink>
          </w:p>
        </w:tc>
        <w:tc>
          <w:tcPr>
            <w:tcW w:w="21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40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97">
              <w:r>
                <w:rPr>
                  <w:rFonts w:ascii="Arial" w:cs="Arial" w:eastAsia="Arial" w:hAnsi="Arial"/>
                  <w:sz w:val="18"/>
                  <w:szCs w:val="18"/>
                  <w:color w:val="0000EE"/>
                  <w:w w:val="87"/>
                </w:rPr>
                <w:t>Condensed Consolidated Statements of Cash Flows (unaudited) – Three and six months ended June 30, 2010 and 2009</w:t>
              </w:r>
            </w:hyperlink>
          </w:p>
        </w:tc>
        <w:tc>
          <w:tcPr>
            <w:tcW w:w="21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98">
              <w:r>
                <w:rPr>
                  <w:rFonts w:ascii="Arial" w:cs="Arial" w:eastAsia="Arial" w:hAnsi="Arial"/>
                  <w:sz w:val="18"/>
                  <w:szCs w:val="18"/>
                  <w:color w:val="0000EE"/>
                  <w:w w:val="87"/>
                </w:rPr>
                <w:t>Notes to Condensed Consolidated Financial Statements (unaudited)</w:t>
              </w:r>
            </w:hyperlink>
          </w:p>
        </w:tc>
        <w:tc>
          <w:tcPr>
            <w:tcW w:w="57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30"/>
        </w:trPr>
        <w:tc>
          <w:tcPr>
            <w:tcW w:w="10940" w:type="dxa"/>
            <w:vAlign w:val="bottom"/>
            <w:gridSpan w:val="13"/>
          </w:tcPr>
          <w:p>
            <w:pPr>
              <w:spacing w:after="0"/>
              <w:rPr>
                <w:sz w:val="20"/>
                <w:szCs w:val="20"/>
                <w:color w:val="auto"/>
              </w:rPr>
            </w:pPr>
            <w:r>
              <w:rPr>
                <w:rFonts w:ascii="Arial" w:cs="Arial" w:eastAsia="Arial" w:hAnsi="Arial"/>
                <w:sz w:val="18"/>
                <w:szCs w:val="18"/>
                <w:b w:val="1"/>
                <w:bCs w:val="1"/>
                <w:color w:val="auto"/>
                <w:w w:val="90"/>
              </w:rPr>
              <w:t>Audited Consolidated Financial Statements at December 31, 2009 and 2008, and for each of the three years in the period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80" w:type="dxa"/>
            <w:vAlign w:val="bottom"/>
            <w:gridSpan w:val="2"/>
          </w:tcPr>
          <w:p>
            <w:pPr>
              <w:jc w:val="right"/>
              <w:ind w:right="1812"/>
              <w:spacing w:after="0"/>
              <w:rPr>
                <w:sz w:val="20"/>
                <w:szCs w:val="20"/>
                <w:color w:val="auto"/>
              </w:rPr>
            </w:pPr>
            <w:r>
              <w:rPr>
                <w:rFonts w:ascii="Arial" w:cs="Arial" w:eastAsia="Arial" w:hAnsi="Arial"/>
                <w:sz w:val="18"/>
                <w:szCs w:val="18"/>
                <w:b w:val="1"/>
                <w:bCs w:val="1"/>
                <w:color w:val="auto"/>
              </w:rPr>
              <w:t>2009</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4120" w:type="dxa"/>
            <w:vAlign w:val="bottom"/>
            <w:tcBorders>
              <w:bottom w:val="single" w:sz="8" w:color="0000EE"/>
            </w:tcBorders>
            <w:gridSpan w:val="7"/>
          </w:tcPr>
          <w:p>
            <w:pPr>
              <w:spacing w:after="0" w:line="184" w:lineRule="exact"/>
              <w:rPr>
                <w:rFonts w:ascii="Arial" w:cs="Arial" w:eastAsia="Arial" w:hAnsi="Arial"/>
                <w:sz w:val="18"/>
                <w:szCs w:val="18"/>
                <w:color w:val="0000EE"/>
                <w:w w:val="89"/>
              </w:rPr>
            </w:pPr>
            <w:hyperlink w:anchor="page216">
              <w:r>
                <w:rPr>
                  <w:rFonts w:ascii="Arial" w:cs="Arial" w:eastAsia="Arial" w:hAnsi="Arial"/>
                  <w:sz w:val="18"/>
                  <w:szCs w:val="18"/>
                  <w:color w:val="0000EE"/>
                  <w:w w:val="89"/>
                </w:rPr>
                <w:t>Report of Independent Registered Public Accounting Firm</w:t>
              </w:r>
            </w:hyperlink>
          </w:p>
        </w:tc>
        <w:tc>
          <w:tcPr>
            <w:tcW w:w="6380" w:type="dxa"/>
            <w:vAlign w:val="bottom"/>
            <w:gridSpan w:val="5"/>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040" w:type="dxa"/>
            <w:vAlign w:val="bottom"/>
            <w:tcBorders>
              <w:bottom w:val="single" w:sz="8" w:color="0000EE"/>
            </w:tcBorders>
          </w:tcPr>
          <w:p>
            <w:pPr>
              <w:spacing w:after="0" w:line="196" w:lineRule="exact"/>
              <w:rPr>
                <w:rFonts w:ascii="Arial" w:cs="Arial" w:eastAsia="Arial" w:hAnsi="Arial"/>
                <w:sz w:val="18"/>
                <w:szCs w:val="18"/>
                <w:color w:val="0000EE"/>
                <w:w w:val="85"/>
              </w:rPr>
            </w:pPr>
            <w:hyperlink w:anchor="page217">
              <w:r>
                <w:rPr>
                  <w:rFonts w:ascii="Arial" w:cs="Arial" w:eastAsia="Arial" w:hAnsi="Arial"/>
                  <w:sz w:val="18"/>
                  <w:szCs w:val="18"/>
                  <w:color w:val="0000EE"/>
                  <w:w w:val="85"/>
                </w:rPr>
                <w:t>Consolidated Balance Sheets</w:t>
              </w:r>
            </w:hyperlink>
          </w:p>
        </w:tc>
        <w:tc>
          <w:tcPr>
            <w:tcW w:w="846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Consolidated Statements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9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500" w:type="dxa"/>
            <w:vAlign w:val="bottom"/>
            <w:gridSpan w:val="12"/>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Consolidated Statements of Member’s Equity</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220">
              <w:r>
                <w:rPr>
                  <w:rFonts w:ascii="Arial" w:cs="Arial" w:eastAsia="Arial" w:hAnsi="Arial"/>
                  <w:sz w:val="18"/>
                  <w:szCs w:val="18"/>
                  <w:color w:val="0000EE"/>
                  <w:w w:val="86"/>
                </w:rPr>
                <w:t>Consolidated Statements of Cash Flows</w:t>
              </w:r>
            </w:hyperlink>
          </w:p>
        </w:tc>
        <w:tc>
          <w:tcPr>
            <w:tcW w:w="400" w:type="dxa"/>
            <w:vAlign w:val="bottom"/>
            <w:tcBorders>
              <w:top w:val="single" w:sz="8" w:color="0000EE"/>
            </w:tcBorders>
            <w:gridSpan w:val="2"/>
          </w:tcPr>
          <w:p>
            <w:pPr>
              <w:spacing w:after="0"/>
              <w:rPr>
                <w:sz w:val="17"/>
                <w:szCs w:val="17"/>
                <w:color w:val="auto"/>
              </w:rPr>
            </w:pPr>
          </w:p>
        </w:tc>
        <w:tc>
          <w:tcPr>
            <w:tcW w:w="73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21">
              <w:r>
                <w:rPr>
                  <w:rFonts w:ascii="Arial" w:cs="Arial" w:eastAsia="Arial" w:hAnsi="Arial"/>
                  <w:sz w:val="18"/>
                  <w:szCs w:val="18"/>
                  <w:color w:val="0000EE"/>
                  <w:w w:val="87"/>
                </w:rPr>
                <w:t>Notes to Consolidated Financial Statements</w:t>
              </w:r>
            </w:hyperlink>
          </w:p>
        </w:tc>
        <w:tc>
          <w:tcPr>
            <w:tcW w:w="74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10500" w:type="dxa"/>
            <w:vAlign w:val="bottom"/>
            <w:gridSpan w:val="12"/>
          </w:tcPr>
          <w:p>
            <w:pPr>
              <w:spacing w:after="0"/>
              <w:rPr>
                <w:sz w:val="20"/>
                <w:szCs w:val="20"/>
                <w:color w:val="auto"/>
              </w:rPr>
            </w:pPr>
            <w:r>
              <w:rPr>
                <w:rFonts w:ascii="Arial" w:cs="Arial" w:eastAsia="Arial" w:hAnsi="Arial"/>
                <w:sz w:val="18"/>
                <w:szCs w:val="18"/>
                <w:color w:val="auto"/>
              </w:rPr>
              <w:t>Financial Statement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3600" w:type="dxa"/>
            <w:vAlign w:val="bottom"/>
            <w:tcBorders>
              <w:bottom w:val="single" w:sz="8" w:color="0000EE"/>
            </w:tcBorders>
            <w:gridSpan w:val="6"/>
          </w:tcPr>
          <w:p>
            <w:pPr>
              <w:spacing w:after="0" w:line="184" w:lineRule="exact"/>
              <w:rPr>
                <w:rFonts w:ascii="Arial" w:cs="Arial" w:eastAsia="Arial" w:hAnsi="Arial"/>
                <w:sz w:val="18"/>
                <w:szCs w:val="18"/>
                <w:color w:val="0000EE"/>
                <w:w w:val="90"/>
              </w:rPr>
            </w:pPr>
            <w:hyperlink w:anchor="page248">
              <w:r>
                <w:rPr>
                  <w:rFonts w:ascii="Arial" w:cs="Arial" w:eastAsia="Arial" w:hAnsi="Arial"/>
                  <w:sz w:val="18"/>
                  <w:szCs w:val="18"/>
                  <w:color w:val="0000EE"/>
                  <w:w w:val="90"/>
                </w:rPr>
                <w:t>* Schedule II—Valuation and Qualifying Accounts</w:t>
              </w:r>
            </w:hyperlink>
          </w:p>
        </w:tc>
        <w:tc>
          <w:tcPr>
            <w:tcW w:w="6900" w:type="dxa"/>
            <w:vAlign w:val="bottom"/>
            <w:gridSpan w:val="6"/>
          </w:tcPr>
          <w:p>
            <w:pPr>
              <w:spacing w:after="0"/>
              <w:rPr>
                <w:sz w:val="15"/>
                <w:szCs w:val="15"/>
                <w:color w:val="auto"/>
              </w:rPr>
            </w:pPr>
          </w:p>
        </w:tc>
        <w:tc>
          <w:tcPr>
            <w:tcW w:w="480" w:type="dxa"/>
            <w:vAlign w:val="bottom"/>
          </w:tcPr>
          <w:p>
            <w:pPr>
              <w:jc w:val="right"/>
              <w:spacing w:after="0" w:line="184"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900" w:right="580" w:hanging="446"/>
        <w:spacing w:after="0" w:line="268"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3,778,961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9,812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206,358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2,590,756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91,900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2,897,793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2,868,771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1,918,124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(677,032)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4,138,885</w:t>
            </w:r>
          </w:p>
        </w:tc>
        <w:tc>
          <w:tcPr>
            <w:tcW w:w="26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4,254,324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70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78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$ 117,190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0"/>
              </w:rPr>
              <w:t>$124,343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256,700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78,841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81,454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156,436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111,477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99,945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207,420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53,901</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50,486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105,528</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361,409</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356,228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726,084</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(43,088)</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(89,156)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318,321</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312,959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636,928</w:t>
            </w:r>
          </w:p>
        </w:tc>
        <w:tc>
          <w:tcPr>
            <w:tcW w:w="50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Casino</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68,585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60,704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145,412</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30,852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26,658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68,384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61,801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126,370</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33,564</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33,554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57,074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57,609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116,895</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2,642</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4,787</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9,561</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1,590</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80" w:type="dxa"/>
            <w:vAlign w:val="bottom"/>
            <w:gridSpan w:val="3"/>
          </w:tcPr>
          <w:p>
            <w:pPr>
              <w:jc w:val="right"/>
              <w:ind w:right="432"/>
              <w:spacing w:after="0"/>
              <w:rPr>
                <w:sz w:val="20"/>
                <w:szCs w:val="20"/>
                <w:color w:val="auto"/>
              </w:rPr>
            </w:pPr>
            <w:r>
              <w:rPr>
                <w:rFonts w:ascii="Arial" w:cs="Arial" w:eastAsia="Arial" w:hAnsi="Arial"/>
                <w:sz w:val="18"/>
                <w:szCs w:val="18"/>
                <w:color w:val="auto"/>
              </w:rPr>
              <w:t>67,583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78,425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146,509</w:t>
            </w:r>
          </w:p>
        </w:tc>
        <w:tc>
          <w:tcPr>
            <w:tcW w:w="5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482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432"/>
              <w:spacing w:after="0"/>
              <w:rPr>
                <w:sz w:val="20"/>
                <w:szCs w:val="20"/>
                <w:color w:val="auto"/>
              </w:rPr>
            </w:pPr>
            <w:r>
              <w:rPr>
                <w:rFonts w:ascii="Arial" w:cs="Arial" w:eastAsia="Arial" w:hAnsi="Arial"/>
                <w:sz w:val="18"/>
                <w:szCs w:val="18"/>
                <w:color w:val="auto"/>
              </w:rPr>
              <w:t>335,543</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321,305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688,635</w:t>
            </w:r>
          </w:p>
        </w:tc>
        <w:tc>
          <w:tcPr>
            <w:tcW w:w="50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(17,222)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(51,707)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48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89</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(46,208)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(37,661)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(91,284)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(2,277)</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(4,555)</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2480" w:type="dxa"/>
            <w:vAlign w:val="bottom"/>
            <w:gridSpan w:val="3"/>
          </w:tcPr>
          <w:p>
            <w:pPr>
              <w:jc w:val="right"/>
              <w:ind w:right="392"/>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(3,152)</w:t>
            </w:r>
          </w:p>
        </w:tc>
        <w:tc>
          <w:tcPr>
            <w:tcW w:w="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23</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gridSpan w:val="2"/>
          </w:tcPr>
          <w:p>
            <w:pPr>
              <w:jc w:val="right"/>
              <w:ind w:right="392"/>
              <w:spacing w:after="0"/>
              <w:rPr>
                <w:sz w:val="20"/>
                <w:szCs w:val="20"/>
                <w:color w:val="auto"/>
              </w:rPr>
            </w:pPr>
            <w:r>
              <w:rPr>
                <w:rFonts w:ascii="Arial" w:cs="Arial" w:eastAsia="Arial" w:hAnsi="Arial"/>
                <w:sz w:val="18"/>
                <w:szCs w:val="18"/>
                <w:color w:val="auto"/>
              </w:rPr>
              <w:t>(51,525)</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(37,837)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(98,732)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(68,747)</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 (46,183)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(150,439)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(150,439)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(29,791)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(84,053)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(77,357)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(165,039)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(289,040)</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85,542</w:t>
            </w: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328,451</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(10,202)</w:t>
            </w:r>
          </w:p>
        </w:tc>
      </w:tr>
      <w:tr>
        <w:trPr>
          <w:trHeight w:val="230"/>
        </w:trPr>
        <w:tc>
          <w:tcPr>
            <w:tcW w:w="20" w:type="dxa"/>
            <w:vAlign w:val="bottom"/>
          </w:tcPr>
          <w:p>
            <w:pPr>
              <w:spacing w:after="0"/>
              <w:rPr>
                <w:sz w:val="20"/>
                <w:szCs w:val="20"/>
                <w:color w:val="auto"/>
              </w:rPr>
            </w:pPr>
          </w:p>
        </w:tc>
        <w:tc>
          <w:tcPr>
            <w:tcW w:w="938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114,751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(16,036)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(51,609)</w:t>
            </w: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50,318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71,706</w:t>
            </w: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June 30,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99" w:lineRule="exact"/>
        <w:rPr>
          <w:sz w:val="20"/>
          <w:szCs w:val="20"/>
          <w:color w:val="auto"/>
        </w:rPr>
      </w:pPr>
    </w:p>
    <w:p>
      <w:pPr>
        <w:ind w:left="240" w:right="7900" w:hanging="232"/>
        <w:spacing w:after="0" w:line="398" w:lineRule="auto"/>
        <w:tabs>
          <w:tab w:leader="none" w:pos="187" w:val="left"/>
        </w:tabs>
        <w:numPr>
          <w:ilvl w:val="0"/>
          <w:numId w:val="21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June 30, 2010 and December 31, 2009, approximately 67%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168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June 30,</w:t>
            </w: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20" w:type="dxa"/>
            <w:vAlign w:val="bottom"/>
            <w:tcBorders>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$ 10,028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$ 10,333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$ 20,931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$ 24,717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Food and beverage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13,819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13,857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29,510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30,985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22"/>
        </w:trPr>
        <w:tc>
          <w:tcPr>
            <w:tcW w:w="6560" w:type="dxa"/>
            <w:vAlign w:val="bottom"/>
          </w:tcPr>
          <w:p>
            <w:pPr>
              <w:ind w:left="440"/>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5"/>
              </w:rPr>
              <w:t>$ 28,897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$ 26,395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$ 60,312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$ 60,607</w:t>
            </w: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$8.1 million and $8.8 million for the three months ended June 30, 2010 and 2009, respectively. For the six months ended June 30, 2010 and 2009, these taxes totaled approximately $17.8 million and $17.5 million,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June 30, 2010 and 2009, advertising costs totaled approximately $2.8 million and $3.5 million, respectively. For the six months ended June 30, 2010 and 2009, advertising costs totaled approximately $6.3 million and $10.5 million,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six months ended June 30, 2010 and 2009, the Company recorded $6 million and $4.6 million, respectively, in share based compensation with a corresponding credit to contributed capital.</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8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Interest paid for the six months ended June 30, 2010 and 2009 totaled approximately $84.4 million and $69.5 million, respectively. Interest capitalized for the six months ended June 30, 2010 totaled approximately $0.6 million. There was no interest capitalized during the six months ended June 30, 2009.</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During the six months ended June 30, 2010 and 2009, capital expenditures include a decrease of approximately $13.9 million and approximately $146.9 million, respectively, in construction payables and retention recorded through amounts due to affiliates.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4"/>
                <w:szCs w:val="14"/>
                <w:color w:val="auto"/>
              </w:rPr>
            </w:pPr>
          </w:p>
        </w:tc>
        <w:tc>
          <w:tcPr>
            <w:tcW w:w="1520" w:type="dxa"/>
            <w:vAlign w:val="bottom"/>
            <w:gridSpan w:val="8"/>
          </w:tcPr>
          <w:p>
            <w:pPr>
              <w:jc w:val="center"/>
              <w:ind w:right="6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5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$143,851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149,786</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Hotel</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17,022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171,085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178,266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2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(67,406)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100,154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ind w:left="48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110,860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4"/>
                <w:szCs w:val="24"/>
                <w:color w:val="auto"/>
              </w:rPr>
            </w:pPr>
          </w:p>
        </w:tc>
        <w:tc>
          <w:tcPr>
            <w:tcW w:w="1520" w:type="dxa"/>
            <w:vAlign w:val="bottom"/>
            <w:gridSpan w:val="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706,658</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692,677</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2,597,623</w:t>
            </w:r>
          </w:p>
        </w:tc>
        <w:tc>
          <w:tcPr>
            <w:tcW w:w="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2,554,224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4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44,349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1,348,998</w:t>
            </w:r>
          </w:p>
        </w:tc>
        <w:tc>
          <w:tcPr>
            <w:tcW w:w="60" w:type="dxa"/>
            <w:vAlign w:val="bottom"/>
          </w:tcPr>
          <w:p>
            <w:pPr>
              <w:spacing w:after="0"/>
              <w:rPr>
                <w:sz w:val="18"/>
                <w:szCs w:val="18"/>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1,325,677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5,710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2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4,703,338</w:t>
            </w:r>
          </w:p>
        </w:tc>
        <w:tc>
          <w:tcPr>
            <w:tcW w:w="6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4,640,805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(924,377)</w:t>
            </w:r>
          </w:p>
        </w:tc>
        <w:tc>
          <w:tcPr>
            <w:tcW w:w="1400" w:type="dxa"/>
            <w:vAlign w:val="bottom"/>
            <w:gridSpan w:val="7"/>
            <w:shd w:val="clear" w:color="auto" w:fill="CCEEFF"/>
          </w:tcPr>
          <w:p>
            <w:pPr>
              <w:jc w:val="right"/>
              <w:ind w:right="80"/>
              <w:spacing w:after="0"/>
              <w:rPr>
                <w:sz w:val="20"/>
                <w:szCs w:val="20"/>
                <w:color w:val="auto"/>
              </w:rPr>
            </w:pPr>
            <w:r>
              <w:rPr>
                <w:rFonts w:ascii="Arial" w:cs="Arial" w:eastAsia="Arial" w:hAnsi="Arial"/>
                <w:sz w:val="18"/>
                <w:szCs w:val="18"/>
                <w:color w:val="auto"/>
              </w:rPr>
              <w:t>(789,137)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3,778,961</w:t>
            </w:r>
          </w:p>
        </w:tc>
        <w:tc>
          <w:tcPr>
            <w:tcW w:w="60" w:type="dxa"/>
            <w:vAlign w:val="bottom"/>
          </w:tcPr>
          <w:p>
            <w:pPr>
              <w:spacing w:after="0"/>
              <w:rPr>
                <w:sz w:val="19"/>
                <w:szCs w:val="19"/>
                <w:color w:val="auto"/>
              </w:rPr>
            </w:pPr>
          </w:p>
        </w:tc>
        <w:tc>
          <w:tcPr>
            <w:tcW w:w="1280" w:type="dxa"/>
            <w:vAlign w:val="bottom"/>
            <w:gridSpan w:val="6"/>
          </w:tcPr>
          <w:p>
            <w:pPr>
              <w:jc w:val="right"/>
              <w:spacing w:after="0"/>
              <w:rPr>
                <w:sz w:val="20"/>
                <w:szCs w:val="20"/>
                <w:color w:val="auto"/>
              </w:rPr>
            </w:pPr>
            <w:r>
              <w:rPr>
                <w:rFonts w:ascii="Arial" w:cs="Arial" w:eastAsia="Arial" w:hAnsi="Arial"/>
                <w:sz w:val="18"/>
                <w:szCs w:val="18"/>
                <w:color w:val="auto"/>
              </w:rPr>
              <w:t>$ 3,851,668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94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360" w:type="dxa"/>
            <w:vAlign w:val="bottom"/>
          </w:tcPr>
          <w:p>
            <w:pPr>
              <w:spacing w:after="0"/>
              <w:rPr>
                <w:sz w:val="24"/>
                <w:szCs w:val="2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46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5"/>
              </w:rPr>
              <w:t xml:space="preserve">6 </w:t>
            </w:r>
            <w:r>
              <w:rPr>
                <w:rFonts w:ascii="Arial" w:cs="Arial" w:eastAsia="Arial" w:hAnsi="Arial"/>
                <w:sz w:val="11"/>
                <w:szCs w:val="11"/>
                <w:color w:val="auto"/>
                <w:w w:val="95"/>
              </w:rPr>
              <w:t>5</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First Mortgage Notes, due December 1, 2014, net of original issue discount of $4,982 at June 30, 2010 and $8,214 at</w:t>
            </w: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2009</w:t>
            </w:r>
          </w:p>
        </w:tc>
        <w:tc>
          <w:tcPr>
            <w:tcW w:w="2100" w:type="dxa"/>
            <w:vAlign w:val="bottom"/>
            <w:gridSpan w:val="9"/>
            <w:shd w:val="clear" w:color="auto" w:fill="CCEEFF"/>
          </w:tcPr>
          <w:p>
            <w:pPr>
              <w:jc w:val="right"/>
              <w:spacing w:after="0"/>
              <w:rPr>
                <w:sz w:val="20"/>
                <w:szCs w:val="20"/>
                <w:color w:val="auto"/>
              </w:rPr>
            </w:pPr>
            <w:r>
              <w:rPr>
                <w:rFonts w:ascii="Arial" w:cs="Arial" w:eastAsia="Arial" w:hAnsi="Arial"/>
                <w:sz w:val="18"/>
                <w:szCs w:val="18"/>
                <w:color w:val="auto"/>
              </w:rPr>
              <w:t>$1,277,238</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$ 1,626,016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60" w:type="dxa"/>
            <w:vAlign w:val="bottom"/>
            <w:gridSpan w:val="8"/>
          </w:tcPr>
          <w:p>
            <w:pPr>
              <w:spacing w:after="0"/>
              <w:rPr>
                <w:sz w:val="20"/>
                <w:szCs w:val="20"/>
                <w:color w:val="auto"/>
              </w:rPr>
            </w:pPr>
            <w:r>
              <w:rPr>
                <w:rFonts w:ascii="Arial" w:cs="Arial" w:eastAsia="Arial" w:hAnsi="Arial"/>
                <w:sz w:val="18"/>
                <w:szCs w:val="18"/>
                <w:color w:val="auto"/>
                <w:w w:val="93"/>
              </w:rPr>
              <w:t xml:space="preserve">7 </w:t>
            </w:r>
            <w:r>
              <w:rPr>
                <w:rFonts w:ascii="Arial" w:cs="Arial" w:eastAsia="Arial" w:hAnsi="Arial"/>
                <w:sz w:val="11"/>
                <w:szCs w:val="11"/>
                <w:color w:val="auto"/>
                <w:w w:val="93"/>
              </w:rPr>
              <w:t>7</w:t>
            </w:r>
            <w:r>
              <w:rPr>
                <w:rFonts w:ascii="Arial" w:cs="Arial" w:eastAsia="Arial" w:hAnsi="Arial"/>
                <w:sz w:val="18"/>
                <w:szCs w:val="18"/>
                <w:color w:val="auto"/>
                <w:w w:val="93"/>
              </w:rPr>
              <w:t>/</w:t>
            </w:r>
            <w:r>
              <w:rPr>
                <w:rFonts w:ascii="Arial" w:cs="Arial" w:eastAsia="Arial" w:hAnsi="Arial"/>
                <w:sz w:val="13"/>
                <w:szCs w:val="13"/>
                <w:color w:val="auto"/>
                <w:w w:val="93"/>
              </w:rPr>
              <w:t>8</w:t>
            </w:r>
            <w:r>
              <w:rPr>
                <w:rFonts w:ascii="Arial" w:cs="Arial" w:eastAsia="Arial" w:hAnsi="Arial"/>
                <w:sz w:val="18"/>
                <w:szCs w:val="18"/>
                <w:color w:val="auto"/>
                <w:w w:val="93"/>
              </w:rPr>
              <w:t>% First Mortgage Notes, due November 1, 2017, net of original issue discount of $10,196 at June 30, 2010 and $10,529 at</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40" w:type="dxa"/>
            <w:vAlign w:val="bottom"/>
            <w:gridSpan w:val="2"/>
          </w:tcPr>
          <w:p>
            <w:pPr>
              <w:ind w:left="220"/>
              <w:spacing w:after="0"/>
              <w:rPr>
                <w:sz w:val="20"/>
                <w:szCs w:val="20"/>
                <w:color w:val="auto"/>
              </w:rPr>
            </w:pPr>
            <w:r>
              <w:rPr>
                <w:rFonts w:ascii="Arial" w:cs="Arial" w:eastAsia="Arial" w:hAnsi="Arial"/>
                <w:sz w:val="18"/>
                <w:szCs w:val="18"/>
                <w:color w:val="auto"/>
              </w:rPr>
              <w:t>December 31, 2009</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489,804</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May 1, 2020, net of original issue discount of $2,576 at June 30, 2010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349,434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291,664</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Term Loan Facility; $40.2 million due September 30, 2012 with the remaining $40.2 million due August 15, 2013; interest at</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LIBOR plus 1.875%</w:t>
            </w: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37,450</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Affiliate</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100" w:type="dxa"/>
            <w:vAlign w:val="bottom"/>
            <w:gridSpan w:val="9"/>
          </w:tcPr>
          <w:p>
            <w:pPr>
              <w:jc w:val="right"/>
              <w:spacing w:after="0"/>
              <w:rPr>
                <w:sz w:val="20"/>
                <w:szCs w:val="20"/>
                <w:color w:val="auto"/>
              </w:rPr>
            </w:pPr>
            <w:r>
              <w:rPr>
                <w:rFonts w:ascii="Arial" w:cs="Arial" w:eastAsia="Arial" w:hAnsi="Arial"/>
                <w:sz w:val="18"/>
                <w:szCs w:val="18"/>
                <w:color w:val="auto"/>
              </w:rPr>
              <w:t>2,591,806</w:t>
            </w:r>
          </w:p>
        </w:tc>
        <w:tc>
          <w:tcPr>
            <w:tcW w:w="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2,552,570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300" w:type="dxa"/>
            <w:vAlign w:val="bottom"/>
            <w:gridSpan w:val="3"/>
          </w:tcPr>
          <w:p>
            <w:pPr>
              <w:spacing w:after="0"/>
              <w:rPr>
                <w:sz w:val="19"/>
                <w:szCs w:val="19"/>
                <w:color w:val="auto"/>
              </w:rPr>
            </w:pPr>
          </w:p>
        </w:tc>
        <w:tc>
          <w:tcPr>
            <w:tcW w:w="80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2,590,756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2,551,520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60" w:type="dxa"/>
            <w:vAlign w:val="bottom"/>
            <w:vMerge w:val="restart"/>
          </w:tcPr>
          <w:p>
            <w:pPr>
              <w:ind w:left="5020"/>
              <w:spacing w:after="0"/>
              <w:rPr>
                <w:sz w:val="20"/>
                <w:szCs w:val="20"/>
                <w:color w:val="auto"/>
              </w:rPr>
            </w:pPr>
            <w:r>
              <w:rPr>
                <w:rFonts w:ascii="Arial" w:cs="Arial" w:eastAsia="Arial" w:hAnsi="Arial"/>
                <w:sz w:val="18"/>
                <w:szCs w:val="18"/>
                <w:color w:val="auto"/>
              </w:rPr>
              <w:t>F-8</w:t>
            </w: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(the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and are included in payable to affiliate in the table above. The exchange offer closed on April 28, 2010.</w:t>
      </w:r>
    </w:p>
    <w:p>
      <w:pPr>
        <w:spacing w:after="0" w:line="10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2020 Notes rank pari passu in right of payment with borrowings under Wynn Las Vegas, LLC’s credit facilities, the 2014 Notes and the issuers’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further described in the offering memorandum, noteholders who validly tendered 2014 Notes prior to the early delivery time received an early delivery payment on April 28, 2010 of 1% of the amount tendered in cash which totaled approximately $3.8 million. In accordance with accounting standards, this will be included as deferred financing costs and amortized over the life of the 2020 Notes. The direct costs of the exchange offer incurred with third parties of $3.2 million were expensed.</w:t>
      </w:r>
    </w:p>
    <w:p>
      <w:pPr>
        <w:spacing w:after="0" w:line="13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During the six months ended June 30, 2009, Wynn Resorts purchased $65.8 million face amount of the Company’s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through open market purchases at a discount. The purchase of the notes by Wynn Resorts has not been contributed to the Company and the notes have not been retired. Accordingly, $65.8 million of the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2010, management believes the Company was in compliance with all debt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net book value of the 2014 Notes, the 2017 Notes and the 2020 Notes at June 30, 2010 and December 31, 2009, was approximately $ 2.2 billion. The estimated fair value of the First Mortgage Notes based upon most recent trades at June 30, 2010 and December 31, 2009, was approximately $2.2 billion. The net book value of the Company’s other debt instruments was $410 million and $371 million at June 30, 2010 and December 31, 2009, respectively. The approximate fair value of such debt was approximately $396 million and $351 million at June 30, 2010 and December 31, 2009,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increase/decrease in swap fair value in the accompanying Condensed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interest rate swaps as Level 2.</w:t>
      </w:r>
    </w:p>
    <w:p>
      <w:pPr>
        <w:spacing w:after="0" w:line="12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June 30, 2010 and December 31, 2009, the fair value of this interest rate swap was a liability of $ 8.8 million and $4.2 million, respectively.</w:t>
      </w:r>
    </w:p>
    <w:p>
      <w:pPr>
        <w:spacing w:after="0" w:line="96" w:lineRule="exact"/>
        <w:rPr>
          <w:sz w:val="20"/>
          <w:szCs w:val="20"/>
          <w:color w:val="auto"/>
        </w:rPr>
      </w:pPr>
    </w:p>
    <w:p>
      <w:pPr>
        <w:ind w:left="240" w:right="8860" w:hanging="232"/>
        <w:spacing w:after="0" w:line="398" w:lineRule="auto"/>
        <w:tabs>
          <w:tab w:leader="none" w:pos="187" w:val="left"/>
        </w:tabs>
        <w:numPr>
          <w:ilvl w:val="0"/>
          <w:numId w:val="21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2010, the Company’s current Due to affiliates was primarily comprised of construction payables of approximately $6.1 million, construction retention of approximately $3.2 million and other net amounts due to affiliates totaling $17.6 million (including corporate allocations discussed below). The long-term Due to affiliates is management fees of approximately $91.9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from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99"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six months ended June 30, 2010 and 2009, approximately $12 million and $10.5 million, respectively, were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 As of June 30, 2010, and December 31, 2009, Wynn Resorts owed Mr. Wynn and the other officers and directors approximately $367,238 and $789,095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0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83"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months ended June 30, 2010 and 2009 were $0.5 million and a net gain of $6.6 million, respectively. Property charges and other for the three months ended June 30, 2010, related to miscellaneous renovations and abandonments at Wynn Las Vegas and Encore. Property charges and other for the three months ended June 30, 2009, include the return of $8.1 million of aircraft deposits written off in the first quarter of 2009. On February 19, 2009, the Company cancelled an agreement to purchase an aircraft. The deposit was refundable to the extent another buyer was found. Due to the uncertainty as to the recoverability of this deposit, the Company wrote off the deposit in the first quarter of 2009. In the second quarter of 2009 another buyer was found and the Company recovered a portion of the original deposit. The remaining property charges for the three months ended June 30, 2009 were related to miscellaneous renovations and abandonments at Wynn Las Vegas and Encore.</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Property charges and other for the six months ended June 30, 2010 and 2009 were $1.7 million and $7.3 million respectively. Property charges and other for the six months ended June 30, 2010 were for miscellaneous renovations and abandonments at Wynn Las Vegas and Encore. Property charges and other for the six months ended June 30, 2009, include the net write-off of $5.3 million of an aircraft purchase deposit noted above. The remaining property charges for the six months ended June 30, 2009 were related to miscellaneous renovations and abandonments at Wynn Las Vegas and Encore.</w:t>
      </w:r>
    </w:p>
    <w:p>
      <w:pPr>
        <w:spacing w:after="0" w:line="93" w:lineRule="exact"/>
        <w:rPr>
          <w:sz w:val="20"/>
          <w:szCs w:val="20"/>
          <w:color w:val="auto"/>
        </w:rPr>
      </w:pPr>
    </w:p>
    <w:p>
      <w:pPr>
        <w:ind w:right="8660" w:firstLine="8"/>
        <w:spacing w:after="0" w:line="332" w:lineRule="auto"/>
        <w:tabs>
          <w:tab w:leader="none" w:pos="263"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June 30,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June 30, 2010, the Company had not recorded a receivable related to this matter.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On August 4, 2010, the Issuers issued a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The Company plans to use the net proceeds of the offering along with the proceeds of a capital contribution from Wynn Resorts, Limited to purchase, and, as applicable, make consent payments for, any and all of the Issuers’ 2014 Notes that are validly tendered and accepted for payment pursuant to Wynn Las Vegas, LLC’s concurrent offer to purchase and consent solicitation with respect to the 2014 Notes and to redeem any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in the amount of $30.00 for each $1,000 principal amount of 2014 Notes. The consent solicitation expired on August 3, 2010 and the tender offer expires August 18, 2010.</w:t>
      </w:r>
    </w:p>
    <w:p>
      <w:pPr>
        <w:spacing w:after="0" w:line="10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On August 4, 2010, the Trustee, at the request of the Issuers, gave notice of redemption of any and all of the outstanding 2014 Notes. The redemption price shall be equal to 103.313% of the aggregate principal amount of the 2014 Notes redeemed plus accrued and unpaid interest thereon to September 3, 2010.</w:t>
      </w:r>
    </w:p>
    <w:p>
      <w:pPr>
        <w:spacing w:after="0" w:line="4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the Company’s credit facilities, the 2014 Notes, the 2017 Notes and existing 2020 Notes. The New 2020 Notes are senior secured obligations of the Issuers, guaranteed by certain of Wynn Las Vegas, LLC’s subsidiaries and are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the Company, all of which is the same collateral that secures borrowings under the credit facilities, the 2014 Notes, the 2017 Notes and the existing 2020 Notes.</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12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Concurrently with the issuance of the New 2020 Notes, the Company entered into a seventh amendment dated August 4, 2010, to the Wynn Las Vegas Amended and Restated Credit Agreement. After giving effect to this amendment, the maturity date with respect to a portion on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Consolidating Financial Information of Guarantors and Issuers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June 30, 2010 and December 31, 2009, and for the six months ended June 30, 2010 and 2009.</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460" w:right="2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AS OF JUNE 30, 2010</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50,312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100,154</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74,430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244,323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3,583,173</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195,788</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3,778,961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41,650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56,267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29,232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19,706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43,458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9,812</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56,947</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(158,357)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18,905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195,334</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2,554,356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36,400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2,590,756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91,900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2,673,940</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231,734</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1,918,124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1,918,124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(677,032)</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(38,492)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30,606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(677,032)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1,241,092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(25,962)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3,915,032</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205,772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18,076</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4,138,885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$ 117,190</w:t>
            </w:r>
          </w:p>
        </w:tc>
        <w:tc>
          <w:tcPr>
            <w:tcW w:w="32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$ 117,190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111,477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111,477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361,427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361,409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(43,088)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318,339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318,321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Casino</w:t>
            </w:r>
          </w:p>
        </w:tc>
        <w:tc>
          <w:tcPr>
            <w:tcW w:w="680" w:type="dxa"/>
            <w:vAlign w:val="bottom"/>
          </w:tcPr>
          <w:p>
            <w:pPr>
              <w:jc w:val="right"/>
              <w:spacing w:after="0"/>
              <w:rPr>
                <w:sz w:val="20"/>
                <w:szCs w:val="20"/>
                <w:color w:val="auto"/>
              </w:rPr>
            </w:pPr>
            <w:r>
              <w:rPr>
                <w:rFonts w:ascii="Arial" w:cs="Arial" w:eastAsia="Arial" w:hAnsi="Arial"/>
                <w:sz w:val="18"/>
                <w:szCs w:val="18"/>
                <w:color w:val="auto"/>
              </w:rPr>
              <w:t>68,585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jc w:val="right"/>
              <w:spacing w:after="0"/>
              <w:rPr>
                <w:sz w:val="20"/>
                <w:szCs w:val="20"/>
                <w:color w:val="auto"/>
              </w:rPr>
            </w:pPr>
            <w:r>
              <w:rPr>
                <w:rFonts w:ascii="Arial" w:cs="Arial" w:eastAsia="Arial" w:hAnsi="Arial"/>
                <w:sz w:val="18"/>
                <w:szCs w:val="18"/>
                <w:color w:val="auto"/>
              </w:rPr>
              <w:t>68,384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auto"/>
              </w:rPr>
              <w:t>57,475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680" w:type="dxa"/>
            <w:vAlign w:val="bottom"/>
          </w:tcPr>
          <w:p>
            <w:pPr>
              <w:jc w:val="right"/>
              <w:spacing w:after="0"/>
              <w:rPr>
                <w:sz w:val="20"/>
                <w:szCs w:val="20"/>
                <w:color w:val="auto"/>
              </w:rPr>
            </w:pPr>
            <w:r>
              <w:rPr>
                <w:rFonts w:ascii="Arial" w:cs="Arial" w:eastAsia="Arial" w:hAnsi="Arial"/>
                <w:sz w:val="18"/>
                <w:szCs w:val="18"/>
                <w:color w:val="auto"/>
              </w:rPr>
              <w:t>4,787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66,561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334,917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649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(23)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335,543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330"/>
        </w:trPr>
        <w:tc>
          <w:tcPr>
            <w:tcW w:w="55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(46,053)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(3,152)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(52,169)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(51,525)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(68,747)</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776</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(68,747)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F-17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$124,343</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$124,343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99,945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356,050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356,228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(43,269)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312,781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312,959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Casino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60,704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61,801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33,554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58,063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4,703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77,238</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328,660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178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321,305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(15,879)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330"/>
        </w:trPr>
        <w:tc>
          <w:tcPr>
            <w:tcW w:w="48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(37,387)</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(30,304)</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(37,837)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(46,183)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(7,081)</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18"/>
                <w:szCs w:val="18"/>
                <w:color w:val="auto"/>
              </w:rPr>
              <w:t>F-18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6"/>
              </w:rPr>
              <w:t>Nonguarantor</w:t>
            </w:r>
          </w:p>
        </w:tc>
        <w:tc>
          <w:tcPr>
            <w:tcW w:w="4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6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$ 256,700</w:t>
            </w:r>
          </w:p>
        </w:tc>
        <w:tc>
          <w:tcPr>
            <w:tcW w:w="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$ 256,700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207,420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207,420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105,607</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726,121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726,084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(89,156)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636,965</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636,928</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Casino</w:t>
            </w:r>
          </w:p>
        </w:tc>
        <w:tc>
          <w:tcPr>
            <w:tcW w:w="740" w:type="dxa"/>
            <w:vAlign w:val="bottom"/>
          </w:tcPr>
          <w:p>
            <w:pPr>
              <w:jc w:val="right"/>
              <w:spacing w:after="0"/>
              <w:rPr>
                <w:sz w:val="20"/>
                <w:szCs w:val="20"/>
                <w:color w:val="auto"/>
              </w:rPr>
            </w:pPr>
            <w:r>
              <w:rPr>
                <w:rFonts w:ascii="Arial" w:cs="Arial" w:eastAsia="Arial" w:hAnsi="Arial"/>
                <w:sz w:val="18"/>
                <w:szCs w:val="18"/>
                <w:color w:val="auto"/>
              </w:rPr>
              <w:t>145,412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740" w:type="dxa"/>
            <w:vAlign w:val="bottom"/>
          </w:tcPr>
          <w:p>
            <w:pPr>
              <w:jc w:val="right"/>
              <w:spacing w:after="0"/>
              <w:rPr>
                <w:sz w:val="20"/>
                <w:szCs w:val="20"/>
                <w:color w:val="auto"/>
              </w:rPr>
            </w:pPr>
            <w:r>
              <w:rPr>
                <w:rFonts w:ascii="Arial" w:cs="Arial" w:eastAsia="Arial" w:hAnsi="Arial"/>
                <w:sz w:val="18"/>
                <w:szCs w:val="18"/>
                <w:color w:val="auto"/>
              </w:rPr>
              <w:t>126,370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jc w:val="right"/>
              <w:spacing w:after="0"/>
              <w:rPr>
                <w:sz w:val="20"/>
                <w:szCs w:val="20"/>
                <w:color w:val="auto"/>
              </w:rPr>
            </w:pPr>
            <w:r>
              <w:rPr>
                <w:rFonts w:ascii="Arial" w:cs="Arial" w:eastAsia="Arial" w:hAnsi="Arial"/>
                <w:sz w:val="18"/>
                <w:szCs w:val="18"/>
                <w:color w:val="auto"/>
              </w:rPr>
              <w:t>117,744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116,895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40" w:type="dxa"/>
            <w:vAlign w:val="bottom"/>
          </w:tcPr>
          <w:p>
            <w:pPr>
              <w:jc w:val="right"/>
              <w:spacing w:after="0"/>
              <w:rPr>
                <w:sz w:val="20"/>
                <w:szCs w:val="20"/>
                <w:color w:val="auto"/>
              </w:rPr>
            </w:pPr>
            <w:r>
              <w:rPr>
                <w:rFonts w:ascii="Arial" w:cs="Arial" w:eastAsia="Arial" w:hAnsi="Arial"/>
                <w:sz w:val="18"/>
                <w:szCs w:val="18"/>
                <w:color w:val="auto"/>
              </w:rPr>
              <w:t>9,561</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144,340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740" w:type="dxa"/>
            <w:vAlign w:val="bottom"/>
          </w:tcPr>
          <w:p>
            <w:pPr>
              <w:jc w:val="right"/>
              <w:spacing w:after="0"/>
              <w:rPr>
                <w:sz w:val="20"/>
                <w:szCs w:val="20"/>
                <w:color w:val="auto"/>
              </w:rPr>
            </w:pPr>
            <w:r>
              <w:rPr>
                <w:rFonts w:ascii="Arial" w:cs="Arial" w:eastAsia="Arial" w:hAnsi="Arial"/>
                <w:sz w:val="18"/>
                <w:szCs w:val="18"/>
                <w:color w:val="auto"/>
              </w:rPr>
              <w:t>687,273</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1,441</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688,635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(50,308)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(51,707)</w:t>
            </w:r>
          </w:p>
        </w:tc>
        <w:tc>
          <w:tcPr>
            <w:tcW w:w="0" w:type="dxa"/>
            <w:vAlign w:val="bottom"/>
          </w:tcPr>
          <w:p>
            <w:pPr>
              <w:spacing w:after="0"/>
              <w:rPr>
                <w:sz w:val="1"/>
                <w:szCs w:val="1"/>
                <w:color w:val="auto"/>
              </w:rPr>
            </w:pPr>
          </w:p>
        </w:tc>
      </w:tr>
      <w:tr>
        <w:trPr>
          <w:trHeight w:val="330"/>
        </w:trPr>
        <w:tc>
          <w:tcPr>
            <w:tcW w:w="54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(90,969)</w:t>
            </w: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(4,555)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Loss on exchange offer</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(3,152)</w:t>
            </w: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(1,626)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(100,131)</w:t>
            </w: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(98,732)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(150,439)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80" w:type="dxa"/>
            <w:vAlign w:val="bottom"/>
            <w:gridSpan w:val="2"/>
          </w:tcPr>
          <w:p>
            <w:pPr>
              <w:jc w:val="right"/>
              <w:ind w:right="860"/>
              <w:spacing w:after="0"/>
              <w:rPr>
                <w:sz w:val="20"/>
                <w:szCs w:val="20"/>
                <w:color w:val="auto"/>
              </w:rPr>
            </w:pPr>
            <w:r>
              <w:rPr>
                <w:rFonts w:ascii="Arial" w:cs="Arial" w:eastAsia="Arial" w:hAnsi="Arial"/>
                <w:sz w:val="18"/>
                <w:szCs w:val="18"/>
                <w:color w:val="auto"/>
              </w:rPr>
              <w:t>F-19</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Eliminating</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$ 241,824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$ 241,824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196,854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196,854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701,631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702,060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(97,579)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604,052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604,481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136,688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136,688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53,002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118,942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63,007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123,190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122,271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9,057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153,498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664,497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6,285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429</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671,211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(60,445)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330"/>
        </w:trPr>
        <w:tc>
          <w:tcPr>
            <w:tcW w:w="4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660" w:type="dxa"/>
            <w:vAlign w:val="bottom"/>
            <w:gridSpan w:val="3"/>
          </w:tcPr>
          <w:p>
            <w:pPr>
              <w:jc w:val="right"/>
              <w:ind w:right="260"/>
              <w:spacing w:after="0"/>
              <w:rPr>
                <w:sz w:val="20"/>
                <w:szCs w:val="20"/>
                <w:color w:val="auto"/>
              </w:rPr>
            </w:pPr>
            <w:r>
              <w:rPr>
                <w:rFonts w:ascii="Arial" w:cs="Arial" w:eastAsia="Arial" w:hAnsi="Arial"/>
                <w:sz w:val="18"/>
                <w:szCs w:val="18"/>
                <w:color w:val="auto"/>
              </w:rPr>
              <w:t>(73,935)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(81,202)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(74,917)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7,281</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F-20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(150,439)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1,626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(150,439)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144,340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8,374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9,282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4,555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11,007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324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(29,505)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29,560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27,063</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(83,978)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7,525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2,922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(80,204)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2,847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(77,357)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(3,989)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34,258</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(15,686)</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351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50,312</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F-21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Non-guarantor</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Issuers</w:t>
            </w:r>
          </w:p>
        </w:tc>
        <w:tc>
          <w:tcPr>
            <w:tcW w:w="26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0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Entries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(141,647)</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(7,281)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7,281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(141,647)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153,498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11,560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 of</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distributions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7,281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5,081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7,201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183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(67,668)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(67,812)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1280"/>
              <w:spacing w:after="0"/>
              <w:rPr>
                <w:sz w:val="20"/>
                <w:szCs w:val="20"/>
                <w:color w:val="auto"/>
              </w:rPr>
            </w:pPr>
            <w:r>
              <w:rPr>
                <w:rFonts w:ascii="Arial" w:cs="Arial" w:eastAsia="Arial" w:hAnsi="Arial"/>
                <w:sz w:val="18"/>
                <w:szCs w:val="18"/>
                <w:color w:val="auto"/>
                <w:w w:val="97"/>
              </w:rPr>
              <w:t>Net cash provided by (used in) operating activities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9"/>
                <w:szCs w:val="19"/>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w w:val="92"/>
              </w:rPr>
              <w:t>Capital expenditures, net of construction payables and retentions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(172,151)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(5,239)</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investing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(167,770)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(165,039)</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(288,340)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85,542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328,451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8"/>
              </w:rPr>
              <w:t>Net cash provided by (used in) financing activities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115,451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114,751</w:t>
            </w:r>
          </w:p>
        </w:tc>
        <w:tc>
          <w:tcPr>
            <w:tcW w:w="0" w:type="dxa"/>
            <w:vAlign w:val="bottom"/>
          </w:tcPr>
          <w:p>
            <w:pPr>
              <w:spacing w:after="0"/>
              <w:rPr>
                <w:sz w:val="1"/>
                <w:szCs w:val="1"/>
                <w:color w:val="auto"/>
              </w:rPr>
            </w:pPr>
          </w:p>
        </w:tc>
      </w:tr>
      <w:tr>
        <w:trPr>
          <w:trHeight w:val="29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(51,603)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71,712</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F-22</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2009 and 2008, and the related consolidated statements of operations, member’s equity, and cash flows for each of the three years in the period ended December 31, 2009. Our audits also included the financial statement schedule listed in the index at F-34.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80"/>
          </w:cols>
          <w:pgMar w:left="240" w:top="459" w:right="3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414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4,108,953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37,462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Current portion of long-term debt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Accrued interest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Other accrued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23,309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deposits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Long-term debt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2,551,520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2,833,423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Interest rate swap</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2,868,771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3,326,708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6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1,912,146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1,474,286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(526,593)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30"/>
        </w:trPr>
        <w:tc>
          <w:tcPr>
            <w:tcW w:w="7660" w:type="dxa"/>
            <w:vAlign w:val="bottom"/>
          </w:tcPr>
          <w:p>
            <w:pPr>
              <w:ind w:left="88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1,385,553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1,257,563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member’s equity</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4,584,271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Casino</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30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479,711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305,702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202,122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1,416,102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1,256,050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1,448,569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(185,982)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(156,159)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1,230,120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1,099,891</w:t>
            </w: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257,983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188,521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248,489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199,540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169,640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1,374,399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1,158,507</w:t>
            </w:r>
          </w:p>
        </w:tc>
        <w:tc>
          <w:tcPr>
            <w:tcW w:w="5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(144,279)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(58,616)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(157,228)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(75,855)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(3,779)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vMerge w:val="continue"/>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(165,591)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(71,178)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(309,870)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(129,794)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$ 1,242,770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20" w:type="dxa"/>
            <w:vAlign w:val="bottom"/>
          </w:tcPr>
          <w:p>
            <w:pPr>
              <w:jc w:val="right"/>
              <w:spacing w:after="0"/>
              <w:rPr>
                <w:sz w:val="20"/>
                <w:szCs w:val="20"/>
                <w:color w:val="auto"/>
              </w:rPr>
            </w:pPr>
            <w:r>
              <w:rPr>
                <w:rFonts w:ascii="Arial" w:cs="Arial" w:eastAsia="Arial" w:hAnsi="Arial"/>
                <w:sz w:val="18"/>
                <w:szCs w:val="18"/>
                <w:color w:val="auto"/>
              </w:rPr>
              <w:t>124,219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1,375,020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Wynn Resorts, Ltd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1,257,563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Parent company 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8,370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Wynn Resorts, Ltd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8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1,385,553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87"/>
              </w:rPr>
              <w:t>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(309,870)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(129,794)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124,219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313,759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152,839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22,406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790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(38,706)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23"/>
        </w:trPr>
        <w:tc>
          <w:tcPr>
            <w:tcW w:w="790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315,714</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(245,040)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(1,129,525)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(678,480)</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31,052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166,465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(35,061)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affliates,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(249,188)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(1,032,451)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(562,021)</w:t>
            </w: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(929,909)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(282,911)</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649,481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879,484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585,460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412,951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(20,698)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(3,979)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111,825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874,105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(56,961)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23"/>
        </w:trPr>
        <w:tc>
          <w:tcPr>
            <w:tcW w:w="7900" w:type="dxa"/>
            <w:vAlign w:val="bottom"/>
          </w:tcPr>
          <w:p>
            <w:pPr>
              <w:ind w:left="44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123,315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146,521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146,521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138,787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110,298</w:t>
            </w:r>
          </w:p>
        </w:tc>
        <w:tc>
          <w:tcPr>
            <w:tcW w:w="0" w:type="dxa"/>
            <w:vAlign w:val="bottom"/>
          </w:tcPr>
          <w:p>
            <w:pPr>
              <w:spacing w:after="0"/>
              <w:rPr>
                <w:sz w:val="1"/>
                <w:szCs w:val="1"/>
                <w:color w:val="auto"/>
              </w:rPr>
            </w:pPr>
          </w:p>
        </w:tc>
      </w:tr>
      <w:tr>
        <w:trPr>
          <w:trHeight w:val="216"/>
        </w:trPr>
        <w:tc>
          <w:tcPr>
            <w:tcW w:w="7900" w:type="dxa"/>
            <w:vAlign w:val="bottom"/>
          </w:tcPr>
          <w:p>
            <w:pPr>
              <w:ind w:left="440"/>
              <w:spacing w:after="0"/>
              <w:rPr>
                <w:sz w:val="20"/>
                <w:szCs w:val="20"/>
                <w:color w:val="auto"/>
              </w:rPr>
            </w:pPr>
            <w:r>
              <w:rPr>
                <w:rFonts w:ascii="Arial" w:cs="Arial" w:eastAsia="Arial" w:hAnsi="Arial"/>
                <w:sz w:val="18"/>
                <w:szCs w:val="18"/>
                <w:color w:val="auto"/>
              </w:rPr>
              <w:t>Change in construction payables and retention</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(183,842)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78,308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2"/>
        </w:trPr>
        <w:tc>
          <w:tcPr>
            <w:tcW w:w="7900" w:type="dxa"/>
            <w:vAlign w:val="bottom"/>
          </w:tcPr>
          <w:p>
            <w:pPr>
              <w:ind w:left="440"/>
              <w:spacing w:after="0"/>
              <w:rPr>
                <w:sz w:val="20"/>
                <w:szCs w:val="20"/>
                <w:color w:val="auto"/>
              </w:rPr>
            </w:pPr>
            <w:r>
              <w:rPr>
                <w:rFonts w:ascii="Arial" w:cs="Arial" w:eastAsia="Arial" w:hAnsi="Arial"/>
                <w:sz w:val="18"/>
                <w:szCs w:val="18"/>
                <w:color w:val="auto"/>
              </w:rPr>
              <w:t>Capital contribution from parent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16,539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In April 2006, the Company commenced construction of Encore at Wynn Las Vegas (“Encore”), a 2,034 all-suite hotel fully integrated with Wynn Las Vegas. Encore opened on December 22, 2008.</w:t>
      </w:r>
    </w:p>
    <w:p>
      <w:pPr>
        <w:spacing w:after="0" w:line="13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2009,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2009 and 2008, approximately 68% and 69%,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Land improvements</w:t>
            </w:r>
          </w:p>
        </w:tc>
        <w:tc>
          <w:tcPr>
            <w:tcW w:w="388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Airplane</w:t>
            </w:r>
          </w:p>
        </w:tc>
        <w:tc>
          <w:tcPr>
            <w:tcW w:w="38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8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$80.4 million and $33.6 million was capitalized for the years ended December 31, 2009, 2008 and 2007,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$9.3 million, $8.5 million and $7.2 million, was amortized to interest expense during the years ended December 31, 2009, 2008 and 2007,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Revenues are recognized net of certain sales incentives which are required to be recorded as a reduction of revenues; consequently, the Company’s casino revenues are reduced by discounts and points earned in customer loyalty programs, such as the player’s club loyalty program.</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22"/>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6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6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41,591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$ 24,816</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Food and beverage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59,441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53,006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53,742</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3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9,701</w:t>
            </w:r>
          </w:p>
        </w:tc>
      </w:tr>
      <w:tr>
        <w:trPr>
          <w:trHeight w:val="222"/>
        </w:trPr>
        <w:tc>
          <w:tcPr>
            <w:tcW w:w="20" w:type="dxa"/>
            <w:vAlign w:val="bottom"/>
          </w:tcPr>
          <w:p>
            <w:pPr>
              <w:spacing w:after="0"/>
              <w:rPr>
                <w:sz w:val="19"/>
                <w:szCs w:val="19"/>
                <w:color w:val="auto"/>
              </w:rPr>
            </w:pPr>
          </w:p>
        </w:tc>
        <w:tc>
          <w:tcPr>
            <w:tcW w:w="3260" w:type="dxa"/>
            <w:vAlign w:val="bottom"/>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113,046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$ 90,325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$ 88,259</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200" w:type="dxa"/>
            <w:vAlign w:val="bottom"/>
            <w:gridSpan w:val="2"/>
          </w:tcPr>
          <w:p>
            <w:pPr>
              <w:jc w:val="right"/>
              <w:ind w:right="1740"/>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approximately $36.5 million, $33.4 million and $45.6 million for the years ended December 31, 2009, 2008 and 2007,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expenses advertising costs the first time the advertising takes place. Advertising costs incurred in development periods are included in pre-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opening costs. Once a project is completed, advertising costs are included in general and administrative expenses. Total advertising costs were $17.3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$27.1 million including $11.1 million of pre-opening related to Encore and $21.4 million, respectively, for the years ended December 31, 2009, 2008 and 2007.</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Pre-opening costs, consisting primarily of direct salaries and wages, legal and consulting fees, insurance, utilities and advertising, are expensed as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pre-opening costs in connection with Encore prior to its opening on December 22,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40" w:firstLine="228"/>
        <w:spacing w:after="0" w:line="375" w:lineRule="auto"/>
        <w:rPr>
          <w:sz w:val="20"/>
          <w:szCs w:val="20"/>
          <w:color w:val="auto"/>
        </w:rPr>
      </w:pPr>
      <w:r>
        <w:rPr>
          <w:rFonts w:ascii="Arial" w:cs="Arial" w:eastAsia="Arial" w:hAnsi="Arial"/>
          <w:sz w:val="18"/>
          <w:szCs w:val="18"/>
          <w:color w:val="auto"/>
        </w:rPr>
        <w:t xml:space="preserve">Further information on the Company’s share-based compensation arrangements is included in Note 11 “Benefit Plans—Share-Based Compensation”. </w:t>
      </w:r>
      <w:r>
        <w:rPr>
          <w:rFonts w:ascii="Arial" w:cs="Arial" w:eastAsia="Arial" w:hAnsi="Arial"/>
          <w:sz w:val="18"/>
          <w:szCs w:val="18"/>
          <w:i w:val="1"/>
          <w:iCs w:val="1"/>
          <w:color w:val="auto"/>
        </w:rPr>
        <w:t>Recent Accounting Pronouncements</w:t>
      </w:r>
    </w:p>
    <w:p>
      <w:pPr>
        <w:spacing w:after="0" w:line="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These new accounting standards are effective January 1, 2010. The Company is currently evaluating the impact, if any, of adopting these new accounting standards on its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2008 and 2007 have been reclassified to be consistent with the current year presentation. These reclassifications had no effect on the previously reported net (loss)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$149,786</w:t>
            </w:r>
          </w:p>
        </w:tc>
        <w:tc>
          <w:tcPr>
            <w:tcW w:w="10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$142,515</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Hotel</w:t>
            </w: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178,266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163,696</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(67,406)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(65,414)</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8"/>
                <w:szCs w:val="18"/>
                <w:color w:val="auto"/>
              </w:rPr>
              <w:t>$ 110,860</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240" w:type="dxa"/>
            <w:vAlign w:val="bottom"/>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gridSpan w:val="8"/>
          </w:tcPr>
          <w:p>
            <w:pPr>
              <w:ind w:left="2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8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89"/>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692,677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695,474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2,554,224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2,557,489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1,325,677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1,301,182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4,640,805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4,602,978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(789,137)</w:t>
            </w:r>
          </w:p>
        </w:tc>
        <w:tc>
          <w:tcPr>
            <w:tcW w:w="1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(494,025)</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3,851,668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 xml:space="preserve"> 4,108,953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Depreciation expense for the years ended December 31, 2009, 2008 and 2007 was $300.8 million, $156.4 million and $139.5 million, respectively. The increase during 2009 is due to the depreciation of assets placed in service for Encore in December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9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4"/>
          </w:tcPr>
          <w:p>
            <w:pPr>
              <w:ind w:left="580"/>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January 1, 2008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(6,340)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(2,339)</w:t>
            </w:r>
          </w:p>
        </w:tc>
        <w:tc>
          <w:tcPr>
            <w:tcW w:w="28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40" w:type="dxa"/>
            <w:vAlign w:val="bottom"/>
            <w:gridSpan w:val="2"/>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7,076</w:t>
            </w:r>
          </w:p>
        </w:tc>
        <w:tc>
          <w:tcPr>
            <w:tcW w:w="3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6,400</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Show production rights represent the amounts paid to purchase the rights to present the “Le Rêve” and “Monty Python’s Spamalot” production shows. During the year ended December 31, 2008, the Company wrote-off the show production rights associated with Spamalot as the contract for that show was terminated. The Company expects that amortization of show production rights will be approximately $2.1 million for each of the years 2010 through 2012, and approximately $0.8 million in 2013.</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02"/>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58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6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$ 11,826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$ 21,878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Base stock</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22,027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28,321</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w:t>
            </w: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Golf memberships</w:t>
            </w:r>
          </w:p>
        </w:tc>
        <w:tc>
          <w:tcPr>
            <w:tcW w:w="50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$ 77,969</w:t>
            </w:r>
          </w:p>
        </w:tc>
      </w:tr>
      <w:tr>
        <w:trPr>
          <w:trHeight w:val="20"/>
        </w:trPr>
        <w:tc>
          <w:tcPr>
            <w:tcW w:w="3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5660" w:type="dxa"/>
            <w:vAlign w:val="bottom"/>
            <w:gridSpan w:val="2"/>
          </w:tcPr>
          <w:p>
            <w:pPr>
              <w:jc w:val="right"/>
              <w:ind w:right="3866"/>
              <w:spacing w:after="0"/>
              <w:rPr>
                <w:sz w:val="20"/>
                <w:szCs w:val="20"/>
                <w:color w:val="auto"/>
              </w:rPr>
            </w:pPr>
            <w:r>
              <w:rPr>
                <w:rFonts w:ascii="Arial" w:cs="Arial" w:eastAsia="Arial" w:hAnsi="Arial"/>
                <w:sz w:val="18"/>
                <w:szCs w:val="18"/>
                <w:color w:val="auto"/>
              </w:rPr>
              <w:t>F-33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6 </w:t>
            </w:r>
            <w:r>
              <w:rPr>
                <w:rFonts w:ascii="Arial" w:cs="Arial" w:eastAsia="Arial" w:hAnsi="Arial"/>
                <w:sz w:val="11"/>
                <w:szCs w:val="11"/>
                <w:color w:val="auto"/>
                <w:w w:val="96"/>
              </w:rPr>
              <w:t>5</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December 1, 2014, net of original issue discount of $8,214 and $9,561, 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$1,626,016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$ 1,690,439</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w w:val="97"/>
              </w:rPr>
              <w:t xml:space="preserve">7 </w:t>
            </w:r>
            <w:r>
              <w:rPr>
                <w:rFonts w:ascii="Arial" w:cs="Arial" w:eastAsia="Arial" w:hAnsi="Arial"/>
                <w:sz w:val="11"/>
                <w:szCs w:val="11"/>
                <w:color w:val="auto"/>
                <w:w w:val="97"/>
              </w:rPr>
              <w:t>7</w:t>
            </w:r>
            <w:r>
              <w:rPr>
                <w:rFonts w:ascii="Arial" w:cs="Arial" w:eastAsia="Arial" w:hAnsi="Arial"/>
                <w:sz w:val="18"/>
                <w:szCs w:val="18"/>
                <w:color w:val="auto"/>
                <w:w w:val="97"/>
              </w:rPr>
              <w:t>/</w:t>
            </w:r>
            <w:r>
              <w:rPr>
                <w:rFonts w:ascii="Arial" w:cs="Arial" w:eastAsia="Arial" w:hAnsi="Arial"/>
                <w:sz w:val="13"/>
                <w:szCs w:val="13"/>
                <w:color w:val="auto"/>
                <w:w w:val="97"/>
              </w:rPr>
              <w:t>8</w:t>
            </w:r>
            <w:r>
              <w:rPr>
                <w:rFonts w:ascii="Arial" w:cs="Arial" w:eastAsia="Arial" w:hAnsi="Arial"/>
                <w:sz w:val="18"/>
                <w:szCs w:val="18"/>
                <w:color w:val="auto"/>
                <w:w w:val="97"/>
              </w:rPr>
              <w:t>% First Mortgage Notes, due November 1, 2017, net of original issue discount of $10,529 at December 31, 2009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489,471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4"/>
              </w:rPr>
              <w:t>Revolving Credit Facility; due July 15, 2013; interest at LIBOR plus 3.0% and 1.625% (approximately 3.24% and 2.2%),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120" w:type="dxa"/>
            <w:vAlign w:val="bottom"/>
            <w:shd w:val="clear" w:color="auto" w:fill="CCEEFF"/>
          </w:tcPr>
          <w:p>
            <w:pPr>
              <w:spacing w:after="0"/>
              <w:rPr>
                <w:sz w:val="19"/>
                <w:szCs w:val="19"/>
                <w:color w:val="auto"/>
              </w:rPr>
            </w:pPr>
          </w:p>
        </w:tc>
      </w:tr>
      <w:tr>
        <w:trPr>
          <w:trHeight w:val="208"/>
        </w:trPr>
        <w:tc>
          <w:tcPr>
            <w:tcW w:w="9020" w:type="dxa"/>
            <w:vAlign w:val="bottom"/>
          </w:tcPr>
          <w:p>
            <w:pPr>
              <w:spacing w:after="0"/>
              <w:rPr>
                <w:sz w:val="20"/>
                <w:szCs w:val="20"/>
                <w:color w:val="auto"/>
              </w:rPr>
            </w:pPr>
            <w:r>
              <w:rPr>
                <w:rFonts w:ascii="Arial" w:cs="Arial" w:eastAsia="Arial" w:hAnsi="Arial"/>
                <w:sz w:val="18"/>
                <w:szCs w:val="18"/>
                <w:color w:val="auto"/>
                <w:w w:val="91"/>
              </w:rPr>
              <w:t>Term Loan Facility; $40.2 million due September 30, 2012 with the remaining $40.2 million due August 15, 2013; interest at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020" w:type="dxa"/>
            <w:vAlign w:val="bottom"/>
          </w:tcPr>
          <w:p>
            <w:pPr>
              <w:ind w:left="220"/>
              <w:spacing w:after="0"/>
              <w:rPr>
                <w:sz w:val="20"/>
                <w:szCs w:val="20"/>
                <w:color w:val="auto"/>
              </w:rPr>
            </w:pPr>
            <w:r>
              <w:rPr>
                <w:rFonts w:ascii="Arial" w:cs="Arial" w:eastAsia="Arial" w:hAnsi="Arial"/>
                <w:sz w:val="18"/>
                <w:szCs w:val="18"/>
                <w:color w:val="auto"/>
              </w:rPr>
              <w:t>LIBOR plus 1.875% (approximately 2.12% and 3.1%, respectively)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80,446</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19"/>
                <w:szCs w:val="19"/>
                <w:color w:val="auto"/>
              </w:rPr>
            </w:pP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w w:val="94"/>
              </w:rPr>
              <w:t>$42 million Note Payable; due April 1, 2017; interest at LIBOR plus 1.25% (approximately 1.8% and, 3.0% respectively)</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Payable to Affiliate</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2,834,473</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2,551,520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2,833,423</w:t>
            </w:r>
          </w:p>
        </w:tc>
        <w:tc>
          <w:tcPr>
            <w:tcW w:w="12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On November 6, 2007, the Issuers issued, in a private offering, $400 million aggregate principal amount of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December 1, 2014 at a price of 97.25% of the principal amount. These notes were issued under the same indenture as the original $1.3 billion first mortgage notes. Both offerings are referred to herein as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The Company pays interest on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June 1st and December 1st of each year. Commencing December 1, 2009,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are redeemable at the Company’s option at a price equal to 103.313% of the principal amount redeemed and declining ratably on December 1st of each year thereafter to zero on or after December 1, 2012.</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The indenture governing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 xml:space="preserve">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among other things, an aircraft beneficially owned by World Travel, LLC.</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6 5/8%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During the year ended December 31, 2009, Wynn Resorts purchased $65.8 million face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through open market purchases at a discount. The purchase of the notes by Wynn Resorts has not been contributed to the Company and the notes have not been retired. Accordingly, $65.8 million of the 6 5/8% First Mortgage Notes held by Wynn Resorts remain on the Company’s balance sheet as a payable to affiliate within Long-term Debt. If and when such notes are contributed to the Company by Wynn Resorts, the Company would then retire the notes and recognize a gain on the early extinguishment of debt equal to the gain recorded by Wynn Resorts of approximately $13.7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November 1, 2017 at a price of 97.823% of the principal amount. Net proceeds to the Company were approximately $480 million, after deducting the original issue discount and underwriting fees and other expenses. The Company pays interest on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on May 1st and November 1st of each year. Commencing November 1, 2013, the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are redeemable at the Company’s option at a price equal to 103.938% of the principal amount redeemed and decline ratably on November 1st of each year thereafter to zero on or after November 1, 2015. The notes rank pari passu with the borrowings under the Wynn Las Vegas credit facilities and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have not been registered under the Securities Act of 1933 or under any state securities laws. Therefore, the holders may not offer or sell the notes within the United States to, or for the account or benefit of, any United States person unless the offer or sale would qualify for a registration exemption from the Securities Act and applicable state securities laws. The Issuers have agreed to make an offer to exchange the notes for registered, publically traded notes that have substantially identical terms as the notes.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Wynn Las Vegas Amended and Restated Credit Agreement (the “Credit Agreement”), consisted of a $457.9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(the “Wynn Las Vegas Revolver”) and an $80.4 million term loan facility (the “Wynn Las Vegas Term Loan”) (together the “Wynn Las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Vegas Credit Facilities”). As of December 31, 2009, the Company had borrowed $252.7 million under the Wynn Las Vegas Revolver. The Company also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 million of outstanding letters of credit that reduce the availability under the Wynn Las Vegas Revolver. Consequently, there was availability of $185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Wynn Las Vegas Revolver as of December 31, 2009. As described below, during the year ended December 31, 2009, the Company (a) extended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maturity of the Wynn Las Vegas Revolver, (b) received relief from certain financial covenants, (c) increased the Wynn Las Vegas Revolver by $65 million,</w:t>
      </w:r>
    </w:p>
    <w:p>
      <w:pPr>
        <w:spacing w:after="0" w:line="32" w:lineRule="exact"/>
        <w:rPr>
          <w:sz w:val="20"/>
          <w:szCs w:val="20"/>
          <w:color w:val="auto"/>
        </w:rPr>
      </w:pPr>
    </w:p>
    <w:p>
      <w:pPr>
        <w:ind w:right="660" w:firstLine="8"/>
        <w:spacing w:after="0" w:line="323" w:lineRule="auto"/>
        <w:tabs>
          <w:tab w:leader="none" w:pos="24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repurchased $87.6 million of Wynn Las Vegas Revolver loans at a discount, and (e) used the net proceeds received from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issuance to repay amounts outstanding, including a permanent reduction in the Wynn Las Vegas Credit Facilities of $360 million.</w:t>
      </w:r>
    </w:p>
    <w:p>
      <w:pPr>
        <w:spacing w:after="0" w:line="7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April 2009, the Company entered into a fourth amendment to the Credit Agreement. This amendment, among other things, (i) provides a waiver of the Consolidated Leverage Ratio, as defined in the Credit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Agreement, until the quarter ending June 30, 2011, and increases such thresholds thereafter; (ii) provides additional flexibility with the Consolidated Interest Coverage Ratio, as defined in the Credit Agreement, by reducing such ratio from 1.75 : 1 to 1.25 : 1 beginning June 30, 2009 through March 31, 2011; and</w:t>
      </w:r>
    </w:p>
    <w:p>
      <w:pPr>
        <w:jc w:val="both"/>
        <w:ind w:right="40" w:firstLine="8"/>
        <w:spacing w:after="0" w:line="254" w:lineRule="auto"/>
        <w:tabs>
          <w:tab w:leader="none" w:pos="30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removes the dollar limit on the equity cure provisions for the purpose of the Consolidated Leverage Ratio and the Consolidated Interest Coverage Ratio over the life of the loan. In exchange for the amendments, the Company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the Company expanded the availability of the Wynn Las Vegas Revolver by $65 million.</w:t>
      </w:r>
    </w:p>
    <w:p>
      <w:pPr>
        <w:spacing w:after="0" w:line="18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2009, the Company entered into a fifth amendment to the Credit Agreement. This amendment, among other things, (i) permits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October 2009, pursuant to an offer to purchase loans outstanding under the Credit Agreement, the Company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In October 2009, in accordance with the fifth amendment to the Wynn Las Vegas Credit Agreement described above, the Company used the proceeds of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to repay amounts outstanding under the Wynn Las Vegas Revolver and Wynn Las Vegas Term Loan.</w:t>
      </w:r>
    </w:p>
    <w:p>
      <w:pPr>
        <w:spacing w:after="0" w:line="7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Wynn Las Vegas Term Loan is payable in two installments of $40.2 million each on September 30, 2012 and August 15, 2013. The Wynn Las Vegas Revolver matures on July 15, 2013.</w:t>
      </w:r>
    </w:p>
    <w:p>
      <w:pPr>
        <w:spacing w:after="0" w:line="118"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For purposes of calculating interest, loans under the Wynn Las Vegas Credit Facilities will be designated, at the election of Wynn Las Vegas, LLC, as Eurodollar Loans or, in certain circumstances, Base Rate Loans. As of December 31, 2009, Eurodollar Loans under the Wynn Las Vegas Revolver and Wynn Las Vegas Term Loan bear interest initially at the Eurodollar rate plus 3.0%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9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The obligations of Wynn Las Vegas, LLC and the guarantors under the Wynn Las Vegas Credit Facilities rank equal in right of payment with their existing and future senior indebtedness, including indebtedness with respect to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and ranks senior in right of payment to all of their existing and future subordinated indebtedness.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1.25 : 1 as of December 31, 2009. Management believes that the Company was in compliance with all covenants at December 31, 2009. The Company will be required to maintain a Consolidated Leverage Ratio, as defined, of 6.50 : 1 for the quarterly reporting date ending June 30, 2011, 6.25 : 1 for the quarterly reporting date ending September 30, 2011 and 6.00 : 1 for each quarterly reporting date thereafter to maturity. The Consolidated Interest Coverage Ratio remains at 1.25 : 1 for the quarterly reporting dates through March 31, 2011, and then increases to 1.75 : 1 for the quarterly reporting dates June 30, 2011 to maturity.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The net book value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at December 31, 2009 and 2008, was approximately $2.2 billion and $1.7 billion, respectively. The estimated fair value of the First Mortgage Notes based upon most recent trades at December 31, 2009 and 2008, was approximately $2.1 billion and $1.25 billion, respectively. The net book value of the Company’s other debt instruments was $400 million and the approximate fair value of such debt was approximately $350 million as of December 31, 2009.</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340"/>
          </w:cols>
          <w:pgMar w:left="240" w:top="459" w:right="3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of long-term debt including the accretion of debt discounts of approximately $18.7 million are as follows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294,339</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1,701,400</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531,500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2,571,312</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2009, the fair value of this interest rate swap was a liability of $4.2 million, which is included in long term liabilities in the accompanying balance sheet.</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that essentially fixed the interest rate on $200 million of the $225 million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then outstanding $225 million term loan.</w:t>
      </w:r>
    </w:p>
    <w:p>
      <w:pPr>
        <w:spacing w:after="0" w:line="124" w:lineRule="exact"/>
        <w:rPr>
          <w:sz w:val="20"/>
          <w:szCs w:val="20"/>
          <w:color w:val="auto"/>
        </w:rPr>
      </w:pPr>
    </w:p>
    <w:p>
      <w:pPr>
        <w:ind w:left="240" w:right="8860" w:hanging="232"/>
        <w:spacing w:after="0" w:line="398" w:lineRule="auto"/>
        <w:tabs>
          <w:tab w:leader="none" w:pos="187" w:val="left"/>
        </w:tabs>
        <w:numPr>
          <w:ilvl w:val="0"/>
          <w:numId w:val="2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of December 31, 2009 the Company’s current Due to affiliates, net was comprised of construction payables of approximately $21.4 million, construction retention of approximately $1.8 million and other 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Facilities and the First Mortgage Notes indentures).</w:t>
      </w:r>
    </w:p>
    <w:p>
      <w:pPr>
        <w:spacing w:after="0" w:line="12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of December 31, 2008, the Company’s current Due to affiliates, net was comprised of construction payables of approximately $123.4 million, construction retention of approximately $77.7 million and other net amounts receivable from affiliates totaling $0.7 million. The long-term Due to affiliates is management fees of $63.9 million (equal to 1.5% of net revenues and payable upon meeting certain leverage ratios as specified in the documents governing the Company’s Credit Facilities and the First Mortgage Notes indenture).</w:t>
      </w:r>
    </w:p>
    <w:p>
      <w:pPr>
        <w:spacing w:after="0" w:line="13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Facilities and the First Mortgage Notes indenture.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2009, 2008 and 2007, approximately $25.0 million, $22 million, and $25.9 million, respectively, was charged to the Company for such corporate allocations.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 At December 31, 2009 and 2008, Wynn Resorts owed Mr. Wynn and the other officers and directors approximately $789,095 and $434,003,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Effective July 1, 2005, Mr. Wynn and Elaine P. Wynn, who is also a director of Wynn Resorts, lease from year to year a villa suite in the Wynn Las Vegas resort. In March 2009, this lease was amended to add an additional unit to the leased premises.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Certain services for, and maintenance of, the suites are included in the rental. For the two year period commencing July 1, 2008 and ending June 30, 2010, based on a third-party appraisal and a reduction in housekeeping services to be provided, the Audit Committee determined the rent for each year will be $520,000. There was no change in the rent when the additional unit was added to the lease in March 2009 due to significant deterioration in the Las Vegas rental market.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2009, 2008 and 2007, were $24.5 million, $22.4 million and $6 million, respectively.</w:t>
      </w:r>
    </w:p>
    <w:p>
      <w:pPr>
        <w:spacing w:after="0" w:line="18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response to the Company’s evaluation of its properties and the reactions of its guests, the Company makes enhancements and refinements to the properties. Costs relating to assets retired as a result of these enhancement and remodel efforts have been expensed as property charges. Property charges and other for the year ended December 31, 2009 include the following: (a) a $16.7 million charge for the abandonment of the front porte-cochere at Encore to make way for an addition to that property, (b) a $5.3 million charge for the write-off of two aircraft deposits, and (c) $2.5 million related to miscellaneous remodels, abandonments and loss on sale of equipment.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 During the year ended December 31, 2007, property charges were recorded related to the remodel and enhancements made to the Le Rêve Theater, the abandonment of a marquee sign, two retail outlet conversions and the conversion of </w:t>
      </w:r>
      <w:r>
        <w:rPr>
          <w:rFonts w:ascii="Arial" w:cs="Arial" w:eastAsia="Arial" w:hAnsi="Arial"/>
          <w:sz w:val="16"/>
          <w:szCs w:val="16"/>
          <w:i w:val="1"/>
          <w:iCs w:val="1"/>
          <w:color w:val="auto"/>
        </w:rPr>
        <w:t>Lure</w:t>
      </w:r>
      <w:r>
        <w:rPr>
          <w:rFonts w:ascii="Arial" w:cs="Arial" w:eastAsia="Arial" w:hAnsi="Arial"/>
          <w:sz w:val="16"/>
          <w:szCs w:val="16"/>
          <w:color w:val="auto"/>
        </w:rPr>
        <w:t xml:space="preserve"> to the nighclub </w:t>
      </w:r>
      <w:r>
        <w:rPr>
          <w:rFonts w:ascii="Arial" w:cs="Arial" w:eastAsia="Arial" w:hAnsi="Arial"/>
          <w:sz w:val="16"/>
          <w:szCs w:val="16"/>
          <w:i w:val="1"/>
          <w:iCs w:val="1"/>
          <w:color w:val="auto"/>
        </w:rPr>
        <w:t>Blush.</w:t>
      </w:r>
    </w:p>
    <w:p>
      <w:pPr>
        <w:spacing w:after="0" w:line="101" w:lineRule="exact"/>
        <w:rPr>
          <w:sz w:val="20"/>
          <w:szCs w:val="20"/>
          <w:color w:val="auto"/>
        </w:rPr>
      </w:pPr>
    </w:p>
    <w:p>
      <w:pPr>
        <w:ind w:left="240" w:right="9520" w:hanging="232"/>
        <w:spacing w:after="0" w:line="398" w:lineRule="auto"/>
        <w:tabs>
          <w:tab w:leader="none" w:pos="266" w:val="left"/>
        </w:tabs>
        <w:numPr>
          <w:ilvl w:val="0"/>
          <w:numId w:val="22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 million, $4.8 million and $4.5 million for the years ended December 31, 2009, 2008 and 2007, respectively. Effective March 16, 2009, the Company suspended matching contributions to this plan.</w:t>
      </w:r>
    </w:p>
    <w:p>
      <w:pPr>
        <w:spacing w:after="0" w:line="13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$6.2 million, $4.6 million and $4.5 million under such plans for the years ended December 31, 2009, 2008 and 2007, respectively. Information from the plans’ sponsors is not available to permit the Company to determine its share of unfunded vested benefits, if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December 31, 2009, 419,545 shares remain available for the grant of stock options or nonvested shares of Wynn Resorts’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with no vesting in the first two years; cliff vesting at a determined date; and others to be determined at the time of grant. All options expire ten years from the date of grant.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2009</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1,484,466</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$ 63.32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Granted</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920,000</w:t>
            </w:r>
          </w:p>
        </w:tc>
        <w:tc>
          <w:tcPr>
            <w:tcW w:w="32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$ 50.03</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(184,916)</w:t>
            </w: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$ 24.66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Canceled</w:t>
            </w:r>
          </w:p>
        </w:tc>
        <w:tc>
          <w:tcPr>
            <w:tcW w:w="2600" w:type="dxa"/>
            <w:vAlign w:val="bottom"/>
            <w:gridSpan w:val="3"/>
          </w:tcPr>
          <w:p>
            <w:pPr>
              <w:jc w:val="right"/>
              <w:ind w:right="260"/>
              <w:spacing w:after="0"/>
              <w:rPr>
                <w:sz w:val="20"/>
                <w:szCs w:val="20"/>
                <w:color w:val="auto"/>
              </w:rPr>
            </w:pPr>
            <w:r>
              <w:rPr>
                <w:rFonts w:ascii="Arial" w:cs="Arial" w:eastAsia="Arial" w:hAnsi="Arial"/>
                <w:sz w:val="18"/>
                <w:szCs w:val="18"/>
                <w:color w:val="auto"/>
              </w:rPr>
              <w:t>(173,333)</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$ 69.44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 of employees from affiliate</w:t>
            </w:r>
          </w:p>
        </w:tc>
        <w:tc>
          <w:tcPr>
            <w:tcW w:w="1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128,375</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$ 57.16</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Outstanding at December 31, 2009</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2,174,592</w:t>
            </w:r>
          </w:p>
        </w:tc>
        <w:tc>
          <w:tcPr>
            <w:tcW w:w="32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$ 60.14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13,989,061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2009</w:t>
            </w:r>
          </w:p>
        </w:tc>
        <w:tc>
          <w:tcPr>
            <w:tcW w:w="15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2,022,615</w:t>
            </w: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3"/>
              </w:rPr>
              <w:t>$ 59.39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13,269,627</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color w:val="auto"/>
              </w:rPr>
              <w:t>Exercisable at December 31, 2009</w:t>
            </w:r>
          </w:p>
        </w:tc>
        <w:tc>
          <w:tcPr>
            <w:tcW w:w="1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3"/>
            <w:vMerge w:val="restart"/>
          </w:tcPr>
          <w:p>
            <w:pPr>
              <w:jc w:val="center"/>
              <w:ind w:right="200"/>
              <w:spacing w:after="0"/>
              <w:rPr>
                <w:sz w:val="20"/>
                <w:szCs w:val="20"/>
                <w:color w:val="auto"/>
              </w:rPr>
            </w:pPr>
            <w:r>
              <w:rPr>
                <w:rFonts w:ascii="Arial" w:cs="Arial" w:eastAsia="Arial" w:hAnsi="Arial"/>
                <w:sz w:val="18"/>
                <w:szCs w:val="18"/>
                <w:color w:val="auto"/>
                <w:w w:val="93"/>
              </w:rPr>
              <w:t>$ 52.65</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5.20</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5,466,946</w:t>
            </w:r>
          </w:p>
        </w:tc>
        <w:tc>
          <w:tcPr>
            <w:tcW w:w="0" w:type="dxa"/>
            <w:vAlign w:val="bottom"/>
          </w:tcPr>
          <w:p>
            <w:pPr>
              <w:spacing w:after="0" w:line="20" w:lineRule="exact"/>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683,168</w:t>
            </w:r>
          </w:p>
        </w:tc>
        <w:tc>
          <w:tcPr>
            <w:tcW w:w="3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2009, 2008 and 2007 was $29.04, $60.09 and $0, respectively. The total intrinsic value of the options exercised for the years ended December 31, 2009, 2008 and 2007 was $6 million, $1.3 million and $7.9 million, respectively. As of December 31, 2009, there was a total of $38.1 million of unamortized compensation related to stock options, which is expected to be recognized as compensation over the vesting period of the related grants through May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2009,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6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231,750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(4,500)</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center"/>
              <w:ind w:left="96"/>
              <w:spacing w:after="0"/>
              <w:rPr>
                <w:sz w:val="20"/>
                <w:szCs w:val="20"/>
                <w:color w:val="auto"/>
              </w:rPr>
            </w:pPr>
            <w:r>
              <w:rPr>
                <w:rFonts w:ascii="Arial" w:cs="Arial" w:eastAsia="Arial" w:hAnsi="Arial"/>
                <w:sz w:val="18"/>
                <w:szCs w:val="18"/>
                <w:color w:val="auto"/>
                <w:w w:val="88"/>
              </w:rPr>
              <w:t>69.05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227,250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88"/>
              </w:rPr>
              <w:t>85.72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The weighted average grant date fair value of nonvested shares granted during the years ended December 31, 2008 and 2007 was $104.27 and $123.73, respectively. The total fair value of shares vested during the year ended December 31, 2008 was $0.8 million. No shares vested during the years ended December 31, 2009 and 2007. Approximately $10 million of unamortized compensation cost relating to nonvested shares at December 31, 2009, will be recognized as compensation over the vesting period of the related grants through December 2016.</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0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760" w:type="dxa"/>
            <w:vAlign w:val="bottom"/>
            <w:gridSpan w:val="3"/>
          </w:tcPr>
          <w:p>
            <w:pPr>
              <w:jc w:val="right"/>
              <w:ind w:right="1000"/>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44.1%</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60" w:type="dxa"/>
            <w:vAlign w:val="bottom"/>
            <w:gridSpan w:val="3"/>
            <w:shd w:val="clear" w:color="auto" w:fill="CCEEFF"/>
          </w:tcPr>
          <w:p>
            <w:pPr>
              <w:jc w:val="right"/>
              <w:ind w:right="1000"/>
              <w:spacing w:after="0"/>
              <w:rPr>
                <w:sz w:val="20"/>
                <w:szCs w:val="20"/>
                <w:color w:val="auto"/>
              </w:rPr>
            </w:pPr>
            <w:r>
              <w:rPr>
                <w:rFonts w:ascii="Arial" w:cs="Arial" w:eastAsia="Arial" w:hAnsi="Arial"/>
                <w:sz w:val="18"/>
                <w:szCs w:val="18"/>
                <w:color w:val="auto"/>
              </w:rPr>
              <w:t>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760" w:type="dxa"/>
            <w:vAlign w:val="bottom"/>
            <w:gridSpan w:val="3"/>
          </w:tcPr>
          <w:p>
            <w:pPr>
              <w:jc w:val="right"/>
              <w:ind w:right="3640"/>
              <w:spacing w:after="0"/>
              <w:rPr>
                <w:sz w:val="20"/>
                <w:szCs w:val="20"/>
                <w:color w:val="auto"/>
              </w:rPr>
            </w:pPr>
            <w:r>
              <w:rPr>
                <w:rFonts w:ascii="Arial" w:cs="Arial" w:eastAsia="Arial" w:hAnsi="Arial"/>
                <w:sz w:val="18"/>
                <w:szCs w:val="18"/>
                <w:color w:val="auto"/>
              </w:rPr>
              <w:t>F-42</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2009, 2008 and 2007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342"/>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$3,435</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Rooms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509</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Preopening costs</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8,031</w:t>
            </w: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40" w:right="8660" w:hanging="232"/>
        <w:spacing w:after="0" w:line="373" w:lineRule="auto"/>
        <w:tabs>
          <w:tab w:leader="none" w:pos="275" w:val="left"/>
        </w:tabs>
        <w:numPr>
          <w:ilvl w:val="0"/>
          <w:numId w:val="2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Aircraft Deposits</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had made deposits on an aircraft purchase totaling $13.4 million which is included in other assets as of December 31, 2008. The Company was scheduled to take delivery of this airplane in 2009 with additional payments to be made totaling $31.1 million. On February 19, 2009, the Company cancelled the agreement to purchase this aircraft. In connection with this cancellation, the Company wrote-off $5.3 million of deposits, net of amounts refunded.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6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1,599</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12,864</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940" w:type="dxa"/>
            <w:vAlign w:val="bottom"/>
            <w:gridSpan w:val="2"/>
          </w:tcPr>
          <w:p>
            <w:pPr>
              <w:jc w:val="right"/>
              <w:ind w:right="3920"/>
              <w:spacing w:after="0"/>
              <w:rPr>
                <w:sz w:val="20"/>
                <w:szCs w:val="20"/>
                <w:color w:val="auto"/>
              </w:rPr>
            </w:pPr>
            <w:r>
              <w:rPr>
                <w:rFonts w:ascii="Arial" w:cs="Arial" w:eastAsia="Arial" w:hAnsi="Arial"/>
                <w:sz w:val="18"/>
                <w:szCs w:val="18"/>
                <w:color w:val="auto"/>
              </w:rPr>
              <w:t>F-43</w:t>
            </w:r>
          </w:p>
        </w:tc>
        <w:tc>
          <w:tcPr>
            <w:tcW w:w="48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2009,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9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2011</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1,683</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2013</w:t>
            </w:r>
          </w:p>
        </w:tc>
        <w:tc>
          <w:tcPr>
            <w:tcW w:w="742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8,348</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40" w:right="186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2009, 2008 and 2007 was $8 million, $6.9 million and $7.4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During the year ended December 31, 2009, Wynn Resorts made cash capital contributions to the Company totaling $413 million. The proceeds from these contributions were used to fund construction costs of Encore paid during the period and to fund paydowns on the Wynn Las Vegas Credit Facilities.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00"/>
          </w:cols>
          <w:pgMar w:left="240" w:top="459" w:right="2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2009 and 2008, and for each of the three years in the period ended December 31, 2009.</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460" w:right="2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23,264</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23,309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21"/>
        </w:trPr>
        <w:tc>
          <w:tcPr>
            <w:tcW w:w="5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8"/>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F-46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2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123,315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338,263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3,906,460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202,493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(7,286)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4,555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24,571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201,003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233,864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203,397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2,794,923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2,833,423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3,092,692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241,897</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Member’s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1,474,286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1,474,286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(216,723)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(27,702)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19,816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(216,723)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1,257,563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(15,172)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1,257,563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4,350,255</w:t>
            </w:r>
          </w:p>
        </w:tc>
        <w:tc>
          <w:tcPr>
            <w:tcW w:w="30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226,725</w:t>
            </w: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4,584,271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F-47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505,779</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321,075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385,774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202,972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1,415,600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1,416,102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(185,982)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1,229,618</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277,557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277,557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238,272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133,801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250,279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18,434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309,012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4,747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64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1,366,105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1,374,399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(136,487)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(156,262)</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640"/>
              <w:spacing w:after="0"/>
              <w:rPr>
                <w:sz w:val="20"/>
                <w:szCs w:val="20"/>
                <w:color w:val="auto"/>
              </w:rPr>
            </w:pPr>
            <w:r>
              <w:rPr>
                <w:rFonts w:ascii="Arial" w:cs="Arial" w:eastAsia="Arial" w:hAnsi="Arial"/>
                <w:sz w:val="18"/>
                <w:szCs w:val="18"/>
                <w:color w:val="auto"/>
              </w:rPr>
              <w:t>Other income (expense), net</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(173,383)</w:t>
            </w: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(309,870)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rPr>
              <w:t>F-48</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7"/>
              </w:rPr>
              <w:t>Issuers</w:t>
            </w:r>
          </w:p>
        </w:tc>
        <w:tc>
          <w:tcPr>
            <w:tcW w:w="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479,711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1,256,316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1,256,050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5"/>
              </w:rPr>
              <w:t>(156,159)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1,100,157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1,154,975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1,158,507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(54,818)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left="193"/>
              <w:spacing w:after="0"/>
              <w:rPr>
                <w:sz w:val="20"/>
                <w:szCs w:val="20"/>
                <w:color w:val="auto"/>
              </w:rPr>
            </w:pPr>
            <w:r>
              <w:rPr>
                <w:rFonts w:ascii="Arial" w:cs="Arial" w:eastAsia="Arial" w:hAnsi="Arial"/>
                <w:sz w:val="18"/>
                <w:szCs w:val="18"/>
                <w:color w:val="auto"/>
                <w:w w:val="90"/>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(73,652)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(5,113)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266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(74,976)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w w:val="95"/>
              </w:rPr>
              <w:t>(129,794)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(5,730)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617</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F-49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7"/>
              </w:rPr>
              <w:t>Guarantor</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Issuers</w:t>
            </w:r>
          </w:p>
        </w:tc>
        <w:tc>
          <w:tcPr>
            <w:tcW w:w="2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642,327</w:t>
            </w:r>
          </w:p>
        </w:tc>
        <w:tc>
          <w:tcPr>
            <w:tcW w:w="42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311,032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1,449,365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1,448,569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(152,718)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1,296,647</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1,295,851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Casino</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276,523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192,497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202,135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147,413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1,092,910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1,096,026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199,825</w:t>
            </w:r>
          </w:p>
        </w:tc>
        <w:tc>
          <w:tcPr>
            <w:tcW w:w="0" w:type="dxa"/>
            <w:vAlign w:val="bottom"/>
          </w:tcPr>
          <w:p>
            <w:pPr>
              <w:spacing w:after="0"/>
              <w:rPr>
                <w:sz w:val="1"/>
                <w:szCs w:val="1"/>
                <w:color w:val="auto"/>
              </w:rPr>
            </w:pPr>
          </w:p>
        </w:tc>
      </w:tr>
      <w:tr>
        <w:trPr>
          <w:trHeight w:val="222"/>
        </w:trPr>
        <w:tc>
          <w:tcPr>
            <w:tcW w:w="44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(83,249)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Loss on extinguishment of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(79,518)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(2,202)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(75,606)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F-50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Non-guarantor</w:t>
            </w: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Issuers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Subsidiaries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(9,164)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(309,870)</w:t>
            </w: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income to net cash provided by (used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 operating activities:</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309,012</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4,747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313,759</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8,370</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3,779</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3,779</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and writeoff of deferred financing costs and other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19,624</w:t>
            </w:r>
          </w:p>
        </w:tc>
      </w:tr>
      <w:tr>
        <w:trPr>
          <w:trHeight w:val="208"/>
        </w:trPr>
        <w:tc>
          <w:tcPr>
            <w:tcW w:w="5340" w:type="dxa"/>
            <w:vAlign w:val="bottom"/>
          </w:tcPr>
          <w:p>
            <w:pPr>
              <w:ind w:left="22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9,164</w:t>
            </w: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19,206</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24,468</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swap fair value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4,224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(25,021)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Inventories and prepaid expenses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48,765</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(6,886)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41,879</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85,737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80,402</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net of construction payables and retention</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(244,904)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(245,040)</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Deposits and other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(3,810)</w:t>
            </w:r>
          </w:p>
        </w:tc>
        <w:tc>
          <w:tcPr>
            <w:tcW w:w="1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8,088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4,278</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affiliates,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(7,607)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(8,468)</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Proceeds from sale of assets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(256,279)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(928,509)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(929,909)</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649,481</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649,481</w:t>
            </w: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contribution from the Parent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412,951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412,951</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(20,698)</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(20,698)</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113,225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111,825</w:t>
            </w:r>
          </w:p>
        </w:tc>
      </w:tr>
      <w:tr>
        <w:trPr>
          <w:trHeight w:val="330"/>
        </w:trPr>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(57,317)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(56,961)</w:t>
            </w: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123,315</w:t>
            </w:r>
          </w:p>
        </w:tc>
        <w:tc>
          <w:tcPr>
            <w:tcW w:w="1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123,315</w:t>
            </w:r>
          </w:p>
        </w:tc>
      </w:tr>
      <w:tr>
        <w:trPr>
          <w:trHeight w:val="27"/>
        </w:trPr>
        <w:tc>
          <w:tcPr>
            <w:tcW w:w="5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period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r>
      <w:tr>
        <w:trPr>
          <w:trHeight w:val="20"/>
        </w:trPr>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5340" w:type="dxa"/>
            <w:vAlign w:val="bottom"/>
          </w:tcPr>
          <w:p>
            <w:pPr>
              <w:spacing w:after="0"/>
              <w:rPr>
                <w:sz w:val="24"/>
                <w:szCs w:val="24"/>
                <w:color w:val="auto"/>
              </w:rPr>
            </w:pPr>
          </w:p>
        </w:tc>
        <w:tc>
          <w:tcPr>
            <w:tcW w:w="1600" w:type="dxa"/>
            <w:vAlign w:val="bottom"/>
            <w:gridSpan w:val="4"/>
          </w:tcPr>
          <w:p>
            <w:pPr>
              <w:jc w:val="right"/>
              <w:ind w:right="1060"/>
              <w:spacing w:after="0"/>
              <w:rPr>
                <w:sz w:val="20"/>
                <w:szCs w:val="20"/>
                <w:color w:val="auto"/>
              </w:rPr>
            </w:pPr>
            <w:r>
              <w:rPr>
                <w:rFonts w:ascii="Arial" w:cs="Arial" w:eastAsia="Arial" w:hAnsi="Arial"/>
                <w:sz w:val="18"/>
                <w:szCs w:val="18"/>
                <w:color w:val="auto"/>
              </w:rPr>
              <w:t>F-51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(129,794)</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(loss) income to net cash provided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165,121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11,078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Equity in income (loss) from unconsolidated affiliates, net of</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24,887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141,923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135,140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(1,128,089)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31,052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31,044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(1,040,669)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879,484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(3,979)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874,105</w:t>
            </w:r>
          </w:p>
        </w:tc>
        <w:tc>
          <w:tcPr>
            <w:tcW w:w="0" w:type="dxa"/>
            <w:vAlign w:val="bottom"/>
          </w:tcPr>
          <w:p>
            <w:pPr>
              <w:spacing w:after="0"/>
              <w:rPr>
                <w:sz w:val="1"/>
                <w:szCs w:val="1"/>
                <w:color w:val="auto"/>
              </w:rPr>
            </w:pPr>
          </w:p>
        </w:tc>
      </w:tr>
      <w:tr>
        <w:trPr>
          <w:trHeight w:val="330"/>
        </w:trPr>
        <w:tc>
          <w:tcPr>
            <w:tcW w:w="4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146,556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F-52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Guarantor</w:t>
            </w:r>
          </w:p>
        </w:tc>
        <w:tc>
          <w:tcPr>
            <w:tcW w:w="2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Issuers</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Entries</w:t>
            </w:r>
          </w:p>
        </w:tc>
        <w:tc>
          <w:tcPr>
            <w:tcW w:w="2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$ 124,219</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(6,109)</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4,218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$ 124,219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income (loss) to net cash provided by (used</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147,413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5,426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3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4,218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(4,218)</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6,005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(7,252)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35,963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7,642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(7,177)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320,801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315,714</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Capital expenditures, net of construction payables and retentions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(667,060)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(11,420)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143,586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22,879</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166,465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3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(21,542)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(20,585)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20,634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(24,770)</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(564,637)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4,507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(243,352)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(39,559)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543,460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296,567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299,008</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52,731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93,825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93,820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$ 146,556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$ 146,521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gridSpan w:val="3"/>
          </w:tcPr>
          <w:p>
            <w:pPr>
              <w:jc w:val="right"/>
              <w:ind w:right="800"/>
              <w:spacing w:after="0"/>
              <w:rPr>
                <w:sz w:val="20"/>
                <w:szCs w:val="20"/>
                <w:color w:val="auto"/>
              </w:rPr>
            </w:pPr>
            <w:r>
              <w:rPr>
                <w:rFonts w:ascii="Arial" w:cs="Arial" w:eastAsia="Arial" w:hAnsi="Arial"/>
                <w:sz w:val="18"/>
                <w:szCs w:val="18"/>
                <w:color w:val="auto"/>
              </w:rPr>
              <w:t>F-53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2009 and 2008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Fourth</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$291,522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$312,959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(58,383)</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(8,346)</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(95,464)</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r>
      <w:tr>
        <w:trPr>
          <w:trHeight w:val="365"/>
        </w:trPr>
        <w:tc>
          <w:tcPr>
            <w:tcW w:w="60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b w:val="1"/>
                <w:bCs w:val="1"/>
                <w:color w:val="auto"/>
              </w:rPr>
              <w:t>Year Ended December 31, 2008</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040" w:type="dxa"/>
            <w:vAlign w:val="bottom"/>
          </w:tcPr>
          <w:p>
            <w:pPr>
              <w:spacing w:after="0"/>
              <w:rPr>
                <w:sz w:val="12"/>
                <w:szCs w:val="12"/>
                <w:color w:val="auto"/>
              </w:rPr>
            </w:pPr>
          </w:p>
        </w:tc>
        <w:tc>
          <w:tcPr>
            <w:tcW w:w="6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Fourth</w:t>
            </w:r>
          </w:p>
        </w:tc>
        <w:tc>
          <w:tcPr>
            <w:tcW w:w="440" w:type="dxa"/>
            <w:vAlign w:val="bottom"/>
          </w:tcPr>
          <w:p>
            <w:pPr>
              <w:spacing w:after="0"/>
              <w:rPr>
                <w:sz w:val="12"/>
                <w:szCs w:val="12"/>
                <w:color w:val="auto"/>
              </w:rPr>
            </w:pPr>
          </w:p>
        </w:tc>
        <w:tc>
          <w:tcPr>
            <w:tcW w:w="8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$287,601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$295,468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$294,800</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$ 222,022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$1,099,891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(8,873)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20,343</w:t>
            </w:r>
          </w:p>
        </w:tc>
        <w:tc>
          <w:tcPr>
            <w:tcW w:w="24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(332)</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(69,754)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(58,616)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(16,098)</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(90,007)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(129,794)</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Events subsequent to the date of the auditors report (unaudited)</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On April 28, 2010, the Company completed an offer to exchange its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for a new series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2020 (the “2020 Notes”). A total of $382 million in principal amount of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were validly tendered. Included in this amount are $30 million of tendered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held by Wynn Resorts. Noteholders who validly tendered the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prior to the early delivery time received an early delivery payment of 1% of the amount tendered in cash which totaled approximately $3.8 million. In accordance with accounting standards, this will be included as deferred financing costs and amortized over the life of the 2020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$ 65,414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12,438</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20" w:type="dxa"/>
            <w:vAlign w:val="bottom"/>
          </w:tcPr>
          <w:p>
            <w:pPr>
              <w:spacing w:after="0"/>
              <w:rPr>
                <w:sz w:val="18"/>
                <w:szCs w:val="18"/>
                <w:color w:val="auto"/>
              </w:rPr>
            </w:pPr>
          </w:p>
        </w:tc>
      </w:tr>
      <w:tr>
        <w:trPr>
          <w:trHeight w:val="35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$ 50,604</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24,887</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20" w:type="dxa"/>
            <w:vAlign w:val="bottom"/>
          </w:tcPr>
          <w:p>
            <w:pPr>
              <w:spacing w:after="0"/>
              <w:rPr>
                <w:sz w:val="18"/>
                <w:szCs w:val="18"/>
                <w:color w:val="auto"/>
              </w:rPr>
            </w:pPr>
          </w:p>
        </w:tc>
      </w:tr>
      <w:tr>
        <w:trPr>
          <w:trHeight w:val="352"/>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Provisions for</w:t>
            </w: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January 1,</w:t>
            </w:r>
          </w:p>
        </w:tc>
        <w:tc>
          <w:tcPr>
            <w:tcW w:w="54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0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940" w:type="dxa"/>
            <w:vAlign w:val="bottom"/>
            <w:gridSpan w:val="2"/>
            <w:shd w:val="clear" w:color="auto" w:fill="CCEEFF"/>
          </w:tcPr>
          <w:p>
            <w:pPr>
              <w:jc w:val="center"/>
              <w:ind w:left="3232"/>
              <w:spacing w:after="0"/>
              <w:rPr>
                <w:sz w:val="20"/>
                <w:szCs w:val="20"/>
                <w:color w:val="auto"/>
              </w:rPr>
            </w:pPr>
            <w:r>
              <w:rPr>
                <w:rFonts w:ascii="Arial" w:cs="Arial" w:eastAsia="Arial" w:hAnsi="Arial"/>
                <w:sz w:val="18"/>
                <w:szCs w:val="18"/>
                <w:color w:val="auto"/>
                <w:w w:val="88"/>
              </w:rPr>
              <w:t>$ 35,002</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21,139</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tcPr>
          <w:p>
            <w:pPr>
              <w:spacing w:after="0"/>
              <w:rPr>
                <w:sz w:val="18"/>
                <w:szCs w:val="18"/>
                <w:color w:val="auto"/>
              </w:rPr>
            </w:pPr>
          </w:p>
        </w:tc>
      </w:tr>
      <w:tr>
        <w:trPr>
          <w:trHeight w:val="363"/>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gridSpan w:val="2"/>
          </w:tcPr>
          <w:p>
            <w:pPr>
              <w:ind w:left="2040"/>
              <w:spacing w:after="0"/>
              <w:rPr>
                <w:sz w:val="20"/>
                <w:szCs w:val="20"/>
                <w:color w:val="auto"/>
              </w:rPr>
            </w:pPr>
            <w:r>
              <w:rPr>
                <w:rFonts w:ascii="Arial" w:cs="Arial" w:eastAsia="Arial" w:hAnsi="Arial"/>
                <w:sz w:val="18"/>
                <w:szCs w:val="18"/>
                <w:color w:val="auto"/>
              </w:rPr>
              <w:t>F-55</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159"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Offer to Exchange $1,320,000,000 of their outstanding</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xml:space="preserve">7 </w:t>
      </w:r>
      <w:r>
        <w:rPr>
          <w:rFonts w:ascii="Arial" w:cs="Arial" w:eastAsia="Arial" w:hAnsi="Arial"/>
          <w:sz w:val="14"/>
          <w:szCs w:val="14"/>
          <w:b w:val="1"/>
          <w:bCs w:val="1"/>
          <w:color w:val="auto"/>
        </w:rPr>
        <w:t>3</w:t>
      </w:r>
      <w:r>
        <w:rPr>
          <w:rFonts w:ascii="Arial" w:cs="Arial" w:eastAsia="Arial" w:hAnsi="Arial"/>
          <w:sz w:val="22"/>
          <w:szCs w:val="22"/>
          <w:b w:val="1"/>
          <w:bCs w:val="1"/>
          <w:color w:val="auto"/>
        </w:rPr>
        <w:t>/</w:t>
      </w:r>
      <w:r>
        <w:rPr>
          <w:rFonts w:ascii="Arial" w:cs="Arial" w:eastAsia="Arial" w:hAnsi="Arial"/>
          <w:sz w:val="17"/>
          <w:szCs w:val="17"/>
          <w:b w:val="1"/>
          <w:bCs w:val="1"/>
          <w:color w:val="auto"/>
        </w:rPr>
        <w:t>4</w:t>
      </w:r>
      <w:r>
        <w:rPr>
          <w:rFonts w:ascii="Arial" w:cs="Arial" w:eastAsia="Arial" w:hAnsi="Arial"/>
          <w:sz w:val="22"/>
          <w:szCs w:val="22"/>
          <w:b w:val="1"/>
          <w:bCs w:val="1"/>
          <w:color w:val="auto"/>
        </w:rPr>
        <w:t>% First Mortgage Notes due 2020</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(CUSIPs 983130 AQ8 and U98347 AG9)</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for</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xml:space="preserve">7 </w:t>
      </w:r>
      <w:r>
        <w:rPr>
          <w:rFonts w:ascii="Arial" w:cs="Arial" w:eastAsia="Arial" w:hAnsi="Arial"/>
          <w:sz w:val="14"/>
          <w:szCs w:val="14"/>
          <w:b w:val="1"/>
          <w:bCs w:val="1"/>
          <w:color w:val="auto"/>
        </w:rPr>
        <w:t>3</w:t>
      </w:r>
      <w:r>
        <w:rPr>
          <w:rFonts w:ascii="Arial" w:cs="Arial" w:eastAsia="Arial" w:hAnsi="Arial"/>
          <w:sz w:val="22"/>
          <w:szCs w:val="22"/>
          <w:b w:val="1"/>
          <w:bCs w:val="1"/>
          <w:color w:val="auto"/>
        </w:rPr>
        <w:t>/</w:t>
      </w:r>
      <w:r>
        <w:rPr>
          <w:rFonts w:ascii="Arial" w:cs="Arial" w:eastAsia="Arial" w:hAnsi="Arial"/>
          <w:sz w:val="17"/>
          <w:szCs w:val="17"/>
          <w:b w:val="1"/>
          <w:bCs w:val="1"/>
          <w:color w:val="auto"/>
        </w:rPr>
        <w:t>4</w:t>
      </w:r>
      <w:r>
        <w:rPr>
          <w:rFonts w:ascii="Arial" w:cs="Arial" w:eastAsia="Arial" w:hAnsi="Arial"/>
          <w:sz w:val="22"/>
          <w:szCs w:val="22"/>
          <w:b w:val="1"/>
          <w:bCs w:val="1"/>
          <w:color w:val="auto"/>
        </w:rPr>
        <w:t>% First Mortgage Notes due 2020</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(CUSIP 983130 AR6)</w:t>
      </w:r>
    </w:p>
    <w:p>
      <w:pPr>
        <w:spacing w:after="0" w:line="15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October 28,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January 26, 2011,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180"/>
      </w:cols>
      <w:pgMar w:left="240" w:top="46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E6D486"/>
    <w:multiLevelType w:val="hybridMultilevel"/>
    <w:lvl w:ilvl="0">
      <w:lvlJc w:val="left"/>
      <w:lvlText w:val="7"/>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lvl w:ilvl="1">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1)"/>
      <w:numFmt w:val="lowerRoman"/>
      <w:start w:val="2"/>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
      <w:numFmt w:val="bullet"/>
      <w:start w:val="1"/>
    </w:lvl>
    <w:lvl w:ilvl="1">
      <w:lvlJc w:val="left"/>
      <w:lvlText w:val="•"/>
      <w:numFmt w:val="bullet"/>
      <w:start w:val="1"/>
    </w:lvl>
  </w:abstractNum>
  <w:abstractNum w:abstractNumId="13">
    <w:nsid w:val="6AA7B75C"/>
    <w:multiLevelType w:val="hybridMultilevel"/>
    <w:lvl w:ilvl="0">
      <w:lvlJc w:val="left"/>
      <w:lvlText w:val="•"/>
      <w:numFmt w:val="bullet"/>
      <w:start w:val="1"/>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
      <w:numFmt w:val="bullet"/>
      <w:start w:val="1"/>
    </w:lvl>
  </w:abstractNum>
  <w:abstractNum w:abstractNumId="16">
    <w:nsid w:val="3DD15094"/>
    <w:multiLevelType w:val="hybridMultilevel"/>
    <w:lvl w:ilvl="0">
      <w:lvlJc w:val="left"/>
      <w:lvlText w:val="•"/>
      <w:numFmt w:val="bullet"/>
      <w:start w:val="1"/>
    </w:lvl>
    <w:lvl w:ilvl="1">
      <w:lvlJc w:val="left"/>
      <w:lvlText w:val="•"/>
      <w:numFmt w:val="bullet"/>
      <w:start w:val="1"/>
    </w:lvl>
  </w:abstractNum>
  <w:abstractNum w:abstractNumId="17">
    <w:nsid w:val="3DB012B3"/>
    <w:multiLevelType w:val="hybridMultilevel"/>
    <w:lvl w:ilvl="0">
      <w:lvlJc w:val="left"/>
      <w:lvlText w:val="•"/>
      <w:numFmt w:val="bullet"/>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1)"/>
      <w:numFmt w:val="decimal"/>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1)"/>
      <w:numFmt w:val="decimal"/>
      <w:start w:val="1"/>
    </w:lvl>
  </w:abstractNum>
  <w:abstractNum w:abstractNumId="22">
    <w:nsid w:val="53B0A9E"/>
    <w:multiLevelType w:val="hybridMultilevel"/>
    <w:lvl w:ilvl="0">
      <w:lvlJc w:val="left"/>
      <w:lvlText w:val="(%1)"/>
      <w:numFmt w:val="decimal"/>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1)"/>
      <w:numFmt w:val="decimal"/>
      <w:start w:val="1"/>
    </w:lvl>
  </w:abstractNum>
  <w:abstractNum w:abstractNumId="28">
    <w:nsid w:val="17A1B582"/>
    <w:multiLevelType w:val="hybridMultilevel"/>
    <w:lvl w:ilvl="0">
      <w:lvlJc w:val="left"/>
      <w:lvlText w:val="%1"/>
      <w:numFmt w:val="upperLetter"/>
      <w:start w:val="53"/>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
      <w:numFmt w:val="bullet"/>
      <w:start w:val="1"/>
    </w:lvl>
  </w:abstractNum>
  <w:abstractNum w:abstractNumId="36">
    <w:nsid w:val="57A61A29"/>
    <w:multiLevelType w:val="hybridMultilevel"/>
    <w:lvl w:ilvl="0">
      <w:lvlJc w:val="left"/>
      <w:lvlText w:val="(%1)"/>
      <w:numFmt w:val="decimal"/>
      <w:start w:val="1"/>
    </w:lvl>
    <w:lvl w:ilvl="1">
      <w:lvlJc w:val="left"/>
      <w:lvlText w:val="(%2)"/>
      <w:numFmt w:val="lowerRoman"/>
      <w:start w:val="1"/>
    </w:lvl>
  </w:abstractNum>
  <w:abstractNum w:abstractNumId="37">
    <w:nsid w:val="5399C654"/>
    <w:multiLevelType w:val="hybridMultilevel"/>
    <w:lvl w:ilvl="0">
      <w:lvlJc w:val="left"/>
      <w:lvlText w:val="(%1)"/>
      <w:numFmt w:val="decimal"/>
      <w:start w:val="4"/>
    </w:lvl>
  </w:abstractNum>
  <w:abstractNum w:abstractNumId="38">
    <w:nsid w:val="20EE1348"/>
    <w:multiLevelType w:val="hybridMultilevel"/>
    <w:lvl w:ilvl="0">
      <w:lvlJc w:val="left"/>
      <w:lvlText w:val="(%1)"/>
      <w:numFmt w:val="decimal"/>
      <w:start w:val="1"/>
    </w:lvl>
    <w:lvl w:ilvl="1">
      <w:lvlJc w:val="left"/>
      <w:lvlText w:val="(%2)"/>
      <w:numFmt w:val="lowerRoman"/>
      <w:start w:val="1"/>
    </w:lvl>
  </w:abstractNum>
  <w:abstractNum w:abstractNumId="39">
    <w:nsid w:val="4427069A"/>
    <w:multiLevelType w:val="hybridMultilevel"/>
    <w:lvl w:ilvl="0">
      <w:lvlJc w:val="left"/>
      <w:lvlText w:val="(%1)"/>
      <w:numFmt w:val="lowerRoman"/>
      <w:start w:val="1"/>
    </w:lvl>
  </w:abstractNum>
  <w:abstractNum w:abstractNumId="40">
    <w:nsid w:val="B37E80A"/>
    <w:multiLevelType w:val="hybridMultilevel"/>
    <w:lvl w:ilvl="0">
      <w:lvlJc w:val="left"/>
      <w:lvlText w:val="(%1)"/>
      <w:numFmt w:val="lowerRoman"/>
      <w:start w:val="1"/>
    </w:lvl>
  </w:abstractNum>
  <w:abstractNum w:abstractNumId="41">
    <w:nsid w:val="2157F6BC"/>
    <w:multiLevelType w:val="hybridMultilevel"/>
    <w:lvl w:ilvl="0">
      <w:lvlJc w:val="left"/>
      <w:lvlText w:val="(%1)"/>
      <w:numFmt w:val="lowerRoman"/>
      <w:start w:val="1"/>
    </w:lvl>
  </w:abstractNum>
  <w:abstractNum w:abstractNumId="42">
    <w:nsid w:val="704E1DD5"/>
    <w:multiLevelType w:val="hybridMultilevel"/>
    <w:lvl w:ilvl="0">
      <w:lvlJc w:val="left"/>
      <w:lvlText w:val="(%1)"/>
      <w:numFmt w:val="lowerRoman"/>
      <w:start w:val="1"/>
    </w:lvl>
  </w:abstractNum>
  <w:abstractNum w:abstractNumId="43">
    <w:nsid w:val="57D2F10E"/>
    <w:multiLevelType w:val="hybridMultilevel"/>
    <w:lvl w:ilvl="0">
      <w:lvlJc w:val="left"/>
      <w:lvlText w:val="(%1)"/>
      <w:numFmt w:val="decimal"/>
      <w:start w:val="1"/>
    </w:lvl>
  </w:abstractNum>
  <w:abstractNum w:abstractNumId="44">
    <w:nsid w:val="BFFAE18"/>
    <w:multiLevelType w:val="hybridMultilevel"/>
    <w:lvl w:ilvl="0">
      <w:lvlJc w:val="left"/>
      <w:lvlText w:val="(%1)"/>
      <w:numFmt w:val="decimal"/>
      <w:start w:val="1"/>
    </w:lvl>
    <w:lvl w:ilvl="1">
      <w:lvlJc w:val="left"/>
      <w:lvlText w:val="%2."/>
      <w:numFmt w:val="lowerLetter"/>
      <w:start w:val="1"/>
    </w:lvl>
  </w:abstractNum>
  <w:abstractNum w:abstractNumId="45">
    <w:nsid w:val="E3E47A8"/>
    <w:multiLevelType w:val="hybridMultilevel"/>
    <w:lvl w:ilvl="0">
      <w:lvlJc w:val="left"/>
      <w:lvlText w:val="(%1)"/>
      <w:numFmt w:val="decimal"/>
      <w:start w:val="3"/>
    </w:lvl>
    <w:lvl w:ilvl="1">
      <w:lvlJc w:val="left"/>
      <w:lvlText w:val="%2."/>
      <w:numFmt w:val="lowerLetter"/>
      <w:start w:val="1"/>
    </w:lvl>
  </w:abstractNum>
  <w:abstractNum w:abstractNumId="46">
    <w:nsid w:val="2E48F044"/>
    <w:multiLevelType w:val="hybridMultilevel"/>
    <w:lvl w:ilvl="0">
      <w:lvlJc w:val="left"/>
      <w:lvlText w:val="(%1)"/>
      <w:numFmt w:val="lowerRoman"/>
      <w:start w:val="3"/>
    </w:lvl>
  </w:abstractNum>
  <w:abstractNum w:abstractNumId="47">
    <w:nsid w:val="49D0FEAC"/>
    <w:multiLevelType w:val="hybridMultilevel"/>
    <w:lvl w:ilvl="0">
      <w:lvlJc w:val="left"/>
      <w:lvlText w:val="(%1)"/>
      <w:numFmt w:val="decimal"/>
      <w:start w:val="1"/>
    </w:lvl>
  </w:abstractNum>
  <w:abstractNum w:abstractNumId="48">
    <w:nsid w:val="4BEE5A5B"/>
    <w:multiLevelType w:val="hybridMultilevel"/>
    <w:lvl w:ilvl="0">
      <w:lvlJc w:val="left"/>
      <w:lvlText w:val="(%1)"/>
      <w:numFmt w:val="decimal"/>
      <w:start w:val="1"/>
    </w:lvl>
  </w:abstractNum>
  <w:abstractNum w:abstractNumId="49">
    <w:nsid w:val="5551B9F3"/>
    <w:multiLevelType w:val="hybridMultilevel"/>
    <w:lvl w:ilvl="0">
      <w:lvlJc w:val="left"/>
      <w:lvlText w:val="(%1)"/>
      <w:numFmt w:val="decimal"/>
      <w:start w:val="1"/>
    </w:lvl>
  </w:abstractNum>
  <w:abstractNum w:abstractNumId="50">
    <w:nsid w:val="24F6AB8E"/>
    <w:multiLevelType w:val="hybridMultilevel"/>
    <w:lvl w:ilvl="0">
      <w:lvlJc w:val="left"/>
      <w:lvlText w:val="(%1)"/>
      <w:numFmt w:val="decimal"/>
      <w:start w:val="1"/>
    </w:lvl>
  </w:abstractNum>
  <w:abstractNum w:abstractNumId="51">
    <w:nsid w:val="634C574C"/>
    <w:multiLevelType w:val="hybridMultilevel"/>
    <w:lvl w:ilvl="0">
      <w:lvlJc w:val="left"/>
      <w:lvlText w:val="(%1)"/>
      <w:numFmt w:val="decimal"/>
      <w:start w:val="3"/>
    </w:lvl>
  </w:abstractNum>
  <w:abstractNum w:abstractNumId="52">
    <w:nsid w:val="24E99DD7"/>
    <w:multiLevelType w:val="hybridMultilevel"/>
    <w:lvl w:ilvl="0">
      <w:lvlJc w:val="left"/>
      <w:lvlText w:val="(%1)"/>
      <w:numFmt w:val="decimal"/>
      <w:start w:val="1"/>
    </w:lvl>
  </w:abstractNum>
  <w:abstractNum w:abstractNumId="53">
    <w:nsid w:val="2A31B62D"/>
    <w:multiLevelType w:val="hybridMultilevel"/>
    <w:lvl w:ilvl="0">
      <w:lvlJc w:val="left"/>
      <w:lvlText w:val="(%1)"/>
      <w:numFmt w:val="decimal"/>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1)"/>
      <w:numFmt w:val="decimal"/>
      <w:start w:val="1"/>
    </w:lvl>
  </w:abstractNum>
  <w:abstractNum w:abstractNumId="56">
    <w:nsid w:val="754342"/>
    <w:multiLevelType w:val="hybridMultilevel"/>
    <w:lvl w:ilvl="0">
      <w:lvlJc w:val="left"/>
      <w:lvlText w:val="(%1)"/>
      <w:numFmt w:val="decimal"/>
      <w:start w:val="2"/>
    </w:lvl>
  </w:abstractNum>
  <w:abstractNum w:abstractNumId="57">
    <w:nsid w:val="69E7F3E5"/>
    <w:multiLevelType w:val="hybridMultilevel"/>
    <w:lvl w:ilvl="0">
      <w:lvlJc w:val="left"/>
      <w:lvlText w:val="(%1)"/>
      <w:numFmt w:val="decimal"/>
      <w:start w:val="16"/>
    </w:lvl>
  </w:abstractNum>
  <w:abstractNum w:abstractNumId="58">
    <w:nsid w:val="2A6DE806"/>
    <w:multiLevelType w:val="hybridMultilevel"/>
    <w:lvl w:ilvl="0">
      <w:lvlJc w:val="left"/>
      <w:lvlText w:val="(%1)"/>
      <w:numFmt w:val="lowerLetter"/>
      <w:start w:val="2"/>
    </w:lvl>
  </w:abstractNum>
  <w:abstractNum w:abstractNumId="59">
    <w:nsid w:val="1816F8C4"/>
    <w:multiLevelType w:val="hybridMultilevel"/>
    <w:lvl w:ilvl="0">
      <w:lvlJc w:val="left"/>
      <w:lvlText w:val="(%1)"/>
      <w:numFmt w:val="lowerLetter"/>
      <w:start w:val="2"/>
    </w:lvl>
  </w:abstractNum>
  <w:abstractNum w:abstractNumId="60">
    <w:nsid w:val="37DF2233"/>
    <w:multiLevelType w:val="hybridMultilevel"/>
    <w:lvl w:ilvl="0">
      <w:lvlJc w:val="left"/>
      <w:lvlText w:val="•"/>
      <w:numFmt w:val="bullet"/>
      <w:start w:val="1"/>
    </w:lvl>
  </w:abstractNum>
  <w:abstractNum w:abstractNumId="61">
    <w:nsid w:val="7AB49DAF"/>
    <w:multiLevelType w:val="hybridMultilevel"/>
    <w:lvl w:ilvl="0">
      <w:lvlJc w:val="left"/>
      <w:lvlText w:val="•"/>
      <w:numFmt w:val="bullet"/>
      <w:start w:val="1"/>
    </w:lvl>
  </w:abstractNum>
  <w:abstractNum w:abstractNumId="62">
    <w:nsid w:val="759F82CD"/>
    <w:multiLevelType w:val="hybridMultilevel"/>
    <w:lvl w:ilvl="0">
      <w:lvlJc w:val="left"/>
      <w:lvlText w:val="•"/>
      <w:numFmt w:val="bullet"/>
      <w:start w:val="1"/>
    </w:lvl>
  </w:abstractNum>
  <w:abstractNum w:abstractNumId="63">
    <w:nsid w:val="61E74EA3"/>
    <w:multiLevelType w:val="hybridMultilevel"/>
    <w:lvl w:ilvl="0">
      <w:lvlJc w:val="left"/>
      <w:lvlText w:val="•"/>
      <w:numFmt w:val="bullet"/>
      <w:start w:val="1"/>
    </w:lvl>
  </w:abstractNum>
  <w:abstractNum w:abstractNumId="64">
    <w:nsid w:val="597B4D84"/>
    <w:multiLevelType w:val="hybridMultilevel"/>
    <w:lvl w:ilvl="0">
      <w:lvlJc w:val="left"/>
      <w:lvlText w:val="•"/>
      <w:numFmt w:val="bullet"/>
      <w:start w:val="1"/>
    </w:lvl>
  </w:abstractNum>
  <w:abstractNum w:abstractNumId="65">
    <w:nsid w:val="F819E7F"/>
    <w:multiLevelType w:val="hybridMultilevel"/>
    <w:lvl w:ilvl="0">
      <w:lvlJc w:val="left"/>
      <w:lvlText w:val="•"/>
      <w:numFmt w:val="bullet"/>
      <w:start w:val="1"/>
    </w:lvl>
  </w:abstractNum>
  <w:abstractNum w:abstractNumId="66">
    <w:nsid w:val="57C7D42D"/>
    <w:multiLevelType w:val="hybridMultilevel"/>
    <w:lvl w:ilvl="0">
      <w:lvlJc w:val="left"/>
      <w:lvlText w:val="•"/>
      <w:numFmt w:val="bullet"/>
      <w:start w:val="1"/>
    </w:lvl>
  </w:abstractNum>
  <w:abstractNum w:abstractNumId="67">
    <w:nsid w:val="312167AD"/>
    <w:multiLevelType w:val="hybridMultilevel"/>
    <w:lvl w:ilvl="0">
      <w:lvlJc w:val="left"/>
      <w:lvlText w:val="•"/>
      <w:numFmt w:val="bullet"/>
      <w:start w:val="1"/>
    </w:lvl>
  </w:abstractNum>
  <w:abstractNum w:abstractNumId="68">
    <w:nsid w:val="631B64D4"/>
    <w:multiLevelType w:val="hybridMultilevel"/>
    <w:lvl w:ilvl="0">
      <w:lvlJc w:val="left"/>
      <w:lvlText w:val="•"/>
      <w:numFmt w:val="bullet"/>
      <w:start w:val="1"/>
    </w:lvl>
  </w:abstractNum>
  <w:abstractNum w:abstractNumId="69">
    <w:nsid w:val="78B5E776"/>
    <w:multiLevelType w:val="hybridMultilevel"/>
    <w:lvl w:ilvl="0">
      <w:lvlJc w:val="left"/>
      <w:lvlText w:val="•"/>
      <w:numFmt w:val="bullet"/>
      <w:start w:val="1"/>
    </w:lvl>
  </w:abstractNum>
  <w:abstractNum w:abstractNumId="70">
    <w:nsid w:val="75486E47"/>
    <w:multiLevelType w:val="hybridMultilevel"/>
    <w:lvl w:ilvl="0">
      <w:lvlJc w:val="left"/>
      <w:lvlText w:val="•"/>
      <w:numFmt w:val="bullet"/>
      <w:start w:val="1"/>
    </w:lvl>
  </w:abstractNum>
  <w:abstractNum w:abstractNumId="71">
    <w:nsid w:val="6E534CDE"/>
    <w:multiLevelType w:val="hybridMultilevel"/>
    <w:lvl w:ilvl="0">
      <w:lvlJc w:val="left"/>
      <w:lvlText w:val="•"/>
      <w:numFmt w:val="bullet"/>
      <w:start w:val="1"/>
    </w:lvl>
  </w:abstractNum>
  <w:abstractNum w:abstractNumId="72">
    <w:nsid w:val="1A0DDE32"/>
    <w:multiLevelType w:val="hybridMultilevel"/>
    <w:lvl w:ilvl="0">
      <w:lvlJc w:val="left"/>
      <w:lvlText w:val="•"/>
      <w:numFmt w:val="bullet"/>
      <w:start w:val="1"/>
    </w:lvl>
  </w:abstractNum>
  <w:abstractNum w:abstractNumId="73">
    <w:nsid w:val="65968C1C"/>
    <w:multiLevelType w:val="hybridMultilevel"/>
    <w:lvl w:ilvl="0">
      <w:lvlJc w:val="left"/>
      <w:lvlText w:val="•"/>
      <w:numFmt w:val="bullet"/>
      <w:start w:val="1"/>
    </w:lvl>
  </w:abstractNum>
  <w:abstractNum w:abstractNumId="74">
    <w:nsid w:val="46263DEC"/>
    <w:multiLevelType w:val="hybridMultilevel"/>
    <w:lvl w:ilvl="0">
      <w:lvlJc w:val="left"/>
      <w:lvlText w:val="(%1)"/>
      <w:numFmt w:val="decimal"/>
      <w:start w:val="1"/>
    </w:lvl>
    <w:lvl w:ilvl="1">
      <w:lvlJc w:val="left"/>
      <w:lvlText w:val="(%2)"/>
      <w:numFmt w:val="lowerLetter"/>
      <w:start w:val="1"/>
    </w:lvl>
  </w:abstractNum>
  <w:abstractNum w:abstractNumId="75">
    <w:nsid w:val="260D8C4A"/>
    <w:multiLevelType w:val="hybridMultilevel"/>
    <w:lvl w:ilvl="0">
      <w:lvlJc w:val="left"/>
      <w:lvlText w:val="(%1)"/>
      <w:numFmt w:val="decimal"/>
      <w:start w:val="1"/>
    </w:lvl>
  </w:abstractNum>
  <w:abstractNum w:abstractNumId="76">
    <w:nsid w:val="73D4D3C4"/>
    <w:multiLevelType w:val="hybridMultilevel"/>
    <w:lvl w:ilvl="0">
      <w:lvlJc w:val="left"/>
      <w:lvlText w:val="(%1)"/>
      <w:numFmt w:val="decimal"/>
      <w:start w:val="1"/>
    </w:lvl>
  </w:abstractNum>
  <w:abstractNum w:abstractNumId="77">
    <w:nsid w:val="746F2E30"/>
    <w:multiLevelType w:val="hybridMultilevel"/>
    <w:lvl w:ilvl="0">
      <w:lvlJc w:val="left"/>
      <w:lvlText w:val="(%1)"/>
      <w:numFmt w:val="decimal"/>
      <w:start w:val="1"/>
    </w:lvl>
  </w:abstractNum>
  <w:abstractNum w:abstractNumId="78">
    <w:nsid w:val="6FDE8AF6"/>
    <w:multiLevelType w:val="hybridMultilevel"/>
    <w:lvl w:ilvl="0">
      <w:lvlJc w:val="left"/>
      <w:lvlText w:val="(%1)"/>
      <w:numFmt w:val="decimal"/>
      <w:start w:val="3"/>
    </w:lvl>
  </w:abstractNum>
  <w:abstractNum w:abstractNumId="79">
    <w:nsid w:val="3FC32E20"/>
    <w:multiLevelType w:val="hybridMultilevel"/>
    <w:lvl w:ilvl="0">
      <w:lvlJc w:val="left"/>
      <w:lvlText w:val="(%1)"/>
      <w:numFmt w:val="decimal"/>
      <w:start w:val="1"/>
    </w:lvl>
  </w:abstractNum>
  <w:abstractNum w:abstractNumId="80">
    <w:nsid w:val="49C0E823"/>
    <w:multiLevelType w:val="hybridMultilevel"/>
    <w:lvl w:ilvl="0">
      <w:lvlJc w:val="left"/>
      <w:lvlText w:val="(%1)"/>
      <w:numFmt w:val="decimal"/>
      <w:start w:val="1"/>
    </w:lvl>
  </w:abstractNum>
  <w:abstractNum w:abstractNumId="81">
    <w:nsid w:val="14D53685"/>
    <w:multiLevelType w:val="hybridMultilevel"/>
    <w:lvl w:ilvl="0">
      <w:lvlJc w:val="left"/>
      <w:lvlText w:val="%1"/>
      <w:numFmt w:val="decimal"/>
      <w:start w:val="1"/>
    </w:lvl>
    <w:lvl w:ilvl="1">
      <w:lvlJc w:val="left"/>
      <w:lvlText w:val="(%2)"/>
      <w:numFmt w:val="decimal"/>
      <w:start w:val="4"/>
    </w:lvl>
  </w:abstractNum>
  <w:abstractNum w:abstractNumId="82">
    <w:nsid w:val="230F856C"/>
    <w:multiLevelType w:val="hybridMultilevel"/>
    <w:lvl w:ilvl="0">
      <w:lvlJc w:val="left"/>
      <w:lvlText w:val="(%1)"/>
      <w:numFmt w:val="decimal"/>
      <w:start w:val="6"/>
    </w:lvl>
    <w:lvl w:ilvl="1">
      <w:lvlJc w:val="left"/>
      <w:lvlText w:val="%2"/>
      <w:numFmt w:val="decimal"/>
      <w:start w:val="1"/>
    </w:lvl>
  </w:abstractNum>
  <w:abstractNum w:abstractNumId="83">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4">
    <w:nsid w:val="3F06ECB2"/>
    <w:multiLevelType w:val="hybridMultilevel"/>
    <w:lvl w:ilvl="0">
      <w:lvlJc w:val="left"/>
      <w:lvlText w:val="(%1)"/>
      <w:numFmt w:val="decimal"/>
      <w:start w:val="1"/>
    </w:lvl>
  </w:abstractNum>
  <w:abstractNum w:abstractNumId="85">
    <w:nsid w:val="3B594807"/>
    <w:multiLevelType w:val="hybridMultilevel"/>
    <w:lvl w:ilvl="0">
      <w:lvlJc w:val="left"/>
      <w:lvlText w:val="(%1)"/>
      <w:numFmt w:val="decimal"/>
      <w:start w:val="1"/>
    </w:lvl>
  </w:abstractNum>
  <w:abstractNum w:abstractNumId="86">
    <w:nsid w:val="6CAA2304"/>
    <w:multiLevelType w:val="hybridMultilevel"/>
    <w:lvl w:ilvl="0">
      <w:lvlJc w:val="left"/>
      <w:lvlText w:val="(%1)"/>
      <w:numFmt w:val="decimal"/>
      <w:start w:val="3"/>
    </w:lvl>
  </w:abstractNum>
  <w:abstractNum w:abstractNumId="87">
    <w:nsid w:val="3F7C2FF4"/>
    <w:multiLevelType w:val="hybridMultilevel"/>
    <w:lvl w:ilvl="0">
      <w:lvlJc w:val="left"/>
      <w:lvlText w:val="(%1)"/>
      <w:numFmt w:val="decimal"/>
      <w:start w:val="1"/>
    </w:lvl>
    <w:lvl w:ilvl="1">
      <w:lvlJc w:val="left"/>
      <w:lvlText w:val="(%2)"/>
      <w:numFmt w:val="lowerLetter"/>
      <w:start w:val="1"/>
    </w:lvl>
  </w:abstractNum>
  <w:abstractNum w:abstractNumId="88">
    <w:nsid w:val="25413BEC"/>
    <w:multiLevelType w:val="hybridMultilevel"/>
    <w:lvl w:ilvl="0">
      <w:lvlJc w:val="left"/>
      <w:lvlText w:val="(%1)"/>
      <w:numFmt w:val="decimal"/>
      <w:start w:val="1"/>
    </w:lvl>
  </w:abstractNum>
  <w:abstractNum w:abstractNumId="89">
    <w:nsid w:val="17180B0B"/>
    <w:multiLevelType w:val="hybridMultilevel"/>
    <w:lvl w:ilvl="0">
      <w:lvlJc w:val="left"/>
      <w:lvlText w:val="(%1)"/>
      <w:numFmt w:val="decimal"/>
      <w:start w:val="1"/>
    </w:lvl>
  </w:abstractNum>
  <w:abstractNum w:abstractNumId="90">
    <w:nsid w:val="579328B9"/>
    <w:multiLevelType w:val="hybridMultilevel"/>
    <w:lvl w:ilvl="0">
      <w:lvlJc w:val="left"/>
      <w:lvlText w:val="%1"/>
      <w:numFmt w:val="lowerLetter"/>
      <w:start w:val="1"/>
    </w:lvl>
    <w:lvl w:ilvl="1">
      <w:lvlJc w:val="left"/>
      <w:lvlText w:val="(%2)"/>
      <w:numFmt w:val="decimal"/>
      <w:start w:val="1"/>
    </w:lvl>
  </w:abstractNum>
  <w:abstractNum w:abstractNumId="91">
    <w:nsid w:val="5D205E20"/>
    <w:multiLevelType w:val="hybridMultilevel"/>
    <w:lvl w:ilvl="0">
      <w:lvlJc w:val="left"/>
      <w:lvlText w:val="(%1)"/>
      <w:numFmt w:val="lowerLetter"/>
      <w:start w:val="2"/>
    </w:lvl>
    <w:lvl w:ilvl="1">
      <w:lvlJc w:val="left"/>
      <w:lvlText w:val="(%2)"/>
      <w:numFmt w:val="decimal"/>
      <w:start w:val="2"/>
    </w:lvl>
  </w:abstractNum>
  <w:abstractNum w:abstractNumId="92">
    <w:nsid w:val="11CCA8BA"/>
    <w:multiLevelType w:val="hybridMultilevel"/>
    <w:lvl w:ilvl="0">
      <w:lvlJc w:val="left"/>
      <w:lvlText w:val="(%1)"/>
      <w:numFmt w:val="decimal"/>
      <w:start w:val="1"/>
    </w:lvl>
  </w:abstractNum>
  <w:abstractNum w:abstractNumId="93">
    <w:nsid w:val="4D32AB86"/>
    <w:multiLevelType w:val="hybridMultilevel"/>
    <w:lvl w:ilvl="0">
      <w:lvlJc w:val="left"/>
      <w:lvlText w:val="(%1)"/>
      <w:numFmt w:val="decimal"/>
      <w:start w:val="3"/>
    </w:lvl>
    <w:lvl w:ilvl="1">
      <w:lvlJc w:val="left"/>
      <w:lvlText w:val="(%2)"/>
      <w:numFmt w:val="lowerLetter"/>
      <w:start w:val="1"/>
    </w:lvl>
  </w:abstractNum>
  <w:abstractNum w:abstractNumId="94">
    <w:nsid w:val="3F07ACC3"/>
    <w:multiLevelType w:val="hybridMultilevel"/>
    <w:lvl w:ilvl="0">
      <w:lvlJc w:val="left"/>
      <w:lvlText w:val="(%1)"/>
      <w:numFmt w:val="lowerLetter"/>
      <w:start w:val="4"/>
    </w:lvl>
  </w:abstractNum>
  <w:abstractNum w:abstractNumId="95">
    <w:nsid w:val="6B47F63E"/>
    <w:multiLevelType w:val="hybridMultilevel"/>
    <w:lvl w:ilvl="0">
      <w:lvlJc w:val="left"/>
      <w:lvlText w:val="(%1)"/>
      <w:numFmt w:val="decimal"/>
      <w:start w:val="1"/>
    </w:lvl>
  </w:abstractNum>
  <w:abstractNum w:abstractNumId="96">
    <w:nsid w:val="5CB44A05"/>
    <w:multiLevelType w:val="hybridMultilevel"/>
    <w:lvl w:ilvl="0">
      <w:lvlJc w:val="left"/>
      <w:lvlText w:val="(%1)"/>
      <w:numFmt w:val="decimal"/>
      <w:start w:val="5"/>
    </w:lvl>
  </w:abstractNum>
  <w:abstractNum w:abstractNumId="97">
    <w:nsid w:val="16CF80F1"/>
    <w:multiLevelType w:val="hybridMultilevel"/>
    <w:lvl w:ilvl="0">
      <w:lvlJc w:val="left"/>
      <w:lvlText w:val="(%1)"/>
      <w:numFmt w:val="decimal"/>
      <w:start w:val="7"/>
    </w:lvl>
  </w:abstractNum>
  <w:abstractNum w:abstractNumId="98">
    <w:nsid w:val="1C695DEC"/>
    <w:multiLevelType w:val="hybridMultilevel"/>
    <w:lvl w:ilvl="0">
      <w:lvlJc w:val="left"/>
      <w:lvlText w:val="(%1)"/>
      <w:numFmt w:val="decimal"/>
      <w:start w:val="2"/>
    </w:lvl>
  </w:abstractNum>
  <w:abstractNum w:abstractNumId="99">
    <w:nsid w:val="3FCFAED9"/>
    <w:multiLevelType w:val="hybridMultilevel"/>
    <w:lvl w:ilvl="0">
      <w:lvlJc w:val="left"/>
      <w:lvlText w:val="%1"/>
      <w:numFmt w:val="lowerRoman"/>
      <w:start w:val="1"/>
    </w:lvl>
    <w:lvl w:ilvl="1">
      <w:lvlJc w:val="left"/>
      <w:lvlText w:val="(%2)"/>
      <w:numFmt w:val="decimal"/>
      <w:start w:val="1"/>
    </w:lvl>
  </w:abstractNum>
  <w:abstractNum w:abstractNumId="100">
    <w:nsid w:val="F856867"/>
    <w:multiLevelType w:val="hybridMultilevel"/>
    <w:lvl w:ilvl="0">
      <w:lvlJc w:val="left"/>
      <w:lvlText w:val="(%1)"/>
      <w:numFmt w:val="lowerRoman"/>
      <w:start w:val="2"/>
    </w:lvl>
    <w:lvl w:ilvl="1">
      <w:lvlJc w:val="left"/>
      <w:lvlText w:val="%2"/>
      <w:numFmt w:val="decimal"/>
      <w:start w:val="1"/>
    </w:lvl>
  </w:abstractNum>
  <w:abstractNum w:abstractNumId="101">
    <w:nsid w:val="11B1CC33"/>
    <w:multiLevelType w:val="hybridMultilevel"/>
    <w:lvl w:ilvl="0">
      <w:lvlJc w:val="left"/>
      <w:lvlText w:val="(%1)"/>
      <w:numFmt w:val="decimal"/>
      <w:start w:val="2"/>
    </w:lvl>
    <w:lvl w:ilvl="1">
      <w:lvlJc w:val="left"/>
      <w:lvlText w:val="(%2)"/>
      <w:numFmt w:val="lowerLetter"/>
      <w:start w:val="1"/>
    </w:lvl>
  </w:abstractNum>
  <w:abstractNum w:abstractNumId="102">
    <w:nsid w:val="2E22FBB7"/>
    <w:multiLevelType w:val="hybridMultilevel"/>
    <w:lvl w:ilvl="0">
      <w:lvlJc w:val="left"/>
      <w:lvlText w:val="%1"/>
      <w:numFmt w:val="upperLetter"/>
      <w:start w:val="1"/>
    </w:lvl>
    <w:lvl w:ilvl="1">
      <w:lvlJc w:val="left"/>
      <w:lvlText w:val="(%2)"/>
      <w:numFmt w:val="decimal"/>
      <w:start w:val="5"/>
    </w:lvl>
  </w:abstractNum>
  <w:abstractNum w:abstractNumId="103">
    <w:nsid w:val="29934699"/>
    <w:multiLevelType w:val="hybridMultilevel"/>
    <w:lvl w:ilvl="0">
      <w:lvlJc w:val="left"/>
      <w:lvlText w:val="(%1)"/>
      <w:numFmt w:val="decimal"/>
      <w:start w:val="9"/>
    </w:lvl>
  </w:abstractNum>
  <w:abstractNum w:abstractNumId="104">
    <w:nsid w:val="77485850"/>
    <w:multiLevelType w:val="hybridMultilevel"/>
    <w:lvl w:ilvl="0">
      <w:lvlJc w:val="left"/>
      <w:lvlText w:val="(%1)"/>
      <w:numFmt w:val="decimal"/>
      <w:start w:val="1"/>
    </w:lvl>
    <w:lvl w:ilvl="1">
      <w:lvlJc w:val="left"/>
      <w:lvlText w:val="(%2)"/>
      <w:numFmt w:val="lowerLetter"/>
      <w:start w:val="1"/>
    </w:lvl>
  </w:abstractNum>
  <w:abstractNum w:abstractNumId="105">
    <w:nsid w:val="744939A3"/>
    <w:multiLevelType w:val="hybridMultilevel"/>
    <w:lvl w:ilvl="0">
      <w:lvlJc w:val="left"/>
      <w:lvlText w:val="(%1)"/>
      <w:numFmt w:val="decimal"/>
      <w:start w:val="1"/>
    </w:lvl>
  </w:abstractNum>
  <w:abstractNum w:abstractNumId="106">
    <w:nsid w:val="4FA0D2E3"/>
    <w:multiLevelType w:val="hybridMultilevel"/>
    <w:lvl w:ilvl="0">
      <w:lvlJc w:val="left"/>
      <w:lvlText w:val="(%1)"/>
      <w:numFmt w:val="decimal"/>
      <w:start w:val="1"/>
    </w:lvl>
  </w:abstractNum>
  <w:abstractNum w:abstractNumId="107">
    <w:nsid w:val="6B1D2C14"/>
    <w:multiLevelType w:val="hybridMultilevel"/>
    <w:lvl w:ilvl="0">
      <w:lvlJc w:val="left"/>
      <w:lvlText w:val="(%1)"/>
      <w:numFmt w:val="decimal"/>
      <w:start w:val="6"/>
    </w:lvl>
  </w:abstractNum>
  <w:abstractNum w:abstractNumId="108">
    <w:nsid w:val="68B867D3"/>
    <w:multiLevelType w:val="hybridMultilevel"/>
    <w:lvl w:ilvl="0">
      <w:lvlJc w:val="left"/>
      <w:lvlText w:val="(%1)"/>
      <w:numFmt w:val="decimal"/>
      <w:start w:val="1"/>
    </w:lvl>
    <w:lvl w:ilvl="1">
      <w:lvlJc w:val="left"/>
      <w:lvlText w:val="(%2)"/>
      <w:numFmt w:val="lowerLetter"/>
      <w:start w:val="1"/>
    </w:lvl>
  </w:abstractNum>
  <w:abstractNum w:abstractNumId="109">
    <w:nsid w:val="3F7F5DD9"/>
    <w:multiLevelType w:val="hybridMultilevel"/>
    <w:lvl w:ilvl="0">
      <w:lvlJc w:val="left"/>
      <w:lvlText w:val="(%1)"/>
      <w:numFmt w:val="decimal"/>
      <w:start w:val="6"/>
    </w:lvl>
  </w:abstractNum>
  <w:abstractNum w:abstractNumId="110">
    <w:nsid w:val="2AE05A34"/>
    <w:multiLevelType w:val="hybridMultilevel"/>
    <w:lvl w:ilvl="0">
      <w:lvlJc w:val="left"/>
      <w:lvlText w:val="(%1)"/>
      <w:numFmt w:val="decimal"/>
      <w:start w:val="1"/>
    </w:lvl>
  </w:abstractNum>
  <w:abstractNum w:abstractNumId="111">
    <w:nsid w:val="32794FF7"/>
    <w:multiLevelType w:val="hybridMultilevel"/>
    <w:lvl w:ilvl="0">
      <w:lvlJc w:val="left"/>
      <w:lvlText w:val="(%1)"/>
      <w:numFmt w:val="decimal"/>
      <w:start w:val="3"/>
    </w:lvl>
  </w:abstractNum>
  <w:abstractNum w:abstractNumId="112">
    <w:nsid w:val="5454945E"/>
    <w:multiLevelType w:val="hybridMultilevel"/>
    <w:lvl w:ilvl="0">
      <w:lvlJc w:val="left"/>
      <w:lvlText w:val="(%1)"/>
      <w:numFmt w:val="decimal"/>
      <w:start w:val="1"/>
    </w:lvl>
  </w:abstractNum>
  <w:abstractNum w:abstractNumId="113">
    <w:nsid w:val="4DEFDFA0"/>
    <w:multiLevelType w:val="hybridMultilevel"/>
    <w:lvl w:ilvl="0">
      <w:lvlJc w:val="left"/>
      <w:lvlText w:val="(%1)"/>
      <w:numFmt w:val="decimal"/>
      <w:start w:val="7"/>
    </w:lvl>
  </w:abstractNum>
  <w:abstractNum w:abstractNumId="114">
    <w:nsid w:val="2123D5F2"/>
    <w:multiLevelType w:val="hybridMultilevel"/>
    <w:lvl w:ilvl="0">
      <w:lvlJc w:val="left"/>
      <w:lvlText w:val="(%1)"/>
      <w:numFmt w:val="decimal"/>
      <w:start w:val="1"/>
    </w:lvl>
  </w:abstractNum>
  <w:abstractNum w:abstractNumId="115">
    <w:nsid w:val="135B8110"/>
    <w:multiLevelType w:val="hybridMultilevel"/>
    <w:lvl w:ilvl="0">
      <w:lvlJc w:val="left"/>
      <w:lvlText w:val="(%1)"/>
      <w:numFmt w:val="decimal"/>
      <w:start w:val="1"/>
    </w:lvl>
    <w:lvl w:ilvl="1">
      <w:lvlJc w:val="left"/>
      <w:lvlText w:val="(%2)"/>
      <w:numFmt w:val="lowerLetter"/>
      <w:start w:val="1"/>
    </w:lvl>
  </w:abstractNum>
  <w:abstractNum w:abstractNumId="116">
    <w:nsid w:val="94927A8"/>
    <w:multiLevelType w:val="hybridMultilevel"/>
    <w:lvl w:ilvl="0">
      <w:lvlJc w:val="left"/>
      <w:lvlText w:val="%1"/>
      <w:numFmt w:val="decimal"/>
      <w:start w:val="1"/>
    </w:lvl>
    <w:lvl w:ilvl="1">
      <w:lvlJc w:val="left"/>
      <w:lvlText w:val="(%2)"/>
      <w:numFmt w:val="lowerLetter"/>
      <w:start w:val="2"/>
    </w:lvl>
  </w:abstractNum>
  <w:abstractNum w:abstractNumId="117">
    <w:nsid w:val="DCDF8F6"/>
    <w:multiLevelType w:val="hybridMultilevel"/>
    <w:lvl w:ilvl="0">
      <w:lvlJc w:val="left"/>
      <w:lvlText w:val="(%1)"/>
      <w:numFmt w:val="decimal"/>
      <w:start w:val="2"/>
    </w:lvl>
    <w:lvl w:ilvl="1">
      <w:lvlJc w:val="left"/>
      <w:lvlText w:val="%2"/>
      <w:numFmt w:val="lowerLetter"/>
      <w:start w:val="1"/>
    </w:lvl>
  </w:abstractNum>
  <w:abstractNum w:abstractNumId="118">
    <w:nsid w:val="52D7B105"/>
    <w:multiLevelType w:val="hybridMultilevel"/>
    <w:lvl w:ilvl="0">
      <w:lvlJc w:val="left"/>
      <w:lvlText w:val="(%1)"/>
      <w:numFmt w:val="decimal"/>
      <w:start w:val="1"/>
    </w:lvl>
  </w:abstractNum>
  <w:abstractNum w:abstractNumId="119">
    <w:nsid w:val="2E8A6394"/>
    <w:multiLevelType w:val="hybridMultilevel"/>
    <w:lvl w:ilvl="0">
      <w:lvlJc w:val="left"/>
      <w:lvlText w:val="(%1)"/>
      <w:numFmt w:val="decimal"/>
      <w:start w:val="1"/>
    </w:lvl>
  </w:abstractNum>
  <w:abstractNum w:abstractNumId="120">
    <w:nsid w:val="24E60401"/>
    <w:multiLevelType w:val="hybridMultilevel"/>
    <w:lvl w:ilvl="0">
      <w:lvlJc w:val="left"/>
      <w:lvlText w:val="(%1)"/>
      <w:numFmt w:val="decimal"/>
      <w:start w:val="3"/>
    </w:lvl>
  </w:abstractNum>
  <w:abstractNum w:abstractNumId="121">
    <w:nsid w:val="2A6AD9BE"/>
    <w:multiLevelType w:val="hybridMultilevel"/>
    <w:lvl w:ilvl="0">
      <w:lvlJc w:val="left"/>
      <w:lvlText w:val="(%1)"/>
      <w:numFmt w:val="decimal"/>
      <w:start w:val="1"/>
    </w:lvl>
  </w:abstractNum>
  <w:abstractNum w:abstractNumId="122">
    <w:nsid w:val="BAAC1B4"/>
    <w:multiLevelType w:val="hybridMultilevel"/>
    <w:lvl w:ilvl="0">
      <w:lvlJc w:val="left"/>
      <w:lvlText w:val="%1"/>
      <w:numFmt w:val="decimal"/>
      <w:start w:val="1"/>
    </w:lvl>
    <w:lvl w:ilvl="1">
      <w:lvlJc w:val="left"/>
      <w:lvlText w:val="(%2)"/>
      <w:numFmt w:val="lowerLetter"/>
      <w:start w:val="2"/>
    </w:lvl>
  </w:abstractNum>
  <w:abstractNum w:abstractNumId="123">
    <w:nsid w:val="36B2ACBC"/>
    <w:multiLevelType w:val="hybridMultilevel"/>
    <w:lvl w:ilvl="0">
      <w:lvlJc w:val="left"/>
      <w:lvlText w:val="(%1)"/>
      <w:numFmt w:val="decimal"/>
      <w:start w:val="2"/>
    </w:lvl>
    <w:lvl w:ilvl="1">
      <w:lvlJc w:val="left"/>
      <w:lvlText w:val="(%2)"/>
      <w:numFmt w:val="lowerLetter"/>
      <w:start w:val="1"/>
    </w:lvl>
  </w:abstractNum>
  <w:abstractNum w:abstractNumId="124">
    <w:nsid w:val="779D8544"/>
    <w:multiLevelType w:val="hybridMultilevel"/>
    <w:lvl w:ilvl="0">
      <w:lvlJc w:val="left"/>
      <w:lvlText w:val="(%1)"/>
      <w:numFmt w:val="decimal"/>
      <w:start w:val="1"/>
    </w:lvl>
    <w:lvl w:ilvl="1">
      <w:lvlJc w:val="left"/>
      <w:lvlText w:val="(%2)"/>
      <w:numFmt w:val="lowerLetter"/>
      <w:start w:val="1"/>
    </w:lvl>
  </w:abstractNum>
  <w:abstractNum w:abstractNumId="125">
    <w:nsid w:val="4AB26E78"/>
    <w:multiLevelType w:val="hybridMultilevel"/>
    <w:lvl w:ilvl="0">
      <w:lvlJc w:val="left"/>
      <w:lvlText w:val="(%1)"/>
      <w:numFmt w:val="decimal"/>
      <w:start w:val="1"/>
    </w:lvl>
  </w:abstractNum>
  <w:abstractNum w:abstractNumId="126">
    <w:nsid w:val="21FAA2FA"/>
    <w:multiLevelType w:val="hybridMultilevel"/>
    <w:lvl w:ilvl="0">
      <w:lvlJc w:val="left"/>
      <w:lvlText w:val="(%1)"/>
      <w:numFmt w:val="decimal"/>
      <w:start w:val="1"/>
    </w:lvl>
  </w:abstractNum>
  <w:abstractNum w:abstractNumId="127">
    <w:nsid w:val="5451CF49"/>
    <w:multiLevelType w:val="hybridMultilevel"/>
    <w:lvl w:ilvl="0">
      <w:lvlJc w:val="left"/>
      <w:lvlText w:val="(%1)"/>
      <w:numFmt w:val="decimal"/>
      <w:start w:val="1"/>
    </w:lvl>
    <w:lvl w:ilvl="1">
      <w:lvlJc w:val="left"/>
      <w:lvlText w:val="(%2)"/>
      <w:numFmt w:val="lowerLetter"/>
      <w:start w:val="1"/>
    </w:lvl>
  </w:abstractNum>
  <w:abstractNum w:abstractNumId="128">
    <w:nsid w:val="6181EF69"/>
    <w:multiLevelType w:val="hybridMultilevel"/>
    <w:lvl w:ilvl="0">
      <w:lvlJc w:val="left"/>
      <w:lvlText w:val="(%1)"/>
      <w:numFmt w:val="decimal"/>
      <w:start w:val="7"/>
    </w:lvl>
  </w:abstractNum>
  <w:abstractNum w:abstractNumId="129">
    <w:nsid w:val="3E6400E6"/>
    <w:multiLevelType w:val="hybridMultilevel"/>
    <w:lvl w:ilvl="0">
      <w:lvlJc w:val="left"/>
      <w:lvlText w:val="(%1)"/>
      <w:numFmt w:val="decimal"/>
      <w:start w:val="1"/>
    </w:lvl>
  </w:abstractNum>
  <w:abstractNum w:abstractNumId="130">
    <w:nsid w:val="14217E23"/>
    <w:multiLevelType w:val="hybridMultilevel"/>
    <w:lvl w:ilvl="0">
      <w:lvlJc w:val="left"/>
      <w:lvlText w:val="(%1)"/>
      <w:numFmt w:val="decimal"/>
      <w:start w:val="1"/>
    </w:lvl>
  </w:abstractNum>
  <w:abstractNum w:abstractNumId="131">
    <w:nsid w:val="710757D0"/>
    <w:multiLevelType w:val="hybridMultilevel"/>
    <w:lvl w:ilvl="0">
      <w:lvlJc w:val="left"/>
      <w:lvlText w:val="(%1)"/>
      <w:numFmt w:val="decimal"/>
      <w:start w:val="1"/>
    </w:lvl>
  </w:abstractNum>
  <w:abstractNum w:abstractNumId="132">
    <w:nsid w:val="5015CD1A"/>
    <w:multiLevelType w:val="hybridMultilevel"/>
    <w:lvl w:ilvl="0">
      <w:lvlJc w:val="left"/>
      <w:lvlText w:val="%1"/>
      <w:numFmt w:val="lowerLetter"/>
      <w:start w:val="1"/>
    </w:lvl>
    <w:lvl w:ilvl="1">
      <w:lvlJc w:val="left"/>
      <w:lvlText w:val="(%2)"/>
      <w:numFmt w:val="decimal"/>
      <w:start w:val="1"/>
    </w:lvl>
  </w:abstractNum>
  <w:abstractNum w:abstractNumId="133">
    <w:nsid w:val="424479DA"/>
    <w:multiLevelType w:val="hybridMultilevel"/>
    <w:lvl w:ilvl="0">
      <w:lvlJc w:val="left"/>
      <w:lvlText w:val="(%1)"/>
      <w:numFmt w:val="lowerLetter"/>
      <w:start w:val="1"/>
    </w:lvl>
    <w:lvl w:ilvl="1">
      <w:lvlJc w:val="left"/>
      <w:lvlText w:val="(%2)"/>
      <w:numFmt w:val="decimal"/>
      <w:start w:val="3"/>
    </w:lvl>
  </w:abstractNum>
  <w:abstractNum w:abstractNumId="134">
    <w:nsid w:val="1A9A9E69"/>
    <w:multiLevelType w:val="hybridMultilevel"/>
    <w:lvl w:ilvl="0">
      <w:lvlJc w:val="left"/>
      <w:lvlText w:val="(%1)"/>
      <w:numFmt w:val="decimal"/>
      <w:start w:val="1"/>
    </w:lvl>
  </w:abstractNum>
  <w:abstractNum w:abstractNumId="135">
    <w:nsid w:val="475E256A"/>
    <w:multiLevelType w:val="hybridMultilevel"/>
    <w:lvl w:ilvl="0">
      <w:lvlJc w:val="left"/>
      <w:lvlText w:val="%1"/>
      <w:numFmt w:val="lowerLetter"/>
      <w:start w:val="1"/>
    </w:lvl>
    <w:lvl w:ilvl="1">
      <w:lvlJc w:val="left"/>
      <w:lvlText w:val="(%2)"/>
      <w:numFmt w:val="decimal"/>
      <w:start w:val="1"/>
    </w:lvl>
  </w:abstractNum>
  <w:abstractNum w:abstractNumId="136">
    <w:nsid w:val="368DB37E"/>
    <w:multiLevelType w:val="hybridMultilevel"/>
    <w:lvl w:ilvl="0">
      <w:lvlJc w:val="left"/>
      <w:lvlText w:val="(%1)"/>
      <w:numFmt w:val="lowerLetter"/>
      <w:start w:val="1"/>
    </w:lvl>
    <w:lvl w:ilvl="1">
      <w:lvlJc w:val="left"/>
      <w:lvlText w:val="%2"/>
      <w:numFmt w:val="decimal"/>
      <w:start w:val="1"/>
    </w:lvl>
  </w:abstractNum>
  <w:abstractNum w:abstractNumId="137">
    <w:nsid w:val="6A3B714C"/>
    <w:multiLevelType w:val="hybridMultilevel"/>
    <w:lvl w:ilvl="0">
      <w:lvlJc w:val="left"/>
      <w:lvlText w:val="(%1)"/>
      <w:numFmt w:val="decimal"/>
      <w:start w:val="10"/>
    </w:lvl>
  </w:abstractNum>
  <w:abstractNum w:abstractNumId="138">
    <w:nsid w:val="327B517E"/>
    <w:multiLevelType w:val="hybridMultilevel"/>
    <w:lvl w:ilvl="0">
      <w:lvlJc w:val="left"/>
      <w:lvlText w:val="(%1)"/>
      <w:numFmt w:val="decimal"/>
      <w:start w:val="1"/>
    </w:lvl>
  </w:abstractNum>
  <w:abstractNum w:abstractNumId="139">
    <w:nsid w:val="1F461B51"/>
    <w:multiLevelType w:val="hybridMultilevel"/>
    <w:lvl w:ilvl="0">
      <w:lvlJc w:val="left"/>
      <w:lvlText w:val="(%1)"/>
      <w:numFmt w:val="decimal"/>
      <w:start w:val="1"/>
    </w:lvl>
    <w:lvl w:ilvl="1">
      <w:lvlJc w:val="left"/>
      <w:lvlText w:val="(%2)"/>
      <w:numFmt w:val="lowerLetter"/>
      <w:start w:val="1"/>
    </w:lvl>
  </w:abstractNum>
  <w:abstractNum w:abstractNumId="140">
    <w:nsid w:val="29BACF25"/>
    <w:multiLevelType w:val="hybridMultilevel"/>
    <w:lvl w:ilvl="0">
      <w:lvlJc w:val="left"/>
      <w:lvlText w:val="(%1)"/>
      <w:numFmt w:val="decimal"/>
      <w:start w:val="3"/>
    </w:lvl>
  </w:abstractNum>
  <w:abstractNum w:abstractNumId="141">
    <w:nsid w:val="5D5BABB3"/>
    <w:multiLevelType w:val="hybridMultilevel"/>
    <w:lvl w:ilvl="0">
      <w:lvlJc w:val="left"/>
      <w:lvlText w:val="(%1)"/>
      <w:numFmt w:val="decimal"/>
      <w:start w:val="1"/>
    </w:lvl>
  </w:abstractNum>
  <w:abstractNum w:abstractNumId="142">
    <w:nsid w:val="51BF6B48"/>
    <w:multiLevelType w:val="hybridMultilevel"/>
    <w:lvl w:ilvl="0">
      <w:lvlJc w:val="left"/>
      <w:lvlText w:val="(%1)"/>
      <w:numFmt w:val="decimal"/>
      <w:start w:val="1"/>
    </w:lvl>
  </w:abstractNum>
  <w:abstractNum w:abstractNumId="143">
    <w:nsid w:val="7E0F6384"/>
    <w:multiLevelType w:val="hybridMultilevel"/>
    <w:lvl w:ilvl="0">
      <w:lvlJc w:val="left"/>
      <w:lvlText w:val="(%1)"/>
      <w:numFmt w:val="decimal"/>
      <w:start w:val="1"/>
    </w:lvl>
  </w:abstractNum>
  <w:abstractNum w:abstractNumId="144">
    <w:nsid w:val="2B4B8B53"/>
    <w:multiLevelType w:val="hybridMultilevel"/>
    <w:lvl w:ilvl="0">
      <w:lvlJc w:val="left"/>
      <w:lvlText w:val="(%1)"/>
      <w:numFmt w:val="decimal"/>
      <w:start w:val="1"/>
    </w:lvl>
  </w:abstractNum>
  <w:abstractNum w:abstractNumId="145">
    <w:nsid w:val="72E3413A"/>
    <w:multiLevelType w:val="hybridMultilevel"/>
    <w:lvl w:ilvl="0">
      <w:lvlJc w:val="left"/>
      <w:lvlText w:val="(%1)"/>
      <w:numFmt w:val="decimal"/>
      <w:start w:val="1"/>
    </w:lvl>
  </w:abstractNum>
  <w:abstractNum w:abstractNumId="146">
    <w:nsid w:val="116AE494"/>
    <w:multiLevelType w:val="hybridMultilevel"/>
    <w:lvl w:ilvl="0">
      <w:lvlJc w:val="left"/>
      <w:lvlText w:val="(%1)"/>
      <w:numFmt w:val="decimal"/>
      <w:start w:val="1"/>
    </w:lvl>
  </w:abstractNum>
  <w:abstractNum w:abstractNumId="147">
    <w:nsid w:val="3494B2FB"/>
    <w:multiLevelType w:val="hybridMultilevel"/>
    <w:lvl w:ilvl="0">
      <w:lvlJc w:val="left"/>
      <w:lvlText w:val="(%1)"/>
      <w:numFmt w:val="decimal"/>
      <w:start w:val="1"/>
    </w:lvl>
    <w:lvl w:ilvl="1">
      <w:lvlJc w:val="left"/>
      <w:lvlText w:val="(%2)"/>
      <w:numFmt w:val="lowerLetter"/>
      <w:start w:val="1"/>
    </w:lvl>
  </w:abstractNum>
  <w:abstractNum w:abstractNumId="148">
    <w:nsid w:val="B13A31"/>
    <w:multiLevelType w:val="hybridMultilevel"/>
    <w:lvl w:ilvl="0">
      <w:lvlJc w:val="left"/>
      <w:lvlText w:val="%1"/>
      <w:numFmt w:val="lowerRoman"/>
      <w:start w:val="1"/>
    </w:lvl>
    <w:lvl w:ilvl="1">
      <w:lvlJc w:val="left"/>
      <w:lvlText w:val="(%2)"/>
      <w:numFmt w:val="decimal"/>
      <w:start w:val="8"/>
    </w:lvl>
  </w:abstractNum>
  <w:abstractNum w:abstractNumId="149">
    <w:nsid w:val="64429599"/>
    <w:multiLevelType w:val="hybridMultilevel"/>
    <w:lvl w:ilvl="0">
      <w:lvlJc w:val="left"/>
      <w:lvlText w:val="(%1)"/>
      <w:numFmt w:val="lowerRoman"/>
      <w:start w:val="2"/>
    </w:lvl>
    <w:lvl w:ilvl="1">
      <w:lvlJc w:val="left"/>
      <w:lvlText w:val="(%2)"/>
      <w:numFmt w:val="decimal"/>
      <w:start w:val="12"/>
    </w:lvl>
  </w:abstractNum>
  <w:abstractNum w:abstractNumId="150">
    <w:nsid w:val="631F1690"/>
    <w:multiLevelType w:val="hybridMultilevel"/>
    <w:lvl w:ilvl="0">
      <w:lvlJc w:val="left"/>
      <w:lvlText w:val="(%1)"/>
      <w:numFmt w:val="decimal"/>
      <w:start w:val="1"/>
    </w:lvl>
  </w:abstractNum>
  <w:abstractNum w:abstractNumId="151">
    <w:nsid w:val="25973E32"/>
    <w:multiLevelType w:val="hybridMultilevel"/>
    <w:lvl w:ilvl="0">
      <w:lvlJc w:val="left"/>
      <w:lvlText w:val="(%1)"/>
      <w:numFmt w:val="decimal"/>
      <w:start w:val="1"/>
    </w:lvl>
  </w:abstractNum>
  <w:abstractNum w:abstractNumId="152">
    <w:nsid w:val="EAD6F57"/>
    <w:multiLevelType w:val="hybridMultilevel"/>
    <w:lvl w:ilvl="0">
      <w:lvlJc w:val="left"/>
      <w:lvlText w:val="(%1)"/>
      <w:numFmt w:val="decimal"/>
      <w:start w:val="1"/>
    </w:lvl>
  </w:abstractNum>
  <w:abstractNum w:abstractNumId="153">
    <w:nsid w:val="6EC9D844"/>
    <w:multiLevelType w:val="hybridMultilevel"/>
    <w:lvl w:ilvl="0">
      <w:lvlJc w:val="left"/>
      <w:lvlText w:val="(%1)"/>
      <w:numFmt w:val="decimal"/>
      <w:start w:val="8"/>
    </w:lvl>
  </w:abstractNum>
  <w:abstractNum w:abstractNumId="154">
    <w:nsid w:val="5C49EAEE"/>
    <w:multiLevelType w:val="hybridMultilevel"/>
    <w:lvl w:ilvl="0">
      <w:lvlJc w:val="left"/>
      <w:lvlText w:val="(%1)"/>
      <w:numFmt w:val="decimal"/>
      <w:start w:val="1"/>
    </w:lvl>
    <w:lvl w:ilvl="1">
      <w:lvlJc w:val="left"/>
      <w:lvlText w:val="(%2)"/>
      <w:numFmt w:val="lowerLetter"/>
      <w:start w:val="1"/>
    </w:lvl>
  </w:abstractNum>
  <w:abstractNum w:abstractNumId="155">
    <w:nsid w:val="64AF49B"/>
    <w:multiLevelType w:val="hybridMultilevel"/>
    <w:lvl w:ilvl="0">
      <w:lvlJc w:val="left"/>
      <w:lvlText w:val="(%1)"/>
      <w:numFmt w:val="decimal"/>
      <w:start w:val="1"/>
    </w:lvl>
  </w:abstractNum>
  <w:abstractNum w:abstractNumId="156">
    <w:nsid w:val="397C46BC"/>
    <w:multiLevelType w:val="hybridMultilevel"/>
    <w:lvl w:ilvl="0">
      <w:lvlJc w:val="left"/>
      <w:lvlText w:val="(%1)"/>
      <w:numFmt w:val="decimal"/>
      <w:start w:val="1"/>
    </w:lvl>
  </w:abstractNum>
  <w:abstractNum w:abstractNumId="157">
    <w:nsid w:val="7E448DE9"/>
    <w:multiLevelType w:val="hybridMultilevel"/>
    <w:lvl w:ilvl="0">
      <w:lvlJc w:val="left"/>
      <w:lvlText w:val="(%1)"/>
      <w:numFmt w:val="decimal"/>
      <w:start w:val="4"/>
    </w:lvl>
  </w:abstractNum>
  <w:abstractNum w:abstractNumId="158">
    <w:nsid w:val="5A9CC3E5"/>
    <w:multiLevelType w:val="hybridMultilevel"/>
    <w:lvl w:ilvl="0">
      <w:lvlJc w:val="left"/>
      <w:lvlText w:val="(%1)"/>
      <w:numFmt w:val="lowerLetter"/>
      <w:start w:val="1"/>
    </w:lvl>
  </w:abstractNum>
  <w:abstractNum w:abstractNumId="159">
    <w:nsid w:val="1AFE3625"/>
    <w:multiLevelType w:val="hybridMultilevel"/>
    <w:lvl w:ilvl="0">
      <w:lvlJc w:val="left"/>
      <w:lvlText w:val="(%1)"/>
      <w:numFmt w:val="decimal"/>
      <w:start w:val="1"/>
    </w:lvl>
  </w:abstractNum>
  <w:abstractNum w:abstractNumId="160">
    <w:nsid w:val="3CA88ECF"/>
    <w:multiLevelType w:val="hybridMultilevel"/>
    <w:lvl w:ilvl="0">
      <w:lvlJc w:val="left"/>
      <w:lvlText w:val="(%1)"/>
      <w:numFmt w:val="decimal"/>
      <w:start w:val="1"/>
    </w:lvl>
  </w:abstractNum>
  <w:abstractNum w:abstractNumId="161">
    <w:nsid w:val="6EBE4208"/>
    <w:multiLevelType w:val="hybridMultilevel"/>
    <w:lvl w:ilvl="0">
      <w:lvlJc w:val="left"/>
      <w:lvlText w:val="(%1)"/>
      <w:numFmt w:val="decimal"/>
      <w:start w:val="1"/>
    </w:lvl>
  </w:abstractNum>
  <w:abstractNum w:abstractNumId="162">
    <w:nsid w:val="C058DF5"/>
    <w:multiLevelType w:val="hybridMultilevel"/>
    <w:lvl w:ilvl="0">
      <w:lvlJc w:val="left"/>
      <w:lvlText w:val="(%1)"/>
      <w:numFmt w:val="decimal"/>
      <w:start w:val="1"/>
    </w:lvl>
  </w:abstractNum>
  <w:abstractNum w:abstractNumId="163">
    <w:nsid w:val="CBE5BE9"/>
    <w:multiLevelType w:val="hybridMultilevel"/>
    <w:lvl w:ilvl="0">
      <w:lvlJc w:val="left"/>
      <w:lvlText w:val="(%1)"/>
      <w:numFmt w:val="decimal"/>
      <w:start w:val="2"/>
    </w:lvl>
  </w:abstractNum>
  <w:abstractNum w:abstractNumId="164">
    <w:nsid w:val="3102BBE2"/>
    <w:multiLevelType w:val="hybridMultilevel"/>
    <w:lvl w:ilvl="0">
      <w:lvlJc w:val="left"/>
      <w:lvlText w:val="(%1)"/>
      <w:numFmt w:val="decimal"/>
      <w:start w:val="1"/>
    </w:lvl>
  </w:abstractNum>
  <w:abstractNum w:abstractNumId="165">
    <w:nsid w:val="26A02C5E"/>
    <w:multiLevelType w:val="hybridMultilevel"/>
    <w:lvl w:ilvl="0">
      <w:lvlJc w:val="left"/>
      <w:lvlText w:val="(%1)"/>
      <w:numFmt w:val="decimal"/>
      <w:start w:val="2"/>
    </w:lvl>
  </w:abstractNum>
  <w:abstractNum w:abstractNumId="166">
    <w:nsid w:val="541C8153"/>
    <w:multiLevelType w:val="hybridMultilevel"/>
    <w:lvl w:ilvl="0">
      <w:lvlJc w:val="left"/>
      <w:lvlText w:val="(%1)"/>
      <w:numFmt w:val="decimal"/>
      <w:start w:val="1"/>
    </w:lvl>
  </w:abstractNum>
  <w:abstractNum w:abstractNumId="167">
    <w:nsid w:val="67906F60"/>
    <w:multiLevelType w:val="hybridMultilevel"/>
    <w:lvl w:ilvl="0">
      <w:lvlJc w:val="left"/>
      <w:lvlText w:val="(%1)"/>
      <w:numFmt w:val="decimal"/>
      <w:start w:val="1"/>
    </w:lvl>
  </w:abstractNum>
  <w:abstractNum w:abstractNumId="168">
    <w:nsid w:val="10DB9DAA"/>
    <w:multiLevelType w:val="hybridMultilevel"/>
    <w:lvl w:ilvl="0">
      <w:lvlJc w:val="left"/>
      <w:lvlText w:val="(%1)"/>
      <w:numFmt w:val="decimal"/>
      <w:start w:val="1"/>
    </w:lvl>
  </w:abstractNum>
  <w:abstractNum w:abstractNumId="169">
    <w:nsid w:val="697D2D2"/>
    <w:multiLevelType w:val="hybridMultilevel"/>
    <w:lvl w:ilvl="0">
      <w:lvlJc w:val="left"/>
      <w:lvlText w:val="(%1)"/>
      <w:numFmt w:val="decimal"/>
      <w:start w:val="2"/>
    </w:lvl>
  </w:abstractNum>
  <w:abstractNum w:abstractNumId="170">
    <w:nsid w:val="6D68AB2"/>
    <w:multiLevelType w:val="hybridMultilevel"/>
    <w:lvl w:ilvl="0">
      <w:lvlJc w:val="left"/>
      <w:lvlText w:val="(%1)"/>
      <w:numFmt w:val="decimal"/>
      <w:start w:val="1"/>
    </w:lvl>
  </w:abstractNum>
  <w:abstractNum w:abstractNumId="171">
    <w:nsid w:val="3A966CD0"/>
    <w:multiLevelType w:val="hybridMultilevel"/>
    <w:lvl w:ilvl="0">
      <w:lvlJc w:val="left"/>
      <w:lvlText w:val="(%1)"/>
      <w:numFmt w:val="decimal"/>
      <w:start w:val="1"/>
    </w:lvl>
  </w:abstractNum>
  <w:abstractNum w:abstractNumId="172">
    <w:nsid w:val="63F37E85"/>
    <w:multiLevelType w:val="hybridMultilevel"/>
    <w:lvl w:ilvl="0">
      <w:lvlJc w:val="left"/>
      <w:lvlText w:val="(%1)"/>
      <w:numFmt w:val="decimal"/>
      <w:start w:val="1"/>
    </w:lvl>
  </w:abstractNum>
  <w:abstractNum w:abstractNumId="173">
    <w:nsid w:val="5895F5FA"/>
    <w:multiLevelType w:val="hybridMultilevel"/>
    <w:lvl w:ilvl="0">
      <w:lvlJc w:val="left"/>
      <w:lvlText w:val="(%1)"/>
      <w:numFmt w:val="decimal"/>
      <w:start w:val="5"/>
    </w:lvl>
  </w:abstractNum>
  <w:abstractNum w:abstractNumId="174">
    <w:nsid w:val="38A5D054"/>
    <w:multiLevelType w:val="hybridMultilevel"/>
    <w:lvl w:ilvl="0">
      <w:lvlJc w:val="left"/>
      <w:lvlText w:val="(%1)"/>
      <w:numFmt w:val="decimal"/>
      <w:start w:val="1"/>
    </w:lvl>
    <w:lvl w:ilvl="1">
      <w:lvlJc w:val="left"/>
      <w:lvlText w:val="(%2)"/>
      <w:numFmt w:val="lowerLetter"/>
      <w:start w:val="1"/>
    </w:lvl>
  </w:abstractNum>
  <w:abstractNum w:abstractNumId="175">
    <w:nsid w:val="F3F09D8"/>
    <w:multiLevelType w:val="hybridMultilevel"/>
    <w:lvl w:ilvl="0">
      <w:lvlJc w:val="left"/>
      <w:lvlText w:val="(%1)"/>
      <w:numFmt w:val="decimal"/>
      <w:start w:val="1"/>
    </w:lvl>
  </w:abstractNum>
  <w:abstractNum w:abstractNumId="176">
    <w:nsid w:val="4B793735"/>
    <w:multiLevelType w:val="hybridMultilevel"/>
    <w:lvl w:ilvl="0">
      <w:lvlJc w:val="left"/>
      <w:lvlText w:val="(%1)"/>
      <w:numFmt w:val="decimal"/>
      <w:start w:val="1"/>
    </w:lvl>
  </w:abstractNum>
  <w:abstractNum w:abstractNumId="177">
    <w:nsid w:val="4A10B4E8"/>
    <w:multiLevelType w:val="hybridMultilevel"/>
    <w:lvl w:ilvl="0">
      <w:lvlJc w:val="left"/>
      <w:lvlText w:val="(%1)"/>
      <w:numFmt w:val="decimal"/>
      <w:start w:val="1"/>
    </w:lvl>
  </w:abstractNum>
  <w:abstractNum w:abstractNumId="178">
    <w:nsid w:val="43D3BCD4"/>
    <w:multiLevelType w:val="hybridMultilevel"/>
    <w:lvl w:ilvl="0">
      <w:lvlJc w:val="left"/>
      <w:lvlText w:val="(%1)"/>
      <w:numFmt w:val="decimal"/>
      <w:start w:val="1"/>
    </w:lvl>
  </w:abstractNum>
  <w:abstractNum w:abstractNumId="179">
    <w:nsid w:val="4C2A7166"/>
    <w:multiLevelType w:val="hybridMultilevel"/>
    <w:lvl w:ilvl="0">
      <w:lvlJc w:val="left"/>
      <w:lvlText w:val="(%1)"/>
      <w:numFmt w:val="decimal"/>
      <w:start w:val="2"/>
    </w:lvl>
  </w:abstractNum>
  <w:abstractNum w:abstractNumId="180">
    <w:nsid w:val="2E534A82"/>
    <w:multiLevelType w:val="hybridMultilevel"/>
    <w:lvl w:ilvl="0">
      <w:lvlJc w:val="left"/>
      <w:lvlText w:val="%1"/>
      <w:numFmt w:val="lowerRoman"/>
      <w:start w:val="1"/>
    </w:lvl>
    <w:lvl w:ilvl="1">
      <w:lvlJc w:val="left"/>
      <w:lvlText w:val="(%2)"/>
      <w:numFmt w:val="decimal"/>
      <w:start w:val="1"/>
    </w:lvl>
  </w:abstractNum>
  <w:abstractNum w:abstractNumId="181">
    <w:nsid w:val="26F2D364"/>
    <w:multiLevelType w:val="hybridMultilevel"/>
    <w:lvl w:ilvl="0">
      <w:lvlJc w:val="left"/>
      <w:lvlText w:val="(%1)"/>
      <w:numFmt w:val="lowerRoman"/>
      <w:start w:val="2"/>
    </w:lvl>
    <w:lvl w:ilvl="1">
      <w:lvlJc w:val="left"/>
      <w:lvlText w:val="(%2)"/>
      <w:numFmt w:val="decimal"/>
      <w:start w:val="4"/>
    </w:lvl>
  </w:abstractNum>
  <w:abstractNum w:abstractNumId="182">
    <w:nsid w:val="71C1AF98"/>
    <w:multiLevelType w:val="hybridMultilevel"/>
    <w:lvl w:ilvl="0">
      <w:lvlJc w:val="left"/>
      <w:lvlText w:val="%1"/>
      <w:numFmt w:val="lowerLetter"/>
      <w:start w:val="1"/>
    </w:lvl>
    <w:lvl w:ilvl="1">
      <w:lvlJc w:val="left"/>
      <w:lvlText w:val="(%2)"/>
      <w:numFmt w:val="decimal"/>
      <w:start w:val="1"/>
    </w:lvl>
  </w:abstractNum>
  <w:abstractNum w:abstractNumId="183">
    <w:nsid w:val="3D00B9D9"/>
    <w:multiLevelType w:val="hybridMultilevel"/>
    <w:lvl w:ilvl="0">
      <w:lvlJc w:val="left"/>
      <w:lvlText w:val="(%1)"/>
      <w:numFmt w:val="lowerLetter"/>
      <w:start w:val="1"/>
    </w:lvl>
    <w:lvl w:ilvl="1">
      <w:lvlJc w:val="left"/>
      <w:lvlText w:val="(%2)"/>
      <w:numFmt w:val="decimal"/>
      <w:start w:val="3"/>
    </w:lvl>
  </w:abstractNum>
  <w:abstractNum w:abstractNumId="184">
    <w:nsid w:val="15BCABA8"/>
    <w:multiLevelType w:val="hybridMultilevel"/>
    <w:lvl w:ilvl="0">
      <w:lvlJc w:val="left"/>
      <w:lvlText w:val="(%1)"/>
      <w:numFmt w:val="decimal"/>
      <w:start w:val="1"/>
    </w:lvl>
    <w:lvl w:ilvl="1">
      <w:lvlJc w:val="left"/>
      <w:lvlText w:val="(%2)"/>
      <w:numFmt w:val="lowerLetter"/>
      <w:start w:val="1"/>
    </w:lvl>
  </w:abstractNum>
  <w:abstractNum w:abstractNumId="185">
    <w:nsid w:val="4E0B9A87"/>
    <w:multiLevelType w:val="hybridMultilevel"/>
    <w:lvl w:ilvl="0">
      <w:lvlJc w:val="left"/>
      <w:lvlText w:val="(%1)"/>
      <w:numFmt w:val="decimal"/>
      <w:start w:val="4"/>
    </w:lvl>
  </w:abstractNum>
  <w:abstractNum w:abstractNumId="186">
    <w:nsid w:val="434BAE75"/>
    <w:multiLevelType w:val="hybridMultilevel"/>
    <w:lvl w:ilvl="0">
      <w:lvlJc w:val="left"/>
      <w:lvlText w:val="(%1)"/>
      <w:numFmt w:val="decimal"/>
      <w:start w:val="1"/>
    </w:lvl>
  </w:abstractNum>
  <w:abstractNum w:abstractNumId="187">
    <w:nsid w:val="4F38F265"/>
    <w:multiLevelType w:val="hybridMultilevel"/>
    <w:lvl w:ilvl="0">
      <w:lvlJc w:val="left"/>
      <w:lvlText w:val="(%1)"/>
      <w:numFmt w:val="decimal"/>
      <w:start w:val="2"/>
    </w:lvl>
    <w:lvl w:ilvl="1">
      <w:lvlJc w:val="left"/>
      <w:lvlText w:val="(%2)"/>
      <w:numFmt w:val="lowerLetter"/>
      <w:start w:val="1"/>
    </w:lvl>
  </w:abstractNum>
  <w:abstractNum w:abstractNumId="188">
    <w:nsid w:val="4C502870"/>
    <w:multiLevelType w:val="hybridMultilevel"/>
    <w:lvl w:ilvl="0">
      <w:lvlJc w:val="left"/>
      <w:lvlText w:val="(%1)"/>
      <w:numFmt w:val="decimal"/>
      <w:start w:val="12"/>
    </w:lvl>
    <w:lvl w:ilvl="1">
      <w:lvlJc w:val="left"/>
      <w:lvlText w:val="(%2)"/>
      <w:numFmt w:val="lowerLetter"/>
      <w:start w:val="1"/>
    </w:lvl>
  </w:abstractNum>
  <w:abstractNum w:abstractNumId="189">
    <w:nsid w:val="1DE8725A"/>
    <w:multiLevelType w:val="hybridMultilevel"/>
    <w:lvl w:ilvl="0">
      <w:lvlJc w:val="left"/>
      <w:lvlText w:val="\emdash "/>
      <w:numFmt w:val="bullet"/>
      <w:start w:val="1"/>
    </w:lvl>
    <w:lvl w:ilvl="1">
      <w:lvlJc w:val="left"/>
      <w:lvlText w:val="(%2)"/>
      <w:numFmt w:val="decimal"/>
      <w:start w:val="21"/>
    </w:lvl>
  </w:abstractNum>
  <w:abstractNum w:abstractNumId="190">
    <w:nsid w:val="6A37288A"/>
    <w:multiLevelType w:val="hybridMultilevel"/>
    <w:lvl w:ilvl="0">
      <w:lvlJc w:val="left"/>
      <w:lvlText w:val="(%1)"/>
      <w:numFmt w:val="decimal"/>
      <w:start w:val="1"/>
    </w:lvl>
  </w:abstractNum>
  <w:abstractNum w:abstractNumId="191">
    <w:nsid w:val="8F8B73F"/>
    <w:multiLevelType w:val="hybridMultilevel"/>
    <w:lvl w:ilvl="0">
      <w:lvlJc w:val="left"/>
      <w:lvlText w:val="(%1)"/>
      <w:numFmt w:val="decimal"/>
      <w:start w:val="3"/>
    </w:lvl>
  </w:abstractNum>
  <w:abstractNum w:abstractNumId="192">
    <w:nsid w:val="CA6B462"/>
    <w:multiLevelType w:val="hybridMultilevel"/>
    <w:lvl w:ilvl="0">
      <w:lvlJc w:val="left"/>
      <w:lvlText w:val="(%1)"/>
      <w:numFmt w:val="decimal"/>
      <w:start w:val="1"/>
    </w:lvl>
  </w:abstractNum>
  <w:abstractNum w:abstractNumId="193">
    <w:nsid w:val="763CB680"/>
    <w:multiLevelType w:val="hybridMultilevel"/>
    <w:lvl w:ilvl="0">
      <w:lvlJc w:val="left"/>
      <w:lvlText w:val="(%1)"/>
      <w:numFmt w:val="decimal"/>
      <w:start w:val="1"/>
    </w:lvl>
  </w:abstractNum>
  <w:abstractNum w:abstractNumId="194">
    <w:nsid w:val="15B71329"/>
    <w:multiLevelType w:val="hybridMultilevel"/>
    <w:lvl w:ilvl="0">
      <w:lvlJc w:val="left"/>
      <w:lvlText w:val="(%1)"/>
      <w:numFmt w:val="decimal"/>
      <w:start w:val="1"/>
    </w:lvl>
  </w:abstractNum>
  <w:abstractNum w:abstractNumId="195">
    <w:nsid w:val="3DA97044"/>
    <w:multiLevelType w:val="hybridMultilevel"/>
    <w:lvl w:ilvl="0">
      <w:lvlJc w:val="left"/>
      <w:lvlText w:val="(%1)"/>
      <w:numFmt w:val="decimal"/>
      <w:start w:val="1"/>
    </w:lvl>
  </w:abstractNum>
  <w:abstractNum w:abstractNumId="196">
    <w:nsid w:val="1CDCE2DE"/>
    <w:multiLevelType w:val="hybridMultilevel"/>
    <w:lvl w:ilvl="0">
      <w:lvlJc w:val="left"/>
      <w:lvlText w:val="(%1)"/>
      <w:numFmt w:val="decimal"/>
      <w:start w:val="1"/>
    </w:lvl>
  </w:abstractNum>
  <w:abstractNum w:abstractNumId="197">
    <w:nsid w:val="69D3947C"/>
    <w:multiLevelType w:val="hybridMultilevel"/>
    <w:lvl w:ilvl="0">
      <w:lvlJc w:val="left"/>
      <w:lvlText w:val="(%1)"/>
      <w:numFmt w:val="decimal"/>
      <w:start w:val="1"/>
    </w:lvl>
  </w:abstractNum>
  <w:abstractNum w:abstractNumId="198">
    <w:nsid w:val="2539DFA5"/>
    <w:multiLevelType w:val="hybridMultilevel"/>
    <w:lvl w:ilvl="0">
      <w:lvlJc w:val="left"/>
      <w:lvlText w:val="(%1)"/>
      <w:numFmt w:val="decimal"/>
      <w:start w:val="1"/>
    </w:lvl>
  </w:abstractNum>
  <w:abstractNum w:abstractNumId="199">
    <w:nsid w:val="2DB88089"/>
    <w:multiLevelType w:val="hybridMultilevel"/>
    <w:lvl w:ilvl="0">
      <w:lvlJc w:val="left"/>
      <w:lvlText w:val="(%1)"/>
      <w:numFmt w:val="lowerRoman"/>
      <w:start w:val="2"/>
    </w:lvl>
  </w:abstractNum>
  <w:abstractNum w:abstractNumId="200">
    <w:nsid w:val="706B674E"/>
    <w:multiLevelType w:val="hybridMultilevel"/>
    <w:lvl w:ilvl="0">
      <w:lvlJc w:val="left"/>
      <w:lvlText w:val="•"/>
      <w:numFmt w:val="bullet"/>
      <w:start w:val="1"/>
    </w:lvl>
  </w:abstractNum>
  <w:abstractNum w:abstractNumId="201">
    <w:nsid w:val="2C106A57"/>
    <w:multiLevelType w:val="hybridMultilevel"/>
    <w:lvl w:ilvl="0">
      <w:lvlJc w:val="left"/>
      <w:lvlText w:val="•"/>
      <w:numFmt w:val="bullet"/>
      <w:start w:val="1"/>
    </w:lvl>
    <w:lvl w:ilvl="1">
      <w:lvlJc w:val="left"/>
      <w:lvlText w:val="•"/>
      <w:numFmt w:val="bullet"/>
      <w:start w:val="1"/>
    </w:lvl>
  </w:abstractNum>
  <w:abstractNum w:abstractNumId="202">
    <w:nsid w:val="684EED59"/>
    <w:multiLevelType w:val="hybridMultilevel"/>
    <w:lvl w:ilvl="0">
      <w:lvlJc w:val="left"/>
      <w:lvlText w:val="•"/>
      <w:numFmt w:val="bullet"/>
      <w:start w:val="1"/>
    </w:lvl>
  </w:abstractNum>
  <w:abstractNum w:abstractNumId="203">
    <w:nsid w:val="545EE5D3"/>
    <w:multiLevelType w:val="hybridMultilevel"/>
    <w:lvl w:ilvl="0">
      <w:lvlJc w:val="left"/>
      <w:lvlText w:val="•"/>
      <w:numFmt w:val="bullet"/>
      <w:start w:val="1"/>
    </w:lvl>
  </w:abstractNum>
  <w:abstractNum w:abstractNumId="204">
    <w:nsid w:val="4A66051"/>
    <w:multiLevelType w:val="hybridMultilevel"/>
    <w:lvl w:ilvl="0">
      <w:lvlJc w:val="left"/>
      <w:lvlText w:val="•"/>
      <w:numFmt w:val="bullet"/>
      <w:start w:val="1"/>
    </w:lvl>
  </w:abstractNum>
  <w:abstractNum w:abstractNumId="205">
    <w:nsid w:val="20F4BDAD"/>
    <w:multiLevelType w:val="hybridMultilevel"/>
    <w:lvl w:ilvl="0">
      <w:lvlJc w:val="left"/>
      <w:lvlText w:val="•"/>
      <w:numFmt w:val="bullet"/>
      <w:start w:val="1"/>
    </w:lvl>
  </w:abstractNum>
  <w:abstractNum w:abstractNumId="206">
    <w:nsid w:val="639DEFAC"/>
    <w:multiLevelType w:val="hybridMultilevel"/>
    <w:lvl w:ilvl="0">
      <w:lvlJc w:val="left"/>
      <w:lvlText w:val="•"/>
      <w:numFmt w:val="bullet"/>
      <w:start w:val="1"/>
    </w:lvl>
  </w:abstractNum>
  <w:abstractNum w:abstractNumId="207">
    <w:nsid w:val="501F9786"/>
    <w:multiLevelType w:val="hybridMultilevel"/>
    <w:lvl w:ilvl="0">
      <w:lvlJc w:val="left"/>
      <w:lvlText w:val="(%1)"/>
      <w:numFmt w:val="lowerRoman"/>
      <w:start w:val="1"/>
    </w:lvl>
  </w:abstractNum>
  <w:abstractNum w:abstractNumId="208">
    <w:nsid w:val="6B057295"/>
    <w:multiLevelType w:val="hybridMultilevel"/>
    <w:lvl w:ilvl="0">
      <w:lvlJc w:val="left"/>
      <w:lvlText w:val="•"/>
      <w:numFmt w:val="bullet"/>
      <w:start w:val="1"/>
    </w:lvl>
  </w:abstractNum>
  <w:abstractNum w:abstractNumId="209">
    <w:nsid w:val="2771AC80"/>
    <w:multiLevelType w:val="hybridMultilevel"/>
    <w:lvl w:ilvl="0">
      <w:lvlJc w:val="left"/>
      <w:lvlText w:val="•"/>
      <w:numFmt w:val="bullet"/>
      <w:start w:val="1"/>
    </w:lvl>
    <w:lvl w:ilvl="1">
      <w:lvlJc w:val="left"/>
      <w:lvlText w:val="•"/>
      <w:numFmt w:val="bullet"/>
      <w:start w:val="1"/>
    </w:lvl>
  </w:abstractNum>
  <w:abstractNum w:abstractNumId="210">
    <w:nsid w:val="1C4A08EC"/>
    <w:multiLevelType w:val="hybridMultilevel"/>
    <w:lvl w:ilvl="0">
      <w:lvlJc w:val="left"/>
      <w:lvlText w:val="•"/>
      <w:numFmt w:val="bullet"/>
      <w:start w:val="1"/>
    </w:lvl>
    <w:lvl w:ilvl="1">
      <w:lvlJc w:val="left"/>
      <w:lvlText w:val="•"/>
      <w:numFmt w:val="bullet"/>
      <w:start w:val="1"/>
    </w:lvl>
  </w:abstractNum>
  <w:abstractNum w:abstractNumId="211">
    <w:nsid w:val="1958BD17"/>
    <w:multiLevelType w:val="hybridMultilevel"/>
    <w:lvl w:ilvl="0">
      <w:lvlJc w:val="left"/>
      <w:lvlText w:val="•"/>
      <w:numFmt w:val="bullet"/>
      <w:start w:val="1"/>
    </w:lvl>
  </w:abstractNum>
  <w:abstractNum w:abstractNumId="212">
    <w:nsid w:val="4E647FE4"/>
    <w:multiLevelType w:val="hybridMultilevel"/>
    <w:lvl w:ilvl="0">
      <w:lvlJc w:val="left"/>
      <w:lvlText w:val="•"/>
      <w:numFmt w:val="bullet"/>
      <w:start w:val="1"/>
    </w:lvl>
  </w:abstractNum>
  <w:abstractNum w:abstractNumId="213">
    <w:nsid w:val="E0BB885"/>
    <w:multiLevelType w:val="hybridMultilevel"/>
    <w:lvl w:ilvl="0">
      <w:lvlJc w:val="left"/>
      <w:lvlText w:val="•"/>
      <w:numFmt w:val="bullet"/>
      <w:start w:val="1"/>
    </w:lvl>
  </w:abstractNum>
  <w:abstractNum w:abstractNumId="214">
    <w:nsid w:val="565976F1"/>
    <w:multiLevelType w:val="hybridMultilevel"/>
    <w:lvl w:ilvl="0">
      <w:lvlJc w:val="left"/>
      <w:lvlText w:val="*"/>
      <w:numFmt w:val="bullet"/>
      <w:start w:val="1"/>
    </w:lvl>
  </w:abstractNum>
  <w:abstractNum w:abstractNumId="215">
    <w:nsid w:val="64212B8C"/>
    <w:multiLevelType w:val="hybridMultilevel"/>
    <w:lvl w:ilvl="0">
      <w:lvlJc w:val="left"/>
      <w:lvlText w:val="%1."/>
      <w:numFmt w:val="decimal"/>
      <w:start w:val="1"/>
    </w:lvl>
  </w:abstractNum>
  <w:abstractNum w:abstractNumId="216">
    <w:nsid w:val="5C17530C"/>
    <w:multiLevelType w:val="hybridMultilevel"/>
    <w:lvl w:ilvl="0">
      <w:lvlJc w:val="left"/>
      <w:lvlText w:val="%1."/>
      <w:numFmt w:val="decimal"/>
      <w:start w:val="2"/>
    </w:lvl>
  </w:abstractNum>
  <w:abstractNum w:abstractNumId="217">
    <w:nsid w:val="19A52566"/>
    <w:multiLevelType w:val="hybridMultilevel"/>
    <w:lvl w:ilvl="0">
      <w:lvlJc w:val="left"/>
      <w:lvlText w:val="%1."/>
      <w:numFmt w:val="decimal"/>
      <w:start w:val="8"/>
    </w:lvl>
  </w:abstractNum>
  <w:abstractNum w:abstractNumId="218">
    <w:nsid w:val="335A1DF1"/>
    <w:multiLevelType w:val="hybridMultilevel"/>
    <w:lvl w:ilvl="0">
      <w:lvlJc w:val="left"/>
      <w:lvlText w:val="%1."/>
      <w:numFmt w:val="decimal"/>
      <w:start w:val="10"/>
    </w:lvl>
  </w:abstractNum>
  <w:abstractNum w:abstractNumId="219">
    <w:nsid w:val="28677B7C"/>
    <w:multiLevelType w:val="hybridMultilevel"/>
    <w:lvl w:ilvl="0">
      <w:lvlJc w:val="left"/>
      <w:lvlText w:val="%1."/>
      <w:numFmt w:val="decimal"/>
      <w:start w:val="2"/>
    </w:lvl>
  </w:abstractNum>
  <w:abstractNum w:abstractNumId="220">
    <w:nsid w:val="378D97C0"/>
    <w:multiLevelType w:val="hybridMultilevel"/>
    <w:lvl w:ilvl="0">
      <w:lvlJc w:val="left"/>
      <w:lvlText w:val="(%1)"/>
      <w:numFmt w:val="lowerLetter"/>
      <w:start w:val="4"/>
    </w:lvl>
  </w:abstractNum>
  <w:abstractNum w:abstractNumId="221">
    <w:nsid w:val="1D91467C"/>
    <w:multiLevelType w:val="hybridMultilevel"/>
    <w:lvl w:ilvl="0">
      <w:lvlJc w:val="left"/>
      <w:lvlText w:val="(%1)"/>
      <w:numFmt w:val="lowerRoman"/>
      <w:start w:val="3"/>
    </w:lvl>
  </w:abstractNum>
  <w:abstractNum w:abstractNumId="222">
    <w:nsid w:val="316032BB"/>
    <w:multiLevelType w:val="hybridMultilevel"/>
    <w:lvl w:ilvl="0">
      <w:lvlJc w:val="left"/>
      <w:lvlText w:val="%1."/>
      <w:numFmt w:val="decimal"/>
      <w:start w:val="9"/>
    </w:lvl>
  </w:abstractNum>
  <w:abstractNum w:abstractNumId="223">
    <w:nsid w:val="44344C22"/>
    <w:multiLevelType w:val="hybridMultilevel"/>
    <w:lvl w:ilvl="0">
      <w:lvlJc w:val="left"/>
      <w:lvlText w:val="%1."/>
      <w:numFmt w:val="decimal"/>
      <w:start w:val="11"/>
    </w:lvl>
  </w:abstractNum>
  <w:abstractNum w:abstractNumId="224">
    <w:nsid w:val="13CDFCF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2019-12-20T19:02:50Z</dcterms:created>
  <dcterms:modified xsi:type="dcterms:W3CDTF">2019-12-20T19:02:50Z</dcterms:modified>
</cp:coreProperties>
</file>