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40" w:type="dxa"/>
        <w:tblCellMar>
          <w:top w:w="0" w:type="dxa"/>
          <w:left w:w="0" w:type="dxa"/>
          <w:bottom w:w="0" w:type="dxa"/>
          <w:right w:w="0" w:type="dxa"/>
        </w:tblCellMar>
      </w:tblPr>
      <w:tr>
        <w:trPr>
          <w:trHeight w:val="250"/>
        </w:trPr>
        <w:tc>
          <w:tcPr>
            <w:tcW w:w="246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93"/>
              </w:rPr>
              <w:t>UNITED STATES</w:t>
            </w:r>
          </w:p>
        </w:tc>
        <w:tc>
          <w:tcPr>
            <w:tcW w:w="2240" w:type="dxa"/>
            <w:vAlign w:val="bottom"/>
          </w:tcPr>
          <w:p>
            <w:pPr>
              <w:spacing w:after="0"/>
              <w:rPr>
                <w:sz w:val="21"/>
                <w:szCs w:val="21"/>
                <w:color w:val="auto"/>
              </w:rPr>
            </w:pPr>
          </w:p>
        </w:tc>
      </w:tr>
      <w:tr>
        <w:trPr>
          <w:trHeight w:val="473"/>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95"/>
              </w:rPr>
              <w:t>SECURITIES AND EXCHANGE COMMISSION</w:t>
            </w:r>
          </w:p>
        </w:tc>
        <w:tc>
          <w:tcPr>
            <w:tcW w:w="2240" w:type="dxa"/>
            <w:vAlign w:val="bottom"/>
          </w:tcPr>
          <w:p>
            <w:pPr>
              <w:spacing w:after="0"/>
              <w:rPr>
                <w:sz w:val="24"/>
                <w:szCs w:val="24"/>
                <w:color w:val="auto"/>
              </w:rPr>
            </w:pPr>
          </w:p>
        </w:tc>
      </w:tr>
      <w:tr>
        <w:trPr>
          <w:trHeight w:val="473"/>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91"/>
              </w:rPr>
              <w:t>Washington, D.C. 20549</w:t>
            </w:r>
          </w:p>
        </w:tc>
        <w:tc>
          <w:tcPr>
            <w:tcW w:w="2240" w:type="dxa"/>
            <w:vAlign w:val="bottom"/>
          </w:tcPr>
          <w:p>
            <w:pPr>
              <w:spacing w:after="0"/>
              <w:rPr>
                <w:sz w:val="24"/>
                <w:szCs w:val="24"/>
                <w:color w:val="auto"/>
              </w:rPr>
            </w:pPr>
          </w:p>
        </w:tc>
      </w:tr>
      <w:tr>
        <w:trPr>
          <w:trHeight w:val="473"/>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rPr>
              <w:t>FORM 8-K</w:t>
            </w:r>
          </w:p>
        </w:tc>
        <w:tc>
          <w:tcPr>
            <w:tcW w:w="2240" w:type="dxa"/>
            <w:vAlign w:val="bottom"/>
          </w:tcPr>
          <w:p>
            <w:pPr>
              <w:spacing w:after="0"/>
              <w:rPr>
                <w:sz w:val="24"/>
                <w:szCs w:val="24"/>
                <w:color w:val="auto"/>
              </w:rPr>
            </w:pPr>
          </w:p>
        </w:tc>
      </w:tr>
      <w:tr>
        <w:trPr>
          <w:trHeight w:val="446"/>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98"/>
              </w:rPr>
              <w:t>CURRENT REPORT</w:t>
            </w:r>
          </w:p>
        </w:tc>
        <w:tc>
          <w:tcPr>
            <w:tcW w:w="2240" w:type="dxa"/>
            <w:vAlign w:val="bottom"/>
          </w:tcPr>
          <w:p>
            <w:pPr>
              <w:spacing w:after="0"/>
              <w:rPr>
                <w:sz w:val="24"/>
                <w:szCs w:val="24"/>
                <w:color w:val="auto"/>
              </w:rPr>
            </w:pPr>
          </w:p>
        </w:tc>
      </w:tr>
      <w:tr>
        <w:trPr>
          <w:trHeight w:val="230"/>
        </w:trPr>
        <w:tc>
          <w:tcPr>
            <w:tcW w:w="246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88"/>
              </w:rPr>
              <w:t>Pursuant to Section 13 or 15(d) of</w:t>
            </w:r>
          </w:p>
        </w:tc>
        <w:tc>
          <w:tcPr>
            <w:tcW w:w="2240" w:type="dxa"/>
            <w:vAlign w:val="bottom"/>
          </w:tcPr>
          <w:p>
            <w:pPr>
              <w:spacing w:after="0"/>
              <w:rPr>
                <w:sz w:val="19"/>
                <w:szCs w:val="19"/>
                <w:color w:val="auto"/>
              </w:rPr>
            </w:pPr>
          </w:p>
        </w:tc>
      </w:tr>
      <w:tr>
        <w:trPr>
          <w:trHeight w:val="256"/>
        </w:trPr>
        <w:tc>
          <w:tcPr>
            <w:tcW w:w="2460" w:type="dxa"/>
            <w:vAlign w:val="bottom"/>
          </w:tcPr>
          <w:p>
            <w:pPr>
              <w:spacing w:after="0"/>
              <w:rPr>
                <w:sz w:val="22"/>
                <w:szCs w:val="22"/>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88"/>
              </w:rPr>
              <w:t>The Securities Exchange Act of 1934</w:t>
            </w:r>
          </w:p>
        </w:tc>
        <w:tc>
          <w:tcPr>
            <w:tcW w:w="2240" w:type="dxa"/>
            <w:vAlign w:val="bottom"/>
          </w:tcPr>
          <w:p>
            <w:pPr>
              <w:spacing w:after="0"/>
              <w:rPr>
                <w:sz w:val="22"/>
                <w:szCs w:val="22"/>
                <w:color w:val="auto"/>
              </w:rPr>
            </w:pPr>
          </w:p>
        </w:tc>
      </w:tr>
      <w:tr>
        <w:trPr>
          <w:trHeight w:val="446"/>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90"/>
              </w:rPr>
              <w:t>Date of Report (Date of Earliest Event Reported):</w:t>
            </w:r>
          </w:p>
        </w:tc>
        <w:tc>
          <w:tcPr>
            <w:tcW w:w="2240" w:type="dxa"/>
            <w:vAlign w:val="bottom"/>
          </w:tcPr>
          <w:p>
            <w:pPr>
              <w:spacing w:after="0"/>
              <w:rPr>
                <w:sz w:val="24"/>
                <w:szCs w:val="24"/>
                <w:color w:val="auto"/>
              </w:rPr>
            </w:pPr>
          </w:p>
        </w:tc>
      </w:tr>
      <w:tr>
        <w:trPr>
          <w:trHeight w:val="256"/>
        </w:trPr>
        <w:tc>
          <w:tcPr>
            <w:tcW w:w="2460" w:type="dxa"/>
            <w:vAlign w:val="bottom"/>
          </w:tcPr>
          <w:p>
            <w:pPr>
              <w:spacing w:after="0"/>
              <w:rPr>
                <w:sz w:val="22"/>
                <w:szCs w:val="22"/>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91"/>
              </w:rPr>
              <w:t>May 29, 2008</w:t>
            </w:r>
          </w:p>
        </w:tc>
        <w:tc>
          <w:tcPr>
            <w:tcW w:w="2240" w:type="dxa"/>
            <w:vAlign w:val="bottom"/>
          </w:tcPr>
          <w:p>
            <w:pPr>
              <w:spacing w:after="0"/>
              <w:rPr>
                <w:sz w:val="22"/>
                <w:szCs w:val="22"/>
                <w:color w:val="auto"/>
              </w:rPr>
            </w:pPr>
          </w:p>
        </w:tc>
      </w:tr>
      <w:tr>
        <w:trPr>
          <w:trHeight w:val="452"/>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90"/>
              </w:rPr>
              <w:t>Wynn Resorts, Limited</w:t>
            </w:r>
          </w:p>
        </w:tc>
        <w:tc>
          <w:tcPr>
            <w:tcW w:w="2240" w:type="dxa"/>
            <w:vAlign w:val="bottom"/>
          </w:tcPr>
          <w:p>
            <w:pPr>
              <w:spacing w:after="0"/>
              <w:rPr>
                <w:sz w:val="24"/>
                <w:szCs w:val="24"/>
                <w:color w:val="auto"/>
              </w:rPr>
            </w:pPr>
          </w:p>
        </w:tc>
      </w:tr>
      <w:tr>
        <w:trPr>
          <w:trHeight w:val="250"/>
        </w:trPr>
        <w:tc>
          <w:tcPr>
            <w:tcW w:w="246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89"/>
              </w:rPr>
              <w:t>(Exact Name of Registrant as specified in Charter)</w:t>
            </w:r>
          </w:p>
        </w:tc>
        <w:tc>
          <w:tcPr>
            <w:tcW w:w="2240" w:type="dxa"/>
            <w:vAlign w:val="bottom"/>
          </w:tcPr>
          <w:p>
            <w:pPr>
              <w:spacing w:after="0"/>
              <w:rPr>
                <w:sz w:val="21"/>
                <w:szCs w:val="21"/>
                <w:color w:val="auto"/>
              </w:rPr>
            </w:pPr>
          </w:p>
        </w:tc>
      </w:tr>
      <w:tr>
        <w:trPr>
          <w:trHeight w:val="452"/>
        </w:trPr>
        <w:tc>
          <w:tcPr>
            <w:tcW w:w="2460" w:type="dxa"/>
            <w:vAlign w:val="bottom"/>
          </w:tcPr>
          <w:p>
            <w:pPr>
              <w:jc w:val="center"/>
              <w:ind w:right="241"/>
              <w:spacing w:after="0"/>
              <w:rPr>
                <w:sz w:val="20"/>
                <w:szCs w:val="20"/>
                <w:color w:val="auto"/>
              </w:rPr>
            </w:pPr>
            <w:r>
              <w:rPr>
                <w:rFonts w:ascii="Arial" w:cs="Arial" w:eastAsia="Arial" w:hAnsi="Arial"/>
                <w:sz w:val="20"/>
                <w:szCs w:val="20"/>
                <w:b w:val="1"/>
                <w:bCs w:val="1"/>
                <w:color w:val="auto"/>
                <w:w w:val="89"/>
              </w:rPr>
              <w:t>Nevada</w:t>
            </w: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240" w:type="dxa"/>
            <w:vAlign w:val="bottom"/>
          </w:tcPr>
          <w:p>
            <w:pPr>
              <w:jc w:val="center"/>
              <w:ind w:left="30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460" w:type="dxa"/>
            <w:vAlign w:val="bottom"/>
          </w:tcPr>
          <w:p>
            <w:pPr>
              <w:jc w:val="center"/>
              <w:ind w:right="221"/>
              <w:spacing w:after="0"/>
              <w:rPr>
                <w:sz w:val="20"/>
                <w:szCs w:val="20"/>
                <w:color w:val="auto"/>
              </w:rPr>
            </w:pPr>
            <w:r>
              <w:rPr>
                <w:rFonts w:ascii="Arial" w:cs="Arial" w:eastAsia="Arial" w:hAnsi="Arial"/>
                <w:sz w:val="20"/>
                <w:szCs w:val="20"/>
                <w:color w:val="auto"/>
                <w:w w:val="89"/>
              </w:rPr>
              <w:t>(State or Other Jurisdiction</w:t>
            </w:r>
          </w:p>
        </w:tc>
        <w:tc>
          <w:tcPr>
            <w:tcW w:w="4900" w:type="dxa"/>
            <w:vAlign w:val="bottom"/>
          </w:tcPr>
          <w:p>
            <w:pPr>
              <w:jc w:val="center"/>
              <w:spacing w:after="0"/>
              <w:rPr>
                <w:sz w:val="20"/>
                <w:szCs w:val="20"/>
                <w:color w:val="auto"/>
              </w:rPr>
            </w:pPr>
            <w:r>
              <w:rPr>
                <w:rFonts w:ascii="Arial" w:cs="Arial" w:eastAsia="Arial" w:hAnsi="Arial"/>
                <w:sz w:val="20"/>
                <w:szCs w:val="20"/>
                <w:color w:val="auto"/>
                <w:w w:val="91"/>
              </w:rPr>
              <w:t>(Commission File</w:t>
            </w:r>
          </w:p>
        </w:tc>
        <w:tc>
          <w:tcPr>
            <w:tcW w:w="2240" w:type="dxa"/>
            <w:vAlign w:val="bottom"/>
          </w:tcPr>
          <w:p>
            <w:pPr>
              <w:jc w:val="center"/>
              <w:ind w:left="301"/>
              <w:spacing w:after="0"/>
              <w:rPr>
                <w:sz w:val="20"/>
                <w:szCs w:val="20"/>
                <w:color w:val="auto"/>
              </w:rPr>
            </w:pPr>
            <w:r>
              <w:rPr>
                <w:rFonts w:ascii="Arial" w:cs="Arial" w:eastAsia="Arial" w:hAnsi="Arial"/>
                <w:sz w:val="20"/>
                <w:szCs w:val="20"/>
                <w:color w:val="auto"/>
                <w:w w:val="92"/>
              </w:rPr>
              <w:t>(I.R.S. Employer</w:t>
            </w:r>
          </w:p>
        </w:tc>
      </w:tr>
      <w:tr>
        <w:trPr>
          <w:trHeight w:val="250"/>
        </w:trPr>
        <w:tc>
          <w:tcPr>
            <w:tcW w:w="2460" w:type="dxa"/>
            <w:vAlign w:val="bottom"/>
          </w:tcPr>
          <w:p>
            <w:pPr>
              <w:jc w:val="center"/>
              <w:ind w:right="241"/>
              <w:spacing w:after="0"/>
              <w:rPr>
                <w:sz w:val="20"/>
                <w:szCs w:val="20"/>
                <w:color w:val="auto"/>
              </w:rPr>
            </w:pPr>
            <w:r>
              <w:rPr>
                <w:rFonts w:ascii="Arial" w:cs="Arial" w:eastAsia="Arial" w:hAnsi="Arial"/>
                <w:sz w:val="20"/>
                <w:szCs w:val="20"/>
                <w:color w:val="auto"/>
                <w:w w:val="93"/>
              </w:rPr>
              <w:t>of Incorporation)</w:t>
            </w:r>
          </w:p>
        </w:tc>
        <w:tc>
          <w:tcPr>
            <w:tcW w:w="490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240" w:type="dxa"/>
            <w:vAlign w:val="bottom"/>
          </w:tcPr>
          <w:p>
            <w:pPr>
              <w:jc w:val="center"/>
              <w:ind w:left="301"/>
              <w:spacing w:after="0"/>
              <w:rPr>
                <w:sz w:val="20"/>
                <w:szCs w:val="20"/>
                <w:color w:val="auto"/>
              </w:rPr>
            </w:pPr>
            <w:r>
              <w:rPr>
                <w:rFonts w:ascii="Arial" w:cs="Arial" w:eastAsia="Arial" w:hAnsi="Arial"/>
                <w:sz w:val="20"/>
                <w:szCs w:val="20"/>
                <w:color w:val="auto"/>
                <w:w w:val="94"/>
              </w:rPr>
              <w:t>Identification Number)</w:t>
            </w:r>
          </w:p>
        </w:tc>
      </w:tr>
      <w:tr>
        <w:trPr>
          <w:trHeight w:val="446"/>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87"/>
              </w:rPr>
              <w:t>3131 Las Vegas Boulevard South</w:t>
            </w:r>
          </w:p>
        </w:tc>
        <w:tc>
          <w:tcPr>
            <w:tcW w:w="2240" w:type="dxa"/>
            <w:vAlign w:val="bottom"/>
          </w:tcPr>
          <w:p>
            <w:pPr>
              <w:spacing w:after="0"/>
              <w:rPr>
                <w:sz w:val="24"/>
                <w:szCs w:val="24"/>
                <w:color w:val="auto"/>
              </w:rPr>
            </w:pPr>
          </w:p>
        </w:tc>
      </w:tr>
      <w:tr>
        <w:trPr>
          <w:trHeight w:val="236"/>
        </w:trPr>
        <w:tc>
          <w:tcPr>
            <w:tcW w:w="24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87"/>
              </w:rPr>
              <w:t>Las Vegas, Nevada 89109</w:t>
            </w:r>
          </w:p>
        </w:tc>
        <w:tc>
          <w:tcPr>
            <w:tcW w:w="2240" w:type="dxa"/>
            <w:vAlign w:val="bottom"/>
          </w:tcPr>
          <w:p>
            <w:pPr>
              <w:spacing w:after="0"/>
              <w:rPr>
                <w:sz w:val="20"/>
                <w:szCs w:val="20"/>
                <w:color w:val="auto"/>
              </w:rPr>
            </w:pPr>
          </w:p>
        </w:tc>
      </w:tr>
      <w:tr>
        <w:trPr>
          <w:trHeight w:val="250"/>
        </w:trPr>
        <w:tc>
          <w:tcPr>
            <w:tcW w:w="246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91"/>
              </w:rPr>
              <w:t>(Address of principal executive offices) (Zip Code)</w:t>
            </w:r>
          </w:p>
        </w:tc>
        <w:tc>
          <w:tcPr>
            <w:tcW w:w="2240" w:type="dxa"/>
            <w:vAlign w:val="bottom"/>
          </w:tcPr>
          <w:p>
            <w:pPr>
              <w:spacing w:after="0"/>
              <w:rPr>
                <w:sz w:val="21"/>
                <w:szCs w:val="21"/>
                <w:color w:val="auto"/>
              </w:rPr>
            </w:pPr>
          </w:p>
        </w:tc>
      </w:tr>
      <w:tr>
        <w:trPr>
          <w:trHeight w:val="452"/>
        </w:trPr>
        <w:tc>
          <w:tcPr>
            <w:tcW w:w="2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0"/>
                <w:szCs w:val="20"/>
                <w:b w:val="1"/>
                <w:bCs w:val="1"/>
                <w:color w:val="auto"/>
                <w:w w:val="90"/>
              </w:rPr>
              <w:t>(702) 770-7555</w:t>
            </w:r>
          </w:p>
        </w:tc>
        <w:tc>
          <w:tcPr>
            <w:tcW w:w="2240" w:type="dxa"/>
            <w:vAlign w:val="bottom"/>
          </w:tcPr>
          <w:p>
            <w:pPr>
              <w:spacing w:after="0"/>
              <w:rPr>
                <w:sz w:val="24"/>
                <w:szCs w:val="24"/>
                <w:color w:val="auto"/>
              </w:rPr>
            </w:pPr>
          </w:p>
        </w:tc>
      </w:tr>
      <w:tr>
        <w:trPr>
          <w:trHeight w:val="250"/>
        </w:trPr>
        <w:tc>
          <w:tcPr>
            <w:tcW w:w="246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Arial" w:cs="Arial" w:eastAsia="Arial" w:hAnsi="Arial"/>
                <w:sz w:val="20"/>
                <w:szCs w:val="20"/>
                <w:color w:val="auto"/>
                <w:w w:val="88"/>
              </w:rPr>
              <w:t>(Registrant’s telephone number, including area code)</w:t>
            </w:r>
          </w:p>
        </w:tc>
        <w:tc>
          <w:tcPr>
            <w:tcW w:w="2240" w:type="dxa"/>
            <w:vAlign w:val="bottom"/>
          </w:tcPr>
          <w:p>
            <w:pPr>
              <w:spacing w:after="0"/>
              <w:rPr>
                <w:sz w:val="21"/>
                <w:szCs w:val="21"/>
                <w:color w:val="auto"/>
              </w:rPr>
            </w:pPr>
          </w:p>
        </w:tc>
      </w:tr>
    </w:tbl>
    <w:p>
      <w:pPr>
        <w:spacing w:after="0" w:line="2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42" w:lineRule="exact"/>
        <w:rPr>
          <w:rFonts w:ascii="Arial" w:cs="Arial" w:eastAsia="Arial" w:hAnsi="Arial"/>
          <w:sz w:val="20"/>
          <w:szCs w:val="20"/>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Arial" w:cs="Arial" w:eastAsia="Arial" w:hAnsi="Arial"/>
          <w:sz w:val="20"/>
          <w:szCs w:val="20"/>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CFR240.14d-2(b))</w:t>
      </w:r>
    </w:p>
    <w:p>
      <w:pPr>
        <w:spacing w:after="0" w:line="242" w:lineRule="exact"/>
        <w:rPr>
          <w:rFonts w:ascii="Arial" w:cs="Arial" w:eastAsia="Arial" w:hAnsi="Arial"/>
          <w:sz w:val="20"/>
          <w:szCs w:val="20"/>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702945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73" w:right="339" w:bottom="1440" w:gutter="0" w:footer="0" w:header="0"/>
        </w:sectPr>
      </w:pPr>
    </w:p>
    <w:bookmarkStart w:id="1" w:name="page2"/>
    <w:bookmarkEnd w:id="1"/>
    <w:p>
      <w:pPr>
        <w:ind w:right="12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 of Certain Officers.</w:t>
      </w:r>
    </w:p>
    <w:p>
      <w:pPr>
        <w:spacing w:after="0" w:line="196" w:lineRule="exact"/>
        <w:rPr>
          <w:sz w:val="20"/>
          <w:szCs w:val="20"/>
          <w:color w:val="auto"/>
        </w:rPr>
      </w:pPr>
    </w:p>
    <w:p>
      <w:pPr>
        <w:ind w:right="200" w:firstLine="720"/>
        <w:spacing w:after="0" w:line="251" w:lineRule="auto"/>
        <w:rPr>
          <w:sz w:val="20"/>
          <w:szCs w:val="20"/>
          <w:color w:val="auto"/>
        </w:rPr>
      </w:pPr>
      <w:r>
        <w:rPr>
          <w:rFonts w:ascii="Arial" w:cs="Arial" w:eastAsia="Arial" w:hAnsi="Arial"/>
          <w:sz w:val="22"/>
          <w:szCs w:val="22"/>
          <w:color w:val="auto"/>
        </w:rPr>
        <w:t>On May 29, 2008, Wynn Resorts, Limited (the “Company”) appointed Russell Goldsmith as a member of the Company’s Board of Directors. Mr. Goldsmith is the seventh independent member of the Board.</w:t>
      </w:r>
    </w:p>
    <w:p>
      <w:pPr>
        <w:spacing w:after="0" w:line="200" w:lineRule="exact"/>
        <w:rPr>
          <w:sz w:val="20"/>
          <w:szCs w:val="20"/>
          <w:color w:val="auto"/>
        </w:rPr>
      </w:pPr>
    </w:p>
    <w:p>
      <w:pPr>
        <w:ind w:right="100" w:firstLine="720"/>
        <w:spacing w:after="0" w:line="274" w:lineRule="auto"/>
        <w:rPr>
          <w:sz w:val="20"/>
          <w:szCs w:val="20"/>
          <w:color w:val="auto"/>
        </w:rPr>
      </w:pPr>
      <w:r>
        <w:rPr>
          <w:rFonts w:ascii="Arial" w:cs="Arial" w:eastAsia="Arial" w:hAnsi="Arial"/>
          <w:sz w:val="19"/>
          <w:szCs w:val="19"/>
          <w:color w:val="auto"/>
        </w:rPr>
        <w:t>Mr. Goldsmith is Chairman and Chief Executive Officer of City National Bank and serves as President and Chief Executive Officer of its New York Stock Exchange parent, City National Corporation (CYN). In addition, he is a director of both the bank and its parent company. City National, a financial institution with nearly $16 billion in assets, has 62 banking offices, including 15 full-service regional centers in Southern California, the San Francisco Bay Area, Nevada and New York City. In addition, the company and its eight majority-owned investment affiliates manage or administer almost $56 billion in client assets, including nearly $36 billion under direct management. Mr. Goldsmith serves on the Federal Reserve Board’s 12-member Federal Advisory Council, representing the Twelfth Federal Reserve District. He also chairs the Los Angeles Economy &amp; Jobs Committee and serves on the boards of directors of the Financial Services Roundtable and the Jewish Federation Council of Greater Los Angeles. He is a graduate of Harvard College and Harvard Law School.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hanging="852"/>
        <w:spacing w:after="0"/>
        <w:tabs>
          <w:tab w:leader="none" w:pos="8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Pr>
          <w:p>
            <w:pPr>
              <w:jc w:val="right"/>
              <w:ind w:right="752"/>
              <w:spacing w:after="0"/>
              <w:rPr>
                <w:sz w:val="20"/>
                <w:szCs w:val="20"/>
                <w:color w:val="auto"/>
              </w:rPr>
            </w:pPr>
            <w:r>
              <w:rPr>
                <w:rFonts w:ascii="Arial" w:cs="Arial" w:eastAsia="Arial" w:hAnsi="Arial"/>
                <w:sz w:val="22"/>
                <w:szCs w:val="22"/>
                <w:color w:val="auto"/>
              </w:rPr>
              <w:t>99.1</w:t>
            </w:r>
          </w:p>
        </w:tc>
        <w:tc>
          <w:tcPr>
            <w:tcW w:w="8460" w:type="dxa"/>
            <w:vAlign w:val="bottom"/>
          </w:tcPr>
          <w:p>
            <w:pPr>
              <w:ind w:left="880"/>
              <w:spacing w:after="0"/>
              <w:rPr>
                <w:sz w:val="20"/>
                <w:szCs w:val="20"/>
                <w:color w:val="auto"/>
              </w:rPr>
            </w:pPr>
            <w:r>
              <w:rPr>
                <w:rFonts w:ascii="Arial" w:cs="Arial" w:eastAsia="Arial" w:hAnsi="Arial"/>
                <w:sz w:val="22"/>
                <w:szCs w:val="22"/>
                <w:color w:val="auto"/>
              </w:rPr>
              <w:t>Press Release, dated May 30, 2008, by</w:t>
            </w:r>
          </w:p>
        </w:tc>
      </w:tr>
      <w:tr>
        <w:trPr>
          <w:trHeight w:val="275"/>
        </w:trPr>
        <w:tc>
          <w:tcPr>
            <w:tcW w:w="2960" w:type="dxa"/>
            <w:vAlign w:val="bottom"/>
          </w:tcPr>
          <w:p>
            <w:pPr>
              <w:spacing w:after="0"/>
              <w:rPr>
                <w:sz w:val="23"/>
                <w:szCs w:val="23"/>
                <w:color w:val="auto"/>
              </w:rPr>
            </w:pPr>
          </w:p>
        </w:tc>
        <w:tc>
          <w:tcPr>
            <w:tcW w:w="8460" w:type="dxa"/>
            <w:vAlign w:val="bottom"/>
          </w:tcPr>
          <w:p>
            <w:pPr>
              <w:ind w:left="880"/>
              <w:spacing w:after="0"/>
              <w:rPr>
                <w:sz w:val="20"/>
                <w:szCs w:val="20"/>
                <w:color w:val="auto"/>
              </w:rPr>
            </w:pPr>
            <w:r>
              <w:rPr>
                <w:rFonts w:ascii="Arial" w:cs="Arial" w:eastAsia="Arial" w:hAnsi="Arial"/>
                <w:sz w:val="22"/>
                <w:szCs w:val="22"/>
                <w:color w:val="auto"/>
              </w:rPr>
              <w:t>Wynn Resorts, Limited.</w:t>
            </w:r>
          </w:p>
        </w:tc>
      </w:tr>
      <w:tr>
        <w:trPr>
          <w:trHeight w:val="1135"/>
        </w:trPr>
        <w:tc>
          <w:tcPr>
            <w:tcW w:w="296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May 30, 2008</w:t>
      </w:r>
    </w:p>
    <w:p>
      <w:pPr>
        <w:spacing w:after="0" w:line="200" w:lineRule="exact"/>
        <w:rPr>
          <w:sz w:val="20"/>
          <w:szCs w:val="20"/>
          <w:color w:val="auto"/>
        </w:rPr>
      </w:pPr>
    </w:p>
    <w:p>
      <w:pPr>
        <w:spacing w:after="0" w:line="27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WYNN RESORTS, LIMITED</w:t>
      </w:r>
    </w:p>
    <w:p>
      <w:pPr>
        <w:spacing w:after="0" w:line="193"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 Matt Maddox</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-157480</wp:posOffset>
            </wp:positionV>
            <wp:extent cx="2058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ind w:left="5660"/>
        <w:spacing w:after="0" w:line="234" w:lineRule="auto"/>
        <w:rPr>
          <w:sz w:val="20"/>
          <w:szCs w:val="20"/>
          <w:color w:val="auto"/>
        </w:rPr>
      </w:pPr>
      <w:r>
        <w:rPr>
          <w:rFonts w:ascii="Arial" w:cs="Arial" w:eastAsia="Arial" w:hAnsi="Arial"/>
          <w:sz w:val="22"/>
          <w:szCs w:val="22"/>
          <w:color w:val="auto"/>
        </w:rPr>
        <w:t>Chief Financial Officer and</w:t>
      </w:r>
    </w:p>
    <w:p>
      <w:pPr>
        <w:ind w:left="566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0820"/>
          </w:cols>
          <w:pgMar w:left="240" w:top="747"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Russell Goldsmith Joins the Board of Directors of Wynn Resorts, Limited</w:t>
      </w:r>
    </w:p>
    <w:p>
      <w:pPr>
        <w:spacing w:after="0" w:line="200" w:lineRule="exact"/>
        <w:rPr>
          <w:sz w:val="20"/>
          <w:szCs w:val="20"/>
          <w:color w:val="auto"/>
        </w:rPr>
      </w:pPr>
    </w:p>
    <w:p>
      <w:pPr>
        <w:spacing w:after="0" w:line="296" w:lineRule="exact"/>
        <w:rPr>
          <w:sz w:val="20"/>
          <w:szCs w:val="20"/>
          <w:color w:val="auto"/>
        </w:rPr>
      </w:pPr>
    </w:p>
    <w:p>
      <w:pPr>
        <w:ind w:right="700"/>
        <w:spacing w:after="0" w:line="232" w:lineRule="auto"/>
        <w:rPr>
          <w:sz w:val="20"/>
          <w:szCs w:val="20"/>
          <w:color w:val="auto"/>
        </w:rPr>
      </w:pPr>
      <w:r>
        <w:rPr>
          <w:rFonts w:ascii="Arial" w:cs="Arial" w:eastAsia="Arial" w:hAnsi="Arial"/>
          <w:sz w:val="20"/>
          <w:szCs w:val="20"/>
          <w:color w:val="auto"/>
        </w:rPr>
        <w:t>LAS VEGAS--(BUSINESS WIRE)—May 30, 2008--Wynn Resorts, Limited (Nasdaq: WYNN) announced today that it has appointed Russell Goldsmith as a member of the Company's Board of Directors. Mr. Goldsmith is the seventh independent member of the Board.</w:t>
      </w:r>
    </w:p>
    <w:p>
      <w:pPr>
        <w:spacing w:after="0" w:line="200" w:lineRule="exact"/>
        <w:rPr>
          <w:sz w:val="20"/>
          <w:szCs w:val="20"/>
          <w:color w:val="auto"/>
        </w:rPr>
      </w:pPr>
    </w:p>
    <w:p>
      <w:pPr>
        <w:spacing w:after="0" w:line="268"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Mr. Goldsmith is Chairman and Chief Executive Officer of City National Bank and serves as President and Chief Executive Officer of its New York Stock Exchange parent, City National Corporation (CYN). In addition, he is a director of both the bank and its parent company. City National, a financial institution with nearly $16 billion in assets, has 62 banking offices, including 15 full-service regional centers in Southern California, the San Francisco Bay Area, Nevada and New York City. In addition, the company and its eight majority-owned investment affiliates manage or administer almost $56 billion in client assets, including nearly $36 billion under direct management. Mr. Goldsmith serves on the Federal Reserve Board’s 12-member Federal Advisory Council, representing the Twelfth Federal Reserve District. He also chairs the Los Angeles Economy &amp; Jobs Committee and serves on the boards of directors of the Financial Services Roundtable and the Jewish Federation Council of Greater Los Angeles. He is a graduate of Harvard College and Harvard Law School.</w:t>
      </w:r>
    </w:p>
    <w:p>
      <w:pPr>
        <w:spacing w:after="0" w:line="200" w:lineRule="exact"/>
        <w:rPr>
          <w:sz w:val="20"/>
          <w:szCs w:val="20"/>
          <w:color w:val="auto"/>
        </w:rPr>
      </w:pPr>
    </w:p>
    <w:p>
      <w:pPr>
        <w:spacing w:after="0" w:line="273"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NASDAQ-100 Index. Wynn Resorts owns and operates Wynn Las Vegas (http://www.wynnlasvegas.com) and Wynn Macau (http://www.wynnmacau.com).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 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 Las Vegas</w:t>
      </w:r>
    </w:p>
    <w:p>
      <w:pPr>
        <w:spacing w:after="0" w:line="225" w:lineRule="auto"/>
        <w:rPr>
          <w:sz w:val="20"/>
          <w:szCs w:val="20"/>
          <w:color w:val="auto"/>
        </w:rPr>
      </w:pPr>
      <w:r>
        <w:rPr>
          <w:rFonts w:ascii="Arial" w:cs="Arial" w:eastAsia="Arial" w:hAnsi="Arial"/>
          <w:sz w:val="20"/>
          <w:szCs w:val="20"/>
          <w:color w:val="auto"/>
        </w:rPr>
        <w:t>Samanta Stewart, 702-770-7555</w:t>
      </w:r>
    </w:p>
    <w:p>
      <w:pPr>
        <w:spacing w:after="0" w:line="225" w:lineRule="auto"/>
        <w:rPr>
          <w:sz w:val="20"/>
          <w:szCs w:val="20"/>
          <w:color w:val="auto"/>
        </w:rPr>
      </w:pPr>
      <w:r>
        <w:rPr>
          <w:rFonts w:ascii="Arial" w:cs="Arial" w:eastAsia="Arial" w:hAnsi="Arial"/>
          <w:sz w:val="20"/>
          <w:szCs w:val="20"/>
          <w:color w:val="auto"/>
        </w:rPr>
        <w:t>investorrelations@wynnresorts.com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2019-12-11T15:51:24Z</dcterms:created>
  <dcterms:modified xsi:type="dcterms:W3CDTF">2019-12-11T15:51:24Z</dcterms:modified>
</cp:coreProperties>
</file>