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October 9, 2009</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its Charter)</w:t>
      </w: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31"/>
        </w:trPr>
        <w:tc>
          <w:tcPr>
            <w:tcW w:w="2300" w:type="dxa"/>
            <w:vAlign w:val="bottom"/>
          </w:tcPr>
          <w:p>
            <w:pPr>
              <w:jc w:val="center"/>
              <w:ind w:right="143"/>
              <w:spacing w:after="0"/>
              <w:rPr>
                <w:sz w:val="20"/>
                <w:szCs w:val="20"/>
                <w:color w:val="auto"/>
              </w:rPr>
            </w:pPr>
            <w:r>
              <w:rPr>
                <w:rFonts w:ascii="Arial" w:cs="Arial" w:eastAsia="Arial" w:hAnsi="Arial"/>
                <w:sz w:val="19"/>
                <w:szCs w:val="19"/>
                <w:b w:val="1"/>
                <w:bCs w:val="1"/>
                <w:color w:val="auto"/>
                <w:w w:val="91"/>
              </w:rPr>
              <w:t>Nevada</w:t>
            </w:r>
          </w:p>
        </w:tc>
        <w:tc>
          <w:tcPr>
            <w:tcW w:w="5420" w:type="dxa"/>
            <w:vAlign w:val="bottom"/>
          </w:tcPr>
          <w:p>
            <w:pPr>
              <w:jc w:val="center"/>
              <w:ind w:right="83"/>
              <w:spacing w:after="0"/>
              <w:rPr>
                <w:sz w:val="20"/>
                <w:szCs w:val="20"/>
                <w:color w:val="auto"/>
              </w:rPr>
            </w:pPr>
            <w:r>
              <w:rPr>
                <w:rFonts w:ascii="Arial" w:cs="Arial" w:eastAsia="Arial" w:hAnsi="Arial"/>
                <w:sz w:val="19"/>
                <w:szCs w:val="19"/>
                <w:b w:val="1"/>
                <w:bCs w:val="1"/>
                <w:color w:val="auto"/>
                <w:w w:val="92"/>
              </w:rPr>
              <w:t>000-50028</w:t>
            </w:r>
          </w:p>
        </w:tc>
        <w:tc>
          <w:tcPr>
            <w:tcW w:w="1820" w:type="dxa"/>
            <w:vAlign w:val="bottom"/>
          </w:tcPr>
          <w:p>
            <w:pPr>
              <w:jc w:val="center"/>
              <w:ind w:left="30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300" w:type="dxa"/>
            <w:vAlign w:val="bottom"/>
          </w:tcPr>
          <w:p>
            <w:pPr>
              <w:jc w:val="center"/>
              <w:ind w:right="143"/>
              <w:spacing w:after="0"/>
              <w:rPr>
                <w:sz w:val="20"/>
                <w:szCs w:val="20"/>
                <w:color w:val="auto"/>
              </w:rPr>
            </w:pPr>
            <w:r>
              <w:rPr>
                <w:rFonts w:ascii="Arial" w:cs="Arial" w:eastAsia="Arial" w:hAnsi="Arial"/>
                <w:sz w:val="19"/>
                <w:szCs w:val="19"/>
                <w:color w:val="auto"/>
                <w:w w:val="95"/>
              </w:rPr>
              <w:t>(State or other jurisdiction</w:t>
            </w:r>
          </w:p>
        </w:tc>
        <w:tc>
          <w:tcPr>
            <w:tcW w:w="5420" w:type="dxa"/>
            <w:vAlign w:val="bottom"/>
          </w:tcPr>
          <w:p>
            <w:pPr>
              <w:jc w:val="center"/>
              <w:ind w:right="83"/>
              <w:spacing w:after="0"/>
              <w:rPr>
                <w:sz w:val="20"/>
                <w:szCs w:val="20"/>
                <w:color w:val="auto"/>
              </w:rPr>
            </w:pPr>
            <w:r>
              <w:rPr>
                <w:rFonts w:ascii="Arial" w:cs="Arial" w:eastAsia="Arial" w:hAnsi="Arial"/>
                <w:sz w:val="19"/>
                <w:szCs w:val="19"/>
                <w:color w:val="auto"/>
                <w:w w:val="95"/>
              </w:rPr>
              <w:t>(Commission File</w:t>
            </w:r>
          </w:p>
        </w:tc>
        <w:tc>
          <w:tcPr>
            <w:tcW w:w="1820" w:type="dxa"/>
            <w:vAlign w:val="bottom"/>
          </w:tcPr>
          <w:p>
            <w:pPr>
              <w:jc w:val="center"/>
              <w:ind w:left="283"/>
              <w:spacing w:after="0"/>
              <w:rPr>
                <w:sz w:val="20"/>
                <w:szCs w:val="20"/>
                <w:color w:val="auto"/>
              </w:rPr>
            </w:pPr>
            <w:r>
              <w:rPr>
                <w:rFonts w:ascii="Arial" w:cs="Arial" w:eastAsia="Arial" w:hAnsi="Arial"/>
                <w:sz w:val="19"/>
                <w:szCs w:val="19"/>
                <w:color w:val="auto"/>
                <w:w w:val="94"/>
              </w:rPr>
              <w:t>(I.R.S. Employer</w:t>
            </w:r>
          </w:p>
        </w:tc>
      </w:tr>
      <w:tr>
        <w:trPr>
          <w:trHeight w:val="247"/>
        </w:trPr>
        <w:tc>
          <w:tcPr>
            <w:tcW w:w="2300" w:type="dxa"/>
            <w:vAlign w:val="bottom"/>
          </w:tcPr>
          <w:p>
            <w:pPr>
              <w:jc w:val="center"/>
              <w:ind w:right="143"/>
              <w:spacing w:after="0"/>
              <w:rPr>
                <w:sz w:val="20"/>
                <w:szCs w:val="20"/>
                <w:color w:val="auto"/>
              </w:rPr>
            </w:pPr>
            <w:r>
              <w:rPr>
                <w:rFonts w:ascii="Arial" w:cs="Arial" w:eastAsia="Arial" w:hAnsi="Arial"/>
                <w:sz w:val="19"/>
                <w:szCs w:val="19"/>
                <w:color w:val="auto"/>
                <w:w w:val="97"/>
              </w:rPr>
              <w:t>of incorporation)</w:t>
            </w:r>
          </w:p>
        </w:tc>
        <w:tc>
          <w:tcPr>
            <w:tcW w:w="5420" w:type="dxa"/>
            <w:vAlign w:val="bottom"/>
          </w:tcPr>
          <w:p>
            <w:pPr>
              <w:jc w:val="center"/>
              <w:ind w:right="63"/>
              <w:spacing w:after="0"/>
              <w:rPr>
                <w:sz w:val="20"/>
                <w:szCs w:val="20"/>
                <w:color w:val="auto"/>
              </w:rPr>
            </w:pPr>
            <w:r>
              <w:rPr>
                <w:rFonts w:ascii="Arial" w:cs="Arial" w:eastAsia="Arial" w:hAnsi="Arial"/>
                <w:sz w:val="19"/>
                <w:szCs w:val="19"/>
                <w:color w:val="auto"/>
                <w:w w:val="94"/>
              </w:rPr>
              <w:t>Number)</w:t>
            </w:r>
          </w:p>
        </w:tc>
        <w:tc>
          <w:tcPr>
            <w:tcW w:w="1820" w:type="dxa"/>
            <w:vAlign w:val="bottom"/>
          </w:tcPr>
          <w:p>
            <w:pPr>
              <w:jc w:val="center"/>
              <w:ind w:left="283"/>
              <w:spacing w:after="0"/>
              <w:rPr>
                <w:sz w:val="20"/>
                <w:szCs w:val="20"/>
                <w:color w:val="auto"/>
              </w:rPr>
            </w:pPr>
            <w:r>
              <w:rPr>
                <w:rFonts w:ascii="Arial" w:cs="Arial" w:eastAsia="Arial" w:hAnsi="Arial"/>
                <w:sz w:val="19"/>
                <w:szCs w:val="19"/>
                <w:color w:val="auto"/>
                <w:w w:val="97"/>
              </w:rPr>
              <w:t>Identification No.)</w:t>
            </w:r>
          </w:p>
        </w:tc>
      </w:tr>
      <w:tr>
        <w:trPr>
          <w:trHeight w:val="675"/>
        </w:trPr>
        <w:tc>
          <w:tcPr>
            <w:tcW w:w="2300" w:type="dxa"/>
            <w:vAlign w:val="bottom"/>
          </w:tcPr>
          <w:p>
            <w:pPr>
              <w:spacing w:after="0"/>
              <w:rPr>
                <w:sz w:val="24"/>
                <w:szCs w:val="24"/>
                <w:color w:val="auto"/>
              </w:rPr>
            </w:pPr>
          </w:p>
        </w:tc>
        <w:tc>
          <w:tcPr>
            <w:tcW w:w="5420" w:type="dxa"/>
            <w:vAlign w:val="bottom"/>
          </w:tcPr>
          <w:p>
            <w:pPr>
              <w:jc w:val="center"/>
              <w:ind w:right="43"/>
              <w:spacing w:after="0"/>
              <w:rPr>
                <w:sz w:val="20"/>
                <w:szCs w:val="20"/>
                <w:color w:val="auto"/>
              </w:rPr>
            </w:pPr>
            <w:r>
              <w:rPr>
                <w:rFonts w:ascii="Arial" w:cs="Arial" w:eastAsia="Arial" w:hAnsi="Arial"/>
                <w:sz w:val="19"/>
                <w:szCs w:val="19"/>
                <w:b w:val="1"/>
                <w:bCs w:val="1"/>
                <w:color w:val="auto"/>
                <w:w w:val="91"/>
              </w:rPr>
              <w:t>3131 Las Vegas Boulevard South</w:t>
            </w:r>
          </w:p>
        </w:tc>
        <w:tc>
          <w:tcPr>
            <w:tcW w:w="1820" w:type="dxa"/>
            <w:vAlign w:val="bottom"/>
          </w:tcPr>
          <w:p>
            <w:pPr>
              <w:spacing w:after="0"/>
              <w:rPr>
                <w:sz w:val="24"/>
                <w:szCs w:val="24"/>
                <w:color w:val="auto"/>
              </w:rPr>
            </w:pPr>
          </w:p>
        </w:tc>
      </w:tr>
      <w:tr>
        <w:trPr>
          <w:trHeight w:val="231"/>
        </w:trPr>
        <w:tc>
          <w:tcPr>
            <w:tcW w:w="2300" w:type="dxa"/>
            <w:vAlign w:val="bottom"/>
          </w:tcPr>
          <w:p>
            <w:pPr>
              <w:spacing w:after="0"/>
              <w:rPr>
                <w:sz w:val="20"/>
                <w:szCs w:val="20"/>
                <w:color w:val="auto"/>
              </w:rPr>
            </w:pPr>
          </w:p>
        </w:tc>
        <w:tc>
          <w:tcPr>
            <w:tcW w:w="5420" w:type="dxa"/>
            <w:vAlign w:val="bottom"/>
          </w:tcPr>
          <w:p>
            <w:pPr>
              <w:jc w:val="center"/>
              <w:ind w:right="43"/>
              <w:spacing w:after="0"/>
              <w:rPr>
                <w:sz w:val="20"/>
                <w:szCs w:val="20"/>
                <w:color w:val="auto"/>
              </w:rPr>
            </w:pPr>
            <w:r>
              <w:rPr>
                <w:rFonts w:ascii="Arial" w:cs="Arial" w:eastAsia="Arial" w:hAnsi="Arial"/>
                <w:sz w:val="19"/>
                <w:szCs w:val="19"/>
                <w:b w:val="1"/>
                <w:bCs w:val="1"/>
                <w:color w:val="auto"/>
                <w:w w:val="90"/>
              </w:rPr>
              <w:t>Las Vegas, Nevada 89109</w:t>
            </w:r>
          </w:p>
        </w:tc>
        <w:tc>
          <w:tcPr>
            <w:tcW w:w="1820" w:type="dxa"/>
            <w:vAlign w:val="bottom"/>
          </w:tcPr>
          <w:p>
            <w:pPr>
              <w:spacing w:after="0"/>
              <w:rPr>
                <w:sz w:val="20"/>
                <w:szCs w:val="20"/>
                <w:color w:val="auto"/>
              </w:rPr>
            </w:pPr>
          </w:p>
        </w:tc>
      </w:tr>
      <w:tr>
        <w:trPr>
          <w:trHeight w:val="247"/>
        </w:trPr>
        <w:tc>
          <w:tcPr>
            <w:tcW w:w="2300" w:type="dxa"/>
            <w:vAlign w:val="bottom"/>
          </w:tcPr>
          <w:p>
            <w:pPr>
              <w:spacing w:after="0"/>
              <w:rPr>
                <w:sz w:val="21"/>
                <w:szCs w:val="21"/>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color w:val="auto"/>
                <w:w w:val="94"/>
              </w:rPr>
              <w:t>(Address of principal executive offices) (Zip Code)</w:t>
            </w:r>
          </w:p>
        </w:tc>
        <w:tc>
          <w:tcPr>
            <w:tcW w:w="1820" w:type="dxa"/>
            <w:vAlign w:val="bottom"/>
          </w:tcPr>
          <w:p>
            <w:pPr>
              <w:spacing w:after="0"/>
              <w:rPr>
                <w:sz w:val="21"/>
                <w:szCs w:val="21"/>
                <w:color w:val="auto"/>
              </w:rPr>
            </w:pPr>
          </w:p>
        </w:tc>
      </w:tr>
      <w:tr>
        <w:trPr>
          <w:trHeight w:val="442"/>
        </w:trPr>
        <w:tc>
          <w:tcPr>
            <w:tcW w:w="2300" w:type="dxa"/>
            <w:vAlign w:val="bottom"/>
          </w:tcPr>
          <w:p>
            <w:pPr>
              <w:spacing w:after="0"/>
              <w:rPr>
                <w:sz w:val="24"/>
                <w:szCs w:val="24"/>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(702) 770-7555</w:t>
            </w:r>
          </w:p>
        </w:tc>
        <w:tc>
          <w:tcPr>
            <w:tcW w:w="1820" w:type="dxa"/>
            <w:vAlign w:val="bottom"/>
          </w:tcPr>
          <w:p>
            <w:pPr>
              <w:spacing w:after="0"/>
              <w:rPr>
                <w:sz w:val="24"/>
                <w:szCs w:val="24"/>
                <w:color w:val="auto"/>
              </w:rPr>
            </w:pPr>
          </w:p>
        </w:tc>
      </w:tr>
      <w:tr>
        <w:trPr>
          <w:trHeight w:val="247"/>
        </w:trPr>
        <w:tc>
          <w:tcPr>
            <w:tcW w:w="2300" w:type="dxa"/>
            <w:vAlign w:val="bottom"/>
          </w:tcPr>
          <w:p>
            <w:pPr>
              <w:spacing w:after="0"/>
              <w:rPr>
                <w:sz w:val="21"/>
                <w:szCs w:val="21"/>
                <w:color w:val="auto"/>
              </w:rPr>
            </w:pPr>
          </w:p>
        </w:tc>
        <w:tc>
          <w:tcPr>
            <w:tcW w:w="5420" w:type="dxa"/>
            <w:vAlign w:val="bottom"/>
          </w:tcPr>
          <w:p>
            <w:pPr>
              <w:jc w:val="center"/>
              <w:ind w:right="43"/>
              <w:spacing w:after="0"/>
              <w:rPr>
                <w:sz w:val="20"/>
                <w:szCs w:val="20"/>
                <w:color w:val="auto"/>
              </w:rPr>
            </w:pPr>
            <w:r>
              <w:rPr>
                <w:rFonts w:ascii="Arial" w:cs="Arial" w:eastAsia="Arial" w:hAnsi="Arial"/>
                <w:sz w:val="19"/>
                <w:szCs w:val="19"/>
                <w:color w:val="auto"/>
                <w:w w:val="92"/>
              </w:rPr>
              <w:t>(Registrant’s telephone number, including area code)</w:t>
            </w:r>
          </w:p>
        </w:tc>
        <w:tc>
          <w:tcPr>
            <w:tcW w:w="1820" w:type="dxa"/>
            <w:vAlign w:val="bottom"/>
          </w:tcPr>
          <w:p>
            <w:pPr>
              <w:spacing w:after="0"/>
              <w:rPr>
                <w:sz w:val="21"/>
                <w:szCs w:val="21"/>
                <w:color w:val="auto"/>
              </w:rPr>
            </w:pPr>
          </w:p>
        </w:tc>
      </w:tr>
      <w:tr>
        <w:trPr>
          <w:trHeight w:val="442"/>
        </w:trPr>
        <w:tc>
          <w:tcPr>
            <w:tcW w:w="2300" w:type="dxa"/>
            <w:vAlign w:val="bottom"/>
          </w:tcPr>
          <w:p>
            <w:pPr>
              <w:spacing w:after="0"/>
              <w:rPr>
                <w:sz w:val="24"/>
                <w:szCs w:val="24"/>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Not applicable.</w:t>
            </w:r>
          </w:p>
        </w:tc>
        <w:tc>
          <w:tcPr>
            <w:tcW w:w="1820" w:type="dxa"/>
            <w:vAlign w:val="bottom"/>
          </w:tcPr>
          <w:p>
            <w:pPr>
              <w:spacing w:after="0"/>
              <w:rPr>
                <w:sz w:val="24"/>
                <w:szCs w:val="24"/>
                <w:color w:val="auto"/>
              </w:rPr>
            </w:pPr>
          </w:p>
        </w:tc>
      </w:tr>
      <w:tr>
        <w:trPr>
          <w:trHeight w:val="247"/>
        </w:trPr>
        <w:tc>
          <w:tcPr>
            <w:tcW w:w="2300" w:type="dxa"/>
            <w:vAlign w:val="bottom"/>
          </w:tcPr>
          <w:p>
            <w:pPr>
              <w:spacing w:after="0"/>
              <w:rPr>
                <w:sz w:val="21"/>
                <w:szCs w:val="21"/>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1820" w:type="dxa"/>
            <w:vAlign w:val="bottom"/>
          </w:tcPr>
          <w:p>
            <w:pPr>
              <w:spacing w:after="0"/>
              <w:rPr>
                <w:sz w:val="21"/>
                <w:szCs w:val="21"/>
                <w:color w:val="auto"/>
              </w:rPr>
            </w:pPr>
          </w:p>
        </w:tc>
      </w:tr>
    </w:tbl>
    <w:p>
      <w:pPr>
        <w:spacing w:after="0" w:line="200" w:lineRule="exact"/>
        <w:rPr>
          <w:sz w:val="24"/>
          <w:szCs w:val="24"/>
          <w:color w:val="auto"/>
        </w:rPr>
      </w:pPr>
    </w:p>
    <w:p>
      <w:pPr>
        <w:spacing w:after="0" w:line="256"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1066"/>
        </w:trPr>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9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7.01 Regulation FD Disclosure.</w:t>
      </w:r>
    </w:p>
    <w:p>
      <w:pPr>
        <w:spacing w:after="0" w:line="242"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On October 9, 2009, Wynn Macau, Limited, a newly formed and indirect wholly owned subsidiary of Wynn Resorts, Limited and a developer, owner and operator of destination casino gaming and entertainment resort facilities focused exclusively on Macau, announced that the underwriters of its previously announced offering of 1,250,000,000 ordinary shares of Wynn Macau, Limited, nominal value HK$0.001 per Share (each, a “Share”), including an offer for subscription to the public in Hong Kong, have exercised in full the underwriters’ option to purchase an additional 187,500,000 Shares (the “Over-Allotment Shares”). The additional proceeds to be received by Wynn Macau, Limited upon issue and allotment of the Over-Allotment Shares are estimated to be approximately HK$1,890 million (US$244 million) which will be used by Wynn Macau, Limited for general corporate purposes, such as financing of business operations or development.</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21"/>
          <w:szCs w:val="21"/>
          <w:color w:val="auto"/>
        </w:rPr>
        <w:t>The information in this Item 7.01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658495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October 13, 2009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20"/>
        <w:spacing w:after="0"/>
        <w:rPr>
          <w:sz w:val="20"/>
          <w:szCs w:val="20"/>
          <w:color w:val="auto"/>
        </w:rPr>
      </w:pPr>
      <w:r>
        <w:rPr>
          <w:rFonts w:ascii="Arial" w:cs="Arial" w:eastAsia="Arial" w:hAnsi="Arial"/>
          <w:sz w:val="21"/>
          <w:szCs w:val="21"/>
          <w:color w:val="auto"/>
        </w:rPr>
        <w:t>WYNN RESORTS, LIMITED</w:t>
      </w:r>
    </w:p>
    <w:p>
      <w:pPr>
        <w:spacing w:after="0" w:line="200" w:lineRule="exact"/>
        <w:rPr>
          <w:sz w:val="20"/>
          <w:szCs w:val="20"/>
          <w:color w:val="auto"/>
        </w:rPr>
      </w:pPr>
    </w:p>
    <w:p>
      <w:pPr>
        <w:spacing w:after="0" w:line="221" w:lineRule="exact"/>
        <w:rPr>
          <w:sz w:val="20"/>
          <w:szCs w:val="20"/>
          <w:color w:val="auto"/>
        </w:rPr>
      </w:pPr>
    </w:p>
    <w:tbl>
      <w:tblPr>
        <w:tblLayout w:type="fixed"/>
        <w:tblInd w:w="6820" w:type="dxa"/>
        <w:tblCellMar>
          <w:top w:w="0" w:type="dxa"/>
          <w:left w:w="0" w:type="dxa"/>
          <w:bottom w:w="0" w:type="dxa"/>
          <w:right w:w="0" w:type="dxa"/>
        </w:tblCellMar>
      </w:tblPr>
      <w:tr>
        <w:trPr>
          <w:trHeight w:val="260"/>
        </w:trPr>
        <w:tc>
          <w:tcPr>
            <w:tcW w:w="780" w:type="dxa"/>
            <w:vAlign w:val="bottom"/>
          </w:tcPr>
          <w:p>
            <w:pPr>
              <w:spacing w:after="0"/>
              <w:rPr>
                <w:sz w:val="20"/>
                <w:szCs w:val="20"/>
                <w:color w:val="auto"/>
              </w:rPr>
            </w:pPr>
            <w:r>
              <w:rPr>
                <w:rFonts w:ascii="Arial" w:cs="Arial" w:eastAsia="Arial" w:hAnsi="Arial"/>
                <w:sz w:val="21"/>
                <w:szCs w:val="21"/>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Matt Maddox_</w:t>
            </w:r>
          </w:p>
        </w:tc>
      </w:tr>
      <w:tr>
        <w:trPr>
          <w:trHeight w:val="211"/>
        </w:trPr>
        <w:tc>
          <w:tcPr>
            <w:tcW w:w="780" w:type="dxa"/>
            <w:vAlign w:val="bottom"/>
          </w:tcPr>
          <w:p>
            <w:pPr>
              <w:spacing w:after="0"/>
              <w:rPr>
                <w:sz w:val="18"/>
                <w:szCs w:val="18"/>
                <w:color w:val="auto"/>
              </w:rPr>
            </w:pPr>
          </w:p>
        </w:tc>
        <w:tc>
          <w:tcPr>
            <w:tcW w:w="3820" w:type="dxa"/>
            <w:vAlign w:val="bottom"/>
          </w:tcPr>
          <w:p>
            <w:pPr>
              <w:spacing w:after="0" w:line="211" w:lineRule="exact"/>
              <w:rPr>
                <w:sz w:val="20"/>
                <w:szCs w:val="20"/>
                <w:color w:val="auto"/>
              </w:rPr>
            </w:pPr>
            <w:r>
              <w:rPr>
                <w:rFonts w:ascii="Arial" w:cs="Arial" w:eastAsia="Arial" w:hAnsi="Arial"/>
                <w:sz w:val="21"/>
                <w:szCs w:val="21"/>
                <w:color w:val="auto"/>
              </w:rPr>
              <w:t>Matt Maddox</w:t>
            </w:r>
          </w:p>
        </w:tc>
      </w:tr>
      <w:tr>
        <w:trPr>
          <w:trHeight w:val="239"/>
        </w:trPr>
        <w:tc>
          <w:tcPr>
            <w:tcW w:w="780" w:type="dxa"/>
            <w:vAlign w:val="bottom"/>
          </w:tcPr>
          <w:p>
            <w:pPr>
              <w:spacing w:after="0"/>
              <w:rPr>
                <w:sz w:val="20"/>
                <w:szCs w:val="20"/>
                <w:color w:val="auto"/>
              </w:rPr>
            </w:pPr>
          </w:p>
        </w:tc>
        <w:tc>
          <w:tcPr>
            <w:tcW w:w="3820" w:type="dxa"/>
            <w:vAlign w:val="bottom"/>
          </w:tcPr>
          <w:p>
            <w:pPr>
              <w:spacing w:after="0" w:line="239" w:lineRule="exact"/>
              <w:rPr>
                <w:sz w:val="20"/>
                <w:szCs w:val="20"/>
                <w:color w:val="auto"/>
              </w:rPr>
            </w:pPr>
            <w:r>
              <w:rPr>
                <w:rFonts w:ascii="Arial" w:cs="Arial" w:eastAsia="Arial" w:hAnsi="Arial"/>
                <w:sz w:val="21"/>
                <w:szCs w:val="21"/>
                <w:color w:val="auto"/>
              </w:rPr>
              <w:t>Chief Financial Officer and</w:t>
            </w:r>
          </w:p>
        </w:tc>
      </w:tr>
      <w:tr>
        <w:trPr>
          <w:trHeight w:val="271"/>
        </w:trPr>
        <w:tc>
          <w:tcPr>
            <w:tcW w:w="78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21"/>
                <w:szCs w:val="21"/>
                <w:color w:val="auto"/>
              </w:rPr>
              <w:t>Treasurer</w:t>
            </w:r>
          </w:p>
        </w:tc>
      </w:tr>
    </w:tbl>
    <w:p>
      <w:pPr>
        <w:spacing w:after="0" w:line="1" w:lineRule="exact"/>
        <w:rPr>
          <w:sz w:val="20"/>
          <w:szCs w:val="20"/>
          <w:color w:val="auto"/>
        </w:rPr>
      </w:pP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2019-12-10T21:31:40Z</dcterms:created>
  <dcterms:modified xsi:type="dcterms:W3CDTF">2019-12-10T21:31:40Z</dcterms:modified>
</cp:coreProperties>
</file>