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467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6735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MADDOX MATT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WYNN RESORTS, LIMITED</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WYNN RESORTS LTD</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WYNN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04/27/2017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6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6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6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40" w:type="dxa"/>
            <w:vAlign w:val="bottom"/>
          </w:tcPr>
          <w:p>
            <w:pPr>
              <w:spacing w:after="0"/>
              <w:rPr>
                <w:sz w:val="22"/>
                <w:szCs w:val="22"/>
                <w:color w:val="auto"/>
              </w:rPr>
            </w:pPr>
          </w:p>
        </w:tc>
        <w:tc>
          <w:tcPr>
            <w:tcW w:w="1620" w:type="dxa"/>
            <w:vAlign w:val="bottom"/>
          </w:tcPr>
          <w:p>
            <w:pPr>
              <w:ind w:left="880"/>
              <w:spacing w:after="0"/>
              <w:rPr>
                <w:sz w:val="20"/>
                <w:szCs w:val="20"/>
                <w:color w:val="auto"/>
              </w:rPr>
            </w:pPr>
            <w:r>
              <w:rPr>
                <w:rFonts w:ascii="Arial" w:cs="Arial" w:eastAsia="Arial" w:hAnsi="Arial"/>
                <w:sz w:val="17"/>
                <w:szCs w:val="17"/>
                <w:color w:val="0000FF"/>
              </w:rPr>
              <w:t>President</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81"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720" w:type="dxa"/>
            <w:vAlign w:val="bottom"/>
            <w:gridSpan w:val="6"/>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88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80" w:type="dxa"/>
            <w:vAlign w:val="bottom"/>
            <w:gridSpan w:val="10"/>
            <w:vMerge w:val="restart"/>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LAS VEGAS</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NV</w:t>
            </w:r>
          </w:p>
        </w:tc>
        <w:tc>
          <w:tcPr>
            <w:tcW w:w="580" w:type="dxa"/>
            <w:vAlign w:val="bottom"/>
            <w:vMerge w:val="restart"/>
          </w:tcPr>
          <w:p>
            <w:pPr>
              <w:ind w:left="60"/>
              <w:spacing w:after="0"/>
              <w:rPr>
                <w:sz w:val="20"/>
                <w:szCs w:val="20"/>
                <w:color w:val="auto"/>
              </w:rPr>
            </w:pPr>
            <w:r>
              <w:rPr>
                <w:rFonts w:ascii="Arial" w:cs="Arial" w:eastAsia="Arial" w:hAnsi="Arial"/>
                <w:sz w:val="17"/>
                <w:szCs w:val="17"/>
                <w:color w:val="0000FF"/>
              </w:rPr>
              <w:t>89109</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4"/>
          </w:tcPr>
          <w:p>
            <w:pPr>
              <w:spacing w:after="0"/>
              <w:rPr>
                <w:sz w:val="11"/>
                <w:szCs w:val="11"/>
                <w:color w:val="auto"/>
              </w:rPr>
            </w:pPr>
          </w:p>
        </w:tc>
        <w:tc>
          <w:tcPr>
            <w:tcW w:w="4380" w:type="dxa"/>
            <w:vAlign w:val="bottom"/>
            <w:tcBorders>
              <w:bottom w:val="single" w:sz="8" w:color="2C2C2C"/>
            </w:tcBorders>
            <w:gridSpan w:val="7"/>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4"/>
          </w:tcPr>
          <w:p>
            <w:pPr>
              <w:jc w:val="center"/>
              <w:ind w:left="73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5"/>
                <w:szCs w:val="15"/>
                <w:color w:val="auto"/>
              </w:rPr>
            </w:pP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180" w:type="dxa"/>
            <w:vAlign w:val="bottom"/>
            <w:gridSpan w:val="6"/>
          </w:tcPr>
          <w:p>
            <w:pPr>
              <w:ind w:left="60"/>
              <w:spacing w:after="0"/>
              <w:rPr>
                <w:sz w:val="20"/>
                <w:szCs w:val="20"/>
                <w:color w:val="auto"/>
              </w:rPr>
            </w:pPr>
            <w:r>
              <w:rPr>
                <w:rFonts w:ascii="Arial" w:cs="Arial" w:eastAsia="Arial" w:hAnsi="Arial"/>
                <w:sz w:val="17"/>
                <w:szCs w:val="17"/>
                <w:color w:val="0000FF"/>
                <w:w w:val="97"/>
              </w:rPr>
              <w:t>Common Stock, par value $0.01 per share</w:t>
            </w:r>
          </w:p>
        </w:tc>
        <w:tc>
          <w:tcPr>
            <w:tcW w:w="1200" w:type="dxa"/>
            <w:vAlign w:val="bottom"/>
            <w:gridSpan w:val="3"/>
          </w:tcPr>
          <w:p>
            <w:pPr>
              <w:jc w:val="right"/>
              <w:ind w:right="153"/>
              <w:spacing w:after="0"/>
              <w:rPr>
                <w:sz w:val="20"/>
                <w:szCs w:val="20"/>
                <w:color w:val="auto"/>
              </w:rPr>
            </w:pPr>
            <w:r>
              <w:rPr>
                <w:rFonts w:ascii="Arial" w:cs="Arial" w:eastAsia="Arial" w:hAnsi="Arial"/>
                <w:sz w:val="17"/>
                <w:szCs w:val="17"/>
                <w:color w:val="0000FF"/>
              </w:rPr>
              <w:t>04/27/2017</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99"/>
              <w:spacing w:after="0"/>
              <w:rPr>
                <w:sz w:val="20"/>
                <w:szCs w:val="20"/>
                <w:color w:val="auto"/>
              </w:rPr>
            </w:pPr>
            <w:r>
              <w:rPr>
                <w:rFonts w:ascii="Arial" w:cs="Arial" w:eastAsia="Arial" w:hAnsi="Arial"/>
                <w:sz w:val="13"/>
                <w:szCs w:val="13"/>
                <w:color w:val="0000FF"/>
              </w:rPr>
              <w:t>M</w:t>
            </w:r>
          </w:p>
        </w:tc>
        <w:tc>
          <w:tcPr>
            <w:tcW w:w="760" w:type="dxa"/>
            <w:vAlign w:val="bottom"/>
          </w:tcPr>
          <w:p>
            <w:pPr>
              <w:ind w:left="180"/>
              <w:spacing w:after="0"/>
              <w:rPr>
                <w:sz w:val="20"/>
                <w:szCs w:val="20"/>
                <w:color w:val="auto"/>
              </w:rPr>
            </w:pPr>
            <w:r>
              <w:rPr>
                <w:rFonts w:ascii="Arial" w:cs="Arial" w:eastAsia="Arial" w:hAnsi="Arial"/>
                <w:sz w:val="17"/>
                <w:szCs w:val="17"/>
                <w:color w:val="0000FF"/>
              </w:rPr>
              <w:t>60,000</w:t>
            </w:r>
          </w:p>
        </w:tc>
        <w:tc>
          <w:tcPr>
            <w:tcW w:w="600" w:type="dxa"/>
            <w:vAlign w:val="bottom"/>
          </w:tcPr>
          <w:p>
            <w:pPr>
              <w:ind w:left="26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47.12</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ind w:left="300"/>
              <w:spacing w:after="0"/>
              <w:rPr>
                <w:sz w:val="20"/>
                <w:szCs w:val="20"/>
                <w:color w:val="auto"/>
              </w:rPr>
            </w:pPr>
            <w:r>
              <w:rPr>
                <w:rFonts w:ascii="Arial" w:cs="Arial" w:eastAsia="Arial" w:hAnsi="Arial"/>
                <w:sz w:val="17"/>
                <w:szCs w:val="17"/>
                <w:color w:val="0000FF"/>
              </w:rPr>
              <w:t>354,895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180" w:type="dxa"/>
            <w:vAlign w:val="bottom"/>
            <w:tcBorders>
              <w:bottom w:val="single" w:sz="8" w:color="2C2C2C"/>
            </w:tcBorders>
            <w:gridSpan w:val="6"/>
          </w:tcPr>
          <w:p>
            <w:pPr>
              <w:spacing w:after="0"/>
              <w:rPr>
                <w:sz w:val="5"/>
                <w:szCs w:val="5"/>
                <w:color w:val="auto"/>
              </w:rPr>
            </w:pPr>
          </w:p>
        </w:tc>
        <w:tc>
          <w:tcPr>
            <w:tcW w:w="120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7"/>
              </w:rPr>
              <w:t>Common Stock, par value $0.01 per share</w:t>
            </w:r>
          </w:p>
        </w:tc>
        <w:tc>
          <w:tcPr>
            <w:tcW w:w="1200" w:type="dxa"/>
            <w:vAlign w:val="bottom"/>
            <w:tcBorders>
              <w:bottom w:val="single" w:sz="8" w:color="2C2C2C"/>
            </w:tcBorders>
            <w:gridSpan w:val="3"/>
          </w:tcPr>
          <w:p>
            <w:pPr>
              <w:jc w:val="right"/>
              <w:ind w:right="153"/>
              <w:spacing w:after="0"/>
              <w:rPr>
                <w:sz w:val="20"/>
                <w:szCs w:val="20"/>
                <w:color w:val="auto"/>
              </w:rPr>
            </w:pPr>
            <w:r>
              <w:rPr>
                <w:rFonts w:ascii="Arial" w:cs="Arial" w:eastAsia="Arial" w:hAnsi="Arial"/>
                <w:sz w:val="17"/>
                <w:szCs w:val="17"/>
                <w:color w:val="0000FF"/>
              </w:rPr>
              <w:t>04/27/2017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60,000</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124.25</w:t>
            </w:r>
            <w:r>
              <w:rPr>
                <w:rFonts w:ascii="Arial" w:cs="Arial" w:eastAsia="Arial" w:hAnsi="Arial"/>
                <w:sz w:val="22"/>
                <w:szCs w:val="22"/>
                <w:color w:val="008000"/>
                <w:w w:val="93"/>
                <w:vertAlign w:val="superscript"/>
              </w:rPr>
              <w:t>(1)</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294,895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9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160" w:type="dxa"/>
            <w:vAlign w:val="bottom"/>
            <w:gridSpan w:val="10"/>
          </w:tcPr>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restart"/>
          </w:tcPr>
          <w:p>
            <w:pPr>
              <w:ind w:left="14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Options</w:t>
            </w: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7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60,000</w:t>
            </w: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47.12</w:t>
            </w:r>
          </w:p>
        </w:tc>
        <w:tc>
          <w:tcPr>
            <w:tcW w:w="140" w:type="dxa"/>
            <w:vAlign w:val="bottom"/>
          </w:tcPr>
          <w:p>
            <w:pPr>
              <w:spacing w:after="0"/>
              <w:rPr>
                <w:sz w:val="5"/>
                <w:szCs w:val="5"/>
                <w:color w:val="auto"/>
              </w:rPr>
            </w:pPr>
          </w:p>
        </w:tc>
        <w:tc>
          <w:tcPr>
            <w:tcW w:w="1080" w:type="dxa"/>
            <w:vAlign w:val="bottom"/>
            <w:vMerge w:val="restart"/>
          </w:tcPr>
          <w:p>
            <w:pPr>
              <w:jc w:val="right"/>
              <w:ind w:right="133"/>
              <w:spacing w:after="0"/>
              <w:rPr>
                <w:sz w:val="20"/>
                <w:szCs w:val="20"/>
                <w:color w:val="auto"/>
              </w:rPr>
            </w:pPr>
            <w:r>
              <w:rPr>
                <w:rFonts w:ascii="Arial" w:cs="Arial" w:eastAsia="Arial" w:hAnsi="Arial"/>
                <w:sz w:val="13"/>
                <w:szCs w:val="13"/>
                <w:color w:val="0000FF"/>
              </w:rPr>
              <w:t>04/27/2017</w:t>
            </w: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vMerge w:val="restart"/>
          </w:tcPr>
          <w:p>
            <w:pPr>
              <w:jc w:val="right"/>
              <w:ind w:right="253"/>
              <w:spacing w:after="0"/>
              <w:rPr>
                <w:sz w:val="20"/>
                <w:szCs w:val="20"/>
                <w:color w:val="auto"/>
              </w:rPr>
            </w:pPr>
            <w:r>
              <w:rPr>
                <w:rFonts w:ascii="Arial" w:cs="Arial" w:eastAsia="Arial" w:hAnsi="Arial"/>
                <w:sz w:val="13"/>
                <w:szCs w:val="13"/>
                <w:color w:val="0000FF"/>
              </w:rPr>
              <w:t>M</w:t>
            </w:r>
          </w:p>
        </w:tc>
        <w:tc>
          <w:tcPr>
            <w:tcW w:w="240" w:type="dxa"/>
            <w:vAlign w:val="bottom"/>
          </w:tcPr>
          <w:p>
            <w:pPr>
              <w:spacing w:after="0"/>
              <w:rPr>
                <w:sz w:val="5"/>
                <w:szCs w:val="5"/>
                <w:color w:val="auto"/>
              </w:rPr>
            </w:pPr>
          </w:p>
        </w:tc>
        <w:tc>
          <w:tcPr>
            <w:tcW w:w="840" w:type="dxa"/>
            <w:vAlign w:val="bottom"/>
            <w:vMerge w:val="restart"/>
          </w:tcPr>
          <w:p>
            <w:pPr>
              <w:ind w:left="380"/>
              <w:spacing w:after="0"/>
              <w:rPr>
                <w:sz w:val="20"/>
                <w:szCs w:val="20"/>
                <w:color w:val="auto"/>
              </w:rPr>
            </w:pPr>
            <w:r>
              <w:rPr>
                <w:rFonts w:ascii="Arial" w:cs="Arial" w:eastAsia="Arial" w:hAnsi="Arial"/>
                <w:sz w:val="13"/>
                <w:szCs w:val="13"/>
                <w:color w:val="0000FF"/>
              </w:rPr>
              <w:t>60,000</w:t>
            </w:r>
          </w:p>
        </w:tc>
        <w:tc>
          <w:tcPr>
            <w:tcW w:w="800" w:type="dxa"/>
            <w:vAlign w:val="bottom"/>
            <w:vMerge w:val="continue"/>
          </w:tcPr>
          <w:p>
            <w:pPr>
              <w:spacing w:after="0"/>
              <w:rPr>
                <w:sz w:val="5"/>
                <w:szCs w:val="5"/>
                <w:color w:val="auto"/>
              </w:rPr>
            </w:pP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05/06/2019</w:t>
            </w:r>
          </w:p>
        </w:tc>
        <w:tc>
          <w:tcPr>
            <w:tcW w:w="600" w:type="dxa"/>
            <w:vAlign w:val="bottom"/>
            <w:vMerge w:val="restart"/>
          </w:tcPr>
          <w:p>
            <w:pPr>
              <w:ind w:left="60"/>
              <w:spacing w:after="0"/>
              <w:rPr>
                <w:sz w:val="20"/>
                <w:szCs w:val="20"/>
                <w:color w:val="auto"/>
              </w:rPr>
            </w:pPr>
            <w:r>
              <w:rPr>
                <w:rFonts w:ascii="Arial" w:cs="Arial" w:eastAsia="Arial" w:hAnsi="Arial"/>
                <w:sz w:val="13"/>
                <w:szCs w:val="13"/>
                <w:color w:val="0000FF"/>
                <w:w w:val="97"/>
              </w:rPr>
              <w:t>par value</w:t>
            </w: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90,000</w:t>
            </w:r>
          </w:p>
        </w:tc>
        <w:tc>
          <w:tcPr>
            <w:tcW w:w="280" w:type="dxa"/>
            <w:vAlign w:val="bottom"/>
          </w:tcPr>
          <w:p>
            <w:pPr>
              <w:spacing w:after="0"/>
              <w:rPr>
                <w:sz w:val="5"/>
                <w:szCs w:val="5"/>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gridSpan w:val="2"/>
          </w:tcPr>
          <w:p>
            <w:pPr>
              <w:ind w:left="60"/>
              <w:spacing w:after="0" w:line="92" w:lineRule="exact"/>
              <w:rPr>
                <w:sz w:val="20"/>
                <w:szCs w:val="20"/>
                <w:color w:val="auto"/>
              </w:rPr>
            </w:pPr>
            <w:r>
              <w:rPr>
                <w:rFonts w:ascii="Arial" w:cs="Arial" w:eastAsia="Arial" w:hAnsi="Arial"/>
                <w:sz w:val="10"/>
                <w:szCs w:val="10"/>
                <w:color w:val="0000FF"/>
              </w:rPr>
              <w:t>(right to</w:t>
            </w:r>
          </w:p>
        </w:tc>
        <w:tc>
          <w:tcPr>
            <w:tcW w:w="6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36"/>
        </w:trPr>
        <w:tc>
          <w:tcPr>
            <w:tcW w:w="3640" w:type="dxa"/>
            <w:vAlign w:val="bottom"/>
            <w:vMerge w:val="restart"/>
          </w:tcPr>
          <w:p>
            <w:pPr>
              <w:spacing w:after="0"/>
              <w:rPr>
                <w:sz w:val="20"/>
                <w:szCs w:val="20"/>
                <w:color w:val="auto"/>
              </w:rPr>
            </w:pPr>
            <w:r>
              <w:rPr>
                <w:rFonts w:ascii="Arial" w:cs="Arial" w:eastAsia="Arial" w:hAnsi="Arial"/>
                <w:sz w:val="13"/>
                <w:szCs w:val="13"/>
                <w:color w:val="0000FF"/>
              </w:rPr>
              <w:t>buy)</w:t>
            </w:r>
          </w:p>
        </w:tc>
        <w:tc>
          <w:tcPr>
            <w:tcW w:w="3900" w:type="dxa"/>
            <w:vAlign w:val="bottom"/>
          </w:tcPr>
          <w:p>
            <w:pPr>
              <w:jc w:val="center"/>
              <w:ind w:left="3313"/>
              <w:spacing w:after="0" w:line="136" w:lineRule="exact"/>
              <w:rPr>
                <w:sz w:val="20"/>
                <w:szCs w:val="20"/>
                <w:color w:val="auto"/>
              </w:rPr>
            </w:pPr>
            <w:r>
              <w:rPr>
                <w:rFonts w:ascii="Arial" w:cs="Arial" w:eastAsia="Arial" w:hAnsi="Arial"/>
                <w:sz w:val="13"/>
                <w:szCs w:val="13"/>
                <w:color w:val="0000FF"/>
                <w:w w:val="94"/>
              </w:rPr>
              <w:t>$0.01 per</w:t>
            </w:r>
          </w:p>
        </w:tc>
        <w:tc>
          <w:tcPr>
            <w:tcW w:w="0" w:type="dxa"/>
            <w:vAlign w:val="bottom"/>
          </w:tcPr>
          <w:p>
            <w:pPr>
              <w:spacing w:after="0"/>
              <w:rPr>
                <w:sz w:val="1"/>
                <w:szCs w:val="1"/>
                <w:color w:val="auto"/>
              </w:rPr>
            </w:pPr>
          </w:p>
        </w:tc>
      </w:tr>
      <w:tr>
        <w:trPr>
          <w:trHeight w:val="91"/>
        </w:trPr>
        <w:tc>
          <w:tcPr>
            <w:tcW w:w="3640" w:type="dxa"/>
            <w:vAlign w:val="bottom"/>
            <w:vMerge w:val="continue"/>
          </w:tcPr>
          <w:p>
            <w:pPr>
              <w:spacing w:after="0"/>
              <w:rPr>
                <w:sz w:val="7"/>
                <w:szCs w:val="7"/>
                <w:color w:val="auto"/>
              </w:rPr>
            </w:pPr>
          </w:p>
        </w:tc>
        <w:tc>
          <w:tcPr>
            <w:tcW w:w="3900" w:type="dxa"/>
            <w:vAlign w:val="bottom"/>
            <w:vMerge w:val="restart"/>
          </w:tcPr>
          <w:p>
            <w:pPr>
              <w:jc w:val="center"/>
              <w:ind w:left="3313"/>
              <w:spacing w:after="0"/>
              <w:rPr>
                <w:sz w:val="20"/>
                <w:szCs w:val="20"/>
                <w:color w:val="auto"/>
              </w:rPr>
            </w:pPr>
            <w:r>
              <w:rPr>
                <w:rFonts w:ascii="Arial" w:cs="Arial" w:eastAsia="Arial" w:hAnsi="Arial"/>
                <w:sz w:val="13"/>
                <w:szCs w:val="13"/>
                <w:color w:val="0000FF"/>
                <w:w w:val="85"/>
              </w:rPr>
              <w:t>share</w:t>
            </w:r>
          </w:p>
        </w:tc>
        <w:tc>
          <w:tcPr>
            <w:tcW w:w="0" w:type="dxa"/>
            <w:vAlign w:val="bottom"/>
          </w:tcPr>
          <w:p>
            <w:pPr>
              <w:spacing w:after="0"/>
              <w:rPr>
                <w:sz w:val="1"/>
                <w:szCs w:val="1"/>
                <w:color w:val="auto"/>
              </w:rPr>
            </w:pPr>
          </w:p>
        </w:tc>
      </w:tr>
      <w:tr>
        <w:trPr>
          <w:trHeight w:val="80"/>
        </w:trPr>
        <w:tc>
          <w:tcPr>
            <w:tcW w:w="3640" w:type="dxa"/>
            <w:vAlign w:val="bottom"/>
          </w:tcPr>
          <w:p>
            <w:pPr>
              <w:spacing w:after="0"/>
              <w:rPr>
                <w:sz w:val="6"/>
                <w:szCs w:val="6"/>
                <w:color w:val="auto"/>
              </w:rPr>
            </w:pPr>
          </w:p>
        </w:tc>
        <w:tc>
          <w:tcPr>
            <w:tcW w:w="3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weighted average price of multiple transactions with a range of prices between $124.00 and $124.80. The reporting person, upon request by the staff of the SEC, Wynn Resorts, Limited (the "Company") or by a security holder of the Company, undertakes to provide further information regarding the number of securities sold at each separate price.</w:t>
      </w:r>
    </w:p>
    <w:p>
      <w:pPr>
        <w:spacing w:after="0" w:line="9" w:lineRule="exact"/>
        <w:rPr>
          <w:rFonts w:ascii="Arial" w:cs="Arial" w:eastAsia="Arial" w:hAnsi="Arial"/>
          <w:sz w:val="13"/>
          <w:szCs w:val="13"/>
          <w:color w:val="008000"/>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original grant of 300,000 options vests 10 percent per year on each anniversary of the date of grant; provided, that if the reporting person ceases to be an employee of the Company any options that are unvested at such time will be forfeited.</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Exhibit List: Exhibit 24 - Power of Attorney</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Kathleen Tam, attorney-in-</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04/28/2017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 for Matt Maddox</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1"/>
          <w:szCs w:val="21"/>
          <w:color w:val="auto"/>
        </w:rPr>
        <w:t>Power of Attorney</w:t>
      </w:r>
    </w:p>
    <w:p>
      <w:pPr>
        <w:spacing w:after="0" w:line="268" w:lineRule="exact"/>
        <w:rPr>
          <w:sz w:val="20"/>
          <w:szCs w:val="20"/>
          <w:color w:val="auto"/>
        </w:rPr>
      </w:pPr>
    </w:p>
    <w:p>
      <w:pPr>
        <w:jc w:val="both"/>
        <w:ind w:firstLine="1288"/>
        <w:spacing w:after="0" w:line="271" w:lineRule="auto"/>
        <w:rPr>
          <w:sz w:val="20"/>
          <w:szCs w:val="20"/>
          <w:color w:val="auto"/>
        </w:rPr>
      </w:pPr>
      <w:r>
        <w:rPr>
          <w:rFonts w:ascii="Arial" w:cs="Arial" w:eastAsia="Arial" w:hAnsi="Arial"/>
          <w:sz w:val="20"/>
          <w:szCs w:val="20"/>
          <w:color w:val="auto"/>
        </w:rPr>
        <w:t>KNOW ALL MEN BY THESE PRESENTS, that the person whose signature appears below revokes all prior Powers of Attorney relating to Section 16 of the Securities Exchange Act of 1934, as amended, and appoints each of Kimmarie Sinatra, Craig Billings, and Kathleen Tam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This power of attorney shall be valid from the date hereof until revoked by the undersigned.</w:t>
      </w:r>
    </w:p>
    <w:p>
      <w:pPr>
        <w:spacing w:after="0" w:line="26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undersigned has executed this instrument effective as of the 19th day of April,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1"/>
          <w:szCs w:val="21"/>
          <w:color w:val="auto"/>
        </w:rPr>
        <w:t>Signed: /s/ Matt Maddox______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-11430</wp:posOffset>
            </wp:positionV>
            <wp:extent cx="15894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589405" cy="8255"/>
                    </a:xfrm>
                    <a:prstGeom prst="rect">
                      <a:avLst/>
                    </a:prstGeom>
                    <a:noFill/>
                  </pic:spPr>
                </pic:pic>
              </a:graphicData>
            </a:graphic>
          </wp:anchor>
        </w:drawing>
      </w:r>
    </w:p>
    <w:sectPr>
      <w:pgSz w:w="11900" w:h="16838" w:orient="portrait"/>
      <w:cols w:equalWidth="0" w:num="1">
        <w:col w:w="11420"/>
      </w:cols>
      <w:pgMar w:left="240" w:top="37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5587"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2019-12-04T00:42:35Z</dcterms:created>
  <dcterms:modified xsi:type="dcterms:W3CDTF">2019-12-04T00:42:35Z</dcterms:modified>
</cp:coreProperties>
</file>