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-3409950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03440" cy="9262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92621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-81280</wp:posOffset>
            </wp:positionV>
            <wp:extent cx="13722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39" w:lineRule="exact"/>
        <w:rPr>
          <w:sz w:val="20"/>
          <w:szCs w:val="20"/>
          <w:color w:val="auto"/>
        </w:rPr>
      </w:pPr>
    </w:p>
    <w:p>
      <w:pPr>
        <w:ind w:right="4980"/>
        <w:spacing w:after="0" w:line="286" w:lineRule="auto"/>
        <w:rPr>
          <w:sz w:val="20"/>
          <w:szCs w:val="20"/>
          <w:color w:val="auto"/>
        </w:rPr>
      </w:pPr>
      <w:r>
        <w:rPr>
          <w:rFonts w:ascii="Arial" w:cs="Arial" w:eastAsia="Arial" w:hAnsi="Arial"/>
          <w:sz w:val="32"/>
          <w:szCs w:val="32"/>
          <w:b w:val="1"/>
          <w:bCs w:val="1"/>
          <w:color w:val="614A3D"/>
        </w:rPr>
        <w:t>Notice of Annual Meeting of Stockholders to be held on May 16, 2014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Annual Meeting of Stockholders (the “Annual Meeting”) of Wynn Resorts, Limited, a Nevada corporation (the “Company”), will be held at Wynn Macau, in the Wynn Macau Ballroom, Rua Cidade de Sintra, NAPE, Macau on May 16, 2014, at 9:00 am (local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Purpose of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98" w:lineRule="exact"/>
        <w:rPr>
          <w:sz w:val="20"/>
          <w:szCs w:val="20"/>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directors named in the Proxy Statement to serve until the 2017 Annual Meeting of Stockholders;</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2014;</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our 2014 Omnibus Incentive Plan;</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on an advisory basis, the Director Qualification Bylaw Amendment, described in the Proxy Statement;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consider and vote on the stockholder proposal described in the Proxy Statement, if properly presented at the Annual Meeting; and</w:t>
      </w:r>
    </w:p>
    <w:p>
      <w:pPr>
        <w:spacing w:after="0" w:line="99"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at any adjournments or postponements thereof.</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stockholders of record at the close of business on March 24, 2014,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Regarding Availability of Proxy Materials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Annual Report for the fiscal year ended December 31, 2013,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On or about April 2, 2014, we will begin mailing to our stockholders a notice containing instructions on how to access our Annual Meeting materials, including the Proxy Statement and our Annual Report for the fiscal year ended December 31, 2013, either electronically (together with instructions as to how to vote online) or in paper format.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Your Vote is Important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Whether or not you plan to attend the Annual Meeting, you are encouraged to read this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234"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121285</wp:posOffset>
            </wp:positionV>
            <wp:extent cx="212661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Kim Sinatra</w:t>
      </w:r>
    </w:p>
    <w:p>
      <w:pPr>
        <w:ind w:left="6300"/>
        <w:spacing w:after="0"/>
        <w:rPr>
          <w:sz w:val="20"/>
          <w:szCs w:val="20"/>
          <w:color w:val="auto"/>
        </w:rPr>
      </w:pPr>
      <w:r>
        <w:rPr>
          <w:rFonts w:ascii="Arial" w:cs="Arial" w:eastAsia="Arial" w:hAnsi="Arial"/>
          <w:sz w:val="14"/>
          <w:szCs w:val="14"/>
          <w:i w:val="1"/>
          <w:iCs w:val="1"/>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31, 2014</w:t>
      </w:r>
    </w:p>
    <w:p>
      <w:pPr>
        <w:spacing w:after="0" w:line="136" w:lineRule="exact"/>
        <w:rPr>
          <w:sz w:val="20"/>
          <w:szCs w:val="20"/>
          <w:color w:val="auto"/>
        </w:rPr>
      </w:pPr>
    </w:p>
    <w:p>
      <w:pPr>
        <w:jc w:val="center"/>
        <w:ind w:left="260" w:right="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16, 2014</w:t>
      </w:r>
    </w:p>
    <w:p>
      <w:pPr>
        <w:spacing w:after="0" w:line="134" w:lineRule="exact"/>
        <w:rPr>
          <w:sz w:val="20"/>
          <w:szCs w:val="20"/>
          <w:color w:val="auto"/>
        </w:rPr>
      </w:pPr>
    </w:p>
    <w:p>
      <w:pPr>
        <w:jc w:val="center"/>
        <w:ind w:left="260" w:right="380"/>
        <w:spacing w:after="0" w:line="239" w:lineRule="auto"/>
        <w:rPr>
          <w:sz w:val="20"/>
          <w:szCs w:val="20"/>
          <w:color w:val="auto"/>
        </w:rPr>
      </w:pPr>
      <w:r>
        <w:rPr>
          <w:rFonts w:ascii="Arial" w:cs="Arial" w:eastAsia="Arial" w:hAnsi="Arial"/>
          <w:sz w:val="18"/>
          <w:szCs w:val="18"/>
          <w:color w:val="auto"/>
        </w:rPr>
        <w:t xml:space="preserve">This Proxy Statement and our 2013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“Annual Meeting &amp; Related Materials”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-81280</wp:posOffset>
            </wp:positionV>
            <wp:extent cx="13722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gridSpan w:val="3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General Information</w:t>
              </w:r>
            </w:hyperlink>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1</w:t>
            </w:r>
          </w:p>
        </w:tc>
        <w:tc>
          <w:tcPr>
            <w:tcW w:w="4960" w:type="dxa"/>
            <w:vAlign w:val="bottom"/>
            <w:gridSpan w:val="34"/>
          </w:tcPr>
          <w:p>
            <w:pPr>
              <w:ind w:left="22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How We Make Pay Decisions</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18"/>
            <w:vMerge w:val="restart"/>
          </w:tcPr>
          <w:p>
            <w:pPr>
              <w:spacing w:after="0" w:line="202" w:lineRule="exact"/>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Meeting of Stockholders</w:t>
              </w:r>
            </w:hyperlink>
          </w:p>
        </w:tc>
        <w:tc>
          <w:tcPr>
            <w:tcW w:w="1400" w:type="dxa"/>
            <w:vAlign w:val="bottom"/>
            <w:gridSpan w:val="9"/>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460" w:type="dxa"/>
            <w:vAlign w:val="bottom"/>
            <w:tcBorders>
              <w:bottom w:val="single" w:sz="8" w:color="0000EE"/>
            </w:tcBorders>
            <w:gridSpan w:val="6"/>
          </w:tcPr>
          <w:p>
            <w:pPr>
              <w:spacing w:after="0" w:line="182" w:lineRule="exact"/>
              <w:rPr>
                <w:rFonts w:ascii="Arial" w:cs="Arial" w:eastAsia="Arial" w:hAnsi="Arial"/>
                <w:sz w:val="18"/>
                <w:szCs w:val="18"/>
                <w:b w:val="1"/>
                <w:bCs w:val="1"/>
                <w:color w:val="0000EE"/>
                <w:w w:val="99"/>
              </w:rPr>
            </w:pPr>
            <w:hyperlink w:anchor="page6">
              <w:r>
                <w:rPr>
                  <w:rFonts w:ascii="Arial" w:cs="Arial" w:eastAsia="Arial" w:hAnsi="Arial"/>
                  <w:sz w:val="18"/>
                  <w:szCs w:val="18"/>
                  <w:b w:val="1"/>
                  <w:bCs w:val="1"/>
                  <w:color w:val="0000EE"/>
                  <w:w w:val="99"/>
                </w:rPr>
                <w:t>Our 2014 Annual</w:t>
              </w:r>
            </w:hyperlink>
          </w:p>
        </w:tc>
        <w:tc>
          <w:tcPr>
            <w:tcW w:w="2040" w:type="dxa"/>
            <w:vAlign w:val="bottom"/>
            <w:tcBorders>
              <w:bottom w:val="single" w:sz="8" w:color="0000EE"/>
            </w:tcBorders>
            <w:gridSpan w:val="18"/>
            <w:vMerge w:val="continue"/>
          </w:tcPr>
          <w:p>
            <w:pPr>
              <w:spacing w:after="0"/>
              <w:rPr>
                <w:sz w:val="15"/>
                <w:szCs w:val="15"/>
                <w:color w:val="auto"/>
              </w:rPr>
            </w:pPr>
          </w:p>
        </w:tc>
        <w:tc>
          <w:tcPr>
            <w:tcW w:w="1400" w:type="dxa"/>
            <w:vAlign w:val="bottom"/>
            <w:gridSpan w:val="9"/>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vMerge w:val="continue"/>
          </w:tcPr>
          <w:p>
            <w:pPr>
              <w:spacing w:after="0"/>
              <w:rPr>
                <w:sz w:val="15"/>
                <w:szCs w:val="15"/>
                <w:color w:val="auto"/>
              </w:rPr>
            </w:pPr>
          </w:p>
        </w:tc>
        <w:tc>
          <w:tcPr>
            <w:tcW w:w="3920" w:type="dxa"/>
            <w:vAlign w:val="bottom"/>
            <w:tcBorders>
              <w:bottom w:val="single" w:sz="8" w:color="0000EE"/>
            </w:tcBorders>
            <w:gridSpan w:val="24"/>
          </w:tcPr>
          <w:p>
            <w:pPr>
              <w:spacing w:after="0" w:line="182" w:lineRule="exact"/>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Other Aspects of Our Executive Compensation</w:t>
              </w:r>
            </w:hyperlink>
          </w:p>
        </w:tc>
        <w:tc>
          <w:tcPr>
            <w:tcW w:w="820" w:type="dxa"/>
            <w:vAlign w:val="bottom"/>
            <w:gridSpan w:val="9"/>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Notice of Internet Availability of Proxy Materials</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920" w:type="dxa"/>
            <w:vAlign w:val="bottom"/>
            <w:gridSpan w:val="24"/>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Compensation Committee Report</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9"/>
            <w:shd w:val="clear" w:color="auto" w:fill="0000EE"/>
          </w:tcPr>
          <w:p>
            <w:pPr>
              <w:spacing w:after="0" w:line="20" w:lineRule="exact"/>
              <w:rPr>
                <w:sz w:val="1"/>
                <w:szCs w:val="1"/>
                <w:color w:val="auto"/>
              </w:rPr>
            </w:pPr>
          </w:p>
        </w:tc>
        <w:tc>
          <w:tcPr>
            <w:tcW w:w="1800" w:type="dxa"/>
            <w:vAlign w:val="bottom"/>
            <w:tcBorders>
              <w:right w:val="single" w:sz="8" w:color="0000EE"/>
            </w:tcBorders>
            <w:gridSpan w:val="14"/>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120" w:type="dxa"/>
            <w:vAlign w:val="bottom"/>
            <w:tcBorders>
              <w:right w:val="single" w:sz="8" w:color="0000EE"/>
            </w:tcBorders>
            <w:gridSpan w:val="6"/>
          </w:tcPr>
          <w:p>
            <w:pPr>
              <w:spacing w:after="0" w:line="20" w:lineRule="exact"/>
              <w:rPr>
                <w:sz w:val="1"/>
                <w:szCs w:val="1"/>
                <w:color w:val="auto"/>
              </w:rPr>
            </w:pPr>
          </w:p>
        </w:tc>
        <w:tc>
          <w:tcPr>
            <w:tcW w:w="760" w:type="dxa"/>
            <w:vAlign w:val="bottom"/>
            <w:tcBorders>
              <w:right w:val="single" w:sz="8" w:color="0000EE"/>
            </w:tcBorders>
            <w:gridSpan w:val="6"/>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980" w:type="dxa"/>
            <w:vAlign w:val="bottom"/>
            <w:gridSpan w:val="29"/>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Revocability of Proxies</w:t>
              </w:r>
            </w:hyperlink>
          </w:p>
        </w:tc>
        <w:tc>
          <w:tcPr>
            <w:tcW w:w="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w:t>
            </w:r>
          </w:p>
        </w:tc>
        <w:tc>
          <w:tcPr>
            <w:tcW w:w="3020" w:type="dxa"/>
            <w:vAlign w:val="bottom"/>
            <w:gridSpan w:val="18"/>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Executive Compensation Tables</w:t>
              </w:r>
            </w:hyperlink>
          </w:p>
        </w:tc>
        <w:tc>
          <w:tcPr>
            <w:tcW w:w="1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b w:val="1"/>
                <w:bCs w:val="1"/>
                <w:color w:val="0000EE"/>
                <w:w w:val="96"/>
              </w:rPr>
            </w:pPr>
            <w:hyperlink w:anchor="page7">
              <w:r>
                <w:rPr>
                  <w:rFonts w:ascii="Arial" w:cs="Arial" w:eastAsia="Arial" w:hAnsi="Arial"/>
                  <w:sz w:val="18"/>
                  <w:szCs w:val="18"/>
                  <w:b w:val="1"/>
                  <w:bCs w:val="1"/>
                  <w:color w:val="0000EE"/>
                  <w:w w:val="96"/>
                </w:rPr>
                <w:t>Voting and Solicitation</w:t>
              </w:r>
            </w:hyperlink>
          </w:p>
        </w:tc>
        <w:tc>
          <w:tcPr>
            <w:tcW w:w="40" w:type="dxa"/>
            <w:vAlign w:val="bottom"/>
            <w:tcBorders>
              <w:top w:val="single" w:sz="8" w:color="0000EE"/>
            </w:tcBorders>
            <w:gridSpan w:val="2"/>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20" w:type="dxa"/>
            <w:vAlign w:val="bottom"/>
            <w:tcBorders>
              <w:top w:val="single" w:sz="8" w:color="0000EE"/>
            </w:tcBorders>
          </w:tcPr>
          <w:p>
            <w:pPr>
              <w:spacing w:after="0"/>
              <w:rPr>
                <w:sz w:val="15"/>
                <w:szCs w:val="15"/>
                <w:color w:val="auto"/>
              </w:rPr>
            </w:pPr>
          </w:p>
        </w:tc>
        <w:tc>
          <w:tcPr>
            <w:tcW w:w="24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b w:val="1"/>
                <w:bCs w:val="1"/>
                <w:color w:val="0000EE"/>
                <w:w w:val="92"/>
              </w:rPr>
            </w:pPr>
            <w:hyperlink w:anchor="page35">
              <w:r>
                <w:rPr>
                  <w:rFonts w:ascii="Arial" w:cs="Arial" w:eastAsia="Arial" w:hAnsi="Arial"/>
                  <w:sz w:val="18"/>
                  <w:szCs w:val="18"/>
                  <w:b w:val="1"/>
                  <w:bCs w:val="1"/>
                  <w:color w:val="0000EE"/>
                  <w:w w:val="92"/>
                </w:rPr>
                <w:t>Summary Compensation Table</w:t>
              </w:r>
            </w:hyperlink>
          </w:p>
        </w:tc>
        <w:tc>
          <w:tcPr>
            <w:tcW w:w="8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gridSpan w:val="12"/>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Attending the Annual</w:t>
              </w:r>
            </w:hyperlink>
          </w:p>
        </w:tc>
        <w:tc>
          <w:tcPr>
            <w:tcW w:w="600" w:type="dxa"/>
            <w:vAlign w:val="bottom"/>
            <w:gridSpan w:val="6"/>
          </w:tcPr>
          <w:p>
            <w:pPr>
              <w:jc w:val="center"/>
              <w:spacing w:after="0" w:line="182"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Meeting</w:t>
              </w:r>
            </w:hyperlink>
          </w:p>
        </w:tc>
        <w:tc>
          <w:tcPr>
            <w:tcW w:w="2400" w:type="dxa"/>
            <w:vAlign w:val="bottom"/>
            <w:gridSpan w:val="15"/>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4740" w:type="dxa"/>
            <w:vAlign w:val="bottom"/>
            <w:gridSpan w:val="33"/>
          </w:tcPr>
          <w:p>
            <w:pPr>
              <w:spacing w:after="0" w:line="18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Discussion of Summary Compensation Table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9"/>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tcBorders>
              <w:right w:val="single" w:sz="8" w:color="0000EE"/>
            </w:tcBorders>
            <w:gridSpan w:val="6"/>
            <w:shd w:val="clear" w:color="auto" w:fill="0000EE"/>
          </w:tcPr>
          <w:p>
            <w:pPr>
              <w:spacing w:after="0" w:line="20" w:lineRule="exact"/>
              <w:rPr>
                <w:sz w:val="1"/>
                <w:szCs w:val="1"/>
                <w:color w:val="auto"/>
              </w:rPr>
            </w:pPr>
          </w:p>
        </w:tc>
        <w:tc>
          <w:tcPr>
            <w:tcW w:w="1800" w:type="dxa"/>
            <w:vAlign w:val="bottom"/>
            <w:gridSpan w:val="10"/>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line="20" w:lineRule="exact"/>
              <w:rPr>
                <w:sz w:val="1"/>
                <w:szCs w:val="1"/>
                <w:color w:val="auto"/>
              </w:rPr>
            </w:pPr>
          </w:p>
        </w:tc>
      </w:tr>
      <w:tr>
        <w:trPr>
          <w:trHeight w:val="183"/>
        </w:trPr>
        <w:tc>
          <w:tcPr>
            <w:tcW w:w="2700" w:type="dxa"/>
            <w:vAlign w:val="bottom"/>
            <w:gridSpan w:val="19"/>
          </w:tcPr>
          <w:p>
            <w:pPr>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Proposal 1: Election of Directors</w:t>
              </w:r>
            </w:hyperlink>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vMerge w:val="continue"/>
          </w:tcPr>
          <w:p>
            <w:pPr>
              <w:spacing w:after="0"/>
              <w:rPr>
                <w:sz w:val="15"/>
                <w:szCs w:val="15"/>
                <w:color w:val="auto"/>
              </w:rPr>
            </w:pPr>
          </w:p>
        </w:tc>
        <w:tc>
          <w:tcPr>
            <w:tcW w:w="3760" w:type="dxa"/>
            <w:vAlign w:val="bottom"/>
            <w:gridSpan w:val="20"/>
          </w:tcPr>
          <w:p>
            <w:pPr>
              <w:spacing w:after="0" w:line="182"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Grants of Plan-Based Awards Table</w:t>
              </w:r>
            </w:hyperlink>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252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Director Nominees</w:t>
              </w:r>
            </w:hyperlink>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296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w w:val="93"/>
              </w:rPr>
            </w:pPr>
            <w:hyperlink w:anchor="page38">
              <w:r>
                <w:rPr>
                  <w:rFonts w:ascii="Arial" w:cs="Arial" w:eastAsia="Arial" w:hAnsi="Arial"/>
                  <w:sz w:val="18"/>
                  <w:szCs w:val="18"/>
                  <w:b w:val="1"/>
                  <w:bCs w:val="1"/>
                  <w:color w:val="0000EE"/>
                  <w:w w:val="93"/>
                </w:rPr>
                <w:t>Outstanding Equity Awards at Fiscal</w:t>
              </w:r>
            </w:hyperlink>
          </w:p>
        </w:tc>
        <w:tc>
          <w:tcPr>
            <w:tcW w:w="1780" w:type="dxa"/>
            <w:vAlign w:val="bottom"/>
            <w:gridSpan w:val="15"/>
          </w:tcPr>
          <w:p>
            <w:pPr>
              <w:ind w:left="140"/>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Year-End</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560" w:type="dxa"/>
            <w:vAlign w:val="bottom"/>
            <w:tcBorders>
              <w:top w:val="single" w:sz="8" w:color="0000EE"/>
            </w:tcBorders>
            <w:gridSpan w:val="7"/>
          </w:tcPr>
          <w:p>
            <w:pPr>
              <w:spacing w:after="0" w:line="182"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Director Biographies</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13"/>
          </w:tcPr>
          <w:p>
            <w:pPr>
              <w:ind w:left="60"/>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and Qualifications</w:t>
              </w:r>
            </w:hyperlink>
          </w:p>
        </w:tc>
        <w:tc>
          <w:tcPr>
            <w:tcW w:w="1580" w:type="dxa"/>
            <w:vAlign w:val="bottom"/>
            <w:gridSpan w:val="10"/>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386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Option Exercises and Stock Vested in 2013</w:t>
              </w:r>
            </w:hyperlink>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160" w:type="dxa"/>
            <w:vAlign w:val="bottom"/>
            <w:gridSpan w:val="14"/>
            <w:vMerge w:val="restart"/>
          </w:tcPr>
          <w:p>
            <w:pPr>
              <w:spacing w:after="0" w:line="20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Change in</w:t>
              </w:r>
            </w:hyperlink>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gridSpan w:val="24"/>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w:t>
              </w:r>
            </w:hyperlink>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vMerge w:val="continue"/>
          </w:tcPr>
          <w:p>
            <w:pPr>
              <w:spacing w:after="0"/>
              <w:rPr>
                <w:sz w:val="15"/>
                <w:szCs w:val="15"/>
                <w:color w:val="auto"/>
              </w:rPr>
            </w:pPr>
          </w:p>
        </w:tc>
        <w:tc>
          <w:tcPr>
            <w:tcW w:w="3580" w:type="dxa"/>
            <w:vAlign w:val="bottom"/>
            <w:gridSpan w:val="19"/>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Potential Payments Upon Termination or</w:t>
              </w:r>
            </w:hyperlink>
          </w:p>
        </w:tc>
        <w:tc>
          <w:tcPr>
            <w:tcW w:w="1160" w:type="dxa"/>
            <w:vAlign w:val="bottom"/>
            <w:gridSpan w:val="14"/>
            <w:vMerge w:val="continue"/>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Overview</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6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Control</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900" w:type="dxa"/>
            <w:vAlign w:val="bottom"/>
            <w:gridSpan w:val="30"/>
            <w:vMerge w:val="restart"/>
          </w:tcPr>
          <w:p>
            <w:pPr>
              <w:ind w:left="40"/>
              <w:spacing w:after="0" w:line="20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Authorized for Issuance Under Equity</w:t>
              </w:r>
            </w:hyperlink>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Key Changes to our 2013 Governance Program</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7</w:t>
            </w:r>
          </w:p>
        </w:tc>
        <w:tc>
          <w:tcPr>
            <w:tcW w:w="1060" w:type="dxa"/>
            <w:vAlign w:val="bottom"/>
            <w:gridSpan w:val="4"/>
          </w:tcPr>
          <w:p>
            <w:pPr>
              <w:ind w:left="220"/>
              <w:spacing w:after="0" w:line="182" w:lineRule="exact"/>
              <w:rPr>
                <w:rFonts w:ascii="Arial" w:cs="Arial" w:eastAsia="Arial" w:hAnsi="Arial"/>
                <w:sz w:val="18"/>
                <w:szCs w:val="18"/>
                <w:b w:val="1"/>
                <w:bCs w:val="1"/>
                <w:color w:val="0000EE"/>
                <w:w w:val="95"/>
              </w:rPr>
            </w:pPr>
            <w:hyperlink w:anchor="page43">
              <w:r>
                <w:rPr>
                  <w:rFonts w:ascii="Arial" w:cs="Arial" w:eastAsia="Arial" w:hAnsi="Arial"/>
                  <w:sz w:val="18"/>
                  <w:szCs w:val="18"/>
                  <w:b w:val="1"/>
                  <w:bCs w:val="1"/>
                  <w:color w:val="0000EE"/>
                  <w:w w:val="95"/>
                </w:rPr>
                <w:t>Securities</w:t>
              </w:r>
            </w:hyperlink>
          </w:p>
        </w:tc>
        <w:tc>
          <w:tcPr>
            <w:tcW w:w="3900" w:type="dxa"/>
            <w:vAlign w:val="bottom"/>
            <w:gridSpan w:val="30"/>
            <w:vMerge w:val="continue"/>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8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Leadership Structure</w:t>
              </w:r>
            </w:hyperlink>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4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Compensation Plans</w:t>
              </w:r>
            </w:hyperlink>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gridSpan w:val="11"/>
            <w:vMerge w:val="restart"/>
          </w:tcPr>
          <w:p>
            <w:pPr>
              <w:ind w:left="40"/>
              <w:spacing w:after="0" w:line="202" w:lineRule="exact"/>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Related Transactions</w:t>
              </w:r>
            </w:hyperlink>
          </w:p>
        </w:tc>
        <w:tc>
          <w:tcPr>
            <w:tcW w:w="960" w:type="dxa"/>
            <w:vAlign w:val="bottom"/>
            <w:gridSpan w:val="12"/>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920" w:type="dxa"/>
            <w:vAlign w:val="bottom"/>
            <w:tcBorders>
              <w:bottom w:val="single" w:sz="8" w:color="0000EE"/>
            </w:tcBorders>
            <w:gridSpan w:val="13"/>
          </w:tcPr>
          <w:p>
            <w:pPr>
              <w:spacing w:after="0" w:line="182"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Director Independence</w:t>
              </w:r>
            </w:hyperlink>
          </w:p>
        </w:tc>
        <w:tc>
          <w:tcPr>
            <w:tcW w:w="400" w:type="dxa"/>
            <w:vAlign w:val="bottom"/>
            <w:gridSpan w:val="3"/>
          </w:tcPr>
          <w:p>
            <w:pPr>
              <w:spacing w:after="0"/>
              <w:rPr>
                <w:sz w:val="15"/>
                <w:szCs w:val="15"/>
                <w:color w:val="auto"/>
              </w:rPr>
            </w:pPr>
          </w:p>
        </w:tc>
        <w:tc>
          <w:tcPr>
            <w:tcW w:w="80" w:type="dxa"/>
            <w:vAlign w:val="bottom"/>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8</w:t>
            </w:r>
          </w:p>
        </w:tc>
        <w:tc>
          <w:tcPr>
            <w:tcW w:w="2180" w:type="dxa"/>
            <w:vAlign w:val="bottom"/>
            <w:tcBorders>
              <w:bottom w:val="single" w:sz="8" w:color="0000EE"/>
            </w:tcBorders>
            <w:gridSpan w:val="11"/>
          </w:tcPr>
          <w:p>
            <w:pPr>
              <w:spacing w:after="0" w:line="182" w:lineRule="exact"/>
              <w:rPr>
                <w:rFonts w:ascii="Arial" w:cs="Arial" w:eastAsia="Arial" w:hAnsi="Arial"/>
                <w:sz w:val="18"/>
                <w:szCs w:val="18"/>
                <w:b w:val="1"/>
                <w:bCs w:val="1"/>
                <w:color w:val="0000EE"/>
                <w:w w:val="96"/>
              </w:rPr>
            </w:pPr>
            <w:hyperlink w:anchor="page44">
              <w:r>
                <w:rPr>
                  <w:rFonts w:ascii="Arial" w:cs="Arial" w:eastAsia="Arial" w:hAnsi="Arial"/>
                  <w:sz w:val="18"/>
                  <w:szCs w:val="18"/>
                  <w:b w:val="1"/>
                  <w:bCs w:val="1"/>
                  <w:color w:val="0000EE"/>
                  <w:w w:val="96"/>
                </w:rPr>
                <w:t>Certain Relationships and</w:t>
              </w:r>
            </w:hyperlink>
          </w:p>
        </w:tc>
        <w:tc>
          <w:tcPr>
            <w:tcW w:w="1820" w:type="dxa"/>
            <w:vAlign w:val="bottom"/>
            <w:tcBorders>
              <w:bottom w:val="single" w:sz="8" w:color="0000EE"/>
            </w:tcBorders>
            <w:gridSpan w:val="11"/>
            <w:vMerge w:val="continue"/>
          </w:tcPr>
          <w:p>
            <w:pPr>
              <w:spacing w:after="0"/>
              <w:rPr>
                <w:sz w:val="15"/>
                <w:szCs w:val="15"/>
                <w:color w:val="auto"/>
              </w:rPr>
            </w:pPr>
          </w:p>
        </w:tc>
        <w:tc>
          <w:tcPr>
            <w:tcW w:w="960" w:type="dxa"/>
            <w:vAlign w:val="bottom"/>
            <w:gridSpan w:val="1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20" w:type="dxa"/>
            <w:vAlign w:val="bottom"/>
            <w:gridSpan w:val="13"/>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Meetings of the Board</w:t>
              </w:r>
            </w:hyperlink>
          </w:p>
        </w:tc>
        <w:tc>
          <w:tcPr>
            <w:tcW w:w="2980" w:type="dxa"/>
            <w:vAlign w:val="bottom"/>
            <w:gridSpan w:val="20"/>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of Directors and Stockholders</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4960" w:type="dxa"/>
            <w:vAlign w:val="bottom"/>
            <w:gridSpan w:val="34"/>
          </w:tcPr>
          <w:p>
            <w:pPr>
              <w:spacing w:after="0" w:line="18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Proposal 2: Ratification of Appointment of Independent</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31"/>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Risk Oversight</w:t>
              </w:r>
            </w:hyperlink>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4620" w:type="dxa"/>
            <w:vAlign w:val="bottom"/>
            <w:tcBorders>
              <w:top w:val="single" w:sz="8" w:color="0000EE"/>
            </w:tcBorders>
            <w:gridSpan w:val="30"/>
          </w:tcPr>
          <w:p>
            <w:pPr>
              <w:ind w:left="220"/>
              <w:spacing w:after="0" w:line="18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Auditors</w:t>
              </w:r>
            </w:hyperlink>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Standing Committees</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9</w:t>
            </w:r>
          </w:p>
        </w:tc>
        <w:tc>
          <w:tcPr>
            <w:tcW w:w="220" w:type="dxa"/>
            <w:vAlign w:val="bottom"/>
            <w:vMerge w:val="continue"/>
          </w:tcPr>
          <w:p>
            <w:pPr>
              <w:spacing w:after="0"/>
              <w:rPr>
                <w:sz w:val="15"/>
                <w:szCs w:val="15"/>
                <w:color w:val="auto"/>
              </w:rPr>
            </w:pPr>
          </w:p>
        </w:tc>
        <w:tc>
          <w:tcPr>
            <w:tcW w:w="4740" w:type="dxa"/>
            <w:vAlign w:val="bottom"/>
            <w:gridSpan w:val="33"/>
          </w:tcPr>
          <w:p>
            <w:pPr>
              <w:spacing w:after="0" w:line="18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Audit and Other Fees</w:t>
              </w:r>
            </w:hyperlink>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w w:val="93"/>
              </w:rPr>
            </w:pPr>
            <w:hyperlink w:anchor="page16">
              <w:r>
                <w:rPr>
                  <w:rFonts w:ascii="Arial" w:cs="Arial" w:eastAsia="Arial" w:hAnsi="Arial"/>
                  <w:sz w:val="18"/>
                  <w:szCs w:val="18"/>
                  <w:b w:val="1"/>
                  <w:bCs w:val="1"/>
                  <w:color w:val="0000EE"/>
                  <w:w w:val="93"/>
                </w:rPr>
                <w:t>Corporate Compliance</w:t>
              </w:r>
            </w:hyperlink>
          </w:p>
        </w:tc>
        <w:tc>
          <w:tcPr>
            <w:tcW w:w="3080" w:type="dxa"/>
            <w:vAlign w:val="bottom"/>
            <w:gridSpan w:val="22"/>
          </w:tcPr>
          <w:p>
            <w:pPr>
              <w:ind w:left="120"/>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Committee</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5"/>
                <w:szCs w:val="15"/>
                <w:color w:val="auto"/>
              </w:rPr>
            </w:pPr>
          </w:p>
        </w:tc>
        <w:tc>
          <w:tcPr>
            <w:tcW w:w="178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Report of the Audit</w:t>
              </w:r>
            </w:hyperlink>
          </w:p>
        </w:tc>
        <w:tc>
          <w:tcPr>
            <w:tcW w:w="2960" w:type="dxa"/>
            <w:vAlign w:val="bottom"/>
            <w:gridSpan w:val="24"/>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Committee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Director Nominating Procedures and Diversity</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11</w:t>
            </w:r>
          </w:p>
        </w:tc>
        <w:tc>
          <w:tcPr>
            <w:tcW w:w="4960" w:type="dxa"/>
            <w:vAlign w:val="bottom"/>
            <w:gridSpan w:val="34"/>
          </w:tcPr>
          <w:p>
            <w:pPr>
              <w:spacing w:after="0" w:line="18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Proposal 3: Approval, on an Advisory Basis, of our</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86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Compensation Committee</w:t>
              </w:r>
            </w:hyperlink>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4260" w:type="dxa"/>
            <w:vAlign w:val="bottom"/>
            <w:tcBorders>
              <w:top w:val="single" w:sz="8" w:color="0000EE"/>
            </w:tcBorders>
            <w:gridSpan w:val="27"/>
          </w:tcPr>
          <w:p>
            <w:pPr>
              <w:ind w:left="220"/>
              <w:spacing w:after="0" w:line="18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Executive Compensation</w:t>
              </w:r>
            </w:hyperlink>
          </w:p>
        </w:tc>
        <w:tc>
          <w:tcPr>
            <w:tcW w:w="2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2"/>
            <w:vMerge w:val="restart"/>
          </w:tcPr>
          <w:p>
            <w:pPr>
              <w:ind w:left="40"/>
              <w:spacing w:after="0" w:line="202" w:lineRule="exact"/>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Adoption of the 2014 Omnibus</w:t>
              </w:r>
            </w:hyperlink>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Governance Measures</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2300" w:type="dxa"/>
            <w:vAlign w:val="bottom"/>
            <w:gridSpan w:val="12"/>
          </w:tcPr>
          <w:p>
            <w:pPr>
              <w:spacing w:after="0" w:line="182" w:lineRule="exact"/>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Proposal 4: Approval of the</w:t>
              </w:r>
            </w:hyperlink>
          </w:p>
        </w:tc>
        <w:tc>
          <w:tcPr>
            <w:tcW w:w="2660" w:type="dxa"/>
            <w:vAlign w:val="bottom"/>
            <w:gridSpan w:val="22"/>
            <w:vMerge w:val="continue"/>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Compensation Committee</w:t>
              </w:r>
            </w:hyperlink>
          </w:p>
        </w:tc>
        <w:tc>
          <w:tcPr>
            <w:tcW w:w="2500" w:type="dxa"/>
            <w:vAlign w:val="bottom"/>
            <w:gridSpan w:val="16"/>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Interlocks and Insider</w:t>
              </w:r>
            </w:hyperlink>
          </w:p>
        </w:tc>
        <w:tc>
          <w:tcPr>
            <w:tcW w:w="700" w:type="dxa"/>
            <w:vAlign w:val="bottom"/>
          </w:tcPr>
          <w:p>
            <w:pPr>
              <w:spacing w:after="0"/>
              <w:rPr>
                <w:sz w:val="15"/>
                <w:szCs w:val="15"/>
                <w:color w:val="auto"/>
              </w:rPr>
            </w:pPr>
          </w:p>
        </w:tc>
        <w:tc>
          <w:tcPr>
            <w:tcW w:w="4900" w:type="dxa"/>
            <w:vAlign w:val="bottom"/>
            <w:tcBorders>
              <w:top w:val="single" w:sz="8" w:color="0000EE"/>
            </w:tcBorders>
            <w:gridSpan w:val="33"/>
          </w:tcPr>
          <w:p>
            <w:pPr>
              <w:ind w:left="220"/>
              <w:spacing w:after="0" w:line="18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Incentive Plan</w:t>
              </w:r>
            </w:hyperlink>
          </w:p>
        </w:tc>
        <w:tc>
          <w:tcPr>
            <w:tcW w:w="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5"/>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8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20" w:type="dxa"/>
            <w:vAlign w:val="bottom"/>
            <w:gridSpan w:val="29"/>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Participation</w:t>
              </w:r>
            </w:hyperlink>
          </w:p>
        </w:tc>
        <w:tc>
          <w:tcPr>
            <w:tcW w:w="7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12</w:t>
            </w:r>
          </w:p>
        </w:tc>
        <w:tc>
          <w:tcPr>
            <w:tcW w:w="4960" w:type="dxa"/>
            <w:vAlign w:val="bottom"/>
            <w:gridSpan w:val="34"/>
          </w:tcPr>
          <w:p>
            <w:pPr>
              <w:spacing w:after="0" w:line="182" w:lineRule="exact"/>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Proposal 5: Ratification, on an Advisory Basis, of Director</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180" w:type="dxa"/>
            <w:vAlign w:val="bottom"/>
            <w:tcBorders>
              <w:bottom w:val="single" w:sz="8" w:color="0000EE"/>
            </w:tcBorders>
            <w:gridSpan w:val="15"/>
          </w:tcPr>
          <w:p>
            <w:pPr>
              <w:spacing w:after="0" w:line="182" w:lineRule="exact"/>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Director Communications</w:t>
              </w:r>
            </w:hyperlink>
          </w:p>
        </w:tc>
        <w:tc>
          <w:tcPr>
            <w:tcW w:w="2720" w:type="dxa"/>
            <w:vAlign w:val="bottom"/>
            <w:gridSpan w:val="18"/>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5"/>
                <w:szCs w:val="15"/>
                <w:color w:val="auto"/>
              </w:rPr>
            </w:pPr>
          </w:p>
        </w:tc>
        <w:tc>
          <w:tcPr>
            <w:tcW w:w="2680" w:type="dxa"/>
            <w:vAlign w:val="bottom"/>
            <w:tcBorders>
              <w:bottom w:val="single" w:sz="8" w:color="0000EE"/>
            </w:tcBorders>
            <w:gridSpan w:val="16"/>
          </w:tcPr>
          <w:p>
            <w:pPr>
              <w:spacing w:after="0" w:line="182" w:lineRule="exact"/>
              <w:rPr>
                <w:rFonts w:ascii="Arial" w:cs="Arial" w:eastAsia="Arial" w:hAnsi="Arial"/>
                <w:sz w:val="18"/>
                <w:szCs w:val="18"/>
                <w:b w:val="1"/>
                <w:bCs w:val="1"/>
                <w:color w:val="0000EE"/>
                <w:w w:val="96"/>
              </w:rPr>
            </w:pPr>
            <w:hyperlink w:anchor="page60">
              <w:r>
                <w:rPr>
                  <w:rFonts w:ascii="Arial" w:cs="Arial" w:eastAsia="Arial" w:hAnsi="Arial"/>
                  <w:sz w:val="18"/>
                  <w:szCs w:val="18"/>
                  <w:b w:val="1"/>
                  <w:bCs w:val="1"/>
                  <w:color w:val="0000EE"/>
                  <w:w w:val="96"/>
                </w:rPr>
                <w:t>Qualification Bylaw Amendment</w:t>
              </w:r>
            </w:hyperlink>
          </w:p>
        </w:tc>
        <w:tc>
          <w:tcPr>
            <w:tcW w:w="1940" w:type="dxa"/>
            <w:vAlign w:val="bottom"/>
            <w:gridSpan w:val="15"/>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40" w:type="dxa"/>
            <w:vAlign w:val="bottom"/>
            <w:tcBorders>
              <w:bottom w:val="single" w:sz="8" w:color="0000EE"/>
            </w:tcBorders>
            <w:gridSpan w:val="11"/>
          </w:tcPr>
          <w:p>
            <w:pPr>
              <w:spacing w:after="0" w:line="182" w:lineRule="exact"/>
              <w:rPr>
                <w:rFonts w:ascii="Arial" w:cs="Arial" w:eastAsia="Arial" w:hAnsi="Arial"/>
                <w:sz w:val="18"/>
                <w:szCs w:val="18"/>
                <w:b w:val="1"/>
                <w:bCs w:val="1"/>
                <w:color w:val="0000EE"/>
                <w:w w:val="96"/>
              </w:rPr>
            </w:pPr>
            <w:hyperlink w:anchor="page19">
              <w:r>
                <w:rPr>
                  <w:rFonts w:ascii="Arial" w:cs="Arial" w:eastAsia="Arial" w:hAnsi="Arial"/>
                  <w:sz w:val="18"/>
                  <w:szCs w:val="18"/>
                  <w:b w:val="1"/>
                  <w:bCs w:val="1"/>
                  <w:color w:val="0000EE"/>
                  <w:w w:val="96"/>
                </w:rPr>
                <w:t>Director Compensation</w:t>
              </w:r>
            </w:hyperlink>
          </w:p>
        </w:tc>
        <w:tc>
          <w:tcPr>
            <w:tcW w:w="440" w:type="dxa"/>
            <w:vAlign w:val="bottom"/>
            <w:gridSpan w:val="5"/>
          </w:tcPr>
          <w:p>
            <w:pPr>
              <w:spacing w:after="0"/>
              <w:rPr>
                <w:sz w:val="15"/>
                <w:szCs w:val="15"/>
                <w:color w:val="auto"/>
              </w:rPr>
            </w:pPr>
          </w:p>
        </w:tc>
        <w:tc>
          <w:tcPr>
            <w:tcW w:w="9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90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14</w:t>
            </w:r>
          </w:p>
        </w:tc>
        <w:tc>
          <w:tcPr>
            <w:tcW w:w="2900" w:type="dxa"/>
            <w:vAlign w:val="bottom"/>
            <w:tcBorders>
              <w:bottom w:val="single" w:sz="8" w:color="0000EE"/>
            </w:tcBorders>
            <w:gridSpan w:val="17"/>
          </w:tcPr>
          <w:p>
            <w:pPr>
              <w:spacing w:after="0" w:line="182" w:lineRule="exact"/>
              <w:rPr>
                <w:rFonts w:ascii="Arial" w:cs="Arial" w:eastAsia="Arial" w:hAnsi="Arial"/>
                <w:sz w:val="18"/>
                <w:szCs w:val="18"/>
                <w:b w:val="1"/>
                <w:bCs w:val="1"/>
                <w:color w:val="0000EE"/>
                <w:w w:val="99"/>
              </w:rPr>
            </w:pPr>
            <w:hyperlink w:anchor="page62">
              <w:r>
                <w:rPr>
                  <w:rFonts w:ascii="Arial" w:cs="Arial" w:eastAsia="Arial" w:hAnsi="Arial"/>
                  <w:sz w:val="18"/>
                  <w:szCs w:val="18"/>
                  <w:b w:val="1"/>
                  <w:bCs w:val="1"/>
                  <w:color w:val="0000EE"/>
                  <w:w w:val="99"/>
                </w:rPr>
                <w:t>Proposal 6: Stockholder Proposal</w:t>
              </w:r>
            </w:hyperlink>
          </w:p>
        </w:tc>
        <w:tc>
          <w:tcPr>
            <w:tcW w:w="1740" w:type="dxa"/>
            <w:vAlign w:val="bottom"/>
            <w:tcBorders>
              <w:bottom w:val="single" w:sz="8" w:color="0000EE"/>
            </w:tcBorders>
            <w:gridSpan w:val="14"/>
          </w:tcPr>
          <w:p>
            <w:pPr>
              <w:spacing w:after="0" w:line="182" w:lineRule="exact"/>
              <w:rPr>
                <w:rFonts w:ascii="Arial" w:cs="Arial" w:eastAsia="Arial" w:hAnsi="Arial"/>
                <w:sz w:val="18"/>
                <w:szCs w:val="18"/>
                <w:b w:val="1"/>
                <w:bCs w:val="1"/>
                <w:color w:val="0000EE"/>
                <w:w w:val="94"/>
              </w:rPr>
            </w:pPr>
            <w:hyperlink w:anchor="page62">
              <w:r>
                <w:rPr>
                  <w:rFonts w:ascii="Arial" w:cs="Arial" w:eastAsia="Arial" w:hAnsi="Arial"/>
                  <w:sz w:val="18"/>
                  <w:szCs w:val="18"/>
                  <w:b w:val="1"/>
                  <w:bCs w:val="1"/>
                  <w:color w:val="0000EE"/>
                  <w:w w:val="94"/>
                </w:rPr>
                <w:t>Regarding A Political</w:t>
              </w:r>
            </w:hyperlink>
          </w:p>
        </w:tc>
        <w:tc>
          <w:tcPr>
            <w:tcW w:w="320" w:type="dxa"/>
            <w:vAlign w:val="bottom"/>
            <w:gridSpan w:val="3"/>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Non-Employee Director Compensation Table</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14</w:t>
            </w:r>
          </w:p>
        </w:tc>
        <w:tc>
          <w:tcPr>
            <w:tcW w:w="4640" w:type="dxa"/>
            <w:vAlign w:val="bottom"/>
            <w:gridSpan w:val="31"/>
          </w:tcPr>
          <w:p>
            <w:pPr>
              <w:ind w:left="220"/>
              <w:spacing w:after="0" w:line="182"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Contributions Report</w:t>
              </w:r>
            </w:hyperlink>
          </w:p>
        </w:tc>
        <w:tc>
          <w:tcPr>
            <w:tcW w:w="320" w:type="dxa"/>
            <w:vAlign w:val="bottom"/>
            <w:gridSpan w:val="3"/>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40" w:type="dxa"/>
            <w:vAlign w:val="bottom"/>
            <w:gridSpan w:val="1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90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880" w:type="dxa"/>
            <w:vAlign w:val="bottom"/>
            <w:gridSpan w:val="12"/>
            <w:vMerge w:val="restart"/>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460" w:type="dxa"/>
            <w:vAlign w:val="bottom"/>
            <w:gridSpan w:val="5"/>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line="20" w:lineRule="exact"/>
              <w:rPr>
                <w:sz w:val="1"/>
                <w:szCs w:val="1"/>
                <w:color w:val="auto"/>
              </w:rPr>
            </w:pPr>
          </w:p>
        </w:tc>
      </w:tr>
      <w:tr>
        <w:trPr>
          <w:trHeight w:val="183"/>
        </w:trPr>
        <w:tc>
          <w:tcPr>
            <w:tcW w:w="3920" w:type="dxa"/>
            <w:vAlign w:val="bottom"/>
            <w:gridSpan w:val="26"/>
          </w:tcPr>
          <w:p>
            <w:pPr>
              <w:spacing w:after="0" w:line="182"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Executive Officers</w:t>
              </w:r>
            </w:hyperlink>
          </w:p>
        </w:tc>
        <w:tc>
          <w:tcPr>
            <w:tcW w:w="10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15</w:t>
            </w:r>
          </w:p>
        </w:tc>
        <w:tc>
          <w:tcPr>
            <w:tcW w:w="1980" w:type="dxa"/>
            <w:vAlign w:val="bottom"/>
            <w:gridSpan w:val="9"/>
          </w:tcPr>
          <w:p>
            <w:pPr>
              <w:spacing w:after="0" w:line="18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Additional Information</w:t>
              </w:r>
            </w:hyperlink>
          </w:p>
        </w:tc>
        <w:tc>
          <w:tcPr>
            <w:tcW w:w="200" w:type="dxa"/>
            <w:vAlign w:val="bottom"/>
            <w:gridSpan w:val="2"/>
            <w:vMerge w:val="continue"/>
          </w:tcPr>
          <w:p>
            <w:pPr>
              <w:spacing w:after="0"/>
              <w:rPr>
                <w:sz w:val="15"/>
                <w:szCs w:val="15"/>
                <w:color w:val="auto"/>
              </w:rPr>
            </w:pPr>
          </w:p>
        </w:tc>
        <w:tc>
          <w:tcPr>
            <w:tcW w:w="1880" w:type="dxa"/>
            <w:vAlign w:val="bottom"/>
            <w:gridSpan w:val="12"/>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60" w:type="dxa"/>
            <w:vAlign w:val="bottom"/>
            <w:gridSpan w:val="5"/>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440" w:type="dxa"/>
            <w:vAlign w:val="bottom"/>
            <w:gridSpan w:val="1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4"/>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900" w:type="dxa"/>
            <w:vAlign w:val="bottom"/>
            <w:gridSpan w:val="4"/>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line="20" w:lineRule="exact"/>
              <w:rPr>
                <w:sz w:val="1"/>
                <w:szCs w:val="1"/>
                <w:color w:val="auto"/>
              </w:rPr>
            </w:pPr>
          </w:p>
        </w:tc>
      </w:tr>
      <w:tr>
        <w:trPr>
          <w:trHeight w:val="183"/>
        </w:trPr>
        <w:tc>
          <w:tcPr>
            <w:tcW w:w="1520" w:type="dxa"/>
            <w:vAlign w:val="bottom"/>
            <w:gridSpan w:val="6"/>
          </w:tcPr>
          <w:p>
            <w:pPr>
              <w:spacing w:after="0" w:line="18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Security Ownership</w:t>
              </w:r>
            </w:hyperlink>
          </w:p>
        </w:tc>
        <w:tc>
          <w:tcPr>
            <w:tcW w:w="1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440" w:type="dxa"/>
            <w:vAlign w:val="bottom"/>
            <w:gridSpan w:val="1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16</w:t>
            </w:r>
          </w:p>
        </w:tc>
        <w:tc>
          <w:tcPr>
            <w:tcW w:w="4960" w:type="dxa"/>
            <w:vAlign w:val="bottom"/>
            <w:gridSpan w:val="34"/>
          </w:tcPr>
          <w:p>
            <w:pPr>
              <w:ind w:left="220"/>
              <w:spacing w:after="0" w:line="18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Proxy Procedure and Expenses of Solicitation</w:t>
              </w:r>
            </w:hyperlink>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w w:val="93"/>
              </w:rPr>
            </w:pPr>
            <w:hyperlink w:anchor="page21">
              <w:r>
                <w:rPr>
                  <w:rFonts w:ascii="Arial" w:cs="Arial" w:eastAsia="Arial" w:hAnsi="Arial"/>
                  <w:sz w:val="18"/>
                  <w:szCs w:val="18"/>
                  <w:b w:val="1"/>
                  <w:bCs w:val="1"/>
                  <w:color w:val="0000EE"/>
                  <w:w w:val="93"/>
                </w:rPr>
                <w:t>Certain Beneficial</w:t>
              </w:r>
            </w:hyperlink>
          </w:p>
        </w:tc>
        <w:tc>
          <w:tcPr>
            <w:tcW w:w="3440" w:type="dxa"/>
            <w:vAlign w:val="bottom"/>
            <w:gridSpan w:val="27"/>
          </w:tcPr>
          <w:p>
            <w:pPr>
              <w:ind w:left="80"/>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Ownership and Management</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384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Stockholder Proposals</w:t>
              </w:r>
            </w:hyperlink>
          </w:p>
        </w:tc>
        <w:tc>
          <w:tcPr>
            <w:tcW w:w="180" w:type="dxa"/>
            <w:vAlign w:val="bottom"/>
            <w:gridSpan w:val="3"/>
          </w:tcPr>
          <w:p>
            <w:pPr>
              <w:spacing w:after="0"/>
              <w:rPr>
                <w:sz w:val="15"/>
                <w:szCs w:val="15"/>
                <w:color w:val="auto"/>
              </w:rPr>
            </w:pPr>
          </w:p>
        </w:tc>
        <w:tc>
          <w:tcPr>
            <w:tcW w:w="260" w:type="dxa"/>
            <w:vAlign w:val="bottom"/>
            <w:gridSpan w:val="3"/>
          </w:tcPr>
          <w:p>
            <w:pPr>
              <w:spacing w:after="0"/>
              <w:rPr>
                <w:sz w:val="15"/>
                <w:szCs w:val="15"/>
                <w:color w:val="auto"/>
              </w:rPr>
            </w:pPr>
          </w:p>
        </w:tc>
        <w:tc>
          <w:tcPr>
            <w:tcW w:w="46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Section 16(a) Beneficial Ownership Reporting</w:t>
              </w:r>
            </w:hyperlink>
          </w:p>
        </w:tc>
        <w:tc>
          <w:tcPr>
            <w:tcW w:w="90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Annual Report</w:t>
              </w:r>
            </w:hyperlink>
          </w:p>
        </w:tc>
        <w:tc>
          <w:tcPr>
            <w:tcW w:w="2060" w:type="dxa"/>
            <w:vAlign w:val="bottom"/>
            <w:gridSpan w:val="15"/>
          </w:tcPr>
          <w:p>
            <w:pPr>
              <w:spacing w:after="0"/>
              <w:rPr>
                <w:sz w:val="15"/>
                <w:szCs w:val="15"/>
                <w:color w:val="auto"/>
              </w:rPr>
            </w:pPr>
          </w:p>
        </w:tc>
        <w:tc>
          <w:tcPr>
            <w:tcW w:w="260" w:type="dxa"/>
            <w:vAlign w:val="bottom"/>
            <w:gridSpan w:val="3"/>
          </w:tcPr>
          <w:p>
            <w:pPr>
              <w:spacing w:after="0"/>
              <w:rPr>
                <w:sz w:val="15"/>
                <w:szCs w:val="15"/>
                <w:color w:val="auto"/>
              </w:rPr>
            </w:pPr>
          </w:p>
        </w:tc>
        <w:tc>
          <w:tcPr>
            <w:tcW w:w="46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b w:val="1"/>
                <w:bCs w:val="1"/>
                <w:color w:val="0000EE"/>
                <w:w w:val="96"/>
              </w:rPr>
            </w:pPr>
            <w:hyperlink w:anchor="page22">
              <w:r>
                <w:rPr>
                  <w:rFonts w:ascii="Arial" w:cs="Arial" w:eastAsia="Arial" w:hAnsi="Arial"/>
                  <w:sz w:val="18"/>
                  <w:szCs w:val="18"/>
                  <w:b w:val="1"/>
                  <w:bCs w:val="1"/>
                  <w:color w:val="0000EE"/>
                  <w:w w:val="96"/>
                </w:rPr>
                <w:t>Compliance</w:t>
              </w:r>
            </w:hyperlink>
          </w:p>
        </w:tc>
        <w:tc>
          <w:tcPr>
            <w:tcW w:w="2580" w:type="dxa"/>
            <w:vAlign w:val="bottom"/>
            <w:tcBorders>
              <w:top w:val="single" w:sz="8" w:color="0000EE"/>
            </w:tcBorders>
            <w:gridSpan w:val="22"/>
          </w:tcPr>
          <w:p>
            <w:pPr>
              <w:spacing w:after="0"/>
              <w:rPr>
                <w:sz w:val="15"/>
                <w:szCs w:val="15"/>
                <w:color w:val="auto"/>
              </w:rPr>
            </w:pPr>
          </w:p>
        </w:tc>
        <w:tc>
          <w:tcPr>
            <w:tcW w:w="100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96"/>
              </w:rPr>
            </w:pPr>
            <w:hyperlink w:anchor="page64">
              <w:r>
                <w:rPr>
                  <w:rFonts w:ascii="Arial" w:cs="Arial" w:eastAsia="Arial" w:hAnsi="Arial"/>
                  <w:sz w:val="18"/>
                  <w:szCs w:val="18"/>
                  <w:b w:val="1"/>
                  <w:bCs w:val="1"/>
                  <w:color w:val="0000EE"/>
                  <w:w w:val="96"/>
                </w:rPr>
                <w:t>Householding</w:t>
              </w:r>
            </w:hyperlink>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9"/>
          </w:tcPr>
          <w:p>
            <w:pPr>
              <w:spacing w:after="0"/>
              <w:rPr>
                <w:sz w:val="15"/>
                <w:szCs w:val="15"/>
                <w:color w:val="auto"/>
              </w:rPr>
            </w:pPr>
          </w:p>
        </w:tc>
        <w:tc>
          <w:tcPr>
            <w:tcW w:w="260" w:type="dxa"/>
            <w:vAlign w:val="bottom"/>
            <w:gridSpan w:val="3"/>
          </w:tcPr>
          <w:p>
            <w:pPr>
              <w:spacing w:after="0"/>
              <w:rPr>
                <w:sz w:val="15"/>
                <w:szCs w:val="15"/>
                <w:color w:val="auto"/>
              </w:rPr>
            </w:pPr>
          </w:p>
        </w:tc>
        <w:tc>
          <w:tcPr>
            <w:tcW w:w="46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183"/>
        </w:trPr>
        <w:tc>
          <w:tcPr>
            <w:tcW w:w="1440" w:type="dxa"/>
            <w:vAlign w:val="bottom"/>
            <w:gridSpan w:val="5"/>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w:t>
              </w:r>
            </w:hyperlink>
          </w:p>
        </w:tc>
        <w:tc>
          <w:tcPr>
            <w:tcW w:w="3660" w:type="dxa"/>
            <w:vAlign w:val="bottom"/>
            <w:gridSpan w:val="29"/>
          </w:tcPr>
          <w:p>
            <w:pPr>
              <w:jc w:val="center"/>
              <w:ind w:right="1780"/>
              <w:spacing w:after="0" w:line="182" w:lineRule="exact"/>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Discussion and Analysis</w:t>
              </w:r>
            </w:hyperlink>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18</w:t>
            </w:r>
          </w:p>
        </w:tc>
        <w:tc>
          <w:tcPr>
            <w:tcW w:w="220" w:type="dxa"/>
            <w:vAlign w:val="bottom"/>
          </w:tcPr>
          <w:p>
            <w:pPr>
              <w:spacing w:after="0"/>
              <w:rPr>
                <w:sz w:val="15"/>
                <w:szCs w:val="15"/>
                <w:color w:val="auto"/>
              </w:rPr>
            </w:pPr>
          </w:p>
        </w:tc>
        <w:tc>
          <w:tcPr>
            <w:tcW w:w="1200" w:type="dxa"/>
            <w:vAlign w:val="bottom"/>
            <w:gridSpan w:val="4"/>
          </w:tcPr>
          <w:p>
            <w:pPr>
              <w:spacing w:after="0" w:line="182" w:lineRule="exact"/>
              <w:rPr>
                <w:rFonts w:ascii="Arial" w:cs="Arial" w:eastAsia="Arial" w:hAnsi="Arial"/>
                <w:sz w:val="18"/>
                <w:szCs w:val="18"/>
                <w:b w:val="1"/>
                <w:bCs w:val="1"/>
                <w:color w:val="0000EE"/>
                <w:w w:val="87"/>
              </w:rPr>
            </w:pPr>
            <w:hyperlink w:anchor="page65">
              <w:r>
                <w:rPr>
                  <w:rFonts w:ascii="Arial" w:cs="Arial" w:eastAsia="Arial" w:hAnsi="Arial"/>
                  <w:sz w:val="18"/>
                  <w:szCs w:val="18"/>
                  <w:b w:val="1"/>
                  <w:bCs w:val="1"/>
                  <w:color w:val="0000EE"/>
                  <w:w w:val="87"/>
                </w:rPr>
                <w:t>Other Business</w:t>
              </w:r>
            </w:hyperlink>
          </w:p>
        </w:tc>
        <w:tc>
          <w:tcPr>
            <w:tcW w:w="100" w:type="dxa"/>
            <w:vAlign w:val="bottom"/>
            <w:gridSpan w:val="2"/>
          </w:tcPr>
          <w:p>
            <w:pPr>
              <w:spacing w:after="0"/>
              <w:rPr>
                <w:sz w:val="15"/>
                <w:szCs w:val="15"/>
                <w:color w:val="auto"/>
              </w:rPr>
            </w:pPr>
          </w:p>
        </w:tc>
        <w:tc>
          <w:tcPr>
            <w:tcW w:w="2720" w:type="dxa"/>
            <w:vAlign w:val="bottom"/>
            <w:gridSpan w:val="19"/>
            <w:vMerge w:val="restart"/>
          </w:tcPr>
          <w:p>
            <w:pPr>
              <w:ind w:left="100"/>
              <w:spacing w:after="0"/>
              <w:rPr>
                <w:rFonts w:ascii="Arial" w:cs="Arial" w:eastAsia="Arial" w:hAnsi="Arial"/>
                <w:sz w:val="18"/>
                <w:szCs w:val="18"/>
                <w:b w:val="1"/>
                <w:bCs w:val="1"/>
                <w:color w:val="0000EE"/>
                <w:w w:val="96"/>
              </w:rPr>
            </w:pPr>
            <w:hyperlink w:anchor="page66">
              <w:r>
                <w:rPr>
                  <w:rFonts w:ascii="Arial" w:cs="Arial" w:eastAsia="Arial" w:hAnsi="Arial"/>
                  <w:sz w:val="18"/>
                  <w:szCs w:val="18"/>
                  <w:b w:val="1"/>
                  <w:bCs w:val="1"/>
                  <w:color w:val="0000EE"/>
                  <w:w w:val="96"/>
                </w:rPr>
                <w:t>Resorts, Limited 2014 Omnibus</w:t>
              </w:r>
            </w:hyperlink>
          </w:p>
        </w:tc>
        <w:tc>
          <w:tcPr>
            <w:tcW w:w="720" w:type="dxa"/>
            <w:vAlign w:val="bottom"/>
            <w:gridSpan w:val="8"/>
            <w:vMerge w:val="restart"/>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440" w:type="dxa"/>
            <w:vAlign w:val="bottom"/>
            <w:gridSpan w:val="13"/>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80" w:type="dxa"/>
            <w:vAlign w:val="bottom"/>
            <w:gridSpan w:val="10"/>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720" w:type="dxa"/>
            <w:vAlign w:val="bottom"/>
            <w:gridSpan w:val="19"/>
            <w:vMerge w:val="continue"/>
          </w:tcPr>
          <w:p>
            <w:pPr>
              <w:spacing w:after="0" w:line="20" w:lineRule="exact"/>
              <w:rPr>
                <w:sz w:val="1"/>
                <w:szCs w:val="1"/>
                <w:color w:val="auto"/>
              </w:rPr>
            </w:pPr>
          </w:p>
        </w:tc>
        <w:tc>
          <w:tcPr>
            <w:tcW w:w="720" w:type="dxa"/>
            <w:vAlign w:val="bottom"/>
            <w:gridSpan w:val="8"/>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680" w:type="dxa"/>
            <w:vAlign w:val="bottom"/>
            <w:tcBorders>
              <w:bottom w:val="single" w:sz="8" w:color="0000EE"/>
            </w:tcBorders>
            <w:gridSpan w:val="8"/>
          </w:tcPr>
          <w:p>
            <w:pPr>
              <w:spacing w:after="0" w:line="182" w:lineRule="exact"/>
              <w:rPr>
                <w:rFonts w:ascii="Arial" w:cs="Arial" w:eastAsia="Arial" w:hAnsi="Arial"/>
                <w:sz w:val="18"/>
                <w:szCs w:val="18"/>
                <w:b w:val="1"/>
                <w:bCs w:val="1"/>
                <w:color w:val="0000EE"/>
                <w:w w:val="97"/>
              </w:rPr>
            </w:pPr>
            <w:hyperlink w:anchor="page23">
              <w:r>
                <w:rPr>
                  <w:rFonts w:ascii="Arial" w:cs="Arial" w:eastAsia="Arial" w:hAnsi="Arial"/>
                  <w:sz w:val="18"/>
                  <w:szCs w:val="18"/>
                  <w:b w:val="1"/>
                  <w:bCs w:val="1"/>
                  <w:color w:val="0000EE"/>
                  <w:w w:val="97"/>
                </w:rPr>
                <w:t>Executive Summary</w:t>
              </w:r>
            </w:hyperlink>
          </w:p>
        </w:tc>
        <w:tc>
          <w:tcPr>
            <w:tcW w:w="1440" w:type="dxa"/>
            <w:vAlign w:val="bottom"/>
            <w:gridSpan w:val="13"/>
          </w:tcPr>
          <w:p>
            <w:pPr>
              <w:spacing w:after="0"/>
              <w:rPr>
                <w:sz w:val="15"/>
                <w:szCs w:val="15"/>
                <w:color w:val="auto"/>
              </w:rPr>
            </w:pPr>
          </w:p>
        </w:tc>
        <w:tc>
          <w:tcPr>
            <w:tcW w:w="20" w:type="dxa"/>
            <w:vAlign w:val="bottom"/>
            <w:vMerge w:val="continue"/>
          </w:tcPr>
          <w:p>
            <w:pPr>
              <w:spacing w:after="0"/>
              <w:rPr>
                <w:sz w:val="15"/>
                <w:szCs w:val="15"/>
                <w:color w:val="auto"/>
              </w:rPr>
            </w:pPr>
          </w:p>
        </w:tc>
        <w:tc>
          <w:tcPr>
            <w:tcW w:w="1680" w:type="dxa"/>
            <w:vAlign w:val="bottom"/>
            <w:gridSpan w:val="10"/>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18</w:t>
            </w:r>
          </w:p>
        </w:tc>
        <w:tc>
          <w:tcPr>
            <w:tcW w:w="1520" w:type="dxa"/>
            <w:vAlign w:val="bottom"/>
            <w:tcBorders>
              <w:bottom w:val="single" w:sz="8" w:color="0000EE"/>
            </w:tcBorders>
            <w:gridSpan w:val="7"/>
          </w:tcPr>
          <w:p>
            <w:pPr>
              <w:spacing w:after="0" w:line="182" w:lineRule="exact"/>
              <w:rPr>
                <w:rFonts w:ascii="Arial" w:cs="Arial" w:eastAsia="Arial" w:hAnsi="Arial"/>
                <w:sz w:val="18"/>
                <w:szCs w:val="18"/>
                <w:b w:val="1"/>
                <w:bCs w:val="1"/>
                <w:color w:val="0000EE"/>
                <w:w w:val="93"/>
              </w:rPr>
            </w:pPr>
            <w:hyperlink w:anchor="page66">
              <w:r>
                <w:rPr>
                  <w:rFonts w:ascii="Arial" w:cs="Arial" w:eastAsia="Arial" w:hAnsi="Arial"/>
                  <w:sz w:val="18"/>
                  <w:szCs w:val="18"/>
                  <w:b w:val="1"/>
                  <w:bCs w:val="1"/>
                  <w:color w:val="0000EE"/>
                  <w:w w:val="93"/>
                </w:rPr>
                <w:t>Appendix A: Wynn</w:t>
              </w:r>
            </w:hyperlink>
          </w:p>
        </w:tc>
        <w:tc>
          <w:tcPr>
            <w:tcW w:w="2720" w:type="dxa"/>
            <w:vAlign w:val="bottom"/>
            <w:tcBorders>
              <w:bottom w:val="single" w:sz="8" w:color="0000EE"/>
            </w:tcBorders>
            <w:gridSpan w:val="19"/>
            <w:vMerge w:val="continue"/>
          </w:tcPr>
          <w:p>
            <w:pPr>
              <w:spacing w:after="0"/>
              <w:rPr>
                <w:sz w:val="15"/>
                <w:szCs w:val="15"/>
                <w:color w:val="auto"/>
              </w:rPr>
            </w:pPr>
          </w:p>
        </w:tc>
        <w:tc>
          <w:tcPr>
            <w:tcW w:w="720" w:type="dxa"/>
            <w:vAlign w:val="bottom"/>
            <w:gridSpan w:val="8"/>
            <w:vMerge w:val="continue"/>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900" w:type="dxa"/>
            <w:vAlign w:val="bottom"/>
            <w:gridSpan w:val="33"/>
          </w:tcPr>
          <w:p>
            <w:pPr>
              <w:spacing w:after="0" w:line="182" w:lineRule="exact"/>
              <w:rPr>
                <w:rFonts w:ascii="Arial" w:cs="Arial" w:eastAsia="Arial" w:hAnsi="Arial"/>
                <w:sz w:val="18"/>
                <w:szCs w:val="18"/>
                <w:b w:val="1"/>
                <w:bCs w:val="1"/>
                <w:color w:val="0000EE"/>
                <w:w w:val="98"/>
              </w:rPr>
            </w:pPr>
            <w:hyperlink w:anchor="page28">
              <w:r>
                <w:rPr>
                  <w:rFonts w:ascii="Arial" w:cs="Arial" w:eastAsia="Arial" w:hAnsi="Arial"/>
                  <w:sz w:val="18"/>
                  <w:szCs w:val="18"/>
                  <w:b w:val="1"/>
                  <w:bCs w:val="1"/>
                  <w:color w:val="0000EE"/>
                  <w:w w:val="98"/>
                </w:rPr>
                <w:t>Philosophy and Overview of our Executive Compensation</w:t>
              </w:r>
            </w:hyperlink>
          </w:p>
        </w:tc>
        <w:tc>
          <w:tcPr>
            <w:tcW w:w="700" w:type="dxa"/>
            <w:vAlign w:val="bottom"/>
          </w:tcPr>
          <w:p>
            <w:pPr>
              <w:spacing w:after="0"/>
              <w:rPr>
                <w:sz w:val="15"/>
                <w:szCs w:val="15"/>
                <w:color w:val="auto"/>
              </w:rPr>
            </w:pPr>
          </w:p>
        </w:tc>
        <w:tc>
          <w:tcPr>
            <w:tcW w:w="4240" w:type="dxa"/>
            <w:vAlign w:val="bottom"/>
            <w:gridSpan w:val="26"/>
          </w:tcPr>
          <w:p>
            <w:pPr>
              <w:ind w:left="220"/>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Incentive Plan</w:t>
              </w:r>
            </w:hyperlink>
          </w:p>
        </w:tc>
        <w:tc>
          <w:tcPr>
            <w:tcW w:w="260" w:type="dxa"/>
            <w:vAlign w:val="bottom"/>
            <w:gridSpan w:val="3"/>
          </w:tcPr>
          <w:p>
            <w:pPr>
              <w:spacing w:after="0"/>
              <w:rPr>
                <w:sz w:val="15"/>
                <w:szCs w:val="15"/>
                <w:color w:val="auto"/>
              </w:rPr>
            </w:pPr>
          </w:p>
        </w:tc>
        <w:tc>
          <w:tcPr>
            <w:tcW w:w="460" w:type="dxa"/>
            <w:vAlign w:val="bottom"/>
            <w:gridSpan w:val="5"/>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0" w:type="dxa"/>
            <w:vAlign w:val="bottom"/>
            <w:gridSpan w:val="19"/>
            <w:shd w:val="clear" w:color="auto" w:fill="0000EE"/>
          </w:tcPr>
          <w:p>
            <w:pPr>
              <w:spacing w:after="0" w:line="20" w:lineRule="exact"/>
              <w:rPr>
                <w:sz w:val="1"/>
                <w:szCs w:val="1"/>
                <w:color w:val="auto"/>
              </w:rPr>
            </w:pPr>
          </w:p>
        </w:tc>
        <w:tc>
          <w:tcPr>
            <w:tcW w:w="1680" w:type="dxa"/>
            <w:vAlign w:val="bottom"/>
            <w:gridSpan w:val="10"/>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3080" w:type="dxa"/>
            <w:vAlign w:val="bottom"/>
            <w:gridSpan w:val="2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B-1</w:t>
            </w: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0" w:type="dxa"/>
            <w:vAlign w:val="bottom"/>
            <w:gridSpan w:val="31"/>
          </w:tcPr>
          <w:p>
            <w:pPr>
              <w:spacing w:after="0" w:line="182"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Program</w:t>
              </w:r>
            </w:hyperlink>
          </w:p>
        </w:tc>
        <w:tc>
          <w:tcPr>
            <w:tcW w:w="80" w:type="dxa"/>
            <w:vAlign w:val="bottom"/>
            <w:vMerge w:val="continue"/>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23</w:t>
            </w:r>
          </w:p>
        </w:tc>
        <w:tc>
          <w:tcPr>
            <w:tcW w:w="4960" w:type="dxa"/>
            <w:vAlign w:val="bottom"/>
            <w:gridSpan w:val="34"/>
          </w:tcPr>
          <w:p>
            <w:pPr>
              <w:spacing w:after="0" w:line="182"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Appendix B: Director Qualification Bylaw Amendment</w:t>
              </w:r>
            </w:hyperlink>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0" w:type="dxa"/>
            <w:vAlign w:val="bottom"/>
            <w:gridSpan w:val="19"/>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140" w:type="dxa"/>
            <w:vAlign w:val="bottom"/>
            <w:tcBorders>
              <w:bottom w:val="single" w:sz="8" w:color="0000EE"/>
            </w:tcBorders>
            <w:gridSpan w:val="22"/>
          </w:tcPr>
          <w:p>
            <w:pPr>
              <w:spacing w:after="0" w:line="182"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Elements of Executive Compensation</w:t>
              </w:r>
            </w:hyperlink>
          </w:p>
        </w:tc>
        <w:tc>
          <w:tcPr>
            <w:tcW w:w="1760" w:type="dxa"/>
            <w:vAlign w:val="bottom"/>
            <w:gridSpan w:val="11"/>
          </w:tcPr>
          <w:p>
            <w:pPr>
              <w:spacing w:after="0"/>
              <w:rPr>
                <w:sz w:val="15"/>
                <w:szCs w:val="15"/>
                <w:color w:val="auto"/>
              </w:rPr>
            </w:pPr>
          </w:p>
        </w:tc>
        <w:tc>
          <w:tcPr>
            <w:tcW w:w="700" w:type="dxa"/>
            <w:vAlign w:val="bottom"/>
          </w:tcPr>
          <w:p>
            <w:pPr>
              <w:jc w:val="right"/>
              <w:ind w:right="352"/>
              <w:spacing w:after="0" w:line="18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2933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-81280</wp:posOffset>
            </wp:positionV>
            <wp:extent cx="13722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Our 2014 Annual Meeting of Stockholders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Proxy Statement is furnished to the stockholders of Wynn Resorts, Limited, a Nevada corporation (“Wynn Resorts,” “we” or the “Company”), in connection with the solicitation by its Board of Directors (the “Board”) of proxies for its 2014 Annual Meeting of Stockholders to be held on May 16, 2014, at Wynn Macau, in the Wynn Macau Ballroom, Rua Cidade de Sintra, NAPE, Macau, at 9:00 am (local time) (the “Annual Meeting”), and at any adjournments or postponements thereof. The Annual Meeting is being held in Macau in order to coincide with the annual meeting of Wynn Macau, Limited, our publicly traded and majority owned subsidiary.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614A3D"/>
              </w:rPr>
              <w:t>Proposal</w:t>
            </w:r>
          </w:p>
        </w:tc>
        <w:tc>
          <w:tcPr>
            <w:tcW w:w="818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21"/>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Number</w:t>
            </w:r>
          </w:p>
        </w:tc>
        <w:tc>
          <w:tcPr>
            <w:tcW w:w="81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Proposal</w:t>
            </w:r>
          </w:p>
        </w:tc>
        <w:tc>
          <w:tcPr>
            <w:tcW w:w="2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614A3D"/>
                <w:w w:val="96"/>
              </w:rPr>
              <w:t>Board Recommendation</w:t>
            </w: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8180" w:type="dxa"/>
            <w:vAlign w:val="bottom"/>
          </w:tcPr>
          <w:p>
            <w:pPr>
              <w:ind w:left="100"/>
              <w:spacing w:after="0"/>
              <w:rPr>
                <w:sz w:val="20"/>
                <w:szCs w:val="20"/>
                <w:color w:val="auto"/>
              </w:rPr>
            </w:pPr>
            <w:r>
              <w:rPr>
                <w:rFonts w:ascii="Arial" w:cs="Arial" w:eastAsia="Arial" w:hAnsi="Arial"/>
                <w:sz w:val="18"/>
                <w:szCs w:val="18"/>
                <w:color w:val="auto"/>
                <w:w w:val="98"/>
              </w:rPr>
              <w:t>Election of director nominees named in this Proxy Statement to serve until the 2017 Annual Meeting of</w:t>
            </w:r>
          </w:p>
        </w:tc>
        <w:tc>
          <w:tcPr>
            <w:tcW w:w="2400" w:type="dxa"/>
            <w:vAlign w:val="bottom"/>
          </w:tcPr>
          <w:p>
            <w:pPr>
              <w:ind w:left="120"/>
              <w:spacing w:after="0"/>
              <w:rPr>
                <w:sz w:val="20"/>
                <w:szCs w:val="20"/>
                <w:color w:val="auto"/>
              </w:rPr>
            </w:pPr>
            <w:r>
              <w:rPr>
                <w:rFonts w:ascii="Arial" w:cs="Arial" w:eastAsia="Arial" w:hAnsi="Arial"/>
                <w:sz w:val="18"/>
                <w:szCs w:val="18"/>
                <w:color w:val="auto"/>
              </w:rPr>
              <w:t>FOR each nominee</w:t>
            </w:r>
          </w:p>
        </w:tc>
      </w:tr>
      <w:tr>
        <w:trPr>
          <w:trHeight w:val="211"/>
        </w:trPr>
        <w:tc>
          <w:tcPr>
            <w:tcW w:w="84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Stockholders</w:t>
            </w:r>
          </w:p>
        </w:tc>
        <w:tc>
          <w:tcPr>
            <w:tcW w:w="240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100"/>
              <w:spacing w:after="0"/>
              <w:rPr>
                <w:sz w:val="20"/>
                <w:szCs w:val="20"/>
                <w:color w:val="auto"/>
              </w:rPr>
            </w:pPr>
            <w:r>
              <w:rPr>
                <w:rFonts w:ascii="Arial" w:cs="Arial" w:eastAsia="Arial" w:hAnsi="Arial"/>
                <w:sz w:val="18"/>
                <w:szCs w:val="18"/>
                <w:color w:val="auto"/>
                <w:w w:val="99"/>
              </w:rPr>
              <w:t>Ratification of the appointment of Ernst &amp; Young LLP as our independent registered public accounting</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firm for the fiscal year ending December 31, 2014</w:t>
            </w:r>
          </w:p>
        </w:tc>
        <w:tc>
          <w:tcPr>
            <w:tcW w:w="2400" w:type="dxa"/>
            <w:vAlign w:val="bottom"/>
          </w:tcPr>
          <w:p>
            <w:pPr>
              <w:spacing w:after="0"/>
              <w:rPr>
                <w:sz w:val="18"/>
                <w:szCs w:val="18"/>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100"/>
              <w:spacing w:after="0"/>
              <w:rPr>
                <w:sz w:val="20"/>
                <w:szCs w:val="20"/>
                <w:color w:val="auto"/>
              </w:rPr>
            </w:pPr>
            <w:r>
              <w:rPr>
                <w:rFonts w:ascii="Arial" w:cs="Arial" w:eastAsia="Arial" w:hAnsi="Arial"/>
                <w:sz w:val="18"/>
                <w:szCs w:val="18"/>
                <w:color w:val="auto"/>
              </w:rPr>
              <w:t>Approval, on an advisory basis, of our executive compensation</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4</w:t>
            </w:r>
          </w:p>
        </w:tc>
        <w:tc>
          <w:tcPr>
            <w:tcW w:w="8180" w:type="dxa"/>
            <w:vAlign w:val="bottom"/>
          </w:tcPr>
          <w:p>
            <w:pPr>
              <w:ind w:left="100"/>
              <w:spacing w:after="0"/>
              <w:rPr>
                <w:sz w:val="20"/>
                <w:szCs w:val="20"/>
                <w:color w:val="auto"/>
              </w:rPr>
            </w:pPr>
            <w:r>
              <w:rPr>
                <w:rFonts w:ascii="Arial" w:cs="Arial" w:eastAsia="Arial" w:hAnsi="Arial"/>
                <w:sz w:val="18"/>
                <w:szCs w:val="18"/>
                <w:color w:val="auto"/>
              </w:rPr>
              <w:t>Approval of our 2014 Omnibus Incentive Plan</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5</w:t>
            </w:r>
          </w:p>
        </w:tc>
        <w:tc>
          <w:tcPr>
            <w:tcW w:w="8180" w:type="dxa"/>
            <w:vAlign w:val="bottom"/>
          </w:tcPr>
          <w:p>
            <w:pPr>
              <w:ind w:left="100"/>
              <w:spacing w:after="0"/>
              <w:rPr>
                <w:sz w:val="20"/>
                <w:szCs w:val="20"/>
                <w:color w:val="auto"/>
              </w:rPr>
            </w:pPr>
            <w:r>
              <w:rPr>
                <w:rFonts w:ascii="Arial" w:cs="Arial" w:eastAsia="Arial" w:hAnsi="Arial"/>
                <w:sz w:val="18"/>
                <w:szCs w:val="18"/>
                <w:color w:val="auto"/>
              </w:rPr>
              <w:t>Ratification, on an advisory basis, of the Director Qualification Bylaw Amendment, described in this</w:t>
            </w:r>
          </w:p>
        </w:tc>
        <w:tc>
          <w:tcPr>
            <w:tcW w:w="2400" w:type="dxa"/>
            <w:vAlign w:val="bottom"/>
          </w:tcPr>
          <w:p>
            <w:pPr>
              <w:ind w:left="12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Proxy Statement</w:t>
            </w:r>
          </w:p>
        </w:tc>
        <w:tc>
          <w:tcPr>
            <w:tcW w:w="2400" w:type="dxa"/>
            <w:vAlign w:val="bottom"/>
          </w:tcPr>
          <w:p>
            <w:pPr>
              <w:spacing w:after="0"/>
              <w:rPr>
                <w:sz w:val="18"/>
                <w:szCs w:val="18"/>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6</w:t>
            </w:r>
          </w:p>
        </w:tc>
        <w:tc>
          <w:tcPr>
            <w:tcW w:w="8180" w:type="dxa"/>
            <w:vAlign w:val="bottom"/>
          </w:tcPr>
          <w:p>
            <w:pPr>
              <w:ind w:left="100"/>
              <w:spacing w:after="0"/>
              <w:rPr>
                <w:sz w:val="20"/>
                <w:szCs w:val="20"/>
                <w:color w:val="auto"/>
              </w:rPr>
            </w:pPr>
            <w:r>
              <w:rPr>
                <w:rFonts w:ascii="Arial" w:cs="Arial" w:eastAsia="Arial" w:hAnsi="Arial"/>
                <w:sz w:val="18"/>
                <w:szCs w:val="18"/>
                <w:color w:val="auto"/>
              </w:rPr>
              <w:t>Vote on a stockholder proposal described in this Proxy Statement, if properly presented</w:t>
            </w:r>
          </w:p>
        </w:tc>
        <w:tc>
          <w:tcPr>
            <w:tcW w:w="2400" w:type="dxa"/>
            <w:vAlign w:val="bottom"/>
          </w:tcPr>
          <w:p>
            <w:pPr>
              <w:ind w:left="120"/>
              <w:spacing w:after="0"/>
              <w:rPr>
                <w:sz w:val="20"/>
                <w:szCs w:val="20"/>
                <w:color w:val="auto"/>
              </w:rPr>
            </w:pPr>
            <w:r>
              <w:rPr>
                <w:rFonts w:ascii="Arial" w:cs="Arial" w:eastAsia="Arial" w:hAnsi="Arial"/>
                <w:sz w:val="18"/>
                <w:szCs w:val="18"/>
                <w:color w:val="auto"/>
              </w:rPr>
              <w:t>AGAINST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of Internet Availability of Proxy Materials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rules adopted by the U.S. Securities and Exchange Commission (the “SEC”), we are furnishing proxy materials to stockholders via the internet, instead of mailing printed copies of those materials to each stockholder. On or about April 2, 2014, we will begin mailing to stockholders a Notice of Internet Availability containing instructions on how to access our Annual Meeting materials, including this Proxy Statement and our Annual Report for the fiscal year ending December 31, 2013. The Notice of Internet Availability also explains how to vote through the internet or telephonically.</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electronic access process expedites stockholders’ receipt of our Annual Meeting materials, lowers the cost of our Annual Meeting and conserves natural resources. However, if you would prefer to receive a printed copy of our Annual Meeting materials, a paper proxy card or voting instructions cards,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Revocability of Proxies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proxy delivered pursuant to this solicitation may be revoked by the person executing the proxy at any time before it is voted by (i) giving written notice to our Secretary at the address set forth below, (ii) delivering to our Secretary a later dated proxy, (iii) submitting another proxy by telephone or over the internet (your latest telephone or internet voting instructions are followed), or (iv) voting in person at the Annual Meeting. Written notice of revocation or subsequent proxy should be sent to:</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Please note, however, that if your shares are held through an intermediary such as a bank, broker or other nominee, you must contact that person if you wish to revoke previously given voting instructions. In this case, attendance at the Annual Meeting, in and of itself, does not revoke a prior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Voting and Solicitation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Only holders of record of shares of the Company’s common stock, par value $.01 (“Common Stock”) as of the close of business on March 24, 2014, the record date fixed by the Board (the “Record Date”), are entitled to notice of, and to vote at, the Annual Meeting and at any adjournments or postponements thereof. As of the Record Date, there were 101,257,217 shares of Common Stock outstanding. Each stockholder is entitled to one vote for each share of Common Stock held as of the Record Date on all matters presented at the Annual Meeting.</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and “withhold” votes are counted for purposes determining whether there is a quorum. A plurality of the votes cast in person or by proxy at the Annual Meeting is required for the election of the director nominees. Under Nevada law, shares as to which a stockholder withholds voting authority in the election of directors and broker non-votes, which are described below, will not be counted and therefore will not affect the election of the nominees receiving a plurality of the votes cast. In 2013, the Board implemented a Director Resignation Policy. Under this policy, if any director in an uncontested election does not receive over 50% of the votes cast, meaning that the director receives more “withhold” votes than “for” votes, such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 For stockholders who hold shares through intermediaries such as brokers, banks and other nominees, such intermediaries may not be permitted to vote without instructions from the stockholder unless the matter to be voted on is considered “routine.” In this Proxy Statement, only Proposal No. 2 (ratification of Ernst &amp; Young LLP as the Company’s independent registered public accounting firm) is considered routine. On each of the other proposals, including the election of directors, your broker, bank or other nominee may not vote your shares without receiving voting instructions from you. When a bank, broker or other nominee does not have authority to vote on a particular item without instructions from the beneficial owner and has not received instructions, a “broker non-vote” occurs.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Attending the Annual Meeting</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Stockholders will be admitted to the Annual Meeting upon presentation of government-issued photo identification and, for stockholders who own shares of the Company’s Common Stock through an intermediary, such as a bank, broker or other nominee, satisfactory proof of ownership of the Company’s Common Stock as of close of business on the Record Date for the Annual Meeting. For stockholders of record, a government-issued photo identification that matches the stockholder’s name on the Company’s stock ledger must be presented to attend the meeting. For stockholders who own shares of the Company’s Common Stock through an intermediary, such as a bank, broker or other nominee, satisfactory proof of ownership consists of a government-issued photo identification and a document that includes the stockholder’s name and confirms ownership as of the Record Date, such as (a) the Notice of Internet Availability that was mailed to them, (b) a copy of a voting instruction form mailed to them or (c) a valid proxy signed by the record holder. 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-81280</wp:posOffset>
            </wp:positionV>
            <wp:extent cx="4572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Second Amended and Restated Articles of Incorporation (the “Articles”) and Sixth Amended and Restated Bylaws (the “Bylaws”), the number of directors on our Board is established from time to time by resolution of the Board and must not be less than one nor more than thirteen members. Our Board currently has eight directors, divided into three classes, designated as Class I, Class II and Class III. Members of each class serve for a three-year term. At each annual meeting, the terms of one class of directors expire. The term of office of the current Class III directors will expire at the 2014 Annual Meeting. The term of office of the current Class I directors will expire in 2015 and the term of office of the current Class II directors will expire in 2016. Except as provided in our Director Resignation Policy, discussed above, each director holds office until his or her successor has been duly elected and qualified, or the director’s earlier resignation, death or removal. The nominees are all current directors of the Company. The persons designated as proxies will have discretion to cast votes for other persons in the event any nominee for director is unable to serve. At present, it is not anticipated that any nominee will be unable to serve.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Bylaws require that the number of directors in each class be such that as near as possible to one-third of the directors are elected at each annual meeting of stockholders. Accordingly, following the removal and resignation of Mr. Okada in February 2013, the Board was reclassified. Under Nevada law, the reclassification of an incumbent director may not extend that director’s current term. In accordance with these requirements, Mr. Wayson was reclassified from Class II to Class III and as a result was a nominee in 2013 and is a nominee again at this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directors for election 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w:t>
      </w:r>
    </w:p>
    <w:p>
      <w:pPr>
        <w:spacing w:after="0" w:line="72" w:lineRule="exact"/>
        <w:rPr>
          <w:sz w:val="20"/>
          <w:szCs w:val="20"/>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Robert J. Miller</w:t>
      </w: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 Boone Wayson</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Biographical and other information concerning these and the other directors that serve on our Board is provided below. Also included are the key skills and qualifications of our directors supporting their service,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180340</wp:posOffset>
            </wp:positionV>
            <wp:extent cx="7276465" cy="338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 THE ELECTION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OF THE NOMINEES LISTED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Biographies and Qualifications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Class III Director Nominees for Election</w:t>
      </w:r>
    </w:p>
    <w:p>
      <w:pPr>
        <w:spacing w:after="0" w:line="198" w:lineRule="exact"/>
        <w:rPr>
          <w:sz w:val="20"/>
          <w:szCs w:val="20"/>
          <w:color w:val="auto"/>
        </w:rPr>
      </w:pPr>
    </w:p>
    <w:p>
      <w:pPr>
        <w:jc w:val="both"/>
        <w:ind w:left="1840"/>
        <w:spacing w:after="0" w:line="274"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69, has served as a director of the Company since October 2002. Governor Miller serves</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Company’s independent Presiding Director, Chairman of the Nominating and Corporate Governance Committee and as a member of the Audit Committee. Governor Miller is also the Chairman of the Company’s Compliance Committee and serves as the Company’s Compliance Director. In those roles, he led the Board’s independent investigation of Aruze USA, Inc. (“Aruze”). On February 27, 2014, the Board acted to combine these roles under the Chairman of the Company’s Compliance Committee. In June 2010, Governor Miller founded Robert J. Miller Consulting, a company that provides assistance in establishing relationships with, and building partnerships between,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-921385</wp:posOffset>
            </wp:positionV>
            <wp:extent cx="823595" cy="986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government entities on the local, state, national and international level. Governor Miller also currently serves as a Senior Advisor to Grayling, a multidisciplinary governmental affairs strategy and management firm. Governor Miller was a partner of the Nevada law firm of Jones Vargas from 2000 to 2005. From January 1989 until January 1999, Governor Miller served as Governor of the State of Nevada, and, from 1987 to 1989, he served as Lieutenant Governor of the State of Nevada. From 1979 to 1987, Governor Miller was the Clark County District Attorney and from 1984 to 1985, the President of the National District Attorney’s Association. Governor Miller also serves as a director of International Game Technology (IGT).</w:t>
      </w:r>
    </w:p>
    <w:p>
      <w:pPr>
        <w:spacing w:after="0" w:line="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Experience, qualifications attributes and skills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Governor Miller’s extensive experience in regulatory and legal compliance matters,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federal government and politics, brings unique expertise and insight into law enforcement and state regulatory and public policy issues that directly impact the Company’s operations. In addition, his legal background and 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029335"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jc w:val="both"/>
        <w:ind w:left="1840"/>
        <w:spacing w:after="0"/>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61, has served as a director of the Company since August 2003. Mr. Wayson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Audit Committee and as a member of the Nominating and Corporate Governance Committee. Mr. Wayson has been a principal of Wayson’s Properties, Incorporated, a real estate development and holding company, since 1970. He also serves as an officer and/or director of other real estate and business ventures. From 2000 through May 2003, Mr. Wayson served as a member of the board of directors and audit committee of MGM Resorts International (formerly MGM Mirage).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Experience, qualifications attributes and skills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Wayson’s experience in the real estate and gaming businesses contributes to the Board’s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assess and oversee these critical aspects of the Company’s business and to provide insights to the Company’s operations. Mr. Wayson has extensive operational experience in the casino finance and marketing areas beginning as casino controller and ultimately managing a resort casino property in Atlantic City, N.J. The Board is benefited by Mr. Wayson’s first-hand experience in operations and utilizes his knowledge of the business, especially in the finance, gaming and marketing areas, to identify, manage and monitor risk.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Directors Continuing in Office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w:t>
      </w:r>
    </w:p>
    <w:p>
      <w:pPr>
        <w:spacing w:after="0" w:line="194" w:lineRule="exact"/>
        <w:rPr>
          <w:sz w:val="20"/>
          <w:szCs w:val="20"/>
          <w:color w:val="auto"/>
        </w:rPr>
      </w:pPr>
    </w:p>
    <w:p>
      <w:pPr>
        <w:ind w:left="1840"/>
        <w:spacing w:after="0" w:line="239"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Ms. Wynn, 71, has served as a director of the Company since October 2002. Ms. Wynn has been a strong</w:t>
      </w:r>
      <w:r>
        <w:rPr>
          <w:rFonts w:ascii="Arial" w:cs="Arial" w:eastAsia="Arial" w:hAnsi="Arial"/>
          <w:sz w:val="18"/>
          <w:szCs w:val="18"/>
          <w:b w:val="1"/>
          <w:bCs w:val="1"/>
          <w:color w:val="auto"/>
        </w:rPr>
        <w:t xml:space="preserve"> </w:t>
      </w:r>
      <w:r>
        <w:rPr>
          <w:rFonts w:ascii="Arial" w:cs="Arial" w:eastAsia="Arial" w:hAnsi="Arial"/>
          <w:sz w:val="18"/>
          <w:szCs w:val="18"/>
          <w:color w:val="auto"/>
        </w:rPr>
        <w:t>advocate of programs and services for children at risk of dropping out of school. Since 1995, she has co-chaired the Greater Las Vegas After-School All-Stars, an organization that provides thousands of children with high quality educational, recreational and cultural after-school programs. A past member of the Executive Board of the Consortium for Policy Research in Education, Ms. Wynn has served on the State of Nevada Council to Establish Academic Standards and chaired for eight years the UNLV Foundation (the private fundraising arm of University of Nevada, Las Vegas). She is the founding chairman of Communities in Schools of Nevada and was appointed in 2009 as chair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-903605</wp:posOffset>
            </wp:positionV>
            <wp:extent cx="823595" cy="986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national board of Communities in Schools, the oldest, most successful stay-in-school organization in America. In 2011, Ms. Wynn was appointed by Nevada’s governor to co-chair a Blue Ribbon Task Force for education reform that resulted in the enactment of ambitious new reform legislation. In 2013, Ms. Wynn was appointed by Governor Brian Sandoval to serve a two-year term on the Nevada State Board of Education and was subsequently elected unanimously by the board to serve as president of that body. Ms.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 On October 11, 2013, Ms. Wynn was elected to the Board of Directors of Activision Blizzard, Inc.</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Ms. Wynn’s experience in the gaming and hospitality businesses during her tenure as a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and Mirage Resorts has been valuable to the Board and important in the continued development of the Wynn brand. In addition, her philanthropic and community efforts as well as her history of assisting the Company on such matters have been important to the Board’s strategic and brand vision.</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January 6, 2010, Elaine Wynn, Aruze USA, Inc. (“Aruze”) (a company controlled by former director Mr. Okada) and Stephen A. Wynn entered into that certain Amended and Restated Stockholders Agreement dated January 6, 2010 (the “Stockholders Agreement”) which contains covenants and provisions relating to voting agreements (including endorsement of director candidates including Ms. Wynn), pre-emptive rights, rights of first refusal, tag-along rights and certain other restrictions. On February 18, 2012, the Company redeemed all of the shares previously owned by Aruze and on February 19, 2012, the Company filed a complaint in the Eighth Judicial District Court, Clark County, Nevada against Mr. Okada, Universal Entertainment Corporation and Aruze. On June 19, 2012, Elaine Wynn asserted a cross claim against Stephen A. Wynn and Aruze in the Aruze litigation (see Item 3—“Legal Proceedings” and elsewhere in our Annual Report on Form 10-K for the year ended December 31, 2013)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4.25% Senior Notes due 2023 (the “2023 Indenture,” and, together with the 2020 Indentures, the “Indentures”) provide that if Stephen A. Wynn, together with certain related parties, in the aggregate beneficially owns a lesser percentage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1029335"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outstanding common stock of the Company than are beneficially owned by any other person, a change in control will have occurred. The indentures for Wynn Las Vegas, LLC’s 5.375% first mortgage notes due 2022 (the “2022 Indenture”) provides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Company’s debt documents. Under the 2020 Indentures and the 2022 Indenture, the occurrence of a change in control requires that the Company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in control occurs and within 60 days after that occurrence the 4.25% senior notes are rated below investment grade by both rating agencies that rate such notes, the Company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25" w:lineRule="exact"/>
        <w:rPr>
          <w:sz w:val="20"/>
          <w:szCs w:val="20"/>
          <w:color w:val="auto"/>
        </w:rPr>
      </w:pPr>
    </w:p>
    <w:p>
      <w:pPr>
        <w:jc w:val="both"/>
        <w:ind w:left="1840"/>
        <w:spacing w:after="0"/>
        <w:rPr>
          <w:sz w:val="20"/>
          <w:szCs w:val="20"/>
          <w:color w:val="auto"/>
        </w:rPr>
      </w:pPr>
      <w:r>
        <w:rPr>
          <w:rFonts w:ascii="Arial" w:cs="Arial" w:eastAsia="Arial" w:hAnsi="Arial"/>
          <w:sz w:val="18"/>
          <w:szCs w:val="18"/>
          <w:b w:val="1"/>
          <w:bCs w:val="1"/>
          <w:color w:val="auto"/>
        </w:rPr>
        <w:t xml:space="preserve">J. Edward Virtue. </w:t>
      </w:r>
      <w:r>
        <w:rPr>
          <w:rFonts w:ascii="Arial" w:cs="Arial" w:eastAsia="Arial" w:hAnsi="Arial"/>
          <w:sz w:val="18"/>
          <w:szCs w:val="18"/>
          <w:color w:val="auto"/>
        </w:rPr>
        <w:t>Mr. Virtue, 53, has served as a director of the Company since November 2012. Mr. Virtue serves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Compensation Committee and as a member of the Nominating and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Experience, qualifications attributes and skills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Virtue has extensive financial experience as a fund manager and business investor,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experience in the gaming, hospitality and consumer products industries. The continuing challenges of the global economic environment require sophisticated and diverse experience in capital markets, which the Nominating and Governance Committee and the Board determined Mr. Virtue provides.</w:t>
      </w:r>
    </w:p>
    <w:p>
      <w:pPr>
        <w:spacing w:after="0" w:line="131" w:lineRule="exact"/>
        <w:rPr>
          <w:sz w:val="20"/>
          <w:szCs w:val="20"/>
          <w:color w:val="auto"/>
        </w:rPr>
      </w:pPr>
    </w:p>
    <w:p>
      <w:pPr>
        <w:jc w:val="both"/>
        <w:ind w:left="1840"/>
        <w:spacing w:after="0"/>
        <w:rPr>
          <w:sz w:val="20"/>
          <w:szCs w:val="20"/>
          <w:color w:val="auto"/>
        </w:rPr>
      </w:pPr>
      <w:r>
        <w:rPr>
          <w:rFonts w:ascii="Arial" w:cs="Arial" w:eastAsia="Arial" w:hAnsi="Arial"/>
          <w:sz w:val="18"/>
          <w:szCs w:val="18"/>
          <w:b w:val="1"/>
          <w:bCs w:val="1"/>
          <w:color w:val="auto"/>
        </w:rPr>
        <w:t xml:space="preserve">John J. Hagenbuch. </w:t>
      </w:r>
      <w:r>
        <w:rPr>
          <w:rFonts w:ascii="Arial" w:cs="Arial" w:eastAsia="Arial" w:hAnsi="Arial"/>
          <w:sz w:val="18"/>
          <w:szCs w:val="18"/>
          <w:color w:val="auto"/>
        </w:rPr>
        <w:t>Mr. Hagenbuch, 62, has served as a director of the Company since December 2012. Mr. Hagenbuch</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a member of the Compensation Committee and as a member of the Audit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 He graduated magna cum laude from Princeton University and holds an MBA from Stanford University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7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Hagenbuch brings to our Board deep corporate strategy and financial expertise gained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thirty years as a private equity investor and as a director of a number of public and private companies. Additionally, Mr. Hagenbuch provides valuable insight and perspective to our Board as the Company continues to position itself to capture new development opportunities in today’s gaming environment.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w:t>
      </w:r>
    </w:p>
    <w:p>
      <w:pPr>
        <w:spacing w:after="0" w:line="208" w:lineRule="exact"/>
        <w:rPr>
          <w:sz w:val="20"/>
          <w:szCs w:val="20"/>
          <w:color w:val="auto"/>
        </w:rPr>
      </w:pPr>
    </w:p>
    <w:p>
      <w:pPr>
        <w:jc w:val="both"/>
        <w:ind w:left="1840"/>
        <w:spacing w:after="0"/>
        <w:rPr>
          <w:sz w:val="20"/>
          <w:szCs w:val="20"/>
          <w:color w:val="auto"/>
        </w:rPr>
      </w:pPr>
      <w:r>
        <w:rPr>
          <w:rFonts w:ascii="Arial" w:cs="Arial" w:eastAsia="Arial" w:hAnsi="Arial"/>
          <w:sz w:val="18"/>
          <w:szCs w:val="18"/>
          <w:b w:val="1"/>
          <w:bCs w:val="1"/>
          <w:color w:val="auto"/>
        </w:rPr>
        <w:t xml:space="preserve">Dr. Ray R. Irani. </w:t>
      </w:r>
      <w:r>
        <w:rPr>
          <w:rFonts w:ascii="Arial" w:cs="Arial" w:eastAsia="Arial" w:hAnsi="Arial"/>
          <w:sz w:val="18"/>
          <w:szCs w:val="18"/>
          <w:color w:val="auto"/>
        </w:rPr>
        <w:t>Dr. Irani, 79, has served as a director of the Company since October 2007. Dr. Irani serves as a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Compensation Committee and as a member of the Nominating and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Governors of Town Hall Los Angeles and the Los Angeles World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823595" cy="986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Council, and serves on the Advisory Board of the RAND Center for Middle East Public Policy and the Atlantic Council’s International Advisory Board.</w:t>
      </w:r>
    </w:p>
    <w:p>
      <w:pPr>
        <w:spacing w:after="0" w:line="5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Experience, qualifications attributes and skills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opening of Wynn Macau in 2006, the Company sought additional representation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by executives with experience in managing 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29335"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5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823595" cy="986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35" w:lineRule="exact"/>
        <w:rPr>
          <w:sz w:val="20"/>
          <w:szCs w:val="20"/>
          <w:color w:val="auto"/>
        </w:rPr>
      </w:pPr>
    </w:p>
    <w:p>
      <w:pPr>
        <w:jc w:val="both"/>
        <w:ind w:left="1840"/>
        <w:spacing w:after="0" w:line="24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75, has served as a Director of the Company since December 2002. Mr. Shoemaker</w:t>
      </w:r>
      <w:r>
        <w:rPr>
          <w:rFonts w:ascii="Arial" w:cs="Arial" w:eastAsia="Arial" w:hAnsi="Arial"/>
          <w:sz w:val="18"/>
          <w:szCs w:val="18"/>
          <w:b w:val="1"/>
          <w:bCs w:val="1"/>
          <w:color w:val="auto"/>
        </w:rPr>
        <w:t xml:space="preserve"> </w:t>
      </w:r>
      <w:r>
        <w:rPr>
          <w:rFonts w:ascii="Arial" w:cs="Arial" w:eastAsia="Arial" w:hAnsi="Arial"/>
          <w:sz w:val="18"/>
          <w:szCs w:val="18"/>
          <w:color w:val="auto"/>
        </w:rPr>
        <w:t>was the Chairman of the Board of First Boston Inc. and First Boston Corp. from April 1983 until his retirement in January 1989, at the time of its sale to Credit Suisse Bank. Mr. Shoemaker currently serves as Chairman of the Board of the Eisenhower Medical Center and is a member of the board of directors of Frontier Bank, Western Community Bank Shares, and Huntsman Corporation.</w:t>
      </w:r>
    </w:p>
    <w:p>
      <w:pPr>
        <w:spacing w:after="0" w:line="3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Experience, qualifications attributes and skills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Shoemaker has served on the Board of the Company since its formation in 2002.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185" w:lineRule="exact"/>
        <w:rPr>
          <w:sz w:val="20"/>
          <w:szCs w:val="20"/>
          <w:color w:val="auto"/>
        </w:rPr>
      </w:pPr>
    </w:p>
    <w:p>
      <w:pPr>
        <w:jc w:val="both"/>
        <w:ind w:left="1840"/>
        <w:spacing w:after="0" w:line="274"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72, has served as Chairman and Chief Executive Officer of the Company since June 2002.</w:t>
      </w:r>
      <w:r>
        <w:rPr>
          <w:rFonts w:ascii="Arial" w:cs="Arial" w:eastAsia="Arial" w:hAnsi="Arial"/>
          <w:sz w:val="16"/>
          <w:szCs w:val="16"/>
          <w:b w:val="1"/>
          <w:bCs w:val="1"/>
          <w:color w:val="auto"/>
        </w:rPr>
        <w:t xml:space="preserve"> </w:t>
      </w:r>
      <w:r>
        <w:rPr>
          <w:rFonts w:ascii="Arial" w:cs="Arial" w:eastAsia="Arial" w:hAnsi="Arial"/>
          <w:sz w:val="16"/>
          <w:szCs w:val="16"/>
          <w:color w:val="auto"/>
        </w:rPr>
        <w:t>Mr. Wynn has been an Executive Director, the 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From April 2000 to September 2002, Mr. Wynn was the managing member of Valvino Lamore, LLC, the predecessor and a current wholly owned subsidiary of Wynn Resorts, Limited. Mr. Wynn also serves as an officer and/or director of several subsidiaries of Wynn Resorts, Limited. Mr. Wynn served as Chairman,</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President and Chief Executive Officer of Mirage Resorts, Inc. and its predecessor, Golden Nugget Inc., between 1973 and 2000. Mr. Wynn developed, opened and operated The Mirage, Treasure Island and Bellagio in 1989, 1993 and 1998, respectively.</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Wynn is the founder and creative and organizational force of Wynn Resorts. Mr. Wynn’s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experience in the industry have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Other Directors Who Served in 2013</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Kazuo Okada informed the Board of his resignation on February 21, 2013, and on February 22, 2013, the Company’s stockholders voted to remove Kazuo Okada from the Board whereby approximately 99.6% of the over 86 million shares voted were in favor of the removal. </w:t>
      </w:r>
      <w:r>
        <w:rPr>
          <w:rFonts w:ascii="Arial" w:cs="Arial" w:eastAsia="Arial" w:hAnsi="Arial"/>
          <w:sz w:val="18"/>
          <w:szCs w:val="18"/>
          <w:i w:val="1"/>
          <w:iCs w:val="1"/>
          <w:color w:val="auto"/>
        </w:rPr>
        <w:t>See</w:t>
      </w:r>
      <w:r>
        <w:rPr>
          <w:rFonts w:ascii="Arial" w:cs="Arial" w:eastAsia="Arial" w:hAnsi="Arial"/>
          <w:sz w:val="18"/>
          <w:szCs w:val="18"/>
          <w:color w:val="auto"/>
        </w:rPr>
        <w:t xml:space="preserve"> “Certain Relationships and Related Transactions”, “Share Redemption” on page 39 of this Proxy Statement and Item 3—“Legal Proceedings” in the Company’s Annual Report on Form 10-K for the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-81280</wp:posOffset>
            </wp:positionV>
            <wp:extent cx="13722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Overview</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Our Governance Program. </w:t>
      </w:r>
      <w:r>
        <w:rPr>
          <w:rFonts w:ascii="Arial" w:cs="Arial" w:eastAsia="Arial" w:hAnsi="Arial"/>
          <w:sz w:val="18"/>
          <w:szCs w:val="18"/>
          <w:color w:val="auto"/>
        </w:rPr>
        <w:t>Our Board and management are committed to sound and effective corporate governance. Consistent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the Company has established a comprehensive corporate governance framework, with policies and programs designed not only to satisfy the extensive regulatory requirements applicable to our business but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96" w:lineRule="exact"/>
        <w:rPr>
          <w:sz w:val="20"/>
          <w:szCs w:val="20"/>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Amended and Restated Articles of Incorporation (“Articles”) and our Sixth Amended and Restated Bylaws (“Bylaws”);</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and compensation committee members under the Securities Exchange Act of 1934, as amended (the “Exchange Act”) and the rules of the NASDAQ;</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of Business Conduct and Ethics applicable to all directors, officers, employees and certain independent contractors;</w:t>
      </w:r>
    </w:p>
    <w:p>
      <w:pPr>
        <w:spacing w:after="0" w:line="76"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Written charters for each of our standing Committees of the Board, which are comprised solely of independent directors: the Audit Committee, Nominating and Corporate Governance Committee and Compensation Committee;</w:t>
      </w:r>
    </w:p>
    <w:p>
      <w:pPr>
        <w:spacing w:after="0" w:line="73"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and property level compliance committees operating under the terms of written compliance programs to promote compliance with our various regulatory requirements including, among other things, gaming regulations in each jurisdiction in which we operate, and applicable federal laws and regulations related to anti-money laundering and the Foreign Corrupt Practices Act (“FCPA”); and</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Other than the compliance programs, each of the above documents is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Corporate Social Responsibility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we operate our business in a manner that incorporates our core values of compassion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including participating in wide ranging community service and philanthropic efforts that assist underserved communities in the markets in which we operate. We plan to issue a corporate social responsibility and sustainability report on our website in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Key Changes to our 2013 Governance Program</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and its Committees routinely review evolving governance practices, including input from stockholders and review of market practices generally. The Nominating and Corporate Governance Committee oversees an annual self-assessment of the Board’s performance as well as the performance of each standing Committee of the Board. The results of the evaluations are discussed with the full Board and the respective Committees. During 2013, we engaged in our regular review of our governance practices and made the following significant changes:</w:t>
      </w:r>
    </w:p>
    <w:p>
      <w:pPr>
        <w:spacing w:after="0" w:line="175" w:lineRule="exact"/>
        <w:rPr>
          <w:sz w:val="20"/>
          <w:szCs w:val="20"/>
          <w:color w:val="auto"/>
        </w:rPr>
      </w:pPr>
    </w:p>
    <w:p>
      <w:pPr>
        <w:ind w:left="1020" w:right="20" w:hanging="215"/>
        <w:spacing w:after="0" w:line="26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the requirement in our Stock Ownership Guidelines </w:t>
      </w:r>
      <w:r>
        <w:rPr>
          <w:rFonts w:ascii="Arial" w:cs="Arial" w:eastAsia="Arial" w:hAnsi="Arial"/>
          <w:sz w:val="18"/>
          <w:szCs w:val="18"/>
          <w:color w:val="auto"/>
        </w:rPr>
        <w:t>for our Chief Executive Officer from five times to ten times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base salary;</w:t>
      </w:r>
    </w:p>
    <w:p>
      <w:pPr>
        <w:spacing w:after="0" w:line="34" w:lineRule="exact"/>
        <w:rPr>
          <w:rFonts w:ascii="Arial" w:cs="Arial" w:eastAsia="Arial" w:hAnsi="Arial"/>
          <w:sz w:val="18"/>
          <w:szCs w:val="18"/>
          <w:color w:val="auto"/>
        </w:rPr>
      </w:pPr>
    </w:p>
    <w:p>
      <w:pPr>
        <w:ind w:left="1020" w:right="20" w:hanging="215"/>
        <w:spacing w:after="0" w:line="26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Implemented a Director Resignation Policy </w:t>
      </w:r>
      <w:r>
        <w:rPr>
          <w:rFonts w:ascii="Arial" w:cs="Arial" w:eastAsia="Arial" w:hAnsi="Arial"/>
          <w:sz w:val="18"/>
          <w:szCs w:val="18"/>
          <w:color w:val="auto"/>
        </w:rPr>
        <w:t>for any director who does not receive over 50% of the votes cast in uncontested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elections; and</w:t>
      </w:r>
    </w:p>
    <w:p>
      <w:pPr>
        <w:spacing w:after="0" w:line="34" w:lineRule="exact"/>
        <w:rPr>
          <w:rFonts w:ascii="Arial" w:cs="Arial" w:eastAsia="Arial" w:hAnsi="Arial"/>
          <w:sz w:val="18"/>
          <w:szCs w:val="18"/>
          <w:color w:val="auto"/>
        </w:rPr>
      </w:pPr>
    </w:p>
    <w:p>
      <w:pPr>
        <w:ind w:left="1020" w:hanging="215"/>
        <w:spacing w:after="0" w:line="26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Revised our Hedging/Pledging Policy </w:t>
      </w:r>
      <w:r>
        <w:rPr>
          <w:rFonts w:ascii="Arial" w:cs="Arial" w:eastAsia="Arial" w:hAnsi="Arial"/>
          <w:sz w:val="18"/>
          <w:szCs w:val="18"/>
          <w:color w:val="auto"/>
        </w:rPr>
        <w:t>to prohibit all hedging and prospective pledging of our stock by our directors and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with any exception requiring advance Board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029335" cy="445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Board Leadership Structure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given careful consideration to the leadership model that best serves the interests of our stockholders. The Board has determined that the interests of all stockholders are currently best served with a combined Chairman and Chief Executive Officer (“CEO”) position and an independent Presiding Director.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Chairman and CEO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serves as the Chairman and CEO of the Company. Mr. Wynn has served in these roles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inception in 2002 and during that period, has delivered exceptional value to our stockholders. Under Mr. Wynn’s leadership our stockholders have received approximately $5.4 billion, or $48.75 per share, through the payment of dividends and seen a compounded annual total stockholder return (including reinvestment of dividends) of 32% from our initial public offering in 2002 through the end of 2013. Mr. Wynn is the founder, creator and name behind our brand. He brings extraordinary talent to our Company that is unrivaled by others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Independent Presiding Director. </w:t>
      </w:r>
      <w:r>
        <w:rPr>
          <w:rFonts w:ascii="Arial" w:cs="Arial" w:eastAsia="Arial" w:hAnsi="Arial"/>
          <w:sz w:val="18"/>
          <w:szCs w:val="18"/>
          <w:color w:val="auto"/>
        </w:rPr>
        <w:t>Governor Miller currently serves as the independent Presiding Director. The independent Presiding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annually by the independent members of the Board. In accordance with the specific duties prescribed in our Corporate Governance Guidelines, the independent Presiding Director: chairs executive sessions of the independent directors which are held throughout the year; presides at all meetings of the Board at which the Chairman is not present; acts as the liaison between the Chairman and independent directors; and performs such additional functions as designated by the Board.</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Other Board Governance Measures. </w:t>
      </w:r>
      <w:r>
        <w:rPr>
          <w:rFonts w:ascii="Arial" w:cs="Arial" w:eastAsia="Arial" w:hAnsi="Arial"/>
          <w:sz w:val="16"/>
          <w:szCs w:val="16"/>
          <w:color w:val="auto"/>
        </w:rPr>
        <w:t>The combined role of Chairman and CEO is further balanced by the Board’s demonstrated commitment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provide independent oversight of management. Six of the eight members of our Board satisfy the most stringent requirements of independence promulgated by the Exchange Act and the NASDAQ for audit and compensation committee members, and the Audit, Compensation, and Nominating and Corporate Governance Committees are each comprised entirely of independent members of the Board.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Company’s Board meet separately in executive session at each regular meeting of the Board. The members of the Audit Committee also meet separately in executive session with each of the Company’s independent auditors, Vice President of Internal Audit, Chief Financial Officer, General Counsel and Compliance Officer. The independent Presiding Director is responsible for communicating to the CEO and management all concerns that arise during executive sessions. In addition, all Committee agendas and all agendas for meetings of the Board are provided in advance to all independent members of the Board. The members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and benefits of employment provided to Mr. Wynn. This evaluation was last completed in 2013 by Pay Governance LLC. Please refer to the “Compensation Discussion and Analysis” beginning on page 18 for the details of this review.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Independence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determined that six of its eight members are independent under standards set forth in our Corporate Governance Guidelines and the NASDAQ listing standards. The Board has further determined that each of those six directors also meet the additional, heightened independence criteria applicable to audit and compensation committee members under the Exchange Act and NASDAQ rules. The six independent directors are Messrs. Hagenbuch, Irani, Miller, Shoemaker, Virtue and Wayson. Based upon information requested from each director concerning his background, employment and affiliations, the Board has affirmatively determined that none of the independent directors has a direct or indirect material relationship with the Company. In assessing independence, the Board considered all relevant facts and circumstances, including that none of the independent directors or their immediate family members has any economic relationship with the Company other than the receipt of his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Mr. Wynn and Ms. Wynn have been determined not to be independent.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Meetings of the Board of Directors and Stockholders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met seven times during 2013. All of the members of our Board attended at least 75% of the meetings held by the Board and the Committees on which they served. In addition, the independent directors met in executive session, without management present, at each regular meeting of the Board.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our Corporate Governance Guidelines, each of our directors is invited and encouraged to attend the Annual Meeting of Stockholders. All of our directors attended the 2013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Risk Oversight</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its Committees) has reviewed and approved management’s process for management to identify, manage and mitigate these risks. While the full Board has overall 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2013 fiscal year, management completed a review of the Company’s compensation policies and practices and presented its analysis to the Compensation Committee. The Committee concurred with management’s conclusion that such policies and practices do not present risks that are reasonably likely to have a material adverse effect on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Standing Committees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Board of Directors has three standing committees, each comprised solely of independent directors: the Audit Committee, the Compensation Committee and the Nominating and Corporate Governance Committee. The written charters for these Committees are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21"/>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614A3D"/>
                <w:w w:val="99"/>
              </w:rPr>
              <w:t>Name and Members</w:t>
            </w: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614A3D"/>
              </w:rPr>
              <w:t>Responsibilities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614A3D"/>
                <w:w w:val="98"/>
              </w:rPr>
              <w:t>in 2013</w:t>
            </w:r>
          </w:p>
        </w:tc>
        <w:tc>
          <w:tcPr>
            <w:tcW w:w="0" w:type="dxa"/>
            <w:vAlign w:val="bottom"/>
          </w:tcPr>
          <w:p>
            <w:pPr>
              <w:spacing w:after="0"/>
              <w:rPr>
                <w:sz w:val="1"/>
                <w:szCs w:val="1"/>
                <w:color w:val="auto"/>
              </w:rPr>
            </w:pPr>
          </w:p>
        </w:tc>
      </w:tr>
      <w:tr>
        <w:trPr>
          <w:trHeight w:val="294"/>
        </w:trPr>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Audit Committee</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w w:val="95"/>
              </w:rPr>
              <w:t>9 meetings</w:t>
            </w:r>
          </w:p>
        </w:tc>
        <w:tc>
          <w:tcPr>
            <w:tcW w:w="0" w:type="dxa"/>
            <w:vAlign w:val="bottom"/>
          </w:tcPr>
          <w:p>
            <w:pPr>
              <w:spacing w:after="0"/>
              <w:rPr>
                <w:sz w:val="1"/>
                <w:szCs w:val="1"/>
                <w:color w:val="auto"/>
              </w:rPr>
            </w:pPr>
          </w:p>
        </w:tc>
      </w:tr>
      <w:tr>
        <w:trPr>
          <w:trHeight w:val="203"/>
        </w:trPr>
        <w:tc>
          <w:tcPr>
            <w:tcW w:w="1720" w:type="dxa"/>
            <w:vAlign w:val="bottom"/>
            <w:gridSpan w:val="3"/>
          </w:tcPr>
          <w:p>
            <w:pPr>
              <w:spacing w:after="0" w:line="202" w:lineRule="exact"/>
              <w:rPr>
                <w:sz w:val="20"/>
                <w:szCs w:val="20"/>
                <w:color w:val="auto"/>
              </w:rPr>
            </w:pPr>
            <w:r>
              <w:rPr>
                <w:rFonts w:ascii="Arial" w:cs="Arial" w:eastAsia="Arial" w:hAnsi="Arial"/>
                <w:sz w:val="18"/>
                <w:szCs w:val="18"/>
                <w:color w:val="auto"/>
              </w:rPr>
              <w:t>John J. Hagenbuch</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vMerge w:val="restart"/>
          </w:tcPr>
          <w:p>
            <w:pPr>
              <w:ind w:left="120"/>
              <w:spacing w:after="0"/>
              <w:rPr>
                <w:sz w:val="20"/>
                <w:szCs w:val="20"/>
                <w:color w:val="auto"/>
              </w:rPr>
            </w:pPr>
            <w:r>
              <w:rPr>
                <w:rFonts w:ascii="Arial" w:cs="Arial" w:eastAsia="Arial" w:hAnsi="Arial"/>
                <w:sz w:val="18"/>
                <w:szCs w:val="18"/>
                <w:color w:val="auto"/>
              </w:rPr>
              <w:t>•  appointing, approving the compensation and retention of, and overseeing the independent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2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Robert J. Miller</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5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7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540" w:type="dxa"/>
            <w:vAlign w:val="bottom"/>
            <w:vMerge w:val="restart"/>
          </w:tcPr>
          <w:p>
            <w:pPr>
              <w:ind w:left="400"/>
              <w:spacing w:after="0"/>
              <w:rPr>
                <w:sz w:val="20"/>
                <w:szCs w:val="20"/>
                <w:color w:val="auto"/>
              </w:rPr>
            </w:pPr>
            <w:r>
              <w:rPr>
                <w:rFonts w:ascii="Arial" w:cs="Arial" w:eastAsia="Arial" w:hAnsi="Arial"/>
                <w:sz w:val="18"/>
                <w:szCs w:val="18"/>
                <w:color w:val="auto"/>
              </w:rPr>
              <w:t>auditors</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720" w:type="dxa"/>
            <w:vAlign w:val="bottom"/>
            <w:gridSpan w:val="3"/>
          </w:tcPr>
          <w:p>
            <w:pPr>
              <w:spacing w:after="0" w:line="202" w:lineRule="exact"/>
              <w:rPr>
                <w:sz w:val="20"/>
                <w:szCs w:val="20"/>
                <w:color w:val="auto"/>
              </w:rPr>
            </w:pPr>
            <w:r>
              <w:rPr>
                <w:rFonts w:ascii="Arial" w:cs="Arial" w:eastAsia="Arial" w:hAnsi="Arial"/>
                <w:sz w:val="18"/>
                <w:szCs w:val="18"/>
                <w:color w:val="auto"/>
              </w:rPr>
              <w:t>Alvin V. Shoemaker</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gridSpan w:val="3"/>
          </w:tcPr>
          <w:p>
            <w:pPr>
              <w:spacing w:after="0" w:line="202" w:lineRule="exact"/>
              <w:rPr>
                <w:sz w:val="20"/>
                <w:szCs w:val="20"/>
                <w:color w:val="auto"/>
              </w:rPr>
            </w:pPr>
            <w:r>
              <w:rPr>
                <w:rFonts w:ascii="Arial" w:cs="Arial" w:eastAsia="Arial" w:hAnsi="Arial"/>
                <w:sz w:val="18"/>
                <w:szCs w:val="18"/>
                <w:color w:val="auto"/>
              </w:rPr>
              <w:t>D. Boone Wayson</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540" w:type="dxa"/>
            <w:vAlign w:val="bottom"/>
          </w:tcPr>
          <w:p>
            <w:pPr>
              <w:ind w:left="120"/>
              <w:spacing w:after="0" w:line="202" w:lineRule="exact"/>
              <w:rPr>
                <w:sz w:val="20"/>
                <w:szCs w:val="20"/>
                <w:color w:val="auto"/>
              </w:rPr>
            </w:pPr>
            <w:r>
              <w:rPr>
                <w:rFonts w:ascii="Arial" w:cs="Arial" w:eastAsia="Arial" w:hAnsi="Arial"/>
                <w:sz w:val="18"/>
                <w:szCs w:val="18"/>
                <w:color w:val="auto"/>
              </w:rPr>
              <w:t>•  reviewing and discussing with the independent auditors and management the Company’s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6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540" w:type="dxa"/>
            <w:vAlign w:val="bottom"/>
          </w:tcPr>
          <w:p>
            <w:pPr>
              <w:ind w:left="400"/>
              <w:spacing w:after="0"/>
              <w:rPr>
                <w:sz w:val="20"/>
                <w:szCs w:val="20"/>
                <w:color w:val="auto"/>
              </w:rPr>
            </w:pPr>
            <w:r>
              <w:rPr>
                <w:rFonts w:ascii="Arial" w:cs="Arial" w:eastAsia="Arial" w:hAnsi="Arial"/>
                <w:sz w:val="18"/>
                <w:szCs w:val="18"/>
                <w:color w:val="auto"/>
              </w:rPr>
              <w:t>earnings releases and quarterly and annual reports as filed with the SEC</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20" w:type="dxa"/>
            <w:vAlign w:val="bottom"/>
          </w:tcPr>
          <w:p>
            <w:pPr>
              <w:spacing w:after="0"/>
              <w:rPr>
                <w:sz w:val="20"/>
                <w:szCs w:val="20"/>
                <w:color w:val="auto"/>
              </w:rPr>
            </w:pPr>
            <w:r>
              <w:rPr>
                <w:rFonts w:ascii="Arial" w:cs="Arial" w:eastAsia="Arial" w:hAnsi="Arial"/>
                <w:sz w:val="18"/>
                <w:szCs w:val="18"/>
                <w:color w:val="auto"/>
              </w:rPr>
              <w:t>The</w:t>
            </w:r>
          </w:p>
        </w:tc>
        <w:tc>
          <w:tcPr>
            <w:tcW w:w="540" w:type="dxa"/>
            <w:vAlign w:val="bottom"/>
          </w:tcPr>
          <w:p>
            <w:pPr>
              <w:ind w:left="20"/>
              <w:spacing w:after="0"/>
              <w:rPr>
                <w:sz w:val="20"/>
                <w:szCs w:val="20"/>
                <w:color w:val="auto"/>
              </w:rPr>
            </w:pPr>
            <w:r>
              <w:rPr>
                <w:rFonts w:ascii="Arial" w:cs="Arial" w:eastAsia="Arial" w:hAnsi="Arial"/>
                <w:sz w:val="18"/>
                <w:szCs w:val="18"/>
                <w:color w:val="auto"/>
              </w:rPr>
              <w:t>Audit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Committee,</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after</w:t>
            </w:r>
          </w:p>
        </w:tc>
        <w:tc>
          <w:tcPr>
            <w:tcW w:w="7540" w:type="dxa"/>
            <w:vAlign w:val="bottom"/>
          </w:tcPr>
          <w:p>
            <w:pPr>
              <w:ind w:left="120"/>
              <w:spacing w:after="0"/>
              <w:rPr>
                <w:sz w:val="20"/>
                <w:szCs w:val="20"/>
                <w:color w:val="auto"/>
              </w:rPr>
            </w:pPr>
            <w:r>
              <w:rPr>
                <w:rFonts w:ascii="Arial" w:cs="Arial" w:eastAsia="Arial" w:hAnsi="Arial"/>
                <w:sz w:val="18"/>
                <w:szCs w:val="18"/>
                <w:color w:val="auto"/>
              </w:rPr>
              <w:t>•  reviewing the adequacy and effectiveness as well as the scope and results of the</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line="202" w:lineRule="exact"/>
              <w:rPr>
                <w:sz w:val="20"/>
                <w:szCs w:val="20"/>
                <w:color w:val="auto"/>
              </w:rPr>
            </w:pPr>
            <w:r>
              <w:rPr>
                <w:rFonts w:ascii="Arial" w:cs="Arial" w:eastAsia="Arial" w:hAnsi="Arial"/>
                <w:sz w:val="18"/>
                <w:szCs w:val="18"/>
                <w:color w:val="auto"/>
                <w:w w:val="96"/>
              </w:rPr>
              <w:t>review</w:t>
            </w:r>
          </w:p>
        </w:tc>
        <w:tc>
          <w:tcPr>
            <w:tcW w:w="540" w:type="dxa"/>
            <w:vAlign w:val="bottom"/>
          </w:tcPr>
          <w:p>
            <w:pPr>
              <w:ind w:left="240"/>
              <w:spacing w:after="0" w:line="202" w:lineRule="exact"/>
              <w:rPr>
                <w:sz w:val="20"/>
                <w:szCs w:val="20"/>
                <w:color w:val="auto"/>
              </w:rPr>
            </w:pPr>
            <w:r>
              <w:rPr>
                <w:rFonts w:ascii="Arial" w:cs="Arial" w:eastAsia="Arial" w:hAnsi="Arial"/>
                <w:sz w:val="18"/>
                <w:szCs w:val="18"/>
                <w:color w:val="auto"/>
              </w:rPr>
              <w:t>of</w:t>
            </w:r>
          </w:p>
        </w:tc>
        <w:tc>
          <w:tcPr>
            <w:tcW w:w="660" w:type="dxa"/>
            <w:vAlign w:val="bottom"/>
          </w:tcPr>
          <w:p>
            <w:pPr>
              <w:ind w:left="100"/>
              <w:spacing w:after="0" w:line="202" w:lineRule="exact"/>
              <w:rPr>
                <w:sz w:val="20"/>
                <w:szCs w:val="20"/>
                <w:color w:val="auto"/>
              </w:rPr>
            </w:pPr>
            <w:r>
              <w:rPr>
                <w:rFonts w:ascii="Arial" w:cs="Arial" w:eastAsia="Arial" w:hAnsi="Arial"/>
                <w:sz w:val="18"/>
                <w:szCs w:val="18"/>
                <w:color w:val="auto"/>
              </w:rPr>
              <w:t>each</w:t>
            </w:r>
          </w:p>
        </w:tc>
        <w:tc>
          <w:tcPr>
            <w:tcW w:w="10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individual’s</w:t>
            </w:r>
          </w:p>
        </w:tc>
        <w:tc>
          <w:tcPr>
            <w:tcW w:w="7540" w:type="dxa"/>
            <w:vAlign w:val="bottom"/>
          </w:tcPr>
          <w:p>
            <w:pPr>
              <w:ind w:left="400"/>
              <w:spacing w:after="0" w:line="202" w:lineRule="exact"/>
              <w:rPr>
                <w:sz w:val="20"/>
                <w:szCs w:val="20"/>
                <w:color w:val="auto"/>
              </w:rPr>
            </w:pPr>
            <w:r>
              <w:rPr>
                <w:rFonts w:ascii="Arial" w:cs="Arial" w:eastAsia="Arial" w:hAnsi="Arial"/>
                <w:sz w:val="18"/>
                <w:szCs w:val="18"/>
                <w:color w:val="auto"/>
              </w:rPr>
              <w:t>Company’s internal auditing procedures and practices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spacing w:after="0" w:line="202" w:lineRule="exact"/>
              <w:rPr>
                <w:sz w:val="20"/>
                <w:szCs w:val="20"/>
                <w:color w:val="auto"/>
              </w:rPr>
            </w:pPr>
            <w:r>
              <w:rPr>
                <w:rFonts w:ascii="Arial" w:cs="Arial" w:eastAsia="Arial" w:hAnsi="Arial"/>
                <w:sz w:val="18"/>
                <w:szCs w:val="18"/>
                <w:color w:val="auto"/>
              </w:rPr>
              <w:t>employment</w:t>
            </w:r>
          </w:p>
        </w:tc>
        <w:tc>
          <w:tcPr>
            <w:tcW w:w="11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experience</w:t>
            </w: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and</w:t>
            </w:r>
          </w:p>
        </w:tc>
        <w:tc>
          <w:tcPr>
            <w:tcW w:w="7540" w:type="dxa"/>
            <w:vAlign w:val="bottom"/>
            <w:vMerge w:val="restart"/>
          </w:tcPr>
          <w:p>
            <w:pPr>
              <w:ind w:left="120"/>
              <w:spacing w:after="0"/>
              <w:rPr>
                <w:sz w:val="20"/>
                <w:szCs w:val="20"/>
                <w:color w:val="auto"/>
              </w:rPr>
            </w:pPr>
            <w:r>
              <w:rPr>
                <w:rFonts w:ascii="Arial" w:cs="Arial" w:eastAsia="Arial" w:hAnsi="Arial"/>
                <w:sz w:val="18"/>
                <w:szCs w:val="18"/>
                <w:color w:val="auto"/>
              </w:rPr>
              <w:t>•  overseeing the Company’s compliance program with respect to legal and regulatory</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20" w:type="dxa"/>
            <w:vAlign w:val="bottom"/>
            <w:vMerge w:val="restart"/>
          </w:tcPr>
          <w:p>
            <w:pPr>
              <w:spacing w:after="0" w:line="202" w:lineRule="exact"/>
              <w:rPr>
                <w:sz w:val="20"/>
                <w:szCs w:val="20"/>
                <w:color w:val="auto"/>
              </w:rPr>
            </w:pPr>
            <w:r>
              <w:rPr>
                <w:rFonts w:ascii="Arial" w:cs="Arial" w:eastAsia="Arial" w:hAnsi="Arial"/>
                <w:sz w:val="18"/>
                <w:szCs w:val="18"/>
                <w:color w:val="auto"/>
              </w:rPr>
              <w:t>other</w:t>
            </w:r>
          </w:p>
        </w:tc>
        <w:tc>
          <w:tcPr>
            <w:tcW w:w="1680" w:type="dxa"/>
            <w:vAlign w:val="bottom"/>
            <w:gridSpan w:val="3"/>
            <w:vMerge w:val="restart"/>
          </w:tcPr>
          <w:p>
            <w:pPr>
              <w:jc w:val="right"/>
              <w:ind w:right="12"/>
              <w:spacing w:after="0" w:line="202" w:lineRule="exact"/>
              <w:rPr>
                <w:sz w:val="20"/>
                <w:szCs w:val="20"/>
                <w:color w:val="auto"/>
              </w:rPr>
            </w:pPr>
            <w:r>
              <w:rPr>
                <w:rFonts w:ascii="Arial" w:cs="Arial" w:eastAsia="Arial" w:hAnsi="Arial"/>
                <w:sz w:val="18"/>
                <w:szCs w:val="18"/>
                <w:color w:val="auto"/>
              </w:rPr>
              <w:t>relevant   factors,</w:t>
            </w:r>
          </w:p>
        </w:tc>
        <w:tc>
          <w:tcPr>
            <w:tcW w:w="560" w:type="dxa"/>
            <w:vAlign w:val="bottom"/>
            <w:vMerge w:val="restart"/>
          </w:tcPr>
          <w:p>
            <w:pPr>
              <w:jc w:val="right"/>
              <w:ind w:right="32"/>
              <w:spacing w:after="0" w:line="202" w:lineRule="exact"/>
              <w:rPr>
                <w:sz w:val="20"/>
                <w:szCs w:val="20"/>
                <w:color w:val="auto"/>
              </w:rPr>
            </w:pPr>
            <w:r>
              <w:rPr>
                <w:rFonts w:ascii="Arial" w:cs="Arial" w:eastAsia="Arial" w:hAnsi="Arial"/>
                <w:sz w:val="18"/>
                <w:szCs w:val="18"/>
                <w:color w:val="auto"/>
              </w:rPr>
              <w:t>has</w:t>
            </w:r>
          </w:p>
        </w:tc>
        <w:tc>
          <w:tcPr>
            <w:tcW w:w="75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520" w:type="dxa"/>
            <w:vAlign w:val="bottom"/>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540" w:type="dxa"/>
            <w:vAlign w:val="bottom"/>
            <w:vMerge w:val="restart"/>
          </w:tcPr>
          <w:p>
            <w:pPr>
              <w:ind w:left="400"/>
              <w:spacing w:after="0"/>
              <w:rPr>
                <w:sz w:val="20"/>
                <w:szCs w:val="20"/>
                <w:color w:val="auto"/>
              </w:rPr>
            </w:pPr>
            <w:r>
              <w:rPr>
                <w:rFonts w:ascii="Arial" w:cs="Arial" w:eastAsia="Arial" w:hAnsi="Arial"/>
                <w:sz w:val="18"/>
                <w:szCs w:val="18"/>
                <w:color w:val="auto"/>
              </w:rPr>
              <w:t>compliance, and the Company’s policies and procedures for monitoring compliance</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determined</w:t>
            </w:r>
          </w:p>
        </w:tc>
        <w:tc>
          <w:tcPr>
            <w:tcW w:w="660" w:type="dxa"/>
            <w:vAlign w:val="bottom"/>
            <w:vMerge w:val="restart"/>
          </w:tcPr>
          <w:p>
            <w:pPr>
              <w:ind w:left="240"/>
              <w:spacing w:after="0" w:line="202" w:lineRule="exact"/>
              <w:rPr>
                <w:sz w:val="20"/>
                <w:szCs w:val="20"/>
                <w:color w:val="auto"/>
              </w:rPr>
            </w:pPr>
            <w:r>
              <w:rPr>
                <w:rFonts w:ascii="Arial" w:cs="Arial" w:eastAsia="Arial" w:hAnsi="Arial"/>
                <w:sz w:val="18"/>
                <w:szCs w:val="18"/>
                <w:color w:val="auto"/>
              </w:rPr>
              <w:t>that</w:t>
            </w:r>
          </w:p>
        </w:tc>
        <w:tc>
          <w:tcPr>
            <w:tcW w:w="1040" w:type="dxa"/>
            <w:vAlign w:val="bottom"/>
            <w:gridSpan w:val="2"/>
            <w:vMerge w:val="restart"/>
          </w:tcPr>
          <w:p>
            <w:pPr>
              <w:jc w:val="right"/>
              <w:ind w:right="32"/>
              <w:spacing w:after="0" w:line="202" w:lineRule="exact"/>
              <w:rPr>
                <w:sz w:val="20"/>
                <w:szCs w:val="20"/>
                <w:color w:val="auto"/>
              </w:rPr>
            </w:pPr>
            <w:r>
              <w:rPr>
                <w:rFonts w:ascii="Arial" w:cs="Arial" w:eastAsia="Arial" w:hAnsi="Arial"/>
                <w:sz w:val="18"/>
                <w:szCs w:val="18"/>
                <w:color w:val="auto"/>
              </w:rPr>
              <w:t>Messrs.</w:t>
            </w:r>
          </w:p>
        </w:tc>
        <w:tc>
          <w:tcPr>
            <w:tcW w:w="75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0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7540" w:type="dxa"/>
            <w:vAlign w:val="bottom"/>
            <w:vMerge w:val="restart"/>
          </w:tcPr>
          <w:p>
            <w:pPr>
              <w:ind w:left="120"/>
              <w:spacing w:after="0"/>
              <w:rPr>
                <w:sz w:val="20"/>
                <w:szCs w:val="20"/>
                <w:color w:val="auto"/>
              </w:rPr>
            </w:pPr>
            <w:r>
              <w:rPr>
                <w:rFonts w:ascii="Arial" w:cs="Arial" w:eastAsia="Arial" w:hAnsi="Arial"/>
                <w:sz w:val="18"/>
                <w:szCs w:val="18"/>
                <w:color w:val="auto"/>
              </w:rPr>
              <w:t>•  meeting periodically with management to review the Company’s major risk exposures and</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Hagenbuch,</w:t>
            </w:r>
          </w:p>
        </w:tc>
        <w:tc>
          <w:tcPr>
            <w:tcW w:w="1140" w:type="dxa"/>
            <w:vAlign w:val="bottom"/>
            <w:gridSpan w:val="2"/>
            <w:vMerge w:val="restart"/>
          </w:tcPr>
          <w:p>
            <w:pPr>
              <w:jc w:val="right"/>
              <w:ind w:right="12"/>
              <w:spacing w:after="0" w:line="202" w:lineRule="exact"/>
              <w:rPr>
                <w:sz w:val="20"/>
                <w:szCs w:val="20"/>
                <w:color w:val="auto"/>
              </w:rPr>
            </w:pPr>
            <w:r>
              <w:rPr>
                <w:rFonts w:ascii="Arial" w:cs="Arial" w:eastAsia="Arial" w:hAnsi="Arial"/>
                <w:sz w:val="18"/>
                <w:szCs w:val="18"/>
                <w:color w:val="auto"/>
              </w:rPr>
              <w:t>Shoemaker</w:t>
            </w:r>
          </w:p>
        </w:tc>
        <w:tc>
          <w:tcPr>
            <w:tcW w:w="560" w:type="dxa"/>
            <w:vAlign w:val="bottom"/>
            <w:vMerge w:val="restart"/>
          </w:tcPr>
          <w:p>
            <w:pPr>
              <w:jc w:val="right"/>
              <w:ind w:right="32"/>
              <w:spacing w:after="0" w:line="202" w:lineRule="exact"/>
              <w:rPr>
                <w:sz w:val="20"/>
                <w:szCs w:val="20"/>
                <w:color w:val="auto"/>
              </w:rPr>
            </w:pPr>
            <w:r>
              <w:rPr>
                <w:rFonts w:ascii="Arial" w:cs="Arial" w:eastAsia="Arial" w:hAnsi="Arial"/>
                <w:sz w:val="18"/>
                <w:szCs w:val="18"/>
                <w:color w:val="auto"/>
              </w:rPr>
              <w:t>and</w:t>
            </w:r>
          </w:p>
        </w:tc>
        <w:tc>
          <w:tcPr>
            <w:tcW w:w="75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540" w:type="dxa"/>
            <w:vAlign w:val="bottom"/>
            <w:vMerge w:val="restart"/>
          </w:tcPr>
          <w:p>
            <w:pPr>
              <w:ind w:left="400"/>
              <w:spacing w:after="0"/>
              <w:rPr>
                <w:sz w:val="20"/>
                <w:szCs w:val="20"/>
                <w:color w:val="auto"/>
              </w:rPr>
            </w:pPr>
            <w:r>
              <w:rPr>
                <w:rFonts w:ascii="Arial" w:cs="Arial" w:eastAsia="Arial" w:hAnsi="Arial"/>
                <w:sz w:val="18"/>
                <w:szCs w:val="18"/>
                <w:color w:val="auto"/>
              </w:rPr>
              <w:t>the steps management has taken to monitor and control such exposures</w:t>
            </w: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76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Wayson  are  qualified  as  audit</w:t>
            </w:r>
          </w:p>
        </w:tc>
        <w:tc>
          <w:tcPr>
            <w:tcW w:w="75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760" w:type="dxa"/>
            <w:vAlign w:val="bottom"/>
            <w:gridSpan w:val="5"/>
            <w:vMerge w:val="continue"/>
          </w:tcPr>
          <w:p>
            <w:pPr>
              <w:spacing w:after="0"/>
              <w:rPr>
                <w:sz w:val="5"/>
                <w:szCs w:val="5"/>
                <w:color w:val="auto"/>
              </w:rPr>
            </w:pPr>
          </w:p>
        </w:tc>
        <w:tc>
          <w:tcPr>
            <w:tcW w:w="7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60" w:type="dxa"/>
            <w:vAlign w:val="bottom"/>
            <w:gridSpan w:val="5"/>
          </w:tcPr>
          <w:p>
            <w:pPr>
              <w:spacing w:after="0" w:line="202" w:lineRule="exact"/>
              <w:rPr>
                <w:sz w:val="20"/>
                <w:szCs w:val="20"/>
                <w:color w:val="auto"/>
              </w:rPr>
            </w:pPr>
            <w:r>
              <w:rPr>
                <w:rFonts w:ascii="Arial" w:cs="Arial" w:eastAsia="Arial" w:hAnsi="Arial"/>
                <w:sz w:val="18"/>
                <w:szCs w:val="18"/>
                <w:color w:val="auto"/>
              </w:rPr>
              <w:t>committee financial experts within</w:t>
            </w:r>
          </w:p>
        </w:tc>
        <w:tc>
          <w:tcPr>
            <w:tcW w:w="7540" w:type="dxa"/>
            <w:vAlign w:val="bottom"/>
          </w:tcPr>
          <w:p>
            <w:pPr>
              <w:ind w:left="120"/>
              <w:spacing w:after="0" w:line="202" w:lineRule="exact"/>
              <w:rPr>
                <w:sz w:val="20"/>
                <w:szCs w:val="20"/>
                <w:color w:val="auto"/>
              </w:rPr>
            </w:pPr>
            <w:r>
              <w:rPr>
                <w:rFonts w:ascii="Arial" w:cs="Arial" w:eastAsia="Arial" w:hAnsi="Arial"/>
                <w:sz w:val="18"/>
                <w:szCs w:val="18"/>
                <w:color w:val="auto"/>
              </w:rPr>
              <w:t>•  reviewing and approving the Company’s decision to enter into certain swaps and other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760" w:type="dxa"/>
            <w:vAlign w:val="bottom"/>
            <w:gridSpan w:val="5"/>
          </w:tcPr>
          <w:p>
            <w:pPr>
              <w:spacing w:after="0"/>
              <w:rPr>
                <w:sz w:val="20"/>
                <w:szCs w:val="20"/>
                <w:color w:val="auto"/>
              </w:rPr>
            </w:pPr>
            <w:r>
              <w:rPr>
                <w:rFonts w:ascii="Arial" w:cs="Arial" w:eastAsia="Arial" w:hAnsi="Arial"/>
                <w:sz w:val="18"/>
                <w:szCs w:val="18"/>
                <w:color w:val="auto"/>
              </w:rPr>
              <w:t>the meaning of SEC regulations.</w:t>
            </w:r>
          </w:p>
        </w:tc>
        <w:tc>
          <w:tcPr>
            <w:tcW w:w="7540" w:type="dxa"/>
            <w:vAlign w:val="bottom"/>
          </w:tcPr>
          <w:p>
            <w:pPr>
              <w:ind w:left="400"/>
              <w:spacing w:after="0"/>
              <w:rPr>
                <w:sz w:val="20"/>
                <w:szCs w:val="20"/>
                <w:color w:val="auto"/>
              </w:rPr>
            </w:pPr>
            <w:r>
              <w:rPr>
                <w:rFonts w:ascii="Arial" w:cs="Arial" w:eastAsia="Arial" w:hAnsi="Arial"/>
                <w:sz w:val="18"/>
                <w:szCs w:val="18"/>
                <w:color w:val="auto"/>
              </w:rPr>
              <w:t>derivative transactions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029335"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8"/>
                <w:szCs w:val="18"/>
                <w:b w:val="1"/>
                <w:bCs w:val="1"/>
                <w:color w:val="614A3D"/>
              </w:rPr>
              <w:t>Name and Members</w:t>
            </w:r>
          </w:p>
        </w:tc>
        <w:tc>
          <w:tcPr>
            <w:tcW w:w="7820" w:type="dxa"/>
            <w:vAlign w:val="bottom"/>
          </w:tcPr>
          <w:p>
            <w:pPr>
              <w:ind w:left="340"/>
              <w:spacing w:after="0"/>
              <w:rPr>
                <w:sz w:val="20"/>
                <w:szCs w:val="20"/>
                <w:color w:val="auto"/>
              </w:rPr>
            </w:pPr>
            <w:r>
              <w:rPr>
                <w:rFonts w:ascii="Arial" w:cs="Arial" w:eastAsia="Arial" w:hAnsi="Arial"/>
                <w:sz w:val="18"/>
                <w:szCs w:val="18"/>
                <w:b w:val="1"/>
                <w:bCs w:val="1"/>
                <w:color w:val="614A3D"/>
              </w:rPr>
              <w:t>Responsibilities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614A3D"/>
                <w:w w:val="98"/>
              </w:rPr>
              <w:t>in 2013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7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At each of its regular meetings, the Audit Committee meets in executive session with the</w:t>
            </w: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340"/>
              <w:spacing w:after="0" w:line="202" w:lineRule="exact"/>
              <w:rPr>
                <w:sz w:val="20"/>
                <w:szCs w:val="20"/>
                <w:color w:val="auto"/>
              </w:rPr>
            </w:pPr>
            <w:r>
              <w:rPr>
                <w:rFonts w:ascii="Arial" w:cs="Arial" w:eastAsia="Arial" w:hAnsi="Arial"/>
                <w:sz w:val="18"/>
                <w:szCs w:val="18"/>
                <w:color w:val="auto"/>
              </w:rPr>
              <w:t>Company’s independent auditors, Vice President of Internal Audit, Chief Financial Officer,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340"/>
              <w:spacing w:after="0" w:line="202" w:lineRule="exact"/>
              <w:rPr>
                <w:sz w:val="20"/>
                <w:szCs w:val="20"/>
                <w:color w:val="auto"/>
              </w:rPr>
            </w:pPr>
            <w:r>
              <w:rPr>
                <w:rFonts w:ascii="Arial" w:cs="Arial" w:eastAsia="Arial" w:hAnsi="Arial"/>
                <w:sz w:val="18"/>
                <w:szCs w:val="18"/>
                <w:color w:val="auto"/>
              </w:rPr>
              <w:t>General Counsel and Compliance Officer to discuss accounting principles, financial and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340"/>
              <w:spacing w:after="0" w:line="202" w:lineRule="exact"/>
              <w:rPr>
                <w:sz w:val="20"/>
                <w:szCs w:val="20"/>
                <w:color w:val="auto"/>
              </w:rPr>
            </w:pPr>
            <w:r>
              <w:rPr>
                <w:rFonts w:ascii="Arial" w:cs="Arial" w:eastAsia="Arial" w:hAnsi="Arial"/>
                <w:sz w:val="18"/>
                <w:szCs w:val="18"/>
                <w:color w:val="auto"/>
              </w:rPr>
              <w:t>accounting controls, the scope of the annual audit, internal controls, regulatory compliance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and other matters.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w w:val="99"/>
              </w:rPr>
              <w:t>The independent auditors have complete access to the Audit Committee without management</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340"/>
              <w:spacing w:after="0" w:line="202" w:lineRule="exact"/>
              <w:rPr>
                <w:sz w:val="20"/>
                <w:szCs w:val="20"/>
                <w:color w:val="auto"/>
              </w:rPr>
            </w:pPr>
            <w:r>
              <w:rPr>
                <w:rFonts w:ascii="Arial" w:cs="Arial" w:eastAsia="Arial" w:hAnsi="Arial"/>
                <w:sz w:val="18"/>
                <w:szCs w:val="18"/>
                <w:color w:val="auto"/>
              </w:rPr>
              <w:t>present to discuss the results of their audits and their opinions on the adequacy of internal</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7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controls, quality of financial reporting and other accounting and auditing matters.</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b w:val="1"/>
                <w:bCs w:val="1"/>
                <w:color w:val="auto"/>
              </w:rPr>
              <w:t>Compensation Committee</w:t>
            </w:r>
          </w:p>
        </w:tc>
        <w:tc>
          <w:tcPr>
            <w:tcW w:w="7820" w:type="dxa"/>
            <w:vAlign w:val="bottom"/>
          </w:tcPr>
          <w:p>
            <w:pPr>
              <w:ind w:left="340"/>
              <w:spacing w:after="0" w:line="201" w:lineRule="exact"/>
              <w:rPr>
                <w:sz w:val="20"/>
                <w:szCs w:val="20"/>
                <w:color w:val="auto"/>
              </w:rPr>
            </w:pPr>
            <w:r>
              <w:rPr>
                <w:rFonts w:ascii="Arial" w:cs="Arial" w:eastAsia="Arial" w:hAnsi="Arial"/>
                <w:sz w:val="18"/>
                <w:szCs w:val="18"/>
                <w:color w:val="auto"/>
              </w:rPr>
              <w:t>•  reviewing the goals and objectives of the Company’s executive compensation plans</w:t>
            </w:r>
          </w:p>
        </w:tc>
        <w:tc>
          <w:tcPr>
            <w:tcW w:w="1060" w:type="dxa"/>
            <w:vAlign w:val="bottom"/>
          </w:tcPr>
          <w:p>
            <w:pPr>
              <w:ind w:left="200"/>
              <w:spacing w:after="0" w:line="201" w:lineRule="exact"/>
              <w:rPr>
                <w:sz w:val="20"/>
                <w:szCs w:val="20"/>
                <w:color w:val="auto"/>
              </w:rPr>
            </w:pPr>
            <w:r>
              <w:rPr>
                <w:rFonts w:ascii="Arial" w:cs="Arial" w:eastAsia="Arial" w:hAnsi="Arial"/>
                <w:sz w:val="18"/>
                <w:szCs w:val="18"/>
                <w:color w:val="auto"/>
                <w:w w:val="95"/>
              </w:rPr>
              <w:t>7 meetings</w:t>
            </w: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2" w:lineRule="exact"/>
              <w:rPr>
                <w:sz w:val="20"/>
                <w:szCs w:val="20"/>
                <w:color w:val="auto"/>
              </w:rPr>
            </w:pPr>
            <w:r>
              <w:rPr>
                <w:rFonts w:ascii="Arial" w:cs="Arial" w:eastAsia="Arial" w:hAnsi="Arial"/>
                <w:sz w:val="18"/>
                <w:szCs w:val="18"/>
                <w:color w:val="auto"/>
              </w:rPr>
              <w:t>John J. Hagenbuch</w:t>
            </w:r>
          </w:p>
        </w:tc>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  reviewing the Company’s executive compensation plans in light of the Company’s goals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5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Dr. Ray Irani</w:t>
            </w:r>
          </w:p>
        </w:tc>
        <w:tc>
          <w:tcPr>
            <w:tcW w:w="78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40" w:type="dxa"/>
            <w:vAlign w:val="bottom"/>
            <w:gridSpan w:val="2"/>
            <w:vMerge w:val="continue"/>
          </w:tcPr>
          <w:p>
            <w:pPr>
              <w:spacing w:after="0"/>
              <w:rPr>
                <w:sz w:val="11"/>
                <w:szCs w:val="11"/>
                <w:color w:val="auto"/>
              </w:rPr>
            </w:pPr>
          </w:p>
        </w:tc>
        <w:tc>
          <w:tcPr>
            <w:tcW w:w="7820" w:type="dxa"/>
            <w:vAlign w:val="bottom"/>
            <w:vMerge w:val="restart"/>
          </w:tcPr>
          <w:p>
            <w:pPr>
              <w:ind w:left="620"/>
              <w:spacing w:after="0" w:line="202" w:lineRule="exact"/>
              <w:rPr>
                <w:sz w:val="20"/>
                <w:szCs w:val="20"/>
                <w:color w:val="auto"/>
              </w:rPr>
            </w:pPr>
            <w:r>
              <w:rPr>
                <w:rFonts w:ascii="Arial" w:cs="Arial" w:eastAsia="Arial" w:hAnsi="Arial"/>
                <w:sz w:val="18"/>
                <w:szCs w:val="18"/>
                <w:color w:val="auto"/>
              </w:rPr>
              <w:t>and objectives with respect to such plans and, as appropriate, recommending that the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5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78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40" w:type="dxa"/>
            <w:vAlign w:val="bottom"/>
            <w:gridSpan w:val="2"/>
            <w:vMerge w:val="continue"/>
          </w:tcPr>
          <w:p>
            <w:pPr>
              <w:spacing w:after="0"/>
              <w:rPr>
                <w:sz w:val="11"/>
                <w:szCs w:val="11"/>
                <w:color w:val="auto"/>
              </w:rPr>
            </w:pPr>
          </w:p>
        </w:tc>
        <w:tc>
          <w:tcPr>
            <w:tcW w:w="7820" w:type="dxa"/>
            <w:vAlign w:val="bottom"/>
            <w:vMerge w:val="restart"/>
          </w:tcPr>
          <w:p>
            <w:pPr>
              <w:ind w:left="620"/>
              <w:spacing w:after="0"/>
              <w:rPr>
                <w:sz w:val="20"/>
                <w:szCs w:val="20"/>
                <w:color w:val="auto"/>
              </w:rPr>
            </w:pPr>
            <w:r>
              <w:rPr>
                <w:rFonts w:ascii="Arial" w:cs="Arial" w:eastAsia="Arial" w:hAnsi="Arial"/>
                <w:sz w:val="18"/>
                <w:szCs w:val="18"/>
                <w:color w:val="auto"/>
              </w:rPr>
              <w:t>Board adopt new plans or amend the existing plans</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5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J. Edward Virtue</w:t>
            </w:r>
          </w:p>
        </w:tc>
        <w:tc>
          <w:tcPr>
            <w:tcW w:w="78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40" w:type="dxa"/>
            <w:vAlign w:val="bottom"/>
            <w:gridSpan w:val="2"/>
            <w:vMerge w:val="continue"/>
          </w:tcPr>
          <w:p>
            <w:pPr>
              <w:spacing w:after="0"/>
              <w:rPr>
                <w:sz w:val="11"/>
                <w:szCs w:val="11"/>
                <w:color w:val="auto"/>
              </w:rPr>
            </w:pPr>
          </w:p>
        </w:tc>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  assessing the results of the Company’s most recent advisory vote on executive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gridSpan w:val="2"/>
            <w:vMerge w:val="restart"/>
          </w:tcPr>
          <w:p>
            <w:pPr>
              <w:spacing w:after="0"/>
              <w:rPr>
                <w:sz w:val="20"/>
                <w:szCs w:val="20"/>
                <w:color w:val="auto"/>
              </w:rPr>
            </w:pPr>
            <w:r>
              <w:rPr>
                <w:rFonts w:ascii="Arial" w:cs="Arial" w:eastAsia="Arial" w:hAnsi="Arial"/>
                <w:sz w:val="18"/>
                <w:szCs w:val="18"/>
                <w:color w:val="auto"/>
              </w:rPr>
              <w:t>(Chairman)</w:t>
            </w:r>
          </w:p>
        </w:tc>
        <w:tc>
          <w:tcPr>
            <w:tcW w:w="78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540" w:type="dxa"/>
            <w:vAlign w:val="bottom"/>
            <w:gridSpan w:val="2"/>
            <w:vMerge w:val="continue"/>
          </w:tcPr>
          <w:p>
            <w:pPr>
              <w:spacing w:after="0"/>
              <w:rPr>
                <w:sz w:val="6"/>
                <w:szCs w:val="6"/>
                <w:color w:val="auto"/>
              </w:rPr>
            </w:pPr>
          </w:p>
        </w:tc>
        <w:tc>
          <w:tcPr>
            <w:tcW w:w="7820" w:type="dxa"/>
            <w:vAlign w:val="bottom"/>
            <w:vMerge w:val="restart"/>
          </w:tcPr>
          <w:p>
            <w:pPr>
              <w:ind w:left="620"/>
              <w:spacing w:after="0"/>
              <w:rPr>
                <w:sz w:val="20"/>
                <w:szCs w:val="20"/>
                <w:color w:val="auto"/>
              </w:rPr>
            </w:pPr>
            <w:r>
              <w:rPr>
                <w:rFonts w:ascii="Arial" w:cs="Arial" w:eastAsia="Arial" w:hAnsi="Arial"/>
                <w:sz w:val="18"/>
                <w:szCs w:val="18"/>
                <w:color w:val="auto"/>
              </w:rPr>
              <w:t>compensation</w:t>
            </w: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8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appointing, approving the compensation and retention of, and overseeing any</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8"/>
                <w:szCs w:val="18"/>
                <w:color w:val="auto"/>
              </w:rPr>
              <w:t>compensation consultants or other advisors retained by the Compensation Committee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assessing whether the work of any compensation consultant has raised any conflict of</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8"/>
                <w:szCs w:val="18"/>
                <w:color w:val="auto"/>
              </w:rPr>
              <w:t>interest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annually evaluating the performance of the CEO of the Company, overseeing the</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evaluation of performance of the other officers of the Company and its operating</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subsidiaries, and setting compensation for the CEO, other named executive officers, and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8"/>
                <w:szCs w:val="18"/>
                <w:color w:val="auto"/>
              </w:rPr>
              <w:t>other members of our most senior management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reviewing and approving equity awards and supervising administrative functions pursuant</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8"/>
                <w:szCs w:val="18"/>
                <w:color w:val="auto"/>
              </w:rPr>
              <w:t>to the Company’s equity plans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reviewing and approving any employment agreement or any severance or termination</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agreement, between the Company (or any of its subsidiaries) and any officer, as well as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any other employment agreement between the Company and any individual in which</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annual base salary exceeds $500,000, regardless of position involved; all grants of equity</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compensation; bonuses for employees with annual base salaries of $250,000 or greater;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all bonuses in excess of 50% of base salary (regardless of annual base salary amount)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8"/>
                <w:szCs w:val="18"/>
                <w:color w:val="auto"/>
              </w:rPr>
              <w:t>and the bonus pool for all bonuses to be paid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reviewing and recommending to the full Board the type and amount of compensation for</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20" w:type="dxa"/>
            <w:vAlign w:val="bottom"/>
          </w:tcPr>
          <w:p>
            <w:pPr>
              <w:ind w:left="620"/>
              <w:spacing w:after="0"/>
              <w:rPr>
                <w:sz w:val="20"/>
                <w:szCs w:val="20"/>
                <w:color w:val="auto"/>
              </w:rPr>
            </w:pPr>
            <w:r>
              <w:rPr>
                <w:rFonts w:ascii="Arial" w:cs="Arial" w:eastAsia="Arial" w:hAnsi="Arial"/>
                <w:sz w:val="18"/>
                <w:szCs w:val="18"/>
                <w:color w:val="auto"/>
              </w:rPr>
              <w:t>Board and Committee service by non-management members of the Board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  reviewing and discussing with management the Compensation Discussion and Analysis</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7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and related disclosures in the Company’s proxy statement</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20" w:type="dxa"/>
            <w:vAlign w:val="bottom"/>
          </w:tcPr>
          <w:p>
            <w:pPr>
              <w:spacing w:after="0" w:line="179" w:lineRule="exact"/>
              <w:rPr>
                <w:sz w:val="20"/>
                <w:szCs w:val="20"/>
                <w:color w:val="auto"/>
              </w:rPr>
            </w:pPr>
            <w:r>
              <w:rPr>
                <w:rFonts w:ascii="Arial" w:cs="Arial" w:eastAsia="Arial" w:hAnsi="Arial"/>
                <w:sz w:val="18"/>
                <w:szCs w:val="18"/>
                <w:b w:val="1"/>
                <w:bCs w:val="1"/>
                <w:color w:val="auto"/>
              </w:rPr>
              <w:t>Nominating and Corporate</w:t>
            </w:r>
          </w:p>
        </w:tc>
        <w:tc>
          <w:tcPr>
            <w:tcW w:w="7820" w:type="dxa"/>
            <w:vAlign w:val="bottom"/>
          </w:tcPr>
          <w:p>
            <w:pPr>
              <w:ind w:left="340"/>
              <w:spacing w:after="0" w:line="179" w:lineRule="exact"/>
              <w:rPr>
                <w:sz w:val="20"/>
                <w:szCs w:val="20"/>
                <w:color w:val="auto"/>
              </w:rPr>
            </w:pPr>
            <w:r>
              <w:rPr>
                <w:rFonts w:ascii="Arial" w:cs="Arial" w:eastAsia="Arial" w:hAnsi="Arial"/>
                <w:sz w:val="18"/>
                <w:szCs w:val="18"/>
                <w:color w:val="auto"/>
              </w:rPr>
              <w:t>•  identifying, screening and recommending candidates qualified to serve as directors of the</w:t>
            </w:r>
          </w:p>
        </w:tc>
        <w:tc>
          <w:tcPr>
            <w:tcW w:w="1060" w:type="dxa"/>
            <w:vAlign w:val="bottom"/>
          </w:tcPr>
          <w:p>
            <w:pPr>
              <w:ind w:left="200"/>
              <w:spacing w:after="0" w:line="179" w:lineRule="exact"/>
              <w:rPr>
                <w:sz w:val="20"/>
                <w:szCs w:val="20"/>
                <w:color w:val="auto"/>
              </w:rPr>
            </w:pPr>
            <w:r>
              <w:rPr>
                <w:rFonts w:ascii="Arial" w:cs="Arial" w:eastAsia="Arial" w:hAnsi="Arial"/>
                <w:sz w:val="18"/>
                <w:szCs w:val="18"/>
                <w:color w:val="auto"/>
                <w:w w:val="95"/>
              </w:rPr>
              <w:t>5 meetings</w:t>
            </w:r>
          </w:p>
        </w:tc>
        <w:tc>
          <w:tcPr>
            <w:tcW w:w="0" w:type="dxa"/>
            <w:vAlign w:val="bottom"/>
          </w:tcPr>
          <w:p>
            <w:pPr>
              <w:spacing w:after="0"/>
              <w:rPr>
                <w:sz w:val="1"/>
                <w:szCs w:val="1"/>
                <w:color w:val="auto"/>
              </w:rPr>
            </w:pPr>
          </w:p>
        </w:tc>
      </w:tr>
      <w:tr>
        <w:trPr>
          <w:trHeight w:val="225"/>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Governance Committee</w:t>
            </w:r>
          </w:p>
        </w:tc>
        <w:tc>
          <w:tcPr>
            <w:tcW w:w="7820" w:type="dxa"/>
            <w:vAlign w:val="bottom"/>
          </w:tcPr>
          <w:p>
            <w:pPr>
              <w:ind w:left="620"/>
              <w:spacing w:after="0"/>
              <w:rPr>
                <w:sz w:val="20"/>
                <w:szCs w:val="20"/>
                <w:color w:val="auto"/>
              </w:rPr>
            </w:pPr>
            <w:r>
              <w:rPr>
                <w:rFonts w:ascii="Arial" w:cs="Arial" w:eastAsia="Arial" w:hAnsi="Arial"/>
                <w:sz w:val="18"/>
                <w:szCs w:val="18"/>
                <w:color w:val="auto"/>
              </w:rPr>
              <w:t>Company taking into account the Company’s current and planned business and the</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line="202" w:lineRule="exact"/>
              <w:rPr>
                <w:sz w:val="20"/>
                <w:szCs w:val="20"/>
                <w:color w:val="auto"/>
              </w:rPr>
            </w:pPr>
            <w:r>
              <w:rPr>
                <w:rFonts w:ascii="Arial" w:cs="Arial" w:eastAsia="Arial" w:hAnsi="Arial"/>
                <w:sz w:val="18"/>
                <w:szCs w:val="18"/>
                <w:color w:val="auto"/>
              </w:rPr>
              <w:t>Dr. Ray Irani</w:t>
            </w:r>
          </w:p>
        </w:tc>
        <w:tc>
          <w:tcPr>
            <w:tcW w:w="7820" w:type="dxa"/>
            <w:vAlign w:val="bottom"/>
          </w:tcPr>
          <w:p>
            <w:pPr>
              <w:ind w:left="620"/>
              <w:spacing w:after="0" w:line="202" w:lineRule="exact"/>
              <w:rPr>
                <w:sz w:val="20"/>
                <w:szCs w:val="20"/>
                <w:color w:val="auto"/>
              </w:rPr>
            </w:pPr>
            <w:r>
              <w:rPr>
                <w:rFonts w:ascii="Arial" w:cs="Arial" w:eastAsia="Arial" w:hAnsi="Arial"/>
                <w:sz w:val="18"/>
                <w:szCs w:val="18"/>
                <w:color w:val="auto"/>
              </w:rPr>
              <w:t>existing membership of the Board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40" w:type="dxa"/>
            <w:vAlign w:val="bottom"/>
            <w:gridSpan w:val="2"/>
          </w:tcPr>
          <w:p>
            <w:pPr>
              <w:spacing w:after="0"/>
              <w:rPr>
                <w:sz w:val="20"/>
                <w:szCs w:val="20"/>
                <w:color w:val="auto"/>
              </w:rPr>
            </w:pPr>
            <w:r>
              <w:rPr>
                <w:rFonts w:ascii="Arial" w:cs="Arial" w:eastAsia="Arial" w:hAnsi="Arial"/>
                <w:sz w:val="18"/>
                <w:szCs w:val="18"/>
                <w:color w:val="auto"/>
              </w:rPr>
              <w:t>Robert J. Miller (Chairman)</w:t>
            </w:r>
          </w:p>
        </w:tc>
        <w:tc>
          <w:tcPr>
            <w:tcW w:w="7820" w:type="dxa"/>
            <w:vAlign w:val="bottom"/>
          </w:tcPr>
          <w:p>
            <w:pPr>
              <w:ind w:left="340"/>
              <w:spacing w:after="0" w:line="202" w:lineRule="exact"/>
              <w:rPr>
                <w:sz w:val="20"/>
                <w:szCs w:val="20"/>
                <w:color w:val="auto"/>
              </w:rPr>
            </w:pPr>
            <w:r>
              <w:rPr>
                <w:rFonts w:ascii="Arial" w:cs="Arial" w:eastAsia="Arial" w:hAnsi="Arial"/>
                <w:sz w:val="18"/>
                <w:szCs w:val="18"/>
                <w:color w:val="auto"/>
              </w:rPr>
              <w:t>•  assessing the independence of Board members and making appropriate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9340" w:type="dxa"/>
            <w:vAlign w:val="bottom"/>
            <w:vMerge w:val="restart"/>
          </w:tcPr>
          <w:p>
            <w:pPr>
              <w:ind w:left="1080"/>
              <w:spacing w:after="0"/>
              <w:rPr>
                <w:sz w:val="20"/>
                <w:szCs w:val="20"/>
                <w:color w:val="auto"/>
              </w:rPr>
            </w:pPr>
            <w:r>
              <w:rPr>
                <w:rFonts w:ascii="Arial" w:cs="Arial" w:eastAsia="Arial" w:hAnsi="Arial"/>
                <w:sz w:val="18"/>
                <w:szCs w:val="18"/>
                <w:color w:val="auto"/>
              </w:rPr>
              <w:t>recommendations to the Board</w:t>
            </w:r>
          </w:p>
        </w:tc>
        <w:tc>
          <w:tcPr>
            <w:tcW w:w="0" w:type="dxa"/>
            <w:vAlign w:val="bottom"/>
          </w:tcPr>
          <w:p>
            <w:pPr>
              <w:spacing w:after="0"/>
              <w:rPr>
                <w:sz w:val="1"/>
                <w:szCs w:val="1"/>
                <w:color w:val="auto"/>
              </w:rPr>
            </w:pPr>
          </w:p>
        </w:tc>
      </w:tr>
      <w:tr>
        <w:trPr>
          <w:trHeight w:val="76"/>
        </w:trPr>
        <w:tc>
          <w:tcPr>
            <w:tcW w:w="2080" w:type="dxa"/>
            <w:vAlign w:val="bottom"/>
            <w:vMerge w:val="restart"/>
          </w:tcPr>
          <w:p>
            <w:pPr>
              <w:spacing w:after="0"/>
              <w:rPr>
                <w:sz w:val="20"/>
                <w:szCs w:val="20"/>
                <w:color w:val="auto"/>
              </w:rPr>
            </w:pPr>
            <w:r>
              <w:rPr>
                <w:rFonts w:ascii="Arial" w:cs="Arial" w:eastAsia="Arial" w:hAnsi="Arial"/>
                <w:sz w:val="18"/>
                <w:szCs w:val="18"/>
                <w:color w:val="auto"/>
              </w:rPr>
              <w:t>D. Boone Wayson</w:t>
            </w:r>
          </w:p>
        </w:tc>
        <w:tc>
          <w:tcPr>
            <w:tcW w:w="9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80" w:type="dxa"/>
            <w:vAlign w:val="bottom"/>
            <w:vMerge w:val="continue"/>
          </w:tcPr>
          <w:p>
            <w:pPr>
              <w:spacing w:after="0"/>
              <w:rPr>
                <w:sz w:val="11"/>
                <w:szCs w:val="11"/>
                <w:color w:val="auto"/>
              </w:rPr>
            </w:pPr>
          </w:p>
        </w:tc>
        <w:tc>
          <w:tcPr>
            <w:tcW w:w="9340" w:type="dxa"/>
            <w:vAlign w:val="bottom"/>
            <w:vMerge w:val="restart"/>
          </w:tcPr>
          <w:p>
            <w:pPr>
              <w:ind w:left="800"/>
              <w:spacing w:after="0"/>
              <w:rPr>
                <w:sz w:val="20"/>
                <w:szCs w:val="20"/>
                <w:color w:val="auto"/>
              </w:rPr>
            </w:pPr>
            <w:r>
              <w:rPr>
                <w:rFonts w:ascii="Arial" w:cs="Arial" w:eastAsia="Arial" w:hAnsi="Arial"/>
                <w:sz w:val="18"/>
                <w:szCs w:val="18"/>
                <w:color w:val="auto"/>
              </w:rPr>
              <w:t>•  evaluating the suitability of potential director nominees proposed by management or the</w:t>
            </w:r>
          </w:p>
        </w:tc>
        <w:tc>
          <w:tcPr>
            <w:tcW w:w="0" w:type="dxa"/>
            <w:vAlign w:val="bottom"/>
          </w:tcPr>
          <w:p>
            <w:pPr>
              <w:spacing w:after="0"/>
              <w:rPr>
                <w:sz w:val="1"/>
                <w:szCs w:val="1"/>
                <w:color w:val="auto"/>
              </w:rPr>
            </w:pPr>
          </w:p>
        </w:tc>
      </w:tr>
      <w:tr>
        <w:trPr>
          <w:trHeight w:val="127"/>
        </w:trPr>
        <w:tc>
          <w:tcPr>
            <w:tcW w:w="2080" w:type="dxa"/>
            <w:vAlign w:val="bottom"/>
          </w:tcPr>
          <w:p>
            <w:pPr>
              <w:spacing w:after="0"/>
              <w:rPr>
                <w:sz w:val="11"/>
                <w:szCs w:val="11"/>
                <w:color w:val="auto"/>
              </w:rPr>
            </w:pPr>
          </w:p>
        </w:tc>
        <w:tc>
          <w:tcPr>
            <w:tcW w:w="9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9340" w:type="dxa"/>
            <w:vAlign w:val="bottom"/>
          </w:tcPr>
          <w:p>
            <w:pPr>
              <w:ind w:left="108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528"/>
        </w:trPr>
        <w:tc>
          <w:tcPr>
            <w:tcW w:w="2080" w:type="dxa"/>
            <w:vAlign w:val="bottom"/>
          </w:tcPr>
          <w:p>
            <w:pPr>
              <w:spacing w:after="0"/>
              <w:rPr>
                <w:sz w:val="24"/>
                <w:szCs w:val="24"/>
                <w:color w:val="auto"/>
              </w:rPr>
            </w:pPr>
          </w:p>
        </w:tc>
        <w:tc>
          <w:tcPr>
            <w:tcW w:w="93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Corporate Governance</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9340" w:type="dxa"/>
            <w:vAlign w:val="bottom"/>
          </w:tcPr>
          <w:p>
            <w:pPr>
              <w:jc w:val="right"/>
              <w:spacing w:after="0"/>
              <w:rPr>
                <w:sz w:val="20"/>
                <w:szCs w:val="20"/>
                <w:color w:val="auto"/>
              </w:rPr>
            </w:pPr>
            <w:r>
              <w:rPr>
                <w:rFonts w:ascii="Arial" w:cs="Arial" w:eastAsia="Arial" w:hAnsi="Arial"/>
                <w:sz w:val="14"/>
                <w:szCs w:val="14"/>
                <w:b w:val="1"/>
                <w:bCs w:val="1"/>
                <w:color w:val="auto"/>
              </w:rPr>
              <w:t>page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980" w:type="dxa"/>
            <w:vAlign w:val="bottom"/>
          </w:tcPr>
          <w:p>
            <w:pPr>
              <w:jc w:val="center"/>
              <w:ind w:left="92"/>
              <w:spacing w:after="0"/>
              <w:rPr>
                <w:sz w:val="20"/>
                <w:szCs w:val="20"/>
                <w:color w:val="auto"/>
              </w:rPr>
            </w:pPr>
            <w:r>
              <w:rPr>
                <w:rFonts w:ascii="Arial" w:cs="Arial" w:eastAsia="Arial" w:hAnsi="Arial"/>
                <w:sz w:val="18"/>
                <w:szCs w:val="18"/>
                <w:b w:val="1"/>
                <w:bCs w:val="1"/>
                <w:color w:val="614A3D"/>
                <w:w w:val="97"/>
              </w:rPr>
              <w:t>Meetings</w:t>
            </w:r>
          </w:p>
        </w:tc>
      </w:tr>
      <w:tr>
        <w:trPr>
          <w:trHeight w:val="221"/>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 and Members</w:t>
            </w:r>
          </w:p>
        </w:tc>
        <w:tc>
          <w:tcPr>
            <w:tcW w:w="81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614A3D"/>
              </w:rPr>
              <w:t>Responsibilities</w:t>
            </w:r>
          </w:p>
        </w:tc>
        <w:tc>
          <w:tcPr>
            <w:tcW w:w="9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614A3D"/>
                <w:w w:val="98"/>
              </w:rPr>
              <w:t>in 2013</w:t>
            </w:r>
          </w:p>
        </w:tc>
      </w:tr>
      <w:tr>
        <w:trPr>
          <w:trHeight w:val="262"/>
        </w:trPr>
        <w:tc>
          <w:tcPr>
            <w:tcW w:w="2260" w:type="dxa"/>
            <w:vAlign w:val="bottom"/>
          </w:tcPr>
          <w:p>
            <w:pPr>
              <w:spacing w:after="0"/>
              <w:rPr>
                <w:sz w:val="22"/>
                <w:szCs w:val="22"/>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making recommendations regarding the composition of the Board</w:t>
            </w:r>
          </w:p>
        </w:tc>
        <w:tc>
          <w:tcPr>
            <w:tcW w:w="980" w:type="dxa"/>
            <w:vAlign w:val="bottom"/>
          </w:tcPr>
          <w:p>
            <w:pPr>
              <w:spacing w:after="0"/>
              <w:rPr>
                <w:sz w:val="22"/>
                <w:szCs w:val="22"/>
                <w:color w:val="auto"/>
              </w:rPr>
            </w:pPr>
          </w:p>
        </w:tc>
      </w:tr>
      <w:tr>
        <w:trPr>
          <w:trHeight w:val="270"/>
        </w:trPr>
        <w:tc>
          <w:tcPr>
            <w:tcW w:w="2260" w:type="dxa"/>
            <w:vAlign w:val="bottom"/>
          </w:tcPr>
          <w:p>
            <w:pPr>
              <w:spacing w:after="0"/>
              <w:rPr>
                <w:sz w:val="23"/>
                <w:szCs w:val="23"/>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making recommendations regarding the composition of the Board committees</w:t>
            </w:r>
          </w:p>
        </w:tc>
        <w:tc>
          <w:tcPr>
            <w:tcW w:w="980" w:type="dxa"/>
            <w:vAlign w:val="bottom"/>
          </w:tcPr>
          <w:p>
            <w:pPr>
              <w:spacing w:after="0"/>
              <w:rPr>
                <w:sz w:val="23"/>
                <w:szCs w:val="23"/>
                <w:color w:val="auto"/>
              </w:rPr>
            </w:pPr>
          </w:p>
        </w:tc>
      </w:tr>
      <w:tr>
        <w:trPr>
          <w:trHeight w:val="262"/>
        </w:trPr>
        <w:tc>
          <w:tcPr>
            <w:tcW w:w="2260" w:type="dxa"/>
            <w:vAlign w:val="bottom"/>
          </w:tcPr>
          <w:p>
            <w:pPr>
              <w:spacing w:after="0"/>
              <w:rPr>
                <w:sz w:val="22"/>
                <w:szCs w:val="22"/>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developing and recommending to the Board a set of corporate governance principles</w:t>
            </w:r>
          </w:p>
        </w:tc>
        <w:tc>
          <w:tcPr>
            <w:tcW w:w="980" w:type="dxa"/>
            <w:vAlign w:val="bottom"/>
          </w:tcPr>
          <w:p>
            <w:pPr>
              <w:spacing w:after="0"/>
              <w:rPr>
                <w:sz w:val="22"/>
                <w:szCs w:val="22"/>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applicable to the Company and overseeing corporate governance matters generally</w:t>
            </w:r>
          </w:p>
        </w:tc>
        <w:tc>
          <w:tcPr>
            <w:tcW w:w="980" w:type="dxa"/>
            <w:vAlign w:val="bottom"/>
          </w:tcPr>
          <w:p>
            <w:pPr>
              <w:spacing w:after="0"/>
              <w:rPr>
                <w:sz w:val="18"/>
                <w:szCs w:val="18"/>
                <w:color w:val="auto"/>
              </w:rPr>
            </w:pPr>
          </w:p>
        </w:tc>
      </w:tr>
      <w:tr>
        <w:trPr>
          <w:trHeight w:val="270"/>
        </w:trPr>
        <w:tc>
          <w:tcPr>
            <w:tcW w:w="2260" w:type="dxa"/>
            <w:vAlign w:val="bottom"/>
          </w:tcPr>
          <w:p>
            <w:pPr>
              <w:spacing w:after="0"/>
              <w:rPr>
                <w:sz w:val="23"/>
                <w:szCs w:val="23"/>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overseeing the annual evaluation of the Board</w:t>
            </w:r>
          </w:p>
        </w:tc>
        <w:tc>
          <w:tcPr>
            <w:tcW w:w="980" w:type="dxa"/>
            <w:vAlign w:val="bottom"/>
          </w:tcPr>
          <w:p>
            <w:pPr>
              <w:spacing w:after="0"/>
              <w:rPr>
                <w:sz w:val="23"/>
                <w:szCs w:val="23"/>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Corporate Compliance Committee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Nevada law, the Company has a Compliance Committee. The purpose of this committee is to assist the Company in maintaining the highest level of regulatory compliance. In his role as a director, Governor Miller currently serves as the Chairman of this committee and as the Company’s Compliance Director. On February 27, 2014, the Board acted to combine these roles under the Chairman of the Company’s Compliance Committee.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Nominating Procedures and Diversity</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Nominating and Corporate Governance Committee (the “Nominating Committee”) seeks to have the Board represent a diversity of backgrounds and experience and assesses potential nominees in light of the Board’s current size and composition. The Nominating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Nominating Committee may, from time to time, develop and recommend additional criteria for identifying and evaluating director candidates. In addition, the Nominating Committee examines a candidate’s other commitments, potential conflicts of interest and independence from management and the Company.</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Nominating Committee implements its policy with regard to considering diversity by annually reviewing with the Board the Board’s composition as a whole and recommending, if necessary, measures to be taken so that the Board reflects the appropriate balance of knowledge, depth, diversity of experience, and the skills and expertise required for the Board as a whole. The Nominating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Nominating Committee identifies potential nominees by asking current directors and executive officers to notify the Nominating Committee if they become aware of persons meeting the criteria described above who might be available to serve on the Board. The Nominating Committee will also consider director candidates recommended by stockholders on the same basis as it considers all other candidates. In considering such candidates the Nominating Committee will take into consideration the Board’s current size and composition, needs of the Board, including the skills and experience of existing directors and the qualifications of the candidate. To have a candidate considered by the Nominating Committee, a stockholder must comply with all applicable provisions of the Bylaws, must submit the recommendation in writing and must include the following information:</w:t>
      </w:r>
    </w:p>
    <w:p>
      <w:pPr>
        <w:spacing w:after="0" w:line="196" w:lineRule="exact"/>
        <w:rPr>
          <w:sz w:val="20"/>
          <w:szCs w:val="20"/>
          <w:color w:val="auto"/>
        </w:rPr>
      </w:pPr>
    </w:p>
    <w:p>
      <w:pPr>
        <w:ind w:left="102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Company stock, including the number of shares owned and the length of time of ownership; and</w:t>
      </w:r>
    </w:p>
    <w:p>
      <w:pPr>
        <w:spacing w:after="0" w:line="7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person’s consent to be named as a director if selected by the Nominating Committee and nominated by the Board.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stockholder recommendation and information described above must be sent to Wynn Resorts, Limited, c/o Corporate Secretary at 3131 Las Vegas Boulevard South, Las Vegas, Nevada 89109 and must be received by the Corporate Secretary not later than the close of business on the 90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Company’s most recent Annual Meeting of Stockholders and not earlier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such anniversary.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Nominating Committee determines to pursue consideration of a person who has been identified as a potential candidate, the Nominating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Nominating Committee’s evaluation process takes into account the person’s accomplishments and qualifications, including in comparison to any other candidates that the Nominating Committee might be considering and does not vary based on whether or not a candidate is recommended by a stockholder.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is primarily responsible for monitoring risks relating to the Company’s compensation policies and practices to determine whether they create risks that may have a material adverse effect on the Company. The Compensation Committee sets all elements of compensation for our named executive officers based upon consideration of their contributions to the development and operating performance of the Company. The Committee considers the recommendations of the CEO in establishing compensation for all other named executive officers. In addition, the CEO performs annual reviews of all of our senior management and makes recommendations to the Committee. The Committee reviews the recommendations and makes final decisions regarding compensation for members of our most senior management. The Compensation Committee has the authority to retain compensation consulting firms exclusively to assist it in the evaluation of executive officer and employee compensation and benefit programs. Since 2011, the Committee has retained Pay Governance LLC, a nationally-recognized independent compensation consulting firm, to assist in performing its duties. Pay Governance does not provide services to the Company other than through the advice on director and executive compensation that it provides the Compensation Committee. In 2013, Pay Governance advised the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 Upon promulgation of final rules by the SEC, the Committee will adopt clawback provisions that comply with all applicable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Governance Measures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Stock Ownership Guidelines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rigorous Stock Ownership Guidelines which are applicable to members of the Board and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Company’s senior corporate officers. The Guidelines require that members of the Board achieve ownership of an amount of Common Stock of the Company for which the fair market value equals or exceeds three times such director’s annual cash retainer and for senior corporate officers three times such officer’s base salary. In 2013, after considering evolving governance practices, the Board amended the Stock Ownership Guidelines to require that the Company’s CEO achieve ownership of an amount of Common Stock of the Company for which the fair market value of Common Stock owned equals or exceeds ten times his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Nominating Committee for consideration. Currently, all members of the Board and all senior corporate officers satisfy the guidelines.</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Policy Regarding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Company’s Trading Policy, our directors and executive officers are prohibited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speculative transactions in Company securities, such as trading in puts and calls, or selling securities short, and from prospectively pledging Company securities as collateral for a loan, including by holding the securities in a margin account and obtaining a loan or other margin credit under such account, unless approved in advance by the Board.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Director Education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our Corporate Governance Guidelines, all of our directors are expected to maintain the necessary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perform their responsibilities as directors. In 2013, directors of Wynn Macau, Limited participated in the Company’s annual FCPA training program, conducted by the Company’s outside counsel (“FCPA Training”) and as of February, 2014, directors of the Company participated in our annual FCPA Training.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Interlocks and Insider Participation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members of the Compensation Committee are appointed by the Board each year. The members of the Compensation Committee that served in 2013 were Messrs. Hagenbuch, Irani, Shoemaker and Virtue.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Communications</w:t>
      </w:r>
    </w:p>
    <w:p>
      <w:pPr>
        <w:spacing w:after="0" w:line="9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Stockholders who wish to communicate with the Board or any particular director, including the independent Presiding Director, or with any committee of the Board, including the chair of any Committee, may do so by writing to the following address: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-81280</wp:posOffset>
            </wp:positionV>
            <wp:extent cx="13722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175" w:lineRule="exact"/>
        <w:rPr>
          <w:sz w:val="20"/>
          <w:szCs w:val="20"/>
          <w:color w:val="auto"/>
        </w:rPr>
      </w:pPr>
    </w:p>
    <w:tbl>
      <w:tblPr>
        <w:tblLayout w:type="fixed"/>
        <w:tblInd w:w="310" w:type="dxa"/>
        <w:tblCellMar>
          <w:top w:w="0" w:type="dxa"/>
          <w:left w:w="0" w:type="dxa"/>
          <w:bottom w:w="0" w:type="dxa"/>
          <w:right w:w="0" w:type="dxa"/>
        </w:tblCellMar>
      </w:tblPr>
      <w:tr>
        <w:trPr>
          <w:trHeight w:val="216"/>
        </w:trPr>
        <w:tc>
          <w:tcPr>
            <w:tcW w:w="53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Board Service</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3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Monthly fee of $5,000</w:t>
            </w:r>
          </w:p>
        </w:tc>
      </w:tr>
      <w:tr>
        <w:trPr>
          <w:trHeight w:val="199"/>
        </w:trPr>
        <w:tc>
          <w:tcPr>
            <w:tcW w:w="5340" w:type="dxa"/>
            <w:vAlign w:val="bottom"/>
            <w:tcBorders>
              <w:left w:val="single" w:sz="8" w:color="auto"/>
              <w:right w:val="single" w:sz="8" w:color="auto"/>
            </w:tcBorders>
          </w:tcPr>
          <w:p>
            <w:pPr>
              <w:ind w:left="120"/>
              <w:spacing w:after="0" w:line="200" w:lineRule="exact"/>
              <w:rPr>
                <w:sz w:val="20"/>
                <w:szCs w:val="20"/>
                <w:color w:val="auto"/>
              </w:rPr>
            </w:pPr>
            <w:r>
              <w:rPr>
                <w:rFonts w:ascii="Arial" w:cs="Arial" w:eastAsia="Arial" w:hAnsi="Arial"/>
                <w:sz w:val="18"/>
                <w:szCs w:val="18"/>
                <w:color w:val="auto"/>
              </w:rPr>
              <w:t>Audit Committee Service</w:t>
            </w:r>
          </w:p>
        </w:tc>
        <w:tc>
          <w:tcPr>
            <w:tcW w:w="5520" w:type="dxa"/>
            <w:vAlign w:val="bottom"/>
            <w:tcBorders>
              <w:right w:val="single" w:sz="8" w:color="auto"/>
            </w:tcBorders>
            <w:gridSpan w:val="2"/>
          </w:tcPr>
          <w:p>
            <w:pPr>
              <w:ind w:left="80"/>
              <w:spacing w:after="0" w:line="200" w:lineRule="exact"/>
              <w:rPr>
                <w:sz w:val="20"/>
                <w:szCs w:val="20"/>
                <w:color w:val="auto"/>
              </w:rPr>
            </w:pPr>
            <w:r>
              <w:rPr>
                <w:rFonts w:ascii="Arial" w:cs="Arial" w:eastAsia="Arial" w:hAnsi="Arial"/>
                <w:sz w:val="18"/>
                <w:szCs w:val="18"/>
                <w:color w:val="auto"/>
              </w:rPr>
              <w:t>• Member monthly fee of $1,250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 monthly fee of $2,500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Compensation Committee Service</w:t>
            </w:r>
          </w:p>
        </w:tc>
        <w:tc>
          <w:tcPr>
            <w:tcW w:w="552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 monthly fee of $2,000</w:t>
            </w:r>
          </w:p>
        </w:tc>
      </w:tr>
      <w:tr>
        <w:trPr>
          <w:trHeight w:val="200"/>
        </w:trPr>
        <w:tc>
          <w:tcPr>
            <w:tcW w:w="53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Nominating and Corporate Governance Committee Service</w:t>
            </w:r>
          </w:p>
        </w:tc>
        <w:tc>
          <w:tcPr>
            <w:tcW w:w="552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 Member monthly fee of $1,000</w:t>
            </w:r>
          </w:p>
        </w:tc>
      </w:tr>
      <w:tr>
        <w:trPr>
          <w:trHeight w:val="212"/>
        </w:trPr>
        <w:tc>
          <w:tcPr>
            <w:tcW w:w="5340" w:type="dxa"/>
            <w:vAlign w:val="bottom"/>
            <w:tcBorders>
              <w:left w:val="single" w:sz="8" w:color="auto"/>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Chairman monthly fee of $2,000</w:t>
            </w: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non-employee director also receives a $1,500 meeting fee for each Board or Committee meeting he or she attends. Non-employee directors (other than Ms. Elaine P. Wynn) are also granted annual equity awards in the form of stock options or restricted stock determined annually at the May meeting of the Board, which for 2013, consisted of a grant of 6,300 stock options that vest 25% per year, over four years, commencing May 6, 2014. Beginning in 2014, the independent Presiding Director will also receive an annual retainer of $50,000. All directors are provided complimentary room, food and beverage privileges at our properties and are reimbursed for any other out of pocket expenses related to their attendance at meetings. Directors from time to time may receive other benefits, although the aggregate incremental cost of any such benefits and perquisites did not exceed $10,000 for any director in 2013. The Company does not provide non-equity incentive plan awards or deferred compensation or retirement plans for non-employee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Non-Employee Director Compensation Table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614A3D"/>
              </w:rPr>
              <w:t>Fees</w:t>
            </w:r>
          </w:p>
        </w:tc>
        <w:tc>
          <w:tcPr>
            <w:tcW w:w="1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3500" w:type="dxa"/>
            <w:vAlign w:val="bottom"/>
          </w:tcPr>
          <w:p>
            <w:pPr>
              <w:spacing w:after="0"/>
              <w:rPr>
                <w:sz w:val="17"/>
                <w:szCs w:val="17"/>
                <w:color w:val="auto"/>
              </w:rPr>
            </w:pPr>
          </w:p>
        </w:tc>
        <w:tc>
          <w:tcPr>
            <w:tcW w:w="338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614A3D"/>
              </w:rPr>
              <w:t>Earned or</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Option</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614A3D"/>
              </w:rPr>
              <w:t>All Other</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338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614A3D"/>
              </w:rPr>
              <w:t>Paid in Cash</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614A3D"/>
              </w:rPr>
              <w:t>Awards</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614A3D"/>
              </w:rPr>
              <w:t>Compensation</w:t>
            </w:r>
          </w:p>
        </w:tc>
        <w:tc>
          <w:tcPr>
            <w:tcW w:w="46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2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2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w:t>
            </w: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1900" w:type="dxa"/>
            <w:vAlign w:val="bottom"/>
            <w:tcBorders>
              <w:bottom w:val="single" w:sz="8" w:color="auto"/>
            </w:tcBorders>
          </w:tcPr>
          <w:p>
            <w:pPr>
              <w:jc w:val="right"/>
              <w:ind w:right="252"/>
              <w:spacing w:after="0" w:line="222" w:lineRule="exact"/>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22"/>
                <w:szCs w:val="22"/>
                <w:b w:val="1"/>
                <w:bCs w:val="1"/>
                <w:color w:val="614A3D"/>
                <w:vertAlign w:val="superscript"/>
              </w:rPr>
              <w:t>(3)</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3500" w:type="dxa"/>
            <w:vAlign w:val="bottom"/>
          </w:tcPr>
          <w:p>
            <w:pPr>
              <w:spacing w:after="0"/>
              <w:rPr>
                <w:sz w:val="20"/>
                <w:szCs w:val="20"/>
                <w:color w:val="auto"/>
              </w:rPr>
            </w:pPr>
            <w:r>
              <w:rPr>
                <w:rFonts w:ascii="Arial" w:cs="Arial" w:eastAsia="Arial" w:hAnsi="Arial"/>
                <w:sz w:val="18"/>
                <w:szCs w:val="18"/>
                <w:color w:val="auto"/>
              </w:rPr>
              <w:t>John J. Hagenbuch</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w w:val="95"/>
              </w:rPr>
              <w:t>115,806</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$252,064</w:t>
            </w:r>
          </w:p>
        </w:tc>
        <w:tc>
          <w:tcPr>
            <w:tcW w:w="1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367,870</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5"/>
              </w:rPr>
              <w:t>115,194</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$252,064</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$2,500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369,758</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color w:val="auto"/>
              </w:rPr>
              <w:t>(4)</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5"/>
              </w:rPr>
              <w:t>203,500</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$252,064</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$2,500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458,064</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5"/>
              </w:rPr>
              <w:t>121,500</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$252,064</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$2,500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376,064</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5"/>
              </w:rPr>
              <w:t>118,806</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$252,064</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370,870</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w w:val="95"/>
              </w:rPr>
              <w:t>138,000</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$252,064</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$2,500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392,564</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Elaine P. Wynn</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73,500</w:t>
            </w:r>
          </w:p>
        </w:tc>
        <w:tc>
          <w:tcPr>
            <w:tcW w:w="14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73,500</w:t>
            </w: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 xml:space="preserve">Kazuo Okada </w:t>
            </w:r>
            <w:r>
              <w:rPr>
                <w:rFonts w:ascii="Arial" w:cs="Arial" w:eastAsia="Arial" w:hAnsi="Arial"/>
                <w:sz w:val="11"/>
                <w:szCs w:val="11"/>
                <w:color w:val="auto"/>
              </w:rPr>
              <w:t>(5)</w:t>
            </w:r>
          </w:p>
        </w:tc>
        <w:tc>
          <w:tcPr>
            <w:tcW w:w="240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6,300 stock option awards granted to Messrs. Hagenbuch, Irani, Miller, Shoemaker, Virtue and Wayson, on May 6, 2013. Ms. Elaine P. Wynn did not receive any awards. See our Annual Report on Form 10-K for the year ended December 31, 2013, Item 8, Note 14—“Benefit Plans”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aggregate number of outstanding option awards held by each director at December 31, 2013, is as follows: Mr. Shoemaker 52,590, Dr. Irani and Mr. Wayson 42,590 each, Governor Miller 32,590, and Messrs. Hagenbuch and Virtue 16,300 each.</w:t>
      </w:r>
    </w:p>
    <w:p>
      <w:pPr>
        <w:jc w:val="both"/>
        <w:ind w:left="340" w:hanging="332"/>
        <w:spacing w:after="0" w:line="186"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the Company did not regularly pay dividends at that time.</w:t>
      </w:r>
    </w:p>
    <w:p>
      <w:pPr>
        <w:jc w:val="both"/>
        <w:ind w:left="340" w:hanging="332"/>
        <w:spacing w:after="0" w:line="186"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Governor Miller, as a member of the Board, receives a $50,000 annual retainer for his service as the Chairman of the Company’s Compliance Committee and a $20,000 annual retainer for his service as the Company’s Compliance Director. On February 27, 2014, the Board acted to combine these roles under Chairman of the Company’s Compliance Committee. The annual retainer for this role will be $70,000.</w:t>
      </w:r>
    </w:p>
    <w:p>
      <w:pPr>
        <w:ind w:left="340" w:hanging="332"/>
        <w:spacing w:after="0" w:line="188" w:lineRule="auto"/>
        <w:tabs>
          <w:tab w:leader="none" w:pos="340"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Kazuo Okada informed the Board of his resignation on February 21, 2013, and on February 22, 2013, the Company’s stockholders voted to remove Kazuo Okada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-81280</wp:posOffset>
            </wp:positionV>
            <wp:extent cx="13722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March 24, 2014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Age</w:t>
            </w:r>
          </w:p>
        </w:tc>
        <w:tc>
          <w:tcPr>
            <w:tcW w:w="7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614A3D"/>
              </w:rPr>
              <w:t>Position</w:t>
            </w:r>
          </w:p>
        </w:tc>
      </w:tr>
      <w:tr>
        <w:trPr>
          <w:trHeight w:val="253"/>
        </w:trPr>
        <w:tc>
          <w:tcPr>
            <w:tcW w:w="2140" w:type="dxa"/>
            <w:vAlign w:val="bottom"/>
          </w:tcPr>
          <w:p>
            <w:pPr>
              <w:spacing w:after="0"/>
              <w:rPr>
                <w:sz w:val="20"/>
                <w:szCs w:val="20"/>
                <w:color w:val="auto"/>
              </w:rPr>
            </w:pPr>
            <w:r>
              <w:rPr>
                <w:rFonts w:ascii="Arial" w:cs="Arial" w:eastAsia="Arial" w:hAnsi="Arial"/>
                <w:sz w:val="18"/>
                <w:szCs w:val="18"/>
                <w:color w:val="auto"/>
              </w:rPr>
              <w:t>Stephen A. Wynn</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72</w:t>
            </w:r>
          </w:p>
        </w:tc>
        <w:tc>
          <w:tcPr>
            <w:tcW w:w="7920" w:type="dxa"/>
            <w:vAlign w:val="bottom"/>
          </w:tcPr>
          <w:p>
            <w:pPr>
              <w:ind w:left="280"/>
              <w:spacing w:after="0"/>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38</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 and Chief Financial Officer</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47</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President of Wynn International Marketing, Limited</w:t>
            </w: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53</w:t>
            </w:r>
          </w:p>
        </w:tc>
        <w:tc>
          <w:tcPr>
            <w:tcW w:w="7920" w:type="dxa"/>
            <w:vAlign w:val="bottom"/>
          </w:tcPr>
          <w:p>
            <w:pPr>
              <w:ind w:left="280"/>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11"/>
        </w:trPr>
        <w:tc>
          <w:tcPr>
            <w:tcW w:w="2140" w:type="dxa"/>
            <w:vAlign w:val="bottom"/>
          </w:tcPr>
          <w:p>
            <w:pPr>
              <w:spacing w:after="0"/>
              <w:rPr>
                <w:sz w:val="20"/>
                <w:szCs w:val="20"/>
                <w:color w:val="auto"/>
              </w:rPr>
            </w:pPr>
            <w:r>
              <w:rPr>
                <w:rFonts w:ascii="Arial" w:cs="Arial" w:eastAsia="Arial" w:hAnsi="Arial"/>
                <w:sz w:val="18"/>
                <w:szCs w:val="18"/>
                <w:color w:val="auto"/>
              </w:rPr>
              <w:t>John Strzemp</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62</w:t>
            </w:r>
          </w:p>
        </w:tc>
        <w:tc>
          <w:tcPr>
            <w:tcW w:w="7920" w:type="dxa"/>
            <w:vAlign w:val="bottom"/>
          </w:tcPr>
          <w:p>
            <w:pPr>
              <w:ind w:left="280"/>
              <w:spacing w:after="0"/>
              <w:rPr>
                <w:sz w:val="20"/>
                <w:szCs w:val="20"/>
                <w:color w:val="auto"/>
              </w:rPr>
            </w:pPr>
            <w:r>
              <w:rPr>
                <w:rFonts w:ascii="Arial" w:cs="Arial" w:eastAsia="Arial" w:hAnsi="Arial"/>
                <w:sz w:val="18"/>
                <w:szCs w:val="18"/>
                <w:color w:val="auto"/>
              </w:rPr>
              <w:t>Executive Vice President and Chief Administrative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the Board and serve at the discretion of the Board, subject to applicable employment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Non-Director Executive Biographies</w:t>
      </w:r>
    </w:p>
    <w:p>
      <w:pPr>
        <w:spacing w:after="0" w:line="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is the Company’s President and Chief Financial Officer. Mr. Maddox has been a Non-Executive Director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Macau, Limited, a majority owned subsidiary of the Company, since March 2013. From November 2013 through February 2014, Mr. Maddox was the Company’s President, Chief Financial Officer and Treasurer and from March 2008, to November 2013, Mr. Maddox was the Company’s Chief Financial Officer and Treasurer.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has been an Executive Director and Chief Operating Officer of Wynn Macau, Limited, a majority owned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since September 2009. Ms. Chen serves as the President of Wynn International Marketing, Limited, a wholly owned indirect subsidiary of the Company,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 Ms. Chen served on the Board of the Company from October 2007 to December 2012.</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the Company, a position she has held since February 2006. She joined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is the Executive Vice President and Chief Administrative Officer of the Company. Prior to his promotion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Mr. Strzemp served as Executive Vice President and Chief Financial Officer of the Company, positions he held since September 2002. Mr. Strzemp served as the Company’s Treasurer from March 2003 to 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-81280</wp:posOffset>
            </wp:positionV>
            <wp:extent cx="4572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Certain Beneficial Ownership and Management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sets forth, as of February 28, 2014,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Each stockholder’s percentage is based on 101,232,217 shares of common stock outstanding as of March 1, 2014, and treating as outstanding all options held by that stockholder and exercisable within 60 days of March 1,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40" w:type="dxa"/>
            <w:vAlign w:val="bottom"/>
            <w:gridSpan w:val="3"/>
            <w:vMerge w:val="restart"/>
          </w:tcPr>
          <w:p>
            <w:pPr>
              <w:spacing w:after="0"/>
              <w:rPr>
                <w:sz w:val="20"/>
                <w:szCs w:val="20"/>
                <w:color w:val="auto"/>
              </w:rPr>
            </w:pPr>
            <w:r>
              <w:rPr>
                <w:rFonts w:ascii="Arial" w:cs="Arial" w:eastAsia="Arial" w:hAnsi="Arial"/>
                <w:sz w:val="18"/>
                <w:szCs w:val="18"/>
                <w:b w:val="1"/>
                <w:bCs w:val="1"/>
                <w:color w:val="614A3D"/>
              </w:rPr>
              <w:t xml:space="preserve">Name and Address of Beneficial Owner </w:t>
            </w:r>
            <w:r>
              <w:rPr>
                <w:rFonts w:ascii="Arial" w:cs="Arial" w:eastAsia="Arial" w:hAnsi="Arial"/>
                <w:sz w:val="11"/>
                <w:szCs w:val="11"/>
                <w:b w:val="1"/>
                <w:bCs w:val="1"/>
                <w:color w:val="614A3D"/>
              </w:rPr>
              <w:t>(2)</w:t>
            </w:r>
          </w:p>
        </w:tc>
        <w:tc>
          <w:tcPr>
            <w:tcW w:w="42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614A3D"/>
              </w:rPr>
              <w:t xml:space="preserve">Beneficial Ownership Of Shares </w:t>
            </w:r>
            <w:r>
              <w:rPr>
                <w:rFonts w:ascii="Arial" w:cs="Arial" w:eastAsia="Arial" w:hAnsi="Arial"/>
                <w:sz w:val="11"/>
                <w:szCs w:val="11"/>
                <w:b w:val="1"/>
                <w:bCs w:val="1"/>
                <w:color w:val="614A3D"/>
              </w:rPr>
              <w:t>(1)</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auto"/>
            </w:tcBorders>
            <w:gridSpan w:val="3"/>
            <w:vMerge w:val="continue"/>
          </w:tcPr>
          <w:p>
            <w:pPr>
              <w:spacing w:after="0"/>
              <w:rPr>
                <w:sz w:val="17"/>
                <w:szCs w:val="17"/>
                <w:color w:val="auto"/>
              </w:rPr>
            </w:pPr>
          </w:p>
        </w:tc>
        <w:tc>
          <w:tcPr>
            <w:tcW w:w="278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b w:val="1"/>
                <w:bCs w:val="1"/>
                <w:color w:val="614A3D"/>
              </w:rPr>
              <w:t>Number</w:t>
            </w:r>
          </w:p>
        </w:tc>
        <w:tc>
          <w:tcPr>
            <w:tcW w:w="15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614A3D"/>
              </w:rPr>
              <w:t>Percentage</w:t>
            </w:r>
          </w:p>
        </w:tc>
        <w:tc>
          <w:tcPr>
            <w:tcW w:w="0" w:type="dxa"/>
            <w:vAlign w:val="bottom"/>
          </w:tcPr>
          <w:p>
            <w:pPr>
              <w:spacing w:after="0"/>
              <w:rPr>
                <w:sz w:val="1"/>
                <w:szCs w:val="1"/>
                <w:color w:val="auto"/>
              </w:rPr>
            </w:pPr>
          </w:p>
        </w:tc>
      </w:tr>
      <w:tr>
        <w:trPr>
          <w:trHeight w:val="253"/>
        </w:trPr>
        <w:tc>
          <w:tcPr>
            <w:tcW w:w="7140" w:type="dxa"/>
            <w:vAlign w:val="bottom"/>
            <w:gridSpan w:val="3"/>
          </w:tcPr>
          <w:p>
            <w:pPr>
              <w:spacing w:after="0"/>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color w:val="auto"/>
              </w:rPr>
              <w:t>(3) (4)</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10,031,708</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color w:val="auto"/>
              </w:rPr>
              <w:t>(3)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9,608,334</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Waddell &amp; Reed Financial, Inc. </w:t>
            </w:r>
            <w:r>
              <w:rPr>
                <w:rFonts w:ascii="Arial" w:cs="Arial" w:eastAsia="Arial" w:hAnsi="Arial"/>
                <w:sz w:val="11"/>
                <w:szCs w:val="11"/>
                <w:color w:val="auto"/>
              </w:rPr>
              <w:t>(5)</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8,659,889</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6300 Lamar Avenue</w:t>
            </w:r>
          </w:p>
        </w:tc>
        <w:tc>
          <w:tcPr>
            <w:tcW w:w="2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Overland Park, KS 66202</w:t>
            </w: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3"/>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1"/>
                <w:szCs w:val="11"/>
                <w:color w:val="auto"/>
              </w:rPr>
              <w:t>(6)</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5,266,432</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2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60" w:type="dxa"/>
            <w:vAlign w:val="bottom"/>
            <w:gridSpan w:val="2"/>
          </w:tcPr>
          <w:p>
            <w:pPr>
              <w:ind w:left="20"/>
              <w:spacing w:after="0"/>
              <w:rPr>
                <w:sz w:val="20"/>
                <w:szCs w:val="20"/>
                <w:color w:val="auto"/>
              </w:rPr>
            </w:pPr>
            <w:r>
              <w:rPr>
                <w:rFonts w:ascii="Arial" w:cs="Arial" w:eastAsia="Arial" w:hAnsi="Arial"/>
                <w:sz w:val="18"/>
                <w:szCs w:val="18"/>
                <w:color w:val="auto"/>
              </w:rPr>
              <w:t>New York, NY 10022</w:t>
            </w:r>
          </w:p>
        </w:tc>
        <w:tc>
          <w:tcPr>
            <w:tcW w:w="2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3"/>
          </w:tcPr>
          <w:p>
            <w:pPr>
              <w:spacing w:after="0"/>
              <w:rPr>
                <w:sz w:val="20"/>
                <w:szCs w:val="20"/>
                <w:color w:val="auto"/>
              </w:rPr>
            </w:pPr>
            <w:r>
              <w:rPr>
                <w:rFonts w:ascii="Arial" w:cs="Arial" w:eastAsia="Arial" w:hAnsi="Arial"/>
                <w:sz w:val="18"/>
                <w:szCs w:val="18"/>
                <w:color w:val="auto"/>
              </w:rPr>
              <w:t xml:space="preserve">John J. Hagenbuch </w:t>
            </w:r>
            <w:r>
              <w:rPr>
                <w:rFonts w:ascii="Arial" w:cs="Arial" w:eastAsia="Arial" w:hAnsi="Arial"/>
                <w:sz w:val="11"/>
                <w:szCs w:val="11"/>
                <w:color w:val="auto"/>
              </w:rPr>
              <w:t>(7) (8)</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10,300</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Ray R. Irani </w:t>
            </w:r>
            <w:r>
              <w:rPr>
                <w:rFonts w:ascii="Arial" w:cs="Arial" w:eastAsia="Arial" w:hAnsi="Arial"/>
                <w:sz w:val="11"/>
                <w:szCs w:val="11"/>
                <w:color w:val="auto"/>
              </w:rPr>
              <w:t>(9)</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24,978</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color w:val="auto"/>
              </w:rPr>
              <w:t>(10)</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12,478</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Alvin V. Shoemaker </w:t>
            </w:r>
            <w:r>
              <w:rPr>
                <w:rFonts w:ascii="Arial" w:cs="Arial" w:eastAsia="Arial" w:hAnsi="Arial"/>
                <w:sz w:val="11"/>
                <w:szCs w:val="11"/>
                <w:color w:val="auto"/>
              </w:rPr>
              <w:t>(11)</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22,478</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 Edward Virtue </w:t>
            </w:r>
            <w:r>
              <w:rPr>
                <w:rFonts w:ascii="Arial" w:cs="Arial" w:eastAsia="Arial" w:hAnsi="Arial"/>
                <w:sz w:val="11"/>
                <w:szCs w:val="11"/>
                <w:color w:val="auto"/>
              </w:rPr>
              <w:t>(12)</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10,000</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 Boone Wayson </w:t>
            </w:r>
            <w:r>
              <w:rPr>
                <w:rFonts w:ascii="Arial" w:cs="Arial" w:eastAsia="Arial" w:hAnsi="Arial"/>
                <w:sz w:val="11"/>
                <w:szCs w:val="11"/>
                <w:color w:val="auto"/>
              </w:rPr>
              <w:t>(13)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97,478</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color w:val="auto"/>
              </w:rPr>
              <w:t>(14)</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73,560</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color w:val="auto"/>
              </w:rPr>
              <w:t>(15)</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110,000</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color w:val="auto"/>
              </w:rPr>
              <w:t>(16)</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65,287</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4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color w:val="auto"/>
              </w:rPr>
              <w:t>(17) (18)</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250,500</w:t>
            </w:r>
          </w:p>
        </w:tc>
        <w:tc>
          <w:tcPr>
            <w:tcW w:w="15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140" w:type="dxa"/>
            <w:vAlign w:val="bottom"/>
            <w:gridSpan w:val="3"/>
          </w:tcPr>
          <w:p>
            <w:pPr>
              <w:spacing w:after="0"/>
              <w:rPr>
                <w:sz w:val="20"/>
                <w:szCs w:val="20"/>
                <w:color w:val="auto"/>
              </w:rPr>
            </w:pPr>
            <w:r>
              <w:rPr>
                <w:rFonts w:ascii="Arial" w:cs="Arial" w:eastAsia="Arial" w:hAnsi="Arial"/>
                <w:sz w:val="18"/>
                <w:szCs w:val="18"/>
                <w:color w:val="auto"/>
              </w:rPr>
              <w:t xml:space="preserve">All Directors and Executive Officers as a Group (12 persons) </w:t>
            </w:r>
            <w:r>
              <w:rPr>
                <w:rFonts w:ascii="Arial" w:cs="Arial" w:eastAsia="Arial" w:hAnsi="Arial"/>
                <w:sz w:val="11"/>
                <w:szCs w:val="11"/>
                <w:color w:val="auto"/>
              </w:rPr>
              <w:t>(19)</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20,317,101</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97"/>
        </w:trPr>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line="142" w:lineRule="exact"/>
              <w:rPr>
                <w:sz w:val="20"/>
                <w:szCs w:val="20"/>
                <w:color w:val="auto"/>
              </w:rPr>
            </w:pPr>
            <w:r>
              <w:rPr>
                <w:rFonts w:ascii="Arial" w:cs="Arial" w:eastAsia="Arial" w:hAnsi="Arial"/>
                <w:sz w:val="14"/>
                <w:szCs w:val="14"/>
                <w:i w:val="1"/>
                <w:iCs w:val="1"/>
                <w:color w:val="auto"/>
              </w:rPr>
              <w:t>*</w:t>
            </w:r>
          </w:p>
        </w:tc>
        <w:tc>
          <w:tcPr>
            <w:tcW w:w="6960" w:type="dxa"/>
            <w:vAlign w:val="bottom"/>
            <w:gridSpan w:val="2"/>
          </w:tcPr>
          <w:p>
            <w:pPr>
              <w:ind w:left="160"/>
              <w:spacing w:after="0" w:line="142" w:lineRule="exact"/>
              <w:rPr>
                <w:sz w:val="20"/>
                <w:szCs w:val="20"/>
                <w:color w:val="auto"/>
              </w:rPr>
            </w:pPr>
            <w:r>
              <w:rPr>
                <w:rFonts w:ascii="Arial" w:cs="Arial" w:eastAsia="Arial" w:hAnsi="Arial"/>
                <w:sz w:val="14"/>
                <w:szCs w:val="14"/>
                <w:i w:val="1"/>
                <w:iCs w:val="1"/>
                <w:color w:val="auto"/>
              </w:rPr>
              <w:t>Less than one percent</w:t>
            </w:r>
          </w:p>
        </w:tc>
        <w:tc>
          <w:tcPr>
            <w:tcW w:w="2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6"/>
              </w:rPr>
              <w:t>This table is based upon information supplied by officers, directors, nominees for director, principal stockholders and the Company’s transfer agent, and contained in Schedules 13D and</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rPr>
              <w:t>13G filed with the SEC. Unless otherwise indicated in the footnotes to this table and subject to community property laws, where applicable, the Company believes each of the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9"/>
              </w:rPr>
              <w:t>stockholders named in this table has sole voting and investment power with respect to the shares indicated as beneficially owned. Executives and directors have voting power over</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(2)</w:t>
            </w:r>
          </w:p>
        </w:tc>
        <w:tc>
          <w:tcPr>
            <w:tcW w:w="696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shares of restricted stock, but cannot transfer such shares unless and until they vest.</w:t>
            </w:r>
          </w:p>
        </w:tc>
        <w:tc>
          <w:tcPr>
            <w:tcW w:w="2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11240" w:type="dxa"/>
            <w:vAlign w:val="bottom"/>
            <w:gridSpan w:val="4"/>
          </w:tcPr>
          <w:p>
            <w:pPr>
              <w:ind w:left="160"/>
              <w:spacing w:after="0" w:line="137" w:lineRule="exact"/>
              <w:rPr>
                <w:sz w:val="20"/>
                <w:szCs w:val="20"/>
                <w:color w:val="auto"/>
              </w:rPr>
            </w:pPr>
            <w:r>
              <w:rPr>
                <w:rFonts w:ascii="Arial" w:cs="Arial" w:eastAsia="Arial" w:hAnsi="Arial"/>
                <w:sz w:val="14"/>
                <w:szCs w:val="14"/>
                <w:i w:val="1"/>
                <w:iCs w:val="1"/>
                <w:color w:val="auto"/>
              </w:rPr>
              <w:t>Unless otherwise indicated, the address of each of the named parties in this table is: c/o Wynn Resorts, Limited, 3131 Las Vegas Boulevard South, Las Vegas, Nevada 89109.</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1"/>
                <w:szCs w:val="11"/>
                <w:i w:val="1"/>
                <w:iCs w:val="1"/>
                <w:color w:val="auto"/>
              </w:rPr>
              <w:t>(3)</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7"/>
              </w:rPr>
              <w:t>Does not include shares that may be deemed to be beneficially owned by virtue of the Stockholders Agreement, to which Mr. Wynn and Ms. Elaine P. Wynn are parties and pursuant to</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rPr>
              <w:t>which they have shared voting and dispositive power with respect to shares subject thereto. Each disclaims beneficial ownership of shares held by the other. As described above,</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(4)</w:t>
            </w:r>
          </w:p>
        </w:tc>
        <w:tc>
          <w:tcPr>
            <w:tcW w:w="696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Ms. Wynn has filed a cross-claim seeking to void the Stockholders Agreement.</w:t>
            </w:r>
          </w:p>
        </w:tc>
        <w:tc>
          <w:tcPr>
            <w:tcW w:w="2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6960" w:type="dxa"/>
            <w:vAlign w:val="bottom"/>
            <w:gridSpan w:val="2"/>
          </w:tcPr>
          <w:p>
            <w:pPr>
              <w:ind w:left="160"/>
              <w:spacing w:after="0" w:line="137" w:lineRule="exact"/>
              <w:rPr>
                <w:sz w:val="20"/>
                <w:szCs w:val="20"/>
                <w:color w:val="auto"/>
              </w:rPr>
            </w:pPr>
            <w:r>
              <w:rPr>
                <w:rFonts w:ascii="Arial" w:cs="Arial" w:eastAsia="Arial" w:hAnsi="Arial"/>
                <w:sz w:val="14"/>
                <w:szCs w:val="14"/>
                <w:i w:val="1"/>
                <w:iCs w:val="1"/>
                <w:color w:val="auto"/>
              </w:rPr>
              <w:t>Includes 5,000 shares owned by Mr. Wynn’s spouse in which Mr. Wynn disclaims beneficial ownership.</w:t>
            </w:r>
          </w:p>
        </w:tc>
        <w:tc>
          <w:tcPr>
            <w:tcW w:w="2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1"/>
                <w:szCs w:val="11"/>
                <w:i w:val="1"/>
                <w:iCs w:val="1"/>
                <w:color w:val="auto"/>
              </w:rPr>
              <w:t>(5)</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rPr>
              <w:t>Waddell &amp; Reed Financial, Inc. (“Waddell”) has beneficial ownership of these shares as of December 31, 2013. The information provided is based upon a Schedule 13G/A filed on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rPr>
              <w:t>February 7, 2014, filed by Waddell indicating that Waddell has sole voting and dispositive power as to 8,659,889 shares; Waddell &amp; Reed Financial Services, Inc. a subsidiary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8"/>
              </w:rPr>
              <w:t>Waddell, has sole voting and dispositive power as to 2,194,138 shares; Waddell &amp; Reed, Inc., a subsidiary of Waddell &amp; Reed Financial Services, Inc. has sole voting and dispositive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7"/>
              </w:rPr>
              <w:t>power as to 2,194,138 shares; Waddell &amp; Reed Investment Management Company, a subsidiary of Waddell &amp; Reed, Inc., has sole voting and dispositive power as to 2,194,138 shares;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6"/>
              </w:rPr>
              <w:t>and Ivy Investment Management Company, a subsidiary of Waddell, has sole voting and dispositive power as to 6,465,751 shares. The number of common shares beneficially owned by</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(6)</w:t>
            </w:r>
          </w:p>
        </w:tc>
        <w:tc>
          <w:tcPr>
            <w:tcW w:w="696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Waddell may have changed since the filing of the Schedule 13G/A.</w:t>
            </w:r>
          </w:p>
        </w:tc>
        <w:tc>
          <w:tcPr>
            <w:tcW w:w="2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vMerge w:val="continue"/>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7"/>
              </w:rPr>
              <w:t>BlackRock, Inc. (“BlackRock”) has beneficial ownership of these shares as of December 31, 2013. BlackRock has sole dispositive power as to 5,266,432 shares and sole voting power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8"/>
              </w:rPr>
              <w:t>as to 4,401,332 shares. The information provided is based upon a Schedule 13G/A, dated February 4, 2014, filed by BlackRock. The number of common shares beneficially owned by</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(7)</w:t>
            </w:r>
          </w:p>
        </w:tc>
        <w:tc>
          <w:tcPr>
            <w:tcW w:w="696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BlackRock may have changed since the filing of the Schedule 13G/A.</w:t>
            </w:r>
          </w:p>
        </w:tc>
        <w:tc>
          <w:tcPr>
            <w:tcW w:w="2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11240" w:type="dxa"/>
            <w:vAlign w:val="bottom"/>
            <w:gridSpan w:val="4"/>
          </w:tcPr>
          <w:p>
            <w:pPr>
              <w:ind w:left="160"/>
              <w:spacing w:after="0" w:line="137" w:lineRule="exact"/>
              <w:rPr>
                <w:sz w:val="20"/>
                <w:szCs w:val="20"/>
                <w:color w:val="auto"/>
              </w:rPr>
            </w:pPr>
            <w:r>
              <w:rPr>
                <w:rFonts w:ascii="Arial" w:cs="Arial" w:eastAsia="Arial" w:hAnsi="Arial"/>
                <w:sz w:val="14"/>
                <w:szCs w:val="14"/>
                <w:i w:val="1"/>
                <w:iCs w:val="1"/>
                <w:color w:val="auto"/>
              </w:rPr>
              <w:t>Includes 10,000 shares subject to immediately exercisable options to purchase Wynn Resorts Common Stock granted pursuant to Wynn Resorts 2002 Stock Incentive Plan.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20"/>
                <w:szCs w:val="20"/>
                <w:color w:val="auto"/>
              </w:rPr>
            </w:pPr>
            <w:r>
              <w:rPr>
                <w:rFonts w:ascii="Arial" w:cs="Arial" w:eastAsia="Arial" w:hAnsi="Arial"/>
                <w:sz w:val="11"/>
                <w:szCs w:val="11"/>
                <w:i w:val="1"/>
                <w:iCs w:val="1"/>
                <w:color w:val="auto"/>
              </w:rPr>
              <w:t>(8)</w:t>
            </w:r>
          </w:p>
        </w:tc>
        <w:tc>
          <w:tcPr>
            <w:tcW w:w="696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Includes 250 shares held by Mr. Hagenbuch’s wife and 50 shares held by Mr. Hagenbuch’s son.</w:t>
            </w:r>
          </w:p>
        </w:tc>
        <w:tc>
          <w:tcPr>
            <w:tcW w:w="2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20"/>
                <w:szCs w:val="20"/>
                <w:color w:val="auto"/>
              </w:rPr>
            </w:pPr>
            <w:r>
              <w:rPr>
                <w:rFonts w:ascii="Arial" w:cs="Arial" w:eastAsia="Arial" w:hAnsi="Arial"/>
                <w:sz w:val="11"/>
                <w:szCs w:val="11"/>
                <w:i w:val="1"/>
                <w:iCs w:val="1"/>
                <w:color w:val="auto"/>
              </w:rPr>
              <w:t>(9)</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rPr>
              <w:t>Includes 19,978 shares subject to an immediately exercisable option to purchase Wynn Resorts’ Common Stock granted pursuant to Wynn Resorts’ 2002 Stock Incentive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-62230</wp:posOffset>
            </wp:positionV>
            <wp:extent cx="4953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9,978 shares subject to immediately exercisable options to purchase Wynn Resorts’ Common Stock granted pursuant to Wynn Resorts’ 2002 Stock Incentive Plan.</w:t>
      </w:r>
    </w:p>
    <w:p>
      <w:pPr>
        <w:ind w:left="340" w:hanging="332"/>
        <w:spacing w:after="0" w:line="182" w:lineRule="auto"/>
        <w:tabs>
          <w:tab w:leader="none" w:pos="340" w:val="left"/>
        </w:tabs>
        <w:numPr>
          <w:ilvl w:val="0"/>
          <w:numId w:val="1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19,978 shares subject to immediately exercisable options to purchase Wynn Resorts’ Common Stock granted pursuant to Wynn Resorts’ 2002 Stock Incentive Plan.</w:t>
      </w:r>
    </w:p>
    <w:p>
      <w:pPr>
        <w:ind w:left="340" w:hanging="332"/>
        <w:spacing w:after="0" w:line="182" w:lineRule="auto"/>
        <w:tabs>
          <w:tab w:leader="none" w:pos="340" w:val="left"/>
        </w:tabs>
        <w:numPr>
          <w:ilvl w:val="0"/>
          <w:numId w:val="1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10,000 shares subject to immediately exercisable options to purchase Wynn Resorts’ Common Stock granted pursuant to Wynn Resorts’ 2002 Stock Incentive Plan.</w:t>
      </w:r>
    </w:p>
    <w:p>
      <w:pPr>
        <w:ind w:left="340" w:hanging="332"/>
        <w:spacing w:after="0" w:line="182" w:lineRule="auto"/>
        <w:tabs>
          <w:tab w:leader="none" w:pos="340" w:val="left"/>
        </w:tabs>
        <w:numPr>
          <w:ilvl w:val="0"/>
          <w:numId w:val="1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19,978 shares subject to immediately exercisable options to purchase Wynn Resorts’ Common Stock granted pursuant to Wynn Resorts’ 2002 Stock Incentive Plan.</w:t>
      </w:r>
    </w:p>
    <w:p>
      <w:pPr>
        <w:ind w:left="340" w:hanging="332"/>
        <w:spacing w:after="0" w:line="182" w:lineRule="auto"/>
        <w:tabs>
          <w:tab w:leader="none" w:pos="34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50,000 shares of restricted stock granted pursuant to the Company’s 2002 Stock Incentive Plan and subject to a Restricted Stock Agreement which provides such grant will vest on December 5, 2016.</w:t>
      </w:r>
    </w:p>
    <w:p>
      <w:pPr>
        <w:jc w:val="both"/>
        <w:ind w:left="340" w:hanging="332"/>
        <w:spacing w:after="0" w:line="186" w:lineRule="auto"/>
        <w:tabs>
          <w:tab w:leader="none" w:pos="340" w:val="left"/>
        </w:tabs>
        <w:numPr>
          <w:ilvl w:val="0"/>
          <w:numId w:val="1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(i) 100,000 shares of restricted stock granted pursuant to the Company’s 2002 Stock Incentive Plan and subject to a Restricted Stock Agreement which provides such grant will vest on December 5, 2016; and (ii) 10,000 shares subject to immediately exercisable options to purchase Wynn Resorts Common Stock granted pursuant to Wynn Resorts 2002 Stock Incentive Plan.</w:t>
      </w:r>
    </w:p>
    <w:p>
      <w:pPr>
        <w:ind w:left="340" w:hanging="332"/>
        <w:spacing w:after="0" w:line="182" w:lineRule="auto"/>
        <w:tabs>
          <w:tab w:leader="none" w:pos="34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25,000 shares of restricted stock granted pursuant to the Company’s 2002 Stock Plan and subject to a Restricted Stock Agreement which provides such grant will vest on December 5, 2016.</w:t>
      </w:r>
    </w:p>
    <w:p>
      <w:pPr>
        <w:ind w:left="340" w:hanging="332"/>
        <w:spacing w:after="0" w:line="182" w:lineRule="auto"/>
        <w:tabs>
          <w:tab w:leader="none" w:pos="34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22,500 unvested shares of restricted stock of the Company’s common stock granted pursuant to the Company’s 2002 Stock Incentive Plan and subject to a Restricted Stock Agreement.</w:t>
      </w:r>
    </w:p>
    <w:p>
      <w:pPr>
        <w:ind w:left="340" w:hanging="332"/>
        <w:spacing w:after="0" w:line="182" w:lineRule="auto"/>
        <w:tabs>
          <w:tab w:leader="none" w:pos="340" w:val="left"/>
        </w:tabs>
        <w:numPr>
          <w:ilvl w:val="0"/>
          <w:numId w:val="13"/>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500 shares held by Mr. Strzemp’s mother.</w:t>
      </w:r>
    </w:p>
    <w:p>
      <w:pPr>
        <w:ind w:left="340" w:hanging="332"/>
        <w:spacing w:after="0" w:line="188" w:lineRule="auto"/>
        <w:tabs>
          <w:tab w:leader="none" w:pos="340" w:val="left"/>
        </w:tabs>
        <w:numPr>
          <w:ilvl w:val="0"/>
          <w:numId w:val="13"/>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99,912 shares subject to immediately exercisable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Section 16(a) Beneficial Ownership Reporting Compliance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-81280</wp:posOffset>
            </wp:positionV>
            <wp:extent cx="11430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4300"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2013 was a record year for Wynn Resorts. In addition to delivering an 81% total return to stockholders and the best financial results in our history, we returned $704 million, or $7.00 per share, of cash to our stockholders through the payment of dividends. We achieved these results while continuing to build a foundation for future growth.</w:t>
      </w:r>
    </w:p>
    <w:p>
      <w:pPr>
        <w:spacing w:after="0" w:line="166" w:lineRule="exact"/>
        <w:rPr>
          <w:sz w:val="20"/>
          <w:szCs w:val="20"/>
          <w:color w:val="auto"/>
        </w:rPr>
      </w:pPr>
    </w:p>
    <w:p>
      <w:pPr>
        <w:jc w:val="both"/>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Record Adjusted Property EBITDA at Wynn Las Vegas and Wynn Macau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2013, we reported Company record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EBITDA at both of our casino resorts. At Wynn Macau, adjusted property EBITDA increased to a record of $1.3 billion, which was 13% higher than 2012. Similarly, adjusted property EBITDA at Wynn Las Vegas reached an all-time record of $487 million, a 19% increase from 2012. See our Annual Report on Form 10-K for the year ended December 31, 2013, Item 8, Note 17—“Segment Information” to our Consolidated Financial Statements for the definition of “adjusted property EBITDA” and a reconciliation of adjusted property EBITDA to net income.</w:t>
      </w:r>
    </w:p>
    <w:p>
      <w:pPr>
        <w:spacing w:after="0" w:line="54"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Alignment – Strong Total Stockholder Return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generated a total stockholder return (stock price appreciation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reinvested) (TSR) of approximately 81%, 125% and 535% respectively, over our one-, three-, and five-year periods ending December 31, 2013, significantly outperforming the 32%, 57% and 128% TSR, respectively, for the S&amp;P 500 Index (index appreciation plus dividends reinvested) for the corresponding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172085</wp:posOffset>
            </wp:positionV>
            <wp:extent cx="4476750" cy="3919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76750" cy="391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020" w:hanging="215"/>
        <w:spacing w:after="0" w:line="24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of Significant Capital to our Stockholders. </w:t>
      </w:r>
      <w:r>
        <w:rPr>
          <w:rFonts w:ascii="Arial" w:cs="Arial" w:eastAsia="Arial" w:hAnsi="Arial"/>
          <w:sz w:val="18"/>
          <w:szCs w:val="18"/>
          <w:color w:val="auto"/>
        </w:rPr>
        <w:t>During fiscal 2013, we returned approximately $704 million, or $7.00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cash to our stockholders through the payment of dividends. Since our initial public offering in 2002, we have cumulatively returned approximately $5.4 billion, or $48.75 per share, of cash to our stockholders through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2013 Growth Objectives and Strategic Achievements. Our record financial results were achieved while continuing to build a strong foundation for future growth. In 2002, we had our initial public offering as a development company. Today, we are pursuing an expansion strategy while returning solid dividends to our stockholders.</w:t>
      </w:r>
    </w:p>
    <w:p>
      <w:pPr>
        <w:spacing w:after="0" w:line="166" w:lineRule="exact"/>
        <w:rPr>
          <w:sz w:val="20"/>
          <w:szCs w:val="20"/>
          <w:color w:val="auto"/>
        </w:rPr>
      </w:pPr>
    </w:p>
    <w:p>
      <w:pPr>
        <w:jc w:val="both"/>
        <w:ind w:left="1020" w:hanging="215"/>
        <w:spacing w:after="0" w:line="24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on Key Milestones at Cotai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open Wynn Palace, our $4 billion casino resort currently under construction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Cotai area of Macau, in the first half of 2016. In 2013, we remained on pace with the project’s budget and construction schedule. Additionally, on July 29, 2013, we achieved a key milestone by executing a guaranteed maximum price (GMP) for the project construction costs.</w:t>
      </w:r>
    </w:p>
    <w:p>
      <w:pPr>
        <w:spacing w:after="0" w:line="49" w:lineRule="exact"/>
        <w:rPr>
          <w:rFonts w:ascii="Arial" w:cs="Arial" w:eastAsia="Arial" w:hAnsi="Arial"/>
          <w:sz w:val="18"/>
          <w:szCs w:val="18"/>
          <w:color w:val="auto"/>
        </w:rPr>
      </w:pPr>
    </w:p>
    <w:p>
      <w:pPr>
        <w:jc w:val="both"/>
        <w:ind w:left="1020" w:hanging="215"/>
        <w:spacing w:after="0" w:line="285"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Invested in our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response to our evaluation of our operations and the reactions of our guests, we continually enhance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refine our resort complexes. In 2013, we completed a renovation of the 600 rooms in the Wynn Macau guestroom tower, made several enhancements to the Wynn Macau VIP areas and remodeled two restaurants at Wynn Las Vegas. We are currently evaluating additional changes to enhance the guest experience throughout the Wynn Macau resort, as well as at Wynn Las Vegas.</w:t>
      </w:r>
    </w:p>
    <w:p>
      <w:pPr>
        <w:spacing w:after="0" w:line="17" w:lineRule="exact"/>
        <w:rPr>
          <w:rFonts w:ascii="Arial" w:cs="Arial" w:eastAsia="Arial" w:hAnsi="Arial"/>
          <w:sz w:val="16"/>
          <w:szCs w:val="16"/>
          <w:color w:val="auto"/>
        </w:rPr>
      </w:pPr>
    </w:p>
    <w:p>
      <w:pPr>
        <w:jc w:val="both"/>
        <w:ind w:left="1020" w:hanging="21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Continued Progress on Development Opportunities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continually seek out new opportunities for additional gaming or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We are currently participating in a competitive bidding process for a gaming license in Massachusetts as part of our strategy to expand in select markets. On December 27, 2013, the Massachusetts Gaming Commission found by unanimous vote that Wynn MA, LLC, a direct, wholly owned subsidiary of the Company, met its burden of proof with respect to its application and accordingly issued a positive determination of suitability. The Commission further issued a positive determination of suitability to all individual and entity qualifiers referenced in the Report of Suitability of Applicant Entities and Individual Qualifiers dated December 6, 2013. We expect the Massachusetts Gaming Commission to select the winning proposal by June, 2014.</w:t>
      </w:r>
    </w:p>
    <w:p>
      <w:pPr>
        <w:spacing w:after="0" w:line="56" w:lineRule="exact"/>
        <w:rPr>
          <w:rFonts w:ascii="Arial" w:cs="Arial" w:eastAsia="Arial" w:hAnsi="Arial"/>
          <w:sz w:val="18"/>
          <w:szCs w:val="18"/>
          <w:color w:val="auto"/>
        </w:rPr>
      </w:pPr>
    </w:p>
    <w:p>
      <w:pPr>
        <w:jc w:val="both"/>
        <w:ind w:left="1020" w:hanging="2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Forbes Five-Star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sixth consecutive year, Wynn Macau and the Spa at Wynn Macau received the Forbes five-star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distinction while Encore at Wynn Macau and the Spa at Encore at Wynn Macau received the Forbes five-star distinction for the second consecutive year. For the eighth consecutive year, the Tower Suites at Wynn Las Vegas received the Forbes five-star distinction. The Spa at Wynn Las Vegas earned five-star recognition from Forbes for the sixth year in a row. The Tower Suites at Encore and the Spa at Encore are also recipients of the Forbes five-star distinction. In addition, a number of restaurants in our resorts have earned star-distinction from Forbes, with 38 stars in total for the current year.</w:t>
      </w:r>
    </w:p>
    <w:p>
      <w:pPr>
        <w:spacing w:after="0" w:line="54"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Improved Our Overall Liquidity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2013, our strong financial performance has significantly improved our liquidity position.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2013, the Company had approximately $2.9 billion of cash and investments on-hand. Through the completion of several financing transactions in 2013, the Company further strengthened its balance sheet by pushing significant debt maturities beyond 2020.</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Pay for Performance. Our executive compensation programs have been effective at incentivizing strong results by appropriately aligning pay and performance.</w:t>
      </w:r>
    </w:p>
    <w:p>
      <w:pPr>
        <w:spacing w:after="0" w:line="152" w:lineRule="exact"/>
        <w:rPr>
          <w:sz w:val="20"/>
          <w:szCs w:val="20"/>
          <w:color w:val="auto"/>
        </w:rPr>
      </w:pPr>
    </w:p>
    <w:p>
      <w:pPr>
        <w:jc w:val="both"/>
        <w:ind w:left="1020" w:hanging="215"/>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Over the Last Three Years our TSR Performance Significantly Exceeded Increases in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programs have over time provided appropriate incentives that reflect the challenges of our industry and operations while motivating superior performance. This is reflected by the fact that our TSR performance has continued to grow while we have not significantly increased our CEO’s pay over the three-years ending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15035" cy="8890"/>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537210</wp:posOffset>
            </wp:positionV>
            <wp:extent cx="4631055" cy="3001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3105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02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Awards Reflected Strong 2013 Performance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2013, we achieved adjusted property EBITDA of $1,811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which established a Company record and, against any standard, demonstrated superior performance, resulting in annual incentive award payouts at the maximum levels under our Amended and Restated Annual Performance-Based Incentive Plan (“Existing Annual Incentive Plan”). In addition, the Compensation Committee of the Company and the Compensation Committee of Wynn Macau, Limited, approved and Mr. Wynn received, a cash award of $4 million from Wynn Macau, Limited in consideration of finalization of plans for Wynn Palace in Cotai and his contribution to the extraordinary performance of Wynn Macau for the year ended December 31, 2013.</w:t>
      </w:r>
    </w:p>
    <w:p>
      <w:pPr>
        <w:spacing w:after="0" w:line="56"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Committee Retains Discretion to Reduce Annual Incentive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our Existing Annual Incentive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dependent upon a single performance criteria—adjusted property EBITDA—to determine the maximum amount that is payable, the Compensation Committee retains discretion to reduce payouts of annual incentive awards based on corporate and individual performance as it determines appropriate. While the Compensation Committee has determined that no such adjustments were appropriate for 2013 or in other recent years, in 2008, the Compensation Committee awarded executives approximately 50% of the maximum awards earned in consideration of the difficult, and deteriorating, economic climate, despite exceeding the maximum pre-established adjusted property EBITDA goals. 2009 bonuses were also generally awarded at the same reduced level as in 2008, which were significantly below prior year awards under the Existing Annual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Say-on-Pay Vote History and Stockholder Engagement</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May 17, 2011, Annual Meeting of Stockholders over 79% of the votes cast were in favor of the advisory vote to approve executive compensation. Despite this support in favor of our existing executive compensation practices, the Compensation Committee continues to refine our programs to maintain alignment with stockholders and their views on compensation.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ongoing discussions with our largest investors and often solicit their feedback on a variety of corporate governance topics, including executive compensation practices. In 2013, we engaged in outreach to a significant percentage of our stockholder base. Certain concerns raised by non-stockholder proxy advisory firms were discussed with these stockholders and they did not share similar concerns, recognizing instead the unique aspects of our operations and culture and our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Compensation Committee’s review of our compensation practices, the Compensation Committee approved a number of significant changes to our compensation program, including to the elements and operation of the CEO’s compensation. These changes are designed to enhance the transparency in our pay-for-performance processes. For our CEO, they include a number of changes that have the effect of reducing significantly the percentage of his reported compensation that may be viewed as fixed or not performance-based, and increasing the percentage of his potential compensation that is variable and at-risk.</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discussed in more detail below, some of these changes were effective in 2013 and some will be effective in 2014, assuming stockholders approve our proposed 2014 Omnibus Incentive Plan (the “2014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Key Changes to our 2013 Compensation and Governance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2013, as part of our annual review of our compensation and governance programs, we made the following significant changes:</w:t>
      </w:r>
    </w:p>
    <w:p>
      <w:pPr>
        <w:spacing w:after="0" w:line="178" w:lineRule="exact"/>
        <w:rPr>
          <w:sz w:val="20"/>
          <w:szCs w:val="20"/>
          <w:color w:val="auto"/>
        </w:rPr>
      </w:pPr>
    </w:p>
    <w:p>
      <w:pPr>
        <w:ind w:left="1020" w:hanging="215"/>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the Requirements in our Stock Ownership Guidelines </w:t>
      </w:r>
      <w:r>
        <w:rPr>
          <w:rFonts w:ascii="Arial" w:cs="Arial" w:eastAsia="Arial" w:hAnsi="Arial"/>
          <w:sz w:val="16"/>
          <w:szCs w:val="16"/>
          <w:color w:val="auto"/>
        </w:rPr>
        <w:t>for our CEO from five times to ten times his annual base salary;</w:t>
      </w:r>
    </w:p>
    <w:p>
      <w:pPr>
        <w:spacing w:after="0" w:line="97" w:lineRule="exact"/>
        <w:rPr>
          <w:rFonts w:ascii="Arial" w:cs="Arial" w:eastAsia="Arial" w:hAnsi="Arial"/>
          <w:sz w:val="16"/>
          <w:szCs w:val="16"/>
          <w:color w:val="auto"/>
        </w:rPr>
      </w:pPr>
    </w:p>
    <w:p>
      <w:pPr>
        <w:jc w:val="both"/>
        <w:ind w:left="1020" w:hanging="215"/>
        <w:spacing w:after="0" w:line="23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Eliminated Villa Lease as a Perquisite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leases a villa at Wynn Las Vegas for use as his personal residence.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including each amendment and/or restatement thereof, was approved by the Audit Committee. The members of the Audit Committee and Board believe that having Mr. Wynn’s personal residence on the Company’s property provides significant value to the Company and our stockholders. Accordingly, in the past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(the “New SW Lease”), Mr. Wynn will pay Wynn Las Vegas annual rent for the villa at its fair market value based on a third-party appraisal. Please refer to page 40 of this Proxy Statement for additional details regarding the New SW Lease;</w:t>
      </w:r>
    </w:p>
    <w:p>
      <w:pPr>
        <w:spacing w:after="0" w:line="58" w:lineRule="exact"/>
        <w:rPr>
          <w:rFonts w:ascii="Arial" w:cs="Arial" w:eastAsia="Arial" w:hAnsi="Arial"/>
          <w:sz w:val="18"/>
          <w:szCs w:val="18"/>
          <w:color w:val="auto"/>
        </w:rPr>
      </w:pPr>
    </w:p>
    <w:p>
      <w:pPr>
        <w:ind w:left="1020" w:right="20" w:hanging="215"/>
        <w:spacing w:after="0" w:line="262"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Implemented a Director Resignation Policy </w:t>
      </w:r>
      <w:r>
        <w:rPr>
          <w:rFonts w:ascii="Arial" w:cs="Arial" w:eastAsia="Arial" w:hAnsi="Arial"/>
          <w:sz w:val="18"/>
          <w:szCs w:val="18"/>
          <w:color w:val="auto"/>
        </w:rPr>
        <w:t>for any director who does not receive over 50% of the votes cast in uncontested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elections; and</w:t>
      </w:r>
    </w:p>
    <w:p>
      <w:pPr>
        <w:spacing w:after="0" w:line="34" w:lineRule="exact"/>
        <w:rPr>
          <w:rFonts w:ascii="Arial" w:cs="Arial" w:eastAsia="Arial" w:hAnsi="Arial"/>
          <w:sz w:val="18"/>
          <w:szCs w:val="18"/>
          <w:color w:val="auto"/>
        </w:rPr>
      </w:pPr>
    </w:p>
    <w:p>
      <w:pPr>
        <w:ind w:left="1020" w:hanging="215"/>
        <w:spacing w:after="0" w:line="262"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Revised our Hedging/Pledging Policy </w:t>
      </w:r>
      <w:r>
        <w:rPr>
          <w:rFonts w:ascii="Arial" w:cs="Arial" w:eastAsia="Arial" w:hAnsi="Arial"/>
          <w:sz w:val="18"/>
          <w:szCs w:val="18"/>
          <w:color w:val="auto"/>
        </w:rPr>
        <w:t>to prohibit all hedging and prospective pledging of our stock by our executive officers,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exception requiring advance Board approval.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Additional Key Changes for our 2014 Compensation Programs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2013 changes, significant prospective policy and compensation program changes will be implemented for 2014 upon stockholder approval of the 2014 Plan. The 2014 Plan, if approved, will allow the Company to make important changes to its compensation programs. The 2014 Plan will replace the Company’s existing incentive plans with a single omnibus incentive plan, pursuant to which the Compensation Committee will have the flexibility to (i) grant a range of awards and (ii) choose from an expanded list of performance goals, in each case, intended to qualify as performance-based compensation under Section 162(m) of the Code. See Proposal No: 4 “Approval of the Adoption of the 2014 Omnibus Incentive Plan” on page 45 of this Proxy Statement for a detailed discussion of the 2014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Upon stockholder approval of the 2014 Plan:</w:t>
      </w:r>
    </w:p>
    <w:p>
      <w:pPr>
        <w:spacing w:after="0" w:line="176" w:lineRule="exact"/>
        <w:rPr>
          <w:sz w:val="20"/>
          <w:szCs w:val="20"/>
          <w:color w:val="auto"/>
        </w:rPr>
      </w:pPr>
    </w:p>
    <w:p>
      <w:pPr>
        <w:jc w:val="both"/>
        <w:ind w:left="1020" w:hanging="215"/>
        <w:spacing w:after="0" w:line="242"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Complete Restructure of CEO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employment agreement and other relevant agreements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be modified to, among other things, (i) substantially reduce his annual base salary from $4 million to $2.5 million so that a higher proportion of his compensation is attributable to variable, at-risk components that drive stockholder value and (ii) provide that Mr. Wynn will reimburse the Company for certain expenses for his personal use of Company aircraft. Additionally, a significant portion of Mr. Wynn’s 2014 annual incentive award will be payable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4" w:lineRule="exact"/>
        <w:rPr>
          <w:sz w:val="20"/>
          <w:szCs w:val="20"/>
          <w:color w:val="auto"/>
        </w:rPr>
      </w:pPr>
    </w:p>
    <w:p>
      <w:pPr>
        <w:jc w:val="both"/>
        <w:ind w:left="1020" w:right="20" w:hanging="215"/>
        <w:spacing w:after="0" w:line="23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Multiple Performance Goals for Annual Incentive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2014 Plan expands the list of performance goals available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in designing awards that are intended to qualify as performance-based compensation under Section 162(m) of the Code. Under our Existing Annual Incentive Plan, the only performance goal which could qualify as performance-based compensation is adjusted property EBITDA, although the Compensation Committee may then exercise negative discretion to reduce the amount payable based on other corporate and individual performance considerations as it determines appropriate. Under the 2014 Plan, the Compensation Committee has the flexibility to choose from a range of qualifying annual operating and strategic goals that drive stockholder value, so that other corporate and individual performance criteria can be incorporated directly into the terms of the annual incentive arrangements. If the adoption of the 2014 Plan is approved by stockholders, in addition to the achievement of a 2014 adjusted property EBITDA goal, the 2014 annual incentive awards performance goals approved for our executive officers include two other performance criteria: (a) retention of specified third party recognition of quality and performance, and (b) achievement of certain goals related to the development of Wynn Palace. These goals combine operating financial performance with ensuring that we maintain high standards at our existing properties and effectively manage progress on our largest development project.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Payment of a portion of 2014 annual incentive awards in equity:</w:t>
      </w:r>
    </w:p>
    <w:p>
      <w:pPr>
        <w:spacing w:after="0" w:line="178" w:lineRule="exact"/>
        <w:rPr>
          <w:sz w:val="20"/>
          <w:szCs w:val="20"/>
          <w:color w:val="auto"/>
        </w:rPr>
      </w:pPr>
    </w:p>
    <w:p>
      <w:pPr>
        <w:jc w:val="both"/>
        <w:ind w:left="1020" w:right="2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2014, the Compensation Committee has determined that a portion of annual incentive awards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paid in equity, with a three year holding period (the “Holding Period”). The Holding Period does not apply to any executive officer that holds 5% or more of the outstanding shares of Common Stock, in recognition that Mr. Wynn’s existing stock ownership already adequately fulfills the goal of a stock retention policy. This approach replaces our prior practice of paying all annual incentive awards solely in cash and was adopted to even more closely align our senior executive officers with the interests of our stockholders. For 2014, the Compensation Committee intends to pay at least 50% of the annual incentive awards for our NEOs in shares of Common Stock subject to the Holding Period, if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Executive Compensation Practices Highlights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5620" w:type="dxa"/>
            <w:vAlign w:val="bottom"/>
            <w:tcBorders>
              <w:top w:val="single" w:sz="8" w:color="614A3D"/>
              <w:left w:val="single" w:sz="8" w:color="614A3D"/>
              <w:right w:val="single" w:sz="8" w:color="614A3D"/>
            </w:tcBorders>
            <w:gridSpan w:val="2"/>
          </w:tcPr>
          <w:p>
            <w:pPr>
              <w:ind w:left="120"/>
              <w:spacing w:after="0" w:line="201" w:lineRule="exact"/>
              <w:rPr>
                <w:sz w:val="20"/>
                <w:szCs w:val="20"/>
                <w:color w:val="auto"/>
              </w:rPr>
            </w:pPr>
            <w:r>
              <w:rPr>
                <w:rFonts w:ascii="Arial" w:cs="Arial" w:eastAsia="Arial" w:hAnsi="Arial"/>
                <w:sz w:val="18"/>
                <w:szCs w:val="18"/>
                <w:b w:val="1"/>
                <w:bCs w:val="1"/>
                <w:color w:val="614A3D"/>
              </w:rPr>
              <w:t>What We Do</w:t>
            </w:r>
          </w:p>
        </w:tc>
        <w:tc>
          <w:tcPr>
            <w:tcW w:w="5820" w:type="dxa"/>
            <w:vAlign w:val="bottom"/>
            <w:tcBorders>
              <w:top w:val="single" w:sz="8" w:color="614A3D"/>
              <w:right w:val="single" w:sz="8" w:color="614A3D"/>
            </w:tcBorders>
          </w:tcPr>
          <w:p>
            <w:pPr>
              <w:ind w:left="200"/>
              <w:spacing w:after="0" w:line="201" w:lineRule="exact"/>
              <w:rPr>
                <w:sz w:val="20"/>
                <w:szCs w:val="20"/>
                <w:color w:val="auto"/>
              </w:rPr>
            </w:pPr>
            <w:r>
              <w:rPr>
                <w:rFonts w:ascii="Arial" w:cs="Arial" w:eastAsia="Arial" w:hAnsi="Arial"/>
                <w:sz w:val="18"/>
                <w:szCs w:val="18"/>
                <w:b w:val="1"/>
                <w:bCs w:val="1"/>
                <w:color w:val="614A3D"/>
              </w:rPr>
              <w:t>What We Don’t Do</w:t>
            </w: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Compensation Committee comprised solely of independent</w:t>
            </w:r>
          </w:p>
        </w:tc>
        <w:tc>
          <w:tcPr>
            <w:tcW w:w="58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û   Dividends or dividend equivalents on option awards</w:t>
            </w:r>
          </w:p>
        </w:tc>
        <w:tc>
          <w:tcPr>
            <w:tcW w:w="0" w:type="dxa"/>
            <w:vAlign w:val="bottom"/>
          </w:tcPr>
          <w:p>
            <w:pPr>
              <w:spacing w:after="0"/>
              <w:rPr>
                <w:sz w:val="1"/>
                <w:szCs w:val="1"/>
                <w:color w:val="auto"/>
              </w:rPr>
            </w:pPr>
          </w:p>
        </w:tc>
      </w:tr>
      <w:tr>
        <w:trPr>
          <w:trHeight w:val="218"/>
        </w:trPr>
        <w:tc>
          <w:tcPr>
            <w:tcW w:w="5620" w:type="dxa"/>
            <w:vAlign w:val="bottom"/>
            <w:tcBorders>
              <w:left w:val="single" w:sz="8" w:color="614A3D"/>
              <w:right w:val="single" w:sz="8" w:color="614A3D"/>
            </w:tcBorders>
            <w:gridSpan w:val="2"/>
          </w:tcPr>
          <w:p>
            <w:pPr>
              <w:ind w:left="520"/>
              <w:spacing w:after="0"/>
              <w:rPr>
                <w:sz w:val="20"/>
                <w:szCs w:val="20"/>
                <w:color w:val="auto"/>
              </w:rPr>
            </w:pPr>
            <w:r>
              <w:rPr>
                <w:rFonts w:ascii="Arial" w:cs="Arial" w:eastAsia="Arial" w:hAnsi="Arial"/>
                <w:sz w:val="18"/>
                <w:szCs w:val="18"/>
                <w:color w:val="auto"/>
              </w:rPr>
              <w:t>directors</w:t>
            </w:r>
          </w:p>
        </w:tc>
        <w:tc>
          <w:tcPr>
            <w:tcW w:w="5820" w:type="dxa"/>
            <w:vAlign w:val="bottom"/>
            <w:tcBorders>
              <w:right w:val="single" w:sz="8" w:color="614A3D"/>
            </w:tcBorders>
          </w:tcPr>
          <w:p>
            <w:pPr>
              <w:ind w:left="200"/>
              <w:spacing w:after="0"/>
              <w:rPr>
                <w:sz w:val="20"/>
                <w:szCs w:val="20"/>
                <w:color w:val="auto"/>
              </w:rPr>
            </w:pPr>
            <w:r>
              <w:rPr>
                <w:rFonts w:ascii="Arial" w:cs="Arial" w:eastAsia="Arial" w:hAnsi="Arial"/>
                <w:sz w:val="18"/>
                <w:szCs w:val="18"/>
                <w:color w:val="auto"/>
              </w:rPr>
              <w:t>û   Re-pricing of underwater options</w:t>
            </w:r>
          </w:p>
        </w:tc>
        <w:tc>
          <w:tcPr>
            <w:tcW w:w="0" w:type="dxa"/>
            <w:vAlign w:val="bottom"/>
          </w:tcPr>
          <w:p>
            <w:pPr>
              <w:spacing w:after="0"/>
              <w:rPr>
                <w:sz w:val="1"/>
                <w:szCs w:val="1"/>
                <w:color w:val="auto"/>
              </w:rPr>
            </w:pPr>
          </w:p>
        </w:tc>
      </w:tr>
      <w:tr>
        <w:trPr>
          <w:trHeight w:val="206"/>
        </w:trPr>
        <w:tc>
          <w:tcPr>
            <w:tcW w:w="5620" w:type="dxa"/>
            <w:vAlign w:val="bottom"/>
            <w:tcBorders>
              <w:left w:val="single" w:sz="8" w:color="614A3D"/>
              <w:right w:val="single" w:sz="8" w:color="614A3D"/>
            </w:tcBorders>
            <w:gridSpan w:val="2"/>
          </w:tcPr>
          <w:p>
            <w:pPr>
              <w:ind w:left="120"/>
              <w:spacing w:after="0" w:line="206" w:lineRule="exact"/>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Use of an independent compensation consultant retained directly</w:t>
            </w:r>
          </w:p>
        </w:tc>
        <w:tc>
          <w:tcPr>
            <w:tcW w:w="5820" w:type="dxa"/>
            <w:vAlign w:val="bottom"/>
            <w:tcBorders>
              <w:right w:val="single" w:sz="8" w:color="614A3D"/>
            </w:tcBorders>
            <w:vMerge w:val="restart"/>
          </w:tcPr>
          <w:p>
            <w:pPr>
              <w:ind w:left="200"/>
              <w:spacing w:after="0"/>
              <w:rPr>
                <w:sz w:val="20"/>
                <w:szCs w:val="20"/>
                <w:color w:val="auto"/>
              </w:rPr>
            </w:pPr>
            <w:r>
              <w:rPr>
                <w:rFonts w:ascii="Arial" w:cs="Arial" w:eastAsia="Arial" w:hAnsi="Arial"/>
                <w:sz w:val="18"/>
                <w:szCs w:val="18"/>
                <w:color w:val="auto"/>
              </w:rPr>
              <w:t>û   Supplemental retirement or pension benefits for executives</w:t>
            </w:r>
          </w:p>
        </w:tc>
        <w:tc>
          <w:tcPr>
            <w:tcW w:w="0" w:type="dxa"/>
            <w:vAlign w:val="bottom"/>
          </w:tcPr>
          <w:p>
            <w:pPr>
              <w:spacing w:after="0"/>
              <w:rPr>
                <w:sz w:val="1"/>
                <w:szCs w:val="1"/>
                <w:color w:val="auto"/>
              </w:rPr>
            </w:pPr>
          </w:p>
        </w:tc>
      </w:tr>
      <w:tr>
        <w:trPr>
          <w:trHeight w:val="116"/>
        </w:trPr>
        <w:tc>
          <w:tcPr>
            <w:tcW w:w="5620" w:type="dxa"/>
            <w:vAlign w:val="bottom"/>
            <w:tcBorders>
              <w:left w:val="single" w:sz="8" w:color="614A3D"/>
              <w:right w:val="single" w:sz="8" w:color="614A3D"/>
            </w:tcBorders>
            <w:gridSpan w:val="2"/>
            <w:vMerge w:val="restart"/>
          </w:tcPr>
          <w:p>
            <w:pPr>
              <w:ind w:left="520"/>
              <w:spacing w:after="0" w:line="202" w:lineRule="exact"/>
              <w:rPr>
                <w:sz w:val="20"/>
                <w:szCs w:val="20"/>
                <w:color w:val="auto"/>
              </w:rPr>
            </w:pPr>
            <w:r>
              <w:rPr>
                <w:rFonts w:ascii="Arial" w:cs="Arial" w:eastAsia="Arial" w:hAnsi="Arial"/>
                <w:sz w:val="18"/>
                <w:szCs w:val="18"/>
                <w:color w:val="auto"/>
              </w:rPr>
              <w:t>by the Compensation Committee, in its sole discretion, who</w:t>
            </w:r>
          </w:p>
        </w:tc>
        <w:tc>
          <w:tcPr>
            <w:tcW w:w="5820" w:type="dxa"/>
            <w:vAlign w:val="bottom"/>
            <w:tcBorders>
              <w:right w:val="single" w:sz="8" w:color="614A3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620" w:type="dxa"/>
            <w:vAlign w:val="bottom"/>
            <w:tcBorders>
              <w:left w:val="single" w:sz="8" w:color="614A3D"/>
              <w:right w:val="single" w:sz="8" w:color="614A3D"/>
            </w:tcBorders>
            <w:gridSpan w:val="2"/>
            <w:vMerge w:val="continue"/>
          </w:tcPr>
          <w:p>
            <w:pPr>
              <w:spacing w:after="0"/>
              <w:rPr>
                <w:sz w:val="7"/>
                <w:szCs w:val="7"/>
                <w:color w:val="auto"/>
              </w:rPr>
            </w:pPr>
          </w:p>
        </w:tc>
        <w:tc>
          <w:tcPr>
            <w:tcW w:w="5820" w:type="dxa"/>
            <w:vAlign w:val="bottom"/>
            <w:tcBorders>
              <w:right w:val="single" w:sz="8" w:color="614A3D"/>
            </w:tcBorders>
            <w:vMerge w:val="restart"/>
          </w:tcPr>
          <w:p>
            <w:pPr>
              <w:ind w:left="200"/>
              <w:spacing w:after="0"/>
              <w:rPr>
                <w:sz w:val="20"/>
                <w:szCs w:val="20"/>
                <w:color w:val="auto"/>
              </w:rPr>
            </w:pPr>
            <w:r>
              <w:rPr>
                <w:rFonts w:ascii="Arial" w:cs="Arial" w:eastAsia="Arial" w:hAnsi="Arial"/>
                <w:sz w:val="18"/>
                <w:szCs w:val="18"/>
                <w:color w:val="auto"/>
              </w:rPr>
              <w:t>û   New excise tax gross ups</w:t>
            </w: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rPr>
              <w:t>performs no consulting or other services for the Company’s</w:t>
            </w:r>
          </w:p>
        </w:tc>
        <w:tc>
          <w:tcPr>
            <w:tcW w:w="5820" w:type="dxa"/>
            <w:vAlign w:val="bottom"/>
            <w:tcBorders>
              <w:right w:val="single" w:sz="8" w:color="614A3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gridSpan w:val="2"/>
          </w:tcPr>
          <w:p>
            <w:pPr>
              <w:ind w:left="520"/>
              <w:spacing w:after="0" w:line="185" w:lineRule="exact"/>
              <w:rPr>
                <w:sz w:val="20"/>
                <w:szCs w:val="20"/>
                <w:color w:val="auto"/>
              </w:rPr>
            </w:pPr>
            <w:r>
              <w:rPr>
                <w:rFonts w:ascii="Arial" w:cs="Arial" w:eastAsia="Arial" w:hAnsi="Arial"/>
                <w:sz w:val="18"/>
                <w:szCs w:val="18"/>
                <w:color w:val="auto"/>
              </w:rPr>
              <w:t>management</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Long-term vesting for principal stock option and restricted stock</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gridSpan w:val="2"/>
          </w:tcPr>
          <w:p>
            <w:pPr>
              <w:ind w:left="520"/>
              <w:spacing w:after="0"/>
              <w:rPr>
                <w:sz w:val="20"/>
                <w:szCs w:val="20"/>
                <w:color w:val="auto"/>
              </w:rPr>
            </w:pPr>
            <w:r>
              <w:rPr>
                <w:rFonts w:ascii="Arial" w:cs="Arial" w:eastAsia="Arial" w:hAnsi="Arial"/>
                <w:sz w:val="18"/>
                <w:szCs w:val="18"/>
                <w:color w:val="auto"/>
              </w:rPr>
              <w:t>awards (including certain grants with</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w w:val="98"/>
              </w:rPr>
              <w:t>ten-year vesting) which has an ownership effect similar to that of</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gridSpan w:val="2"/>
          </w:tcPr>
          <w:p>
            <w:pPr>
              <w:ind w:left="520"/>
              <w:spacing w:after="0" w:line="185" w:lineRule="exact"/>
              <w:rPr>
                <w:sz w:val="20"/>
                <w:szCs w:val="20"/>
                <w:color w:val="auto"/>
              </w:rPr>
            </w:pPr>
            <w:r>
              <w:rPr>
                <w:rFonts w:ascii="Arial" w:cs="Arial" w:eastAsia="Arial" w:hAnsi="Arial"/>
                <w:sz w:val="18"/>
                <w:szCs w:val="18"/>
                <w:color w:val="auto"/>
              </w:rPr>
              <w:t>a holding period policy</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For 2014, a significant portion of annual incentive awards will be</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gridSpan w:val="2"/>
          </w:tcPr>
          <w:p>
            <w:pPr>
              <w:ind w:left="520"/>
              <w:spacing w:after="0"/>
              <w:rPr>
                <w:sz w:val="20"/>
                <w:szCs w:val="20"/>
                <w:color w:val="auto"/>
              </w:rPr>
            </w:pPr>
            <w:r>
              <w:rPr>
                <w:rFonts w:ascii="Arial" w:cs="Arial" w:eastAsia="Arial" w:hAnsi="Arial"/>
                <w:sz w:val="18"/>
                <w:szCs w:val="18"/>
                <w:color w:val="auto"/>
              </w:rPr>
              <w:t>payable in the form of equity rather than all cash, with a three-</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rPr>
              <w:t>year holding period (except for any senior executive officer that</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gridSpan w:val="2"/>
          </w:tcPr>
          <w:p>
            <w:pPr>
              <w:ind w:left="520"/>
              <w:spacing w:after="0" w:line="185" w:lineRule="exact"/>
              <w:rPr>
                <w:sz w:val="20"/>
                <w:szCs w:val="20"/>
                <w:color w:val="auto"/>
              </w:rPr>
            </w:pPr>
            <w:r>
              <w:rPr>
                <w:rFonts w:ascii="Arial" w:cs="Arial" w:eastAsia="Arial" w:hAnsi="Arial"/>
                <w:sz w:val="18"/>
                <w:szCs w:val="18"/>
                <w:color w:val="auto"/>
              </w:rPr>
              <w:t>holds 5% or more of the outstanding shares of Common Stock)</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Meaningful stock ownership requirements for our NEOs and</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620" w:type="dxa"/>
            <w:vAlign w:val="bottom"/>
            <w:tcBorders>
              <w:left w:val="single" w:sz="8" w:color="614A3D"/>
              <w:right w:val="single" w:sz="8" w:color="614A3D"/>
            </w:tcBorders>
            <w:gridSpan w:val="2"/>
          </w:tcPr>
          <w:p>
            <w:pPr>
              <w:ind w:left="520"/>
              <w:spacing w:after="0"/>
              <w:rPr>
                <w:sz w:val="20"/>
                <w:szCs w:val="20"/>
                <w:color w:val="auto"/>
              </w:rPr>
            </w:pPr>
            <w:r>
              <w:rPr>
                <w:rFonts w:ascii="Arial" w:cs="Arial" w:eastAsia="Arial" w:hAnsi="Arial"/>
                <w:sz w:val="18"/>
                <w:szCs w:val="18"/>
                <w:color w:val="auto"/>
              </w:rPr>
              <w:t>independent directors (including ten times base salary for the</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Borders>
              <w:left w:val="single" w:sz="8" w:color="614A3D"/>
              <w:right w:val="single" w:sz="8" w:color="614A3D"/>
            </w:tcBorders>
            <w:gridSpan w:val="2"/>
          </w:tcPr>
          <w:p>
            <w:pPr>
              <w:ind w:left="520"/>
              <w:spacing w:after="0" w:line="202" w:lineRule="exact"/>
              <w:rPr>
                <w:sz w:val="20"/>
                <w:szCs w:val="20"/>
                <w:color w:val="auto"/>
              </w:rPr>
            </w:pPr>
            <w:r>
              <w:rPr>
                <w:rFonts w:ascii="Arial" w:cs="Arial" w:eastAsia="Arial" w:hAnsi="Arial"/>
                <w:sz w:val="18"/>
                <w:szCs w:val="18"/>
                <w:color w:val="auto"/>
              </w:rPr>
              <w:t>CEO; in fact, he owns approximately 10% of the Company’s</w:t>
            </w:r>
          </w:p>
        </w:tc>
        <w:tc>
          <w:tcPr>
            <w:tcW w:w="582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20" w:type="dxa"/>
            <w:vAlign w:val="bottom"/>
            <w:tcBorders>
              <w:left w:val="single" w:sz="8" w:color="614A3D"/>
              <w:right w:val="single" w:sz="8" w:color="614A3D"/>
            </w:tcBorders>
            <w:gridSpan w:val="2"/>
          </w:tcPr>
          <w:p>
            <w:pPr>
              <w:ind w:left="520"/>
              <w:spacing w:after="0" w:line="185" w:lineRule="exact"/>
              <w:rPr>
                <w:sz w:val="20"/>
                <w:szCs w:val="20"/>
                <w:color w:val="auto"/>
              </w:rPr>
            </w:pPr>
            <w:r>
              <w:rPr>
                <w:rFonts w:ascii="Arial" w:cs="Arial" w:eastAsia="Arial" w:hAnsi="Arial"/>
                <w:sz w:val="18"/>
                <w:szCs w:val="18"/>
                <w:color w:val="auto"/>
              </w:rPr>
              <w:t>outstanding Common Stock)</w:t>
            </w:r>
          </w:p>
        </w:tc>
        <w:tc>
          <w:tcPr>
            <w:tcW w:w="582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Double trigger change in control provisions</w:t>
            </w:r>
          </w:p>
        </w:tc>
        <w:tc>
          <w:tcPr>
            <w:tcW w:w="582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Borders>
              <w:left w:val="single" w:sz="8" w:color="614A3D"/>
              <w:right w:val="single" w:sz="8" w:color="614A3D"/>
            </w:tcBorders>
            <w:gridSpan w:val="2"/>
          </w:tcPr>
          <w:p>
            <w:pPr>
              <w:ind w:left="120"/>
              <w:spacing w:after="0"/>
              <w:rPr>
                <w:sz w:val="20"/>
                <w:szCs w:val="20"/>
                <w:color w:val="auto"/>
              </w:rPr>
            </w:pPr>
            <w:r>
              <w:rPr>
                <w:rFonts w:ascii="Arial" w:cs="Arial" w:eastAsia="Arial" w:hAnsi="Arial"/>
                <w:sz w:val="18"/>
                <w:szCs w:val="18"/>
                <w:b w:val="1"/>
                <w:bCs w:val="1"/>
                <w:color w:val="auto"/>
              </w:rPr>
              <w:t xml:space="preserve">ü   </w:t>
            </w:r>
            <w:r>
              <w:rPr>
                <w:rFonts w:ascii="Arial" w:cs="Arial" w:eastAsia="Arial" w:hAnsi="Arial"/>
                <w:sz w:val="18"/>
                <w:szCs w:val="18"/>
                <w:color w:val="auto"/>
              </w:rPr>
              <w:t>Annually assess potential risks relating to the Company’s</w:t>
            </w:r>
          </w:p>
        </w:tc>
        <w:tc>
          <w:tcPr>
            <w:tcW w:w="582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20" w:type="dxa"/>
            <w:vAlign w:val="bottom"/>
            <w:tcBorders>
              <w:left w:val="single" w:sz="8" w:color="614A3D"/>
              <w:bottom w:val="single" w:sz="8" w:color="614A3D"/>
              <w:right w:val="single" w:sz="8" w:color="614A3D"/>
            </w:tcBorders>
            <w:gridSpan w:val="2"/>
          </w:tcPr>
          <w:p>
            <w:pPr>
              <w:ind w:left="520"/>
              <w:spacing w:after="0" w:line="205" w:lineRule="exact"/>
              <w:rPr>
                <w:sz w:val="20"/>
                <w:szCs w:val="20"/>
                <w:color w:val="auto"/>
              </w:rPr>
            </w:pPr>
            <w:r>
              <w:rPr>
                <w:rFonts w:ascii="Arial" w:cs="Arial" w:eastAsia="Arial" w:hAnsi="Arial"/>
                <w:sz w:val="18"/>
                <w:szCs w:val="18"/>
                <w:color w:val="auto"/>
              </w:rPr>
              <w:t>compensation policies and practices</w:t>
            </w:r>
          </w:p>
        </w:tc>
        <w:tc>
          <w:tcPr>
            <w:tcW w:w="5820" w:type="dxa"/>
            <w:vAlign w:val="bottom"/>
            <w:tcBorders>
              <w:bottom w:val="single" w:sz="8" w:color="614A3D"/>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080" w:type="dxa"/>
            <w:vAlign w:val="bottom"/>
          </w:tcPr>
          <w:p>
            <w:pPr>
              <w:spacing w:after="0"/>
              <w:rPr>
                <w:sz w:val="24"/>
                <w:szCs w:val="24"/>
                <w:color w:val="auto"/>
              </w:rPr>
            </w:pPr>
          </w:p>
        </w:tc>
        <w:tc>
          <w:tcPr>
            <w:tcW w:w="3540" w:type="dxa"/>
            <w:vAlign w:val="bottom"/>
            <w:tcBorders>
              <w:bottom w:val="single" w:sz="8" w:color="614A3D"/>
            </w:tcBorders>
          </w:tcPr>
          <w:p>
            <w:pPr>
              <w:spacing w:after="0"/>
              <w:rPr>
                <w:sz w:val="24"/>
                <w:szCs w:val="24"/>
                <w:color w:val="auto"/>
              </w:rPr>
            </w:pPr>
          </w:p>
        </w:tc>
        <w:tc>
          <w:tcPr>
            <w:tcW w:w="582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820" w:type="dxa"/>
            <w:vAlign w:val="bottom"/>
          </w:tcPr>
          <w:p>
            <w:pPr>
              <w:jc w:val="right"/>
              <w:spacing w:after="0"/>
              <w:rPr>
                <w:sz w:val="20"/>
                <w:szCs w:val="20"/>
                <w:color w:val="auto"/>
              </w:rPr>
            </w:pPr>
            <w:r>
              <w:rPr>
                <w:rFonts w:ascii="Arial" w:cs="Arial" w:eastAsia="Arial" w:hAnsi="Arial"/>
                <w:sz w:val="14"/>
                <w:szCs w:val="14"/>
                <w:b w:val="1"/>
                <w:bCs w:val="1"/>
                <w:color w:val="auto"/>
              </w:rPr>
              <w:t>page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Philosophy and Overview of our Executive Compensation Program</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Compensation Philosophy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stockholder interests are best advanced by attracting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high-performing management team. To promote this objective, the Compensation Committee is guided by the following underlying principles in developing our executive compensation program:</w:t>
      </w:r>
    </w:p>
    <w:p>
      <w:pPr>
        <w:spacing w:after="0" w:line="166" w:lineRule="exact"/>
        <w:rPr>
          <w:sz w:val="20"/>
          <w:szCs w:val="20"/>
          <w:color w:val="auto"/>
        </w:rPr>
      </w:pPr>
    </w:p>
    <w:p>
      <w:pPr>
        <w:ind w:left="1020" w:hanging="215"/>
        <w:spacing w:after="0" w:line="26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Top talent</w:t>
      </w:r>
      <w:r>
        <w:rPr>
          <w:rFonts w:ascii="Arial" w:cs="Arial" w:eastAsia="Arial" w:hAnsi="Arial"/>
          <w:sz w:val="18"/>
          <w:szCs w:val="18"/>
          <w:color w:val="auto"/>
        </w:rPr>
        <w:t>—Our program is designed to gain a long-term commitment from the proven, accomplished executives that lead our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w:t>
      </w:r>
    </w:p>
    <w:p>
      <w:pPr>
        <w:spacing w:after="0" w:line="30" w:lineRule="exact"/>
        <w:rPr>
          <w:rFonts w:ascii="Arial" w:cs="Arial" w:eastAsia="Arial" w:hAnsi="Arial"/>
          <w:sz w:val="18"/>
          <w:szCs w:val="18"/>
          <w:color w:val="auto"/>
        </w:rPr>
      </w:pPr>
    </w:p>
    <w:p>
      <w:pPr>
        <w:jc w:val="both"/>
        <w:ind w:left="1020" w:hanging="215"/>
        <w:spacing w:after="0" w:line="249"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is at risk and tied to achievement of annual operating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stockholder value. As noted above, even when our EBITDA goals are achieved, the Compensation Committee has negative discretion to reduce the amounts payable based upon other performance considerations.</w:t>
      </w:r>
    </w:p>
    <w:p>
      <w:pPr>
        <w:spacing w:after="0" w:line="44"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are provided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is designed to motivate long-term sustainable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brand and the enterprise.</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are considered in the context of total compensation relative to the pay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major gaming companies and other competitors for key talent.</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 This regular review and evaluation resulted in significant changes to our compensation programs for 2013 and 2014 as described above.</w:t>
      </w:r>
    </w:p>
    <w:p>
      <w:pPr>
        <w:spacing w:after="0" w:line="10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Mr. Wynn’s Talent, Image and Likeness Are Key to our Continued Success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Wynn has served as our CEO since the Company’s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2002, and during that period, has delivered exceptional value to our stockholders. Under Mr. Wynn’s leadership our stockholders have received approximately $5.4 billion, or $48.75 per share, through the payment of dividends as well as seen a compounded annual total stockholder return (including reinvestment of dividends) of 32% from our initial public offering in 2002 through the end of 2013. Mr. Wynn is the founder, creator and name behind our brand. He brings extraordinary talent to our Company that is unrivaled in our industry. The Compensation Committee believes that Mr. Wynn’s contributions to our longstanding, consistent achievement over the last decade have been, and continue to be, instrumental in creating significant stockholder value. These factors were key in the determination of Mr. Wynn’s compensation during fiscal 2013. Mr. Wynn is also a significant stockholder and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However, for 2014, the Compensation Committee determined that a significant portion of Mr. Wynn’s annual incentive award will be payable in equity, as described above.</w:t>
      </w:r>
    </w:p>
    <w:p>
      <w:pPr>
        <w:spacing w:after="0" w:line="3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Program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Compensation Discussion and Analysis focuses on the following executives who were our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in 2013: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934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614A3D"/>
              </w:rPr>
              <w:t>Title</w:t>
            </w:r>
          </w:p>
        </w:tc>
      </w:tr>
      <w:tr>
        <w:trPr>
          <w:trHeight w:val="262"/>
        </w:trPr>
        <w:tc>
          <w:tcPr>
            <w:tcW w:w="2080" w:type="dxa"/>
            <w:vAlign w:val="bottom"/>
          </w:tcPr>
          <w:p>
            <w:pPr>
              <w:spacing w:after="0"/>
              <w:rPr>
                <w:sz w:val="20"/>
                <w:szCs w:val="20"/>
                <w:color w:val="auto"/>
              </w:rPr>
            </w:pPr>
            <w:r>
              <w:rPr>
                <w:rFonts w:ascii="Arial" w:cs="Arial" w:eastAsia="Arial" w:hAnsi="Arial"/>
                <w:sz w:val="18"/>
                <w:szCs w:val="18"/>
                <w:color w:val="auto"/>
              </w:rPr>
              <w:t>Stephen A. Wynn</w:t>
            </w:r>
          </w:p>
        </w:tc>
        <w:tc>
          <w:tcPr>
            <w:tcW w:w="9340" w:type="dxa"/>
            <w:vAlign w:val="bottom"/>
          </w:tcPr>
          <w:p>
            <w:pPr>
              <w:ind w:left="26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Matt Maddox</w:t>
            </w:r>
          </w:p>
        </w:tc>
        <w:tc>
          <w:tcPr>
            <w:tcW w:w="9340" w:type="dxa"/>
            <w:vAlign w:val="bottom"/>
          </w:tcPr>
          <w:p>
            <w:pPr>
              <w:ind w:left="2620"/>
              <w:spacing w:after="0"/>
              <w:rPr>
                <w:sz w:val="20"/>
                <w:szCs w:val="20"/>
                <w:color w:val="auto"/>
              </w:rPr>
            </w:pPr>
            <w:r>
              <w:rPr>
                <w:rFonts w:ascii="Arial" w:cs="Arial" w:eastAsia="Arial" w:hAnsi="Arial"/>
                <w:sz w:val="18"/>
                <w:szCs w:val="18"/>
                <w:color w:val="auto"/>
              </w:rPr>
              <w:t>President and Chief Financial Officer</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Linda Chen</w:t>
            </w:r>
          </w:p>
        </w:tc>
        <w:tc>
          <w:tcPr>
            <w:tcW w:w="9340" w:type="dxa"/>
            <w:vAlign w:val="bottom"/>
          </w:tcPr>
          <w:p>
            <w:pPr>
              <w:ind w:left="2620"/>
              <w:spacing w:after="0"/>
              <w:rPr>
                <w:sz w:val="20"/>
                <w:szCs w:val="20"/>
                <w:color w:val="auto"/>
              </w:rPr>
            </w:pPr>
            <w:r>
              <w:rPr>
                <w:rFonts w:ascii="Arial" w:cs="Arial" w:eastAsia="Arial" w:hAnsi="Arial"/>
                <w:sz w:val="18"/>
                <w:szCs w:val="18"/>
                <w:color w:val="auto"/>
              </w:rPr>
              <w:t>President of Wynn International Marketing, Limited</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Kim Sinatra</w:t>
            </w:r>
          </w:p>
        </w:tc>
        <w:tc>
          <w:tcPr>
            <w:tcW w:w="9340" w:type="dxa"/>
            <w:vAlign w:val="bottom"/>
          </w:tcPr>
          <w:p>
            <w:pPr>
              <w:ind w:left="26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John Strzemp</w:t>
            </w:r>
          </w:p>
        </w:tc>
        <w:tc>
          <w:tcPr>
            <w:tcW w:w="9340" w:type="dxa"/>
            <w:vAlign w:val="bottom"/>
          </w:tcPr>
          <w:p>
            <w:pPr>
              <w:ind w:left="2620"/>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Marc D. Schorr</w:t>
            </w:r>
          </w:p>
        </w:tc>
        <w:tc>
          <w:tcPr>
            <w:tcW w:w="9340" w:type="dxa"/>
            <w:vAlign w:val="bottom"/>
          </w:tcPr>
          <w:p>
            <w:pPr>
              <w:ind w:left="2620"/>
              <w:spacing w:after="0"/>
              <w:rPr>
                <w:sz w:val="20"/>
                <w:szCs w:val="20"/>
                <w:color w:val="auto"/>
              </w:rPr>
            </w:pPr>
            <w:r>
              <w:rPr>
                <w:rFonts w:ascii="Arial" w:cs="Arial" w:eastAsia="Arial" w:hAnsi="Arial"/>
                <w:sz w:val="18"/>
                <w:szCs w:val="18"/>
                <w:color w:val="auto"/>
              </w:rPr>
              <w:t>Former Chief Operating Officer (retired June 2013)</w:t>
            </w:r>
          </w:p>
        </w:tc>
      </w:tr>
      <w:tr>
        <w:trPr>
          <w:trHeight w:val="366"/>
        </w:trPr>
        <w:tc>
          <w:tcPr>
            <w:tcW w:w="2080" w:type="dxa"/>
            <w:vAlign w:val="bottom"/>
          </w:tcPr>
          <w:p>
            <w:pPr>
              <w:spacing w:after="0"/>
              <w:rPr>
                <w:sz w:val="24"/>
                <w:szCs w:val="24"/>
                <w:color w:val="auto"/>
              </w:rPr>
            </w:pPr>
          </w:p>
        </w:tc>
        <w:tc>
          <w:tcPr>
            <w:tcW w:w="9340" w:type="dxa"/>
            <w:vAlign w:val="bottom"/>
            <w:tcBorders>
              <w:bottom w:val="single" w:sz="8" w:color="614A3D"/>
            </w:tcBorders>
          </w:tcPr>
          <w:p>
            <w:pPr>
              <w:jc w:val="right"/>
              <w:spacing w:after="0"/>
              <w:rPr>
                <w:sz w:val="20"/>
                <w:szCs w:val="20"/>
                <w:color w:val="auto"/>
              </w:rPr>
            </w:pPr>
            <w:r>
              <w:rPr>
                <w:rFonts w:ascii="Arial" w:cs="Arial" w:eastAsia="Arial" w:hAnsi="Arial"/>
                <w:sz w:val="14"/>
                <w:szCs w:val="14"/>
                <w:b w:val="1"/>
                <w:bCs w:val="1"/>
                <w:color w:val="auto"/>
              </w:rPr>
              <w:t>Compensation Discussion and Analysis</w:t>
            </w:r>
          </w:p>
        </w:tc>
      </w:tr>
      <w:tr>
        <w:trPr>
          <w:trHeight w:val="304"/>
        </w:trPr>
        <w:tc>
          <w:tcPr>
            <w:tcW w:w="2080" w:type="dxa"/>
            <w:vAlign w:val="bottom"/>
          </w:tcPr>
          <w:p>
            <w:pPr>
              <w:spacing w:after="0"/>
              <w:rPr>
                <w:sz w:val="24"/>
                <w:szCs w:val="24"/>
                <w:color w:val="auto"/>
              </w:rPr>
            </w:pPr>
          </w:p>
        </w:tc>
        <w:tc>
          <w:tcPr>
            <w:tcW w:w="9340" w:type="dxa"/>
            <w:vAlign w:val="bottom"/>
          </w:tcPr>
          <w:p>
            <w:pPr>
              <w:jc w:val="right"/>
              <w:spacing w:after="0"/>
              <w:rPr>
                <w:sz w:val="20"/>
                <w:szCs w:val="20"/>
                <w:color w:val="auto"/>
              </w:rPr>
            </w:pPr>
            <w:r>
              <w:rPr>
                <w:rFonts w:ascii="Arial" w:cs="Arial" w:eastAsia="Arial" w:hAnsi="Arial"/>
                <w:sz w:val="14"/>
                <w:szCs w:val="14"/>
                <w:b w:val="1"/>
                <w:bCs w:val="1"/>
                <w:color w:val="auto"/>
              </w:rPr>
              <w:t>page 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executive compensation program is simple in design and limited in scope. Each program component and the rationale for it are highlighted below.</w:t>
      </w:r>
    </w:p>
    <w:p>
      <w:pPr>
        <w:spacing w:after="0" w:line="173"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b w:val="1"/>
          <w:bCs w:val="1"/>
          <w:color w:val="614A3D"/>
        </w:rPr>
        <w:t>Element</w:t>
      </w:r>
      <w:r>
        <w:rPr>
          <w:sz w:val="20"/>
          <w:szCs w:val="20"/>
          <w:color w:val="auto"/>
        </w:rPr>
        <w:tab/>
      </w:r>
      <w:r>
        <w:rPr>
          <w:rFonts w:ascii="Arial" w:cs="Arial" w:eastAsia="Arial" w:hAnsi="Arial"/>
          <w:sz w:val="18"/>
          <w:szCs w:val="18"/>
          <w:b w:val="1"/>
          <w:bCs w:val="1"/>
          <w:color w:val="614A3D"/>
        </w:rPr>
        <w:t>Role and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Long-term incentive: Stock options &amp; restricted stock</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Provide a competitive, fixed level of cash compensation to attract and retain talented and skilled employees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Recognize sustained performance, capabilities, job scope and experience</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Motivate and reward achievement of annual operating and strategic goals, which drive stockholder value. Under our Existing Annual Incentive Plan, the sole qualifying goal is adjusted property EBITDA. Upon approval of the adoption of the 2014 Plan, additional qualifying annual operating and strategic goals will be available for the Compensation Committee to choose from.</w:t>
      </w:r>
    </w:p>
    <w:p>
      <w:pPr>
        <w:spacing w:after="0" w:line="5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Encourage executive retention. For 2014, the Compensation Committee has determined to pay a significant portion of these awards in equity, subject to the Holding Period, if applicable.</w:t>
      </w:r>
    </w:p>
    <w:p>
      <w:pPr>
        <w:spacing w:after="0" w:line="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Enforce accountability for individual performance through discretionary reductions in awards as deemed appropriate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Align executives with stockholders</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Make periodic grants with long-term vesting (up to ten years) to encourage a long-term value perspective and executive retention</w:t>
      </w:r>
    </w:p>
    <w:p>
      <w:pPr>
        <w:spacing w:after="0" w:line="76" w:lineRule="exact"/>
        <w:rPr>
          <w:sz w:val="20"/>
          <w:szCs w:val="20"/>
          <w:color w:val="auto"/>
        </w:rPr>
      </w:pPr>
    </w:p>
    <w:p>
      <w:pPr>
        <w:sectPr>
          <w:pgSz w:w="11900" w:h="16838" w:orient="portrait"/>
          <w:cols w:equalWidth="0" w:num="2">
            <w:col w:w="3120" w:space="420"/>
            <w:col w:w="7880"/>
          </w:cols>
          <w:pgMar w:left="240" w:top="459" w:right="239" w:bottom="1440" w:gutter="0" w:footer="0" w:header="0"/>
          <w:type w:val="continuous"/>
        </w:sectPr>
      </w:pPr>
    </w:p>
    <w:p>
      <w:pPr>
        <w:spacing w:after="0"/>
        <w:tabs>
          <w:tab w:leader="none" w:pos="3520" w:val="left"/>
        </w:tabs>
        <w:rPr>
          <w:sz w:val="20"/>
          <w:szCs w:val="20"/>
          <w:color w:val="auto"/>
        </w:rPr>
      </w:pPr>
      <w:r>
        <w:rPr>
          <w:rFonts w:ascii="Arial" w:cs="Arial" w:eastAsia="Arial" w:hAnsi="Arial"/>
          <w:sz w:val="18"/>
          <w:szCs w:val="18"/>
          <w:b w:val="1"/>
          <w:bCs w:val="1"/>
          <w:i w:val="1"/>
          <w:iCs w:val="1"/>
          <w:color w:val="auto"/>
        </w:rPr>
        <w:t>Executive benefits</w:t>
      </w:r>
      <w:r>
        <w:rPr>
          <w:sz w:val="20"/>
          <w:szCs w:val="20"/>
          <w:color w:val="auto"/>
        </w:rPr>
        <w:tab/>
      </w:r>
      <w:r>
        <w:rPr>
          <w:rFonts w:ascii="Arial" w:cs="Arial" w:eastAsia="Arial" w:hAnsi="Arial"/>
          <w:sz w:val="16"/>
          <w:szCs w:val="16"/>
          <w:i w:val="1"/>
          <w:iCs w:val="1"/>
          <w:color w:val="auto"/>
        </w:rPr>
        <w:t>Promote executive health through supplemental health benefits and provide for executives’ families</w:t>
      </w:r>
    </w:p>
    <w:p>
      <w:pPr>
        <w:spacing w:after="0" w:line="16"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through supplemental life insurance policies</w:t>
      </w:r>
    </w:p>
    <w:p>
      <w:pPr>
        <w:spacing w:after="0" w:line="59" w:lineRule="exact"/>
        <w:rPr>
          <w:sz w:val="20"/>
          <w:szCs w:val="20"/>
          <w:color w:val="auto"/>
        </w:rPr>
      </w:pPr>
    </w:p>
    <w:p>
      <w:pPr>
        <w:ind w:left="3540"/>
        <w:spacing w:after="0"/>
        <w:rPr>
          <w:sz w:val="20"/>
          <w:szCs w:val="20"/>
          <w:color w:val="auto"/>
        </w:rPr>
      </w:pPr>
      <w:r>
        <w:rPr>
          <w:rFonts w:ascii="Arial" w:cs="Arial" w:eastAsia="Arial" w:hAnsi="Arial"/>
          <w:sz w:val="16"/>
          <w:szCs w:val="16"/>
          <w:i w:val="1"/>
          <w:iCs w:val="1"/>
          <w:color w:val="auto"/>
        </w:rPr>
        <w:t>Offer industry-competitive merchandise discounts and certain complimentary privileges with respect</w:t>
      </w:r>
    </w:p>
    <w:p>
      <w:pPr>
        <w:spacing w:after="0" w:line="37"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to the Company’s resorts</w:t>
      </w:r>
    </w:p>
    <w:p>
      <w:pPr>
        <w:spacing w:after="0" w:line="59"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Consistent with the Board’s requirement that Mr. Wynn travel privately for security reasons, the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Company historically has provided him with access to Company aircraft for both personal and</w:t>
      </w:r>
    </w:p>
    <w:p>
      <w:pPr>
        <w:ind w:left="3540"/>
        <w:spacing w:after="0"/>
        <w:rPr>
          <w:sz w:val="20"/>
          <w:szCs w:val="20"/>
          <w:color w:val="auto"/>
        </w:rPr>
      </w:pPr>
      <w:r>
        <w:rPr>
          <w:rFonts w:ascii="Arial" w:cs="Arial" w:eastAsia="Arial" w:hAnsi="Arial"/>
          <w:sz w:val="16"/>
          <w:szCs w:val="16"/>
          <w:i w:val="1"/>
          <w:iCs w:val="1"/>
          <w:color w:val="auto"/>
        </w:rPr>
        <w:t>business travel, as well as a car and driver in Las Vegas. However, upon stockholder approval of the</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6"/>
          <w:szCs w:val="16"/>
          <w:i w:val="1"/>
          <w:iCs w:val="1"/>
          <w:color w:val="auto"/>
        </w:rPr>
        <w:t>2014 Plan, Mr. Wynn’s employment agreement and other relevant agreements with the Company will</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be modified to, among other things, provide that Mr. Wynn reimburse the Company for certain</w:t>
      </w:r>
    </w:p>
    <w:p>
      <w:pPr>
        <w:ind w:left="3540"/>
        <w:spacing w:after="0"/>
        <w:rPr>
          <w:sz w:val="20"/>
          <w:szCs w:val="20"/>
          <w:color w:val="auto"/>
        </w:rPr>
      </w:pPr>
      <w:r>
        <w:rPr>
          <w:rFonts w:ascii="Arial" w:cs="Arial" w:eastAsia="Arial" w:hAnsi="Arial"/>
          <w:sz w:val="18"/>
          <w:szCs w:val="18"/>
          <w:i w:val="1"/>
          <w:iCs w:val="1"/>
          <w:color w:val="auto"/>
        </w:rPr>
        <w:t>expenses for his personal use of Company aircraft.</w:t>
      </w:r>
    </w:p>
    <w:p>
      <w:pPr>
        <w:spacing w:after="0" w:line="59" w:lineRule="exact"/>
        <w:rPr>
          <w:sz w:val="20"/>
          <w:szCs w:val="20"/>
          <w:color w:val="auto"/>
        </w:rPr>
      </w:pPr>
    </w:p>
    <w:p>
      <w:pPr>
        <w:ind w:left="3540"/>
        <w:spacing w:after="0" w:line="260" w:lineRule="auto"/>
        <w:rPr>
          <w:sz w:val="20"/>
          <w:szCs w:val="20"/>
          <w:color w:val="auto"/>
        </w:rPr>
      </w:pPr>
      <w:r>
        <w:rPr>
          <w:rFonts w:ascii="Arial" w:cs="Arial" w:eastAsia="Arial" w:hAnsi="Arial"/>
          <w:sz w:val="18"/>
          <w:szCs w:val="18"/>
          <w:i w:val="1"/>
          <w:iCs w:val="1"/>
          <w:color w:val="auto"/>
        </w:rPr>
        <w:t>Consistent with competitive practice in Macau, provide Ms. Chen with a car and driver, certain housing and living expenses and assistance with tax preparation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Elements of Executive Compensation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what the Compensation Committee views to be effective for attracting and retaining key leaders while motivating management to maximize long-term Company value for our stockholders.</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Negotiated employment agreements establish the initial base salaries of our NEOs. We review and adjust their base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periodically as deemed necessary due to competitive reasons, to reflect improvements in sustained performance, capabilities, and experience, and reward expansions of responsibility or other extraordinary circumstances. Mr. Wynn has not received a base salary increase since 2011. In 2013, Mr. Maddox received a base salary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24</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connection with his promotion to President of the Company and Mr. Stzremp received a base salary increase in connection with the extension of his employment agreement and in recognition of his continued outstanding contributions to the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42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614A3D"/>
              </w:rPr>
              <w:t>2013 Salary</w:t>
            </w:r>
          </w:p>
        </w:tc>
        <w:tc>
          <w:tcPr>
            <w:tcW w:w="16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b w:val="1"/>
                <w:bCs w:val="1"/>
                <w:color w:val="614A3D"/>
              </w:rPr>
              <w:t>2012 Salary</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614A3D"/>
              </w:rPr>
              <w:t>Increase</w:t>
            </w:r>
          </w:p>
        </w:tc>
      </w:tr>
      <w:tr>
        <w:trPr>
          <w:trHeight w:val="199"/>
        </w:trPr>
        <w:tc>
          <w:tcPr>
            <w:tcW w:w="436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3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line="200" w:lineRule="exact"/>
              <w:rPr>
                <w:sz w:val="20"/>
                <w:szCs w:val="20"/>
                <w:color w:val="auto"/>
              </w:rPr>
            </w:pPr>
            <w:r>
              <w:rPr>
                <w:rFonts w:ascii="Arial" w:cs="Arial" w:eastAsia="Arial" w:hAnsi="Arial"/>
                <w:sz w:val="18"/>
                <w:szCs w:val="18"/>
                <w:color w:val="auto"/>
                <w:w w:val="97"/>
              </w:rPr>
              <w:t>4,000,000</w:t>
            </w: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line="200" w:lineRule="exact"/>
              <w:rPr>
                <w:sz w:val="20"/>
                <w:szCs w:val="20"/>
                <w:color w:val="auto"/>
              </w:rPr>
            </w:pPr>
            <w:r>
              <w:rPr>
                <w:rFonts w:ascii="Arial" w:cs="Arial" w:eastAsia="Arial" w:hAnsi="Arial"/>
                <w:sz w:val="18"/>
                <w:szCs w:val="18"/>
                <w:color w:val="auto"/>
                <w:w w:val="94"/>
              </w:rPr>
              <w:t>4,000,000</w:t>
            </w:r>
          </w:p>
        </w:tc>
        <w:tc>
          <w:tcPr>
            <w:tcW w:w="1200" w:type="dxa"/>
            <w:vAlign w:val="bottom"/>
          </w:tcPr>
          <w:p>
            <w:pPr>
              <w:jc w:val="right"/>
              <w:ind w:right="92"/>
              <w:spacing w:after="0" w:line="200" w:lineRule="exact"/>
              <w:rPr>
                <w:sz w:val="20"/>
                <w:szCs w:val="20"/>
                <w:color w:val="auto"/>
              </w:rPr>
            </w:pPr>
            <w:r>
              <w:rPr>
                <w:rFonts w:ascii="Arial" w:cs="Arial" w:eastAsia="Arial" w:hAnsi="Arial"/>
                <w:sz w:val="18"/>
                <w:szCs w:val="18"/>
                <w:color w:val="auto"/>
              </w:rPr>
              <w:t>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w w:val="97"/>
              </w:rPr>
              <w:t>1,500,000</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line="202" w:lineRule="exact"/>
              <w:rPr>
                <w:sz w:val="20"/>
                <w:szCs w:val="20"/>
                <w:color w:val="auto"/>
              </w:rPr>
            </w:pPr>
            <w:r>
              <w:rPr>
                <w:rFonts w:ascii="Arial" w:cs="Arial" w:eastAsia="Arial" w:hAnsi="Arial"/>
                <w:sz w:val="18"/>
                <w:szCs w:val="18"/>
                <w:color w:val="auto"/>
                <w:w w:val="94"/>
              </w:rPr>
              <w:t>1,000,000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(1)</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w w:val="97"/>
              </w:rPr>
              <w:t>1,500,000</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line="202" w:lineRule="exact"/>
              <w:rPr>
                <w:sz w:val="20"/>
                <w:szCs w:val="20"/>
                <w:color w:val="auto"/>
              </w:rPr>
            </w:pPr>
            <w:r>
              <w:rPr>
                <w:rFonts w:ascii="Arial" w:cs="Arial" w:eastAsia="Arial" w:hAnsi="Arial"/>
                <w:sz w:val="18"/>
                <w:szCs w:val="18"/>
                <w:color w:val="auto"/>
                <w:w w:val="94"/>
              </w:rPr>
              <w:t>1,500,000</w:t>
            </w: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800,000</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800,000</w:t>
            </w:r>
          </w:p>
        </w:tc>
        <w:tc>
          <w:tcPr>
            <w:tcW w:w="12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750,000</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650,000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(2)</w:t>
            </w: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Marc Schorr</w:t>
            </w:r>
          </w:p>
        </w:tc>
        <w:tc>
          <w:tcPr>
            <w:tcW w:w="3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w w:val="97"/>
              </w:rPr>
              <w:t>2,100,000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w w:val="94"/>
              </w:rPr>
              <w:t>2,100,000</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w:t>
            </w:r>
          </w:p>
        </w:tc>
      </w:tr>
    </w:tbl>
    <w:p>
      <w:pPr>
        <w:spacing w:after="0" w:line="3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Maddox’s base salary was increased effective November 18, 2013, in connection with his promotion to President of the Company.</w:t>
      </w:r>
    </w:p>
    <w:p>
      <w:pPr>
        <w:ind w:left="340" w:hanging="332"/>
        <w:spacing w:after="0" w:line="180" w:lineRule="auto"/>
        <w:tabs>
          <w:tab w:leader="none" w:pos="340" w:val="left"/>
        </w:tabs>
        <w:numPr>
          <w:ilvl w:val="0"/>
          <w:numId w:val="2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Strzemp’s base salary was increased in connection with the extension of his employment agreement, effective as of February 21, 2013, and in recognition of his continued outstanding contributions to the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Annual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2013, our NEOs participated in our Existing Annual Incentive Plan. Within 90 days after the commencement of the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identifies the senior executive officers who will participate in the Existing Annual Incentive Plan for that year and establishes the annual performance criteria. The Existing Annual Incentive Plan provides that the maximum annual incentive is 250% of base salary for Mr. Wynn and 200% of base salary for the other NEO participants. In 2013, the following formula was used to calculate the maximum payment that may be awarded to an NEO under the Existing Annual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Base Salary x Bonus Factor x EBITDA Performance Level</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2013 annual incentive opportunity of our NEOs, for EBITDA based on attainment of partial and maximum adjusted property EBITDA goals,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614A3D"/>
              </w:rPr>
              <w:t>Partial</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614A3D"/>
              </w:rPr>
              <w:t>Maximum</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614A3D"/>
              </w:rPr>
              <w:t>Base</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614A3D"/>
              </w:rPr>
              <w:t>Bonus</w:t>
            </w:r>
          </w:p>
        </w:tc>
        <w:tc>
          <w:tcPr>
            <w:tcW w:w="300" w:type="dxa"/>
            <w:vAlign w:val="bottom"/>
          </w:tcPr>
          <w:p>
            <w:pPr>
              <w:spacing w:after="0"/>
              <w:rPr>
                <w:sz w:val="17"/>
                <w:szCs w:val="17"/>
                <w:color w:val="auto"/>
              </w:rPr>
            </w:pPr>
          </w:p>
        </w:tc>
        <w:tc>
          <w:tcPr>
            <w:tcW w:w="100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614A3D"/>
              </w:rPr>
              <w:t>Partial</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Bonus</w:t>
            </w:r>
          </w:p>
        </w:tc>
        <w:tc>
          <w:tcPr>
            <w:tcW w:w="300" w:type="dxa"/>
            <w:vAlign w:val="bottom"/>
          </w:tcPr>
          <w:p>
            <w:pPr>
              <w:spacing w:after="0"/>
              <w:rPr>
                <w:sz w:val="17"/>
                <w:szCs w:val="17"/>
                <w:color w:val="auto"/>
              </w:rPr>
            </w:pP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614A3D"/>
                <w:w w:val="98"/>
              </w:rPr>
              <w:t>Maximum</w:t>
            </w:r>
          </w:p>
        </w:tc>
      </w:tr>
      <w:tr>
        <w:trPr>
          <w:trHeight w:val="221"/>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2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Salary</w:t>
            </w: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Factor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614A3D"/>
              </w:rPr>
              <w:t>Bonus</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Factor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Bonus</w:t>
            </w:r>
          </w:p>
        </w:tc>
      </w:tr>
      <w:tr>
        <w:trPr>
          <w:trHeight w:val="253"/>
        </w:trPr>
        <w:tc>
          <w:tcPr>
            <w:tcW w:w="3460" w:type="dxa"/>
            <w:vAlign w:val="bottom"/>
          </w:tcPr>
          <w:p>
            <w:pPr>
              <w:spacing w:after="0"/>
              <w:rPr>
                <w:sz w:val="20"/>
                <w:szCs w:val="20"/>
                <w:color w:val="auto"/>
              </w:rPr>
            </w:pPr>
            <w:r>
              <w:rPr>
                <w:rFonts w:ascii="Arial" w:cs="Arial" w:eastAsia="Arial" w:hAnsi="Arial"/>
                <w:sz w:val="18"/>
                <w:szCs w:val="18"/>
                <w:color w:val="auto"/>
              </w:rPr>
              <w:t>Stephen A. Wynn</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97"/>
              </w:rPr>
              <w:t>4,000,000</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97"/>
              </w:rPr>
              <w:t>5,000,000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10,000,000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1,000,000</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1,000,000</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2,000,000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1,500,000</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1,500,000</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800,000</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800,000</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1,600,000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750,000</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750,000</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1,500,000</w:t>
            </w:r>
          </w:p>
        </w:tc>
      </w:tr>
      <w:tr>
        <w:trPr>
          <w:trHeight w:val="290"/>
        </w:trPr>
        <w:tc>
          <w:tcPr>
            <w:tcW w:w="3460" w:type="dxa"/>
            <w:vAlign w:val="bottom"/>
          </w:tcPr>
          <w:p>
            <w:pPr>
              <w:spacing w:after="0"/>
              <w:rPr>
                <w:sz w:val="20"/>
                <w:szCs w:val="20"/>
                <w:color w:val="auto"/>
              </w:rPr>
            </w:pPr>
            <w:r>
              <w:rPr>
                <w:rFonts w:ascii="Arial" w:cs="Arial" w:eastAsia="Arial" w:hAnsi="Arial"/>
                <w:sz w:val="18"/>
                <w:szCs w:val="18"/>
                <w:color w:val="auto"/>
              </w:rPr>
              <w:t xml:space="preserve">Marc D. Schorr </w:t>
            </w:r>
            <w:r>
              <w:rPr>
                <w:rFonts w:ascii="Arial" w:cs="Arial" w:eastAsia="Arial" w:hAnsi="Arial"/>
                <w:sz w:val="22"/>
                <w:szCs w:val="22"/>
                <w:color w:val="auto"/>
                <w:vertAlign w:val="superscript"/>
              </w:rPr>
              <w:t>(1)</w:t>
            </w:r>
          </w:p>
        </w:tc>
        <w:tc>
          <w:tcPr>
            <w:tcW w:w="218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N/A</w:t>
            </w:r>
          </w:p>
        </w:tc>
      </w:tr>
    </w:tbl>
    <w:p>
      <w:pPr>
        <w:ind w:left="340" w:hanging="332"/>
        <w:spacing w:after="0" w:line="208" w:lineRule="auto"/>
        <w:tabs>
          <w:tab w:leader="none" w:pos="340" w:val="left"/>
        </w:tabs>
        <w:numPr>
          <w:ilvl w:val="0"/>
          <w:numId w:val="2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Schorr retired from the Company effective June 2013, and as such was not eligible for any bonus under the Existing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Existing Annual Incentive Plan, the 2013 annual incentive awards were based on adjusted property EBITDA on a consolidated basis. Adjusted property EBITDA is a non-GAAP measure calculated at the segment level and reported in the footnotes to our audited consolidated financial statements. The adjustments used to calculate adjusted property EBITDA are the same as those set forth in our Annual Report on Form 10-K for the year ended December 31, 2013, and reflect the manner in which we discuss company performance with our stockholders. It is a reflection of the operating performance of the Company’s assets and directly influences return to stockholders. In addition, management and stockholders use adjusted property EBITDA to value the Company and its assets.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established a target of $1,375 million adjusted property EBITDA on a consolidated basis for maximum funding and a target of $1,110 million for partial funding. In the course of determining the adjusted property EBITDA targets, the Compensation Committee concluded that the achievement of the performance targets was challenging and substantially uncertain. In making such determination, the Committee considered the following factors: the competitive environment for the Company’s facilities including the dramatic increase in supply in Macau, uncertainty as to the overall macroeconomic conditions in both China and the United States and the Company’s development cycle for the production of increased supply in Macau. The Committee determined these factors can cause variability and unpredictability in our results, notwithstanding that the Company has achieved strong results for prior periods. These same considerations underlie the Company’s practice of not providing guidance or projections for its financial results. For 2013, actual performance of $1,811 million established a Company record and against any standard demonstrated superior performance. Accordingly,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29335" cy="445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Compensation Committee awarded each participant (other than Mr. Schorr, who retired during the year) the maximum incentive allowed under the Existing Annual Incentive Plan which awards were paid in cash. While the Compensation Committee retains the discretion to reduce actual bonus amounts paid based on a variety of factors, including corporate, property level and individual performance, as well as general macroeconomic conditions, it did not exercise that discretion with respect to 2013, owing to our record Company results. In addition, the Compensation Committee of the Company and the Compensation Committee of Wynn Macau, Limited, approved and Mr. Wynn received, a cash award of $4 million from Wynn Macau, Limited in consideration of finalization of plans for Wynn Palace in Cotai and his contribution to the extraordinary performance of Wynn Macau for the year ended December 31, 2013. Changes to the design of our annual incentive awards for 2014 are discussed in the “Executive Summary” to this Compensation Discussion and Analysis beginning on page 18.</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historically has only made periodic (not annual) equity grants to executives including our NEOs.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Compensation Committee has used grants under our 2002 Stock Incentive Plan (“Existing Stock Plan”) to attract qualified individuals to work for the Company and to align executives with the perspective of stockholders, and made additional grants periodically to existing officers to reward extraordinary performance and encourage retention with the Company. Periodic grants to NEOs were typically made with long-term vesting dates of up to ten years to assure retention of talent deemed important to the Company’s continued prosperity. Upon approval by stockholders, the Existing Stock Plan will be replaced with the 2014 Plan, subject to any awards outstanding. </w:t>
      </w:r>
      <w:r>
        <w:rPr>
          <w:rFonts w:ascii="Arial" w:cs="Arial" w:eastAsia="Arial" w:hAnsi="Arial"/>
          <w:sz w:val="18"/>
          <w:szCs w:val="18"/>
          <w:i w:val="1"/>
          <w:iCs w:val="1"/>
          <w:color w:val="auto"/>
        </w:rPr>
        <w:t>See</w:t>
      </w:r>
      <w:r>
        <w:rPr>
          <w:rFonts w:ascii="Arial" w:cs="Arial" w:eastAsia="Arial" w:hAnsi="Arial"/>
          <w:sz w:val="18"/>
          <w:szCs w:val="18"/>
          <w:color w:val="auto"/>
        </w:rPr>
        <w:t xml:space="preserve"> Proposal No: 4 “Approval of the Adoption of the 2014 Omnibus Incentive Plan” on page 45 of this Proxy Statement for a detailed discussion of the 2014 Plan. From time to time, the Company also granted long-term cash retention awards to reward extraordinary performance and encourage retention. The underlying philosophy behind this approach has been to retain senior management for the long term, thereby building a talent base to drive sustained Company performance and growth. Consistent with this objective, the Compensation Committee determined not to make any grants during 2013 to the NEOs other than a grant of 10,000 vested shares to Mr. Maddox in connection with his promotion to President of the Company and a grant of 25,000 shares to Mr. Strzemp in connection with the extension of his employment agreement and his continued outstanding contributions to the operations of the Company. In addition, in connection with Mr. Schorr’s retirement, the Compensation Committee provided that 200,000 unvested shares granted to Mr. Schorr under a Restricted Stock Agreement, and associated accrued cash dividends, would vest and be payable as of May 31, 2013. Mr. Wynn, the founder, Chairman and CEO of the Company owns approximately 10% of the Company’s outstanding stock. The Compensation Committee believes that Mr. Wynn’s significant stock ownership in the Company aligns his interests with that of stockholders and as such Mr. Wynn has not historically participated in the Company’s equity incentive plans. This differs from the chief executive officer compensation at almost all of the companies included in the Peer Group. Accordingly, for 2014, the Compensation Committee has determined to pay a significant portion of Mr. Wynn’s annual incentive award in equity, as described above.</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Executive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NEOs with other benefits that we believe are reasonable, competitive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programs. We believe that these benefits generally allow our executives to work more efficiently, promote our brand and are legitimate business expenses. The primary executive benefits include certain health insurance coverage, life insurance premiums, discounts and complimentary privileges with respect to the Company’s resorts which are described in the footnotes to the “Summary Compensation Table.” In addition, Mr. Wynn (and Mr. Schorr prior to his retirement) has access to the Company’s aircraft pursuant to time sharing agreements described in “Certain Relationships and Related Transactions—Aircraft Arrangements.” For security purposes, the Board requires Mr. Wynn to travel on Company aircraft for both personal and business travel, and the Company provides cars and a driver in Las Vegas for his business and personal use. Upon stockholder approval of the adoption of the 2014 Plan, Mr. Wynn’s employment agreement and other relevant agreements with the Company will be modified to, among other things, provide that Mr. Wynn reimburse the Company for certain expenses for his personal use of Company aircraft. Consistent with competitive practice in Macau, Ms. Chen receives a car and driver, certain housing and living expenses and assistance with tax preparation.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Wynn currently leases a villa at Wynn Las Vegas for use as his personal residence. The lease, including each amendment and/or restatement thereof, was approved by the Audit Committee of the Board. The members of the Audit Committee and Board believe that having Mr. Wynn’s personal residence on the Company’s property provides significant value to the Company and our stockholders. Accordingly, in the past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(the “New SW Lease”), Mr. Wynn will pay Wynn Las Vegas annual rent for the villa at its fair market value of the accommodations based on a third-party appraisal, which is $525,000 per year through 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We Make Pay Decisions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Role of the Compensation Committee and Management in Setting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all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all of our senior executive officers and makes recommendations to the Compensation Committee. The Compensation Committee reviews the recommendations and makes final decisions regarding compensation for our senior executive officers.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Role of the Compensation Consultant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has the authority to retain compensation consulting firms exclusively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it in the evaluation of senior executive officer and employee compensation and benefit programs. Since 2011, the Compensation Committee has retained Pay Governance LLC, a nationally-recognized independent compensation consulting firm, to assist in performing its duties. Pay Governance does not provide other services to the Company or the Company’s management. In 2013, Pay Governance advised the Compensation Committee with respect to compensation trends and best practices, competitive pay levels, equity grant practices and competitive levels, peer group benchmarking and proxy disclosure. The Compensation Committee retains sole responsibility for engaging any advisor and meets with its advisor, as needed, in the Compensation Committee’s sole discretion.</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Independence of the Compensation Consultant. </w:t>
      </w:r>
      <w:r>
        <w:rPr>
          <w:rFonts w:ascii="Arial" w:cs="Arial" w:eastAsia="Arial" w:hAnsi="Arial"/>
          <w:sz w:val="18"/>
          <w:szCs w:val="18"/>
          <w:color w:val="auto"/>
        </w:rPr>
        <w:t>The Compensation Committee has determined that Pay Governance is independent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by Pay Governance LLC currently and during 2013 did not raise any conflict of interests. In reaching these conclusions, the Compensation Committee considered the factors set forth in Rule 10C-1 of the Exchange Act and applicable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 determining base salary, annual incentive award goals and guidelines for equity awards,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Committee uses the NEOs’ current level of compensation as the starting point. Our compensation decisions consider:</w:t>
      </w:r>
    </w:p>
    <w:p>
      <w:pPr>
        <w:spacing w:after="0" w:line="198" w:lineRule="exact"/>
        <w:rPr>
          <w:sz w:val="20"/>
          <w:szCs w:val="20"/>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practices of our peers in order to obtain a general understanding of the competitive compensation environment.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wealth accumulation is considered when making equity grants to assure alignment of the interests of our senior executive officers and those of our stockholders.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Other Key Considerations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aesthetic vision, direction, and the public’s association of his name and likeness with our casino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are unique and integral components of our success and provided the context for determining Mr. Wynn’s compensation for 2013.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rapid expansion in the last eight years including the establishment of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Aspects of Our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Peer Group and Market Analysis. </w:t>
      </w:r>
      <w:r>
        <w:rPr>
          <w:rFonts w:ascii="Arial" w:cs="Arial" w:eastAsia="Arial" w:hAnsi="Arial"/>
          <w:sz w:val="18"/>
          <w:szCs w:val="18"/>
          <w:color w:val="auto"/>
        </w:rPr>
        <w:t>The Compensation Committee believes that it is appropriate to offer competitive total compensation packages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as part of our regular review of our compensation programs, the Compensation Committee approved a revised, expanded peer group which added companies from two relevant industries groups for Wynn Resorts: gaming &amp; resorts and lifestyle products and removed companies because the Compensation Committee determined they exceeded the size limit for competitiveness. The companies added were Caesars Entertainment Corporation, Chipotle Mexican Grill, Inc. and Coach, Inc. and the companies removed were Carnival Corporation and Starbucks Corporation. The expanded 2013 peer group provides more robust pay information from the industries that the Compensation Committee believes reflects the competitive market for executive talent similar to that required by the Company.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4A3D"/>
        </w:rPr>
        <w:t>Wynn Resorts 2013 Executive Compensation Peer Group</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614A3D"/>
              </w:rPr>
              <w:t>Gaming &amp; Resorts</w:t>
            </w:r>
          </w:p>
        </w:tc>
        <w:tc>
          <w:tcPr>
            <w:tcW w:w="4700" w:type="dxa"/>
            <w:vAlign w:val="bottom"/>
            <w:tcBorders>
              <w:top w:val="single" w:sz="8" w:color="auto"/>
              <w:bottom w:val="single" w:sz="8" w:color="auto"/>
            </w:tcBorders>
          </w:tcPr>
          <w:p>
            <w:pPr>
              <w:ind w:left="1300"/>
              <w:spacing w:after="0" w:line="196" w:lineRule="exact"/>
              <w:rPr>
                <w:sz w:val="20"/>
                <w:szCs w:val="20"/>
                <w:color w:val="auto"/>
              </w:rPr>
            </w:pPr>
            <w:r>
              <w:rPr>
                <w:rFonts w:ascii="Arial" w:cs="Arial" w:eastAsia="Arial" w:hAnsi="Arial"/>
                <w:sz w:val="18"/>
                <w:szCs w:val="18"/>
                <w:b w:val="1"/>
                <w:bCs w:val="1"/>
                <w:color w:val="614A3D"/>
              </w:rPr>
              <w:t>Travel, Hospitality &amp; Resorts</w:t>
            </w:r>
          </w:p>
        </w:tc>
        <w:tc>
          <w:tcPr>
            <w:tcW w:w="2660" w:type="dxa"/>
            <w:vAlign w:val="bottom"/>
            <w:tcBorders>
              <w:top w:val="single" w:sz="8" w:color="auto"/>
              <w:bottom w:val="single" w:sz="8" w:color="auto"/>
            </w:tcBorders>
            <w:gridSpan w:val="2"/>
          </w:tcPr>
          <w:p>
            <w:pPr>
              <w:ind w:left="800"/>
              <w:spacing w:after="0" w:line="196" w:lineRule="exact"/>
              <w:rPr>
                <w:sz w:val="20"/>
                <w:szCs w:val="20"/>
                <w:color w:val="auto"/>
              </w:rPr>
            </w:pPr>
            <w:r>
              <w:rPr>
                <w:rFonts w:ascii="Arial" w:cs="Arial" w:eastAsia="Arial" w:hAnsi="Arial"/>
                <w:sz w:val="18"/>
                <w:szCs w:val="18"/>
                <w:b w:val="1"/>
                <w:bCs w:val="1"/>
                <w:color w:val="614A3D"/>
              </w:rPr>
              <w:t>Lifestyle Products</w:t>
            </w:r>
          </w:p>
        </w:tc>
      </w:tr>
      <w:tr>
        <w:trPr>
          <w:trHeight w:val="199"/>
        </w:trPr>
        <w:tc>
          <w:tcPr>
            <w:tcW w:w="4060" w:type="dxa"/>
            <w:vAlign w:val="bottom"/>
          </w:tcPr>
          <w:p>
            <w:pPr>
              <w:spacing w:after="0" w:line="200" w:lineRule="exact"/>
              <w:rPr>
                <w:sz w:val="20"/>
                <w:szCs w:val="20"/>
                <w:color w:val="auto"/>
              </w:rPr>
            </w:pPr>
            <w:r>
              <w:rPr>
                <w:rFonts w:ascii="Arial" w:cs="Arial" w:eastAsia="Arial" w:hAnsi="Arial"/>
                <w:sz w:val="18"/>
                <w:szCs w:val="18"/>
                <w:color w:val="auto"/>
              </w:rPr>
              <w:t>Las Vegas Sands Corp.</w:t>
            </w:r>
          </w:p>
        </w:tc>
        <w:tc>
          <w:tcPr>
            <w:tcW w:w="4700" w:type="dxa"/>
            <w:vAlign w:val="bottom"/>
          </w:tcPr>
          <w:p>
            <w:pPr>
              <w:ind w:left="1300"/>
              <w:spacing w:after="0" w:line="200" w:lineRule="exact"/>
              <w:rPr>
                <w:sz w:val="20"/>
                <w:szCs w:val="20"/>
                <w:color w:val="auto"/>
              </w:rPr>
            </w:pPr>
            <w:r>
              <w:rPr>
                <w:rFonts w:ascii="Arial" w:cs="Arial" w:eastAsia="Arial" w:hAnsi="Arial"/>
                <w:sz w:val="18"/>
                <w:szCs w:val="18"/>
                <w:color w:val="auto"/>
              </w:rPr>
              <w:t>Royal Caribbean Cruises Ltd.</w:t>
            </w:r>
          </w:p>
        </w:tc>
        <w:tc>
          <w:tcPr>
            <w:tcW w:w="2660" w:type="dxa"/>
            <w:vAlign w:val="bottom"/>
            <w:gridSpan w:val="2"/>
          </w:tcPr>
          <w:p>
            <w:pPr>
              <w:ind w:left="800"/>
              <w:spacing w:after="0" w:line="200" w:lineRule="exact"/>
              <w:rPr>
                <w:sz w:val="20"/>
                <w:szCs w:val="20"/>
                <w:color w:val="auto"/>
              </w:rPr>
            </w:pPr>
            <w:r>
              <w:rPr>
                <w:rFonts w:ascii="Arial" w:cs="Arial" w:eastAsia="Arial" w:hAnsi="Arial"/>
                <w:sz w:val="18"/>
                <w:szCs w:val="18"/>
                <w:color w:val="auto"/>
              </w:rPr>
              <w:t>Chipotle Mexican Grill,</w:t>
            </w:r>
          </w:p>
        </w:tc>
      </w:tr>
      <w:tr>
        <w:trPr>
          <w:trHeight w:val="203"/>
        </w:trPr>
        <w:tc>
          <w:tcPr>
            <w:tcW w:w="40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Inc.</w:t>
            </w:r>
          </w:p>
        </w:tc>
        <w:tc>
          <w:tcPr>
            <w:tcW w:w="600" w:type="dxa"/>
            <w:vAlign w:val="bottom"/>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MGM Resorts International</w:t>
            </w:r>
          </w:p>
        </w:tc>
        <w:tc>
          <w:tcPr>
            <w:tcW w:w="4700" w:type="dxa"/>
            <w:vAlign w:val="bottom"/>
          </w:tcPr>
          <w:p>
            <w:pPr>
              <w:ind w:left="1300"/>
              <w:spacing w:after="0" w:line="202" w:lineRule="exact"/>
              <w:rPr>
                <w:sz w:val="20"/>
                <w:szCs w:val="20"/>
                <w:color w:val="auto"/>
              </w:rPr>
            </w:pPr>
            <w:r>
              <w:rPr>
                <w:rFonts w:ascii="Arial" w:cs="Arial" w:eastAsia="Arial" w:hAnsi="Arial"/>
                <w:sz w:val="18"/>
                <w:szCs w:val="18"/>
                <w:color w:val="auto"/>
              </w:rPr>
              <w:t>Wyndham Worldwide Corporation</w:t>
            </w: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Ralph</w:t>
            </w:r>
          </w:p>
        </w:tc>
        <w:tc>
          <w:tcPr>
            <w:tcW w:w="600" w:type="dxa"/>
            <w:vAlign w:val="bottom"/>
          </w:tcPr>
          <w:p>
            <w:pPr>
              <w:ind w:left="40"/>
              <w:spacing w:after="0" w:line="202" w:lineRule="exact"/>
              <w:rPr>
                <w:sz w:val="20"/>
                <w:szCs w:val="20"/>
                <w:color w:val="auto"/>
              </w:rPr>
            </w:pPr>
            <w:r>
              <w:rPr>
                <w:rFonts w:ascii="Arial" w:cs="Arial" w:eastAsia="Arial" w:hAnsi="Arial"/>
                <w:sz w:val="18"/>
                <w:szCs w:val="18"/>
                <w:color w:val="auto"/>
                <w:w w:val="96"/>
              </w:rPr>
              <w:t>Lauren</w:t>
            </w:r>
          </w:p>
        </w:tc>
      </w:tr>
      <w:tr>
        <w:trPr>
          <w:trHeight w:val="203"/>
        </w:trPr>
        <w:tc>
          <w:tcPr>
            <w:tcW w:w="40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Corporation</w:t>
            </w:r>
          </w:p>
        </w:tc>
        <w:tc>
          <w:tcPr>
            <w:tcW w:w="600" w:type="dxa"/>
            <w:vAlign w:val="bottom"/>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Caesars Entertainment Corporation</w:t>
            </w:r>
          </w:p>
        </w:tc>
        <w:tc>
          <w:tcPr>
            <w:tcW w:w="4700" w:type="dxa"/>
            <w:vAlign w:val="bottom"/>
          </w:tcPr>
          <w:p>
            <w:pPr>
              <w:ind w:left="1300"/>
              <w:spacing w:after="0" w:line="202" w:lineRule="exact"/>
              <w:rPr>
                <w:sz w:val="20"/>
                <w:szCs w:val="20"/>
                <w:color w:val="auto"/>
              </w:rPr>
            </w:pPr>
            <w:r>
              <w:rPr>
                <w:rFonts w:ascii="Arial" w:cs="Arial" w:eastAsia="Arial" w:hAnsi="Arial"/>
                <w:sz w:val="18"/>
                <w:szCs w:val="18"/>
                <w:color w:val="auto"/>
              </w:rPr>
              <w:t>Starwood Hotels &amp; Resorts</w:t>
            </w: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Coach, Inc.</w:t>
            </w:r>
          </w:p>
        </w:tc>
        <w:tc>
          <w:tcPr>
            <w:tcW w:w="600" w:type="dxa"/>
            <w:vAlign w:val="bottom"/>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Penn National Gaming, Inc.</w:t>
            </w:r>
          </w:p>
        </w:tc>
        <w:tc>
          <w:tcPr>
            <w:tcW w:w="4700" w:type="dxa"/>
            <w:vAlign w:val="bottom"/>
          </w:tcPr>
          <w:p>
            <w:pPr>
              <w:ind w:left="1300"/>
              <w:spacing w:after="0" w:line="202" w:lineRule="exact"/>
              <w:rPr>
                <w:sz w:val="20"/>
                <w:szCs w:val="20"/>
                <w:color w:val="auto"/>
              </w:rPr>
            </w:pPr>
            <w:r>
              <w:rPr>
                <w:rFonts w:ascii="Arial" w:cs="Arial" w:eastAsia="Arial" w:hAnsi="Arial"/>
                <w:sz w:val="18"/>
                <w:szCs w:val="18"/>
                <w:color w:val="auto"/>
              </w:rPr>
              <w:t>Marriott International, Inc.</w:t>
            </w: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priceline.com</w:t>
            </w:r>
          </w:p>
        </w:tc>
        <w:tc>
          <w:tcPr>
            <w:tcW w:w="6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Incorporated</w:t>
            </w:r>
          </w:p>
        </w:tc>
        <w:tc>
          <w:tcPr>
            <w:tcW w:w="600" w:type="dxa"/>
            <w:vAlign w:val="bottom"/>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International Game Technology</w:t>
            </w:r>
          </w:p>
        </w:tc>
        <w:tc>
          <w:tcPr>
            <w:tcW w:w="4700" w:type="dxa"/>
            <w:vAlign w:val="bottom"/>
          </w:tcPr>
          <w:p>
            <w:pPr>
              <w:ind w:left="1300"/>
              <w:spacing w:after="0" w:line="202" w:lineRule="exact"/>
              <w:rPr>
                <w:sz w:val="20"/>
                <w:szCs w:val="20"/>
                <w:color w:val="auto"/>
              </w:rPr>
            </w:pPr>
            <w:r>
              <w:rPr>
                <w:rFonts w:ascii="Arial" w:cs="Arial" w:eastAsia="Arial" w:hAnsi="Arial"/>
                <w:sz w:val="18"/>
                <w:szCs w:val="18"/>
                <w:color w:val="auto"/>
              </w:rPr>
              <w:t>Hyatt Hotels Corporation</w:t>
            </w: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Tiffany &amp; Co.</w:t>
            </w:r>
          </w:p>
        </w:tc>
        <w:tc>
          <w:tcPr>
            <w:tcW w:w="6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60" w:type="dxa"/>
            <w:vAlign w:val="bottom"/>
          </w:tcPr>
          <w:p>
            <w:pPr>
              <w:ind w:left="800"/>
              <w:spacing w:after="0" w:line="202" w:lineRule="exact"/>
              <w:rPr>
                <w:sz w:val="20"/>
                <w:szCs w:val="20"/>
                <w:color w:val="auto"/>
              </w:rPr>
            </w:pPr>
            <w:r>
              <w:rPr>
                <w:rFonts w:ascii="Arial" w:cs="Arial" w:eastAsia="Arial" w:hAnsi="Arial"/>
                <w:sz w:val="18"/>
                <w:szCs w:val="18"/>
                <w:color w:val="auto"/>
              </w:rPr>
              <w:t>The   Estée</w:t>
            </w:r>
          </w:p>
        </w:tc>
        <w:tc>
          <w:tcPr>
            <w:tcW w:w="600" w:type="dxa"/>
            <w:vAlign w:val="bottom"/>
          </w:tcPr>
          <w:p>
            <w:pPr>
              <w:ind w:left="40"/>
              <w:spacing w:after="0" w:line="202" w:lineRule="exact"/>
              <w:rPr>
                <w:sz w:val="20"/>
                <w:szCs w:val="20"/>
                <w:color w:val="auto"/>
              </w:rPr>
            </w:pPr>
            <w:r>
              <w:rPr>
                <w:rFonts w:ascii="Arial" w:cs="Arial" w:eastAsia="Arial" w:hAnsi="Arial"/>
                <w:sz w:val="18"/>
                <w:szCs w:val="18"/>
                <w:color w:val="auto"/>
                <w:w w:val="96"/>
              </w:rPr>
              <w:t>Lauder</w:t>
            </w:r>
          </w:p>
        </w:tc>
      </w:tr>
      <w:tr>
        <w:trPr>
          <w:trHeight w:val="211"/>
        </w:trPr>
        <w:tc>
          <w:tcPr>
            <w:tcW w:w="40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60" w:type="dxa"/>
            <w:vAlign w:val="bottom"/>
          </w:tcPr>
          <w:p>
            <w:pPr>
              <w:ind w:left="800"/>
              <w:spacing w:after="0"/>
              <w:rPr>
                <w:sz w:val="20"/>
                <w:szCs w:val="20"/>
                <w:color w:val="auto"/>
              </w:rPr>
            </w:pPr>
            <w:r>
              <w:rPr>
                <w:rFonts w:ascii="Arial" w:cs="Arial" w:eastAsia="Arial" w:hAnsi="Arial"/>
                <w:sz w:val="18"/>
                <w:szCs w:val="18"/>
                <w:color w:val="auto"/>
                <w:w w:val="99"/>
              </w:rPr>
              <w:t>Companies Inc.</w:t>
            </w:r>
          </w:p>
        </w:tc>
        <w:tc>
          <w:tcPr>
            <w:tcW w:w="600" w:type="dxa"/>
            <w:vAlign w:val="bottom"/>
          </w:tcPr>
          <w:p>
            <w:pPr>
              <w:spacing w:after="0"/>
              <w:rPr>
                <w:sz w:val="18"/>
                <w:szCs w:val="18"/>
                <w:color w:val="auto"/>
              </w:rPr>
            </w:pPr>
          </w:p>
        </w:tc>
      </w:tr>
    </w:tbl>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16 companies in the peer group generally had 2013 revenue, market capitalization and total enterprise value (as of December 31, 2013) in a relevant range around those of the Company as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2"/>
          </w:tcPr>
          <w:p>
            <w:pPr>
              <w:ind w:left="2140"/>
              <w:spacing w:after="0"/>
              <w:rPr>
                <w:sz w:val="20"/>
                <w:szCs w:val="20"/>
                <w:color w:val="auto"/>
              </w:rPr>
            </w:pPr>
            <w:r>
              <w:rPr>
                <w:rFonts w:ascii="Arial" w:cs="Arial" w:eastAsia="Arial" w:hAnsi="Arial"/>
                <w:sz w:val="18"/>
                <w:szCs w:val="18"/>
                <w:b w:val="1"/>
                <w:bCs w:val="1"/>
                <w:color w:val="614A3D"/>
              </w:rPr>
              <w:t>Wynn Resorts</w:t>
            </w:r>
          </w:p>
        </w:tc>
        <w:tc>
          <w:tcPr>
            <w:tcW w:w="1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614A3D"/>
              </w:rPr>
              <w:t>Peer Group</w:t>
            </w:r>
          </w:p>
        </w:tc>
      </w:tr>
      <w:tr>
        <w:trPr>
          <w:trHeight w:val="199"/>
        </w:trPr>
        <w:tc>
          <w:tcPr>
            <w:tcW w:w="380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260" w:type="dxa"/>
            <w:vAlign w:val="bottom"/>
          </w:tcPr>
          <w:p>
            <w:pPr>
              <w:ind w:left="2140"/>
              <w:spacing w:after="0" w:line="200"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2"/>
              <w:spacing w:after="0" w:line="200" w:lineRule="exact"/>
              <w:rPr>
                <w:sz w:val="20"/>
                <w:szCs w:val="20"/>
                <w:color w:val="auto"/>
              </w:rPr>
            </w:pPr>
            <w:r>
              <w:rPr>
                <w:rFonts w:ascii="Arial" w:cs="Arial" w:eastAsia="Arial" w:hAnsi="Arial"/>
                <w:sz w:val="18"/>
                <w:szCs w:val="18"/>
                <w:color w:val="auto"/>
              </w:rPr>
              <w:t>5.621 billion</w:t>
            </w:r>
          </w:p>
        </w:tc>
        <w:tc>
          <w:tcPr>
            <w:tcW w:w="12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Range:</w:t>
            </w:r>
          </w:p>
        </w:tc>
        <w:tc>
          <w:tcPr>
            <w:tcW w:w="2600" w:type="dxa"/>
            <w:vAlign w:val="bottom"/>
          </w:tcPr>
          <w:p>
            <w:pPr>
              <w:ind w:left="220"/>
              <w:spacing w:after="0" w:line="200" w:lineRule="exact"/>
              <w:rPr>
                <w:sz w:val="20"/>
                <w:szCs w:val="20"/>
                <w:color w:val="auto"/>
              </w:rPr>
            </w:pPr>
            <w:r>
              <w:rPr>
                <w:rFonts w:ascii="Arial" w:cs="Arial" w:eastAsia="Arial" w:hAnsi="Arial"/>
                <w:sz w:val="18"/>
                <w:szCs w:val="18"/>
                <w:color w:val="auto"/>
                <w:w w:val="97"/>
              </w:rPr>
              <w:t>$2.353 billion – $13.770 billion</w:t>
            </w:r>
          </w:p>
        </w:tc>
      </w:tr>
      <w:tr>
        <w:trPr>
          <w:trHeight w:val="211"/>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Median:</w:t>
            </w:r>
          </w:p>
        </w:tc>
        <w:tc>
          <w:tcPr>
            <w:tcW w:w="2600" w:type="dxa"/>
            <w:vAlign w:val="bottom"/>
          </w:tcPr>
          <w:p>
            <w:pPr>
              <w:ind w:left="220"/>
              <w:spacing w:after="0"/>
              <w:rPr>
                <w:sz w:val="20"/>
                <w:szCs w:val="20"/>
                <w:color w:val="auto"/>
              </w:rPr>
            </w:pPr>
            <w:r>
              <w:rPr>
                <w:rFonts w:ascii="Arial" w:cs="Arial" w:eastAsia="Arial" w:hAnsi="Arial"/>
                <w:sz w:val="18"/>
                <w:szCs w:val="18"/>
                <w:color w:val="auto"/>
              </w:rPr>
              <w:t>$4.995 billion</w:t>
            </w:r>
          </w:p>
        </w:tc>
      </w:tr>
      <w:tr>
        <w:trPr>
          <w:trHeight w:val="262"/>
        </w:trPr>
        <w:tc>
          <w:tcPr>
            <w:tcW w:w="3800" w:type="dxa"/>
            <w:vAlign w:val="bottom"/>
          </w:tcPr>
          <w:p>
            <w:pPr>
              <w:spacing w:after="0"/>
              <w:rPr>
                <w:sz w:val="20"/>
                <w:szCs w:val="20"/>
                <w:color w:val="auto"/>
              </w:rPr>
            </w:pPr>
            <w:r>
              <w:rPr>
                <w:rFonts w:ascii="Arial" w:cs="Arial" w:eastAsia="Arial" w:hAnsi="Arial"/>
                <w:sz w:val="18"/>
                <w:szCs w:val="18"/>
                <w:color w:val="auto"/>
              </w:rPr>
              <w:t>Market Capitalization</w:t>
            </w:r>
          </w:p>
        </w:tc>
        <w:tc>
          <w:tcPr>
            <w:tcW w:w="2260" w:type="dxa"/>
            <w:vAlign w:val="bottom"/>
          </w:tcPr>
          <w:p>
            <w:pPr>
              <w:ind w:left="214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2"/>
              <w:spacing w:after="0"/>
              <w:rPr>
                <w:sz w:val="20"/>
                <w:szCs w:val="20"/>
                <w:color w:val="auto"/>
              </w:rPr>
            </w:pPr>
            <w:r>
              <w:rPr>
                <w:rFonts w:ascii="Arial" w:cs="Arial" w:eastAsia="Arial" w:hAnsi="Arial"/>
                <w:sz w:val="18"/>
                <w:szCs w:val="18"/>
                <w:color w:val="auto"/>
                <w:w w:val="98"/>
              </w:rPr>
              <w:t>19.609 billion</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Range:</w:t>
            </w:r>
          </w:p>
        </w:tc>
        <w:tc>
          <w:tcPr>
            <w:tcW w:w="2600" w:type="dxa"/>
            <w:vAlign w:val="bottom"/>
          </w:tcPr>
          <w:p>
            <w:pPr>
              <w:ind w:left="220"/>
              <w:spacing w:after="0"/>
              <w:rPr>
                <w:sz w:val="20"/>
                <w:szCs w:val="20"/>
                <w:color w:val="auto"/>
              </w:rPr>
            </w:pPr>
            <w:r>
              <w:rPr>
                <w:rFonts w:ascii="Arial" w:cs="Arial" w:eastAsia="Arial" w:hAnsi="Arial"/>
                <w:sz w:val="18"/>
                <w:szCs w:val="18"/>
                <w:color w:val="auto"/>
                <w:w w:val="97"/>
              </w:rPr>
              <w:t>$1.104 billion – $64.924 billion</w:t>
            </w:r>
          </w:p>
        </w:tc>
      </w:tr>
      <w:tr>
        <w:trPr>
          <w:trHeight w:val="211"/>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Median:</w:t>
            </w:r>
          </w:p>
        </w:tc>
        <w:tc>
          <w:tcPr>
            <w:tcW w:w="2600" w:type="dxa"/>
            <w:vAlign w:val="bottom"/>
          </w:tcPr>
          <w:p>
            <w:pPr>
              <w:ind w:left="220"/>
              <w:spacing w:after="0"/>
              <w:rPr>
                <w:sz w:val="20"/>
                <w:szCs w:val="20"/>
                <w:color w:val="auto"/>
              </w:rPr>
            </w:pPr>
            <w:r>
              <w:rPr>
                <w:rFonts w:ascii="Arial" w:cs="Arial" w:eastAsia="Arial" w:hAnsi="Arial"/>
                <w:sz w:val="18"/>
                <w:szCs w:val="18"/>
                <w:color w:val="auto"/>
              </w:rPr>
              <w:t>$13.348 billion</w:t>
            </w:r>
          </w:p>
        </w:tc>
      </w:tr>
      <w:tr>
        <w:trPr>
          <w:trHeight w:val="262"/>
        </w:trPr>
        <w:tc>
          <w:tcPr>
            <w:tcW w:w="3800" w:type="dxa"/>
            <w:vAlign w:val="bottom"/>
          </w:tcPr>
          <w:p>
            <w:pPr>
              <w:spacing w:after="0"/>
              <w:rPr>
                <w:sz w:val="20"/>
                <w:szCs w:val="20"/>
                <w:color w:val="auto"/>
              </w:rPr>
            </w:pPr>
            <w:r>
              <w:rPr>
                <w:rFonts w:ascii="Arial" w:cs="Arial" w:eastAsia="Arial" w:hAnsi="Arial"/>
                <w:sz w:val="18"/>
                <w:szCs w:val="18"/>
                <w:color w:val="auto"/>
              </w:rPr>
              <w:t>Enterprise Value</w:t>
            </w:r>
          </w:p>
        </w:tc>
        <w:tc>
          <w:tcPr>
            <w:tcW w:w="2260" w:type="dxa"/>
            <w:vAlign w:val="bottom"/>
          </w:tcPr>
          <w:p>
            <w:pPr>
              <w:ind w:left="214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2"/>
              <w:spacing w:after="0"/>
              <w:rPr>
                <w:sz w:val="20"/>
                <w:szCs w:val="20"/>
                <w:color w:val="auto"/>
              </w:rPr>
            </w:pPr>
            <w:r>
              <w:rPr>
                <w:rFonts w:ascii="Arial" w:cs="Arial" w:eastAsia="Arial" w:hAnsi="Arial"/>
                <w:sz w:val="18"/>
                <w:szCs w:val="18"/>
                <w:color w:val="auto"/>
                <w:w w:val="98"/>
              </w:rPr>
              <w:t>23.778 billion</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Range:</w:t>
            </w:r>
          </w:p>
        </w:tc>
        <w:tc>
          <w:tcPr>
            <w:tcW w:w="2600" w:type="dxa"/>
            <w:vAlign w:val="bottom"/>
          </w:tcPr>
          <w:p>
            <w:pPr>
              <w:ind w:left="220"/>
              <w:spacing w:after="0"/>
              <w:rPr>
                <w:sz w:val="20"/>
                <w:szCs w:val="20"/>
                <w:color w:val="auto"/>
              </w:rPr>
            </w:pPr>
            <w:r>
              <w:rPr>
                <w:rFonts w:ascii="Arial" w:cs="Arial" w:eastAsia="Arial" w:hAnsi="Arial"/>
                <w:sz w:val="18"/>
                <w:szCs w:val="18"/>
                <w:color w:val="auto"/>
                <w:w w:val="97"/>
              </w:rPr>
              <w:t>$3.237 billion – $71.479 billion</w:t>
            </w:r>
          </w:p>
        </w:tc>
      </w:tr>
      <w:tr>
        <w:trPr>
          <w:trHeight w:val="211"/>
        </w:trPr>
        <w:tc>
          <w:tcPr>
            <w:tcW w:w="3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Median:</w:t>
            </w:r>
          </w:p>
        </w:tc>
        <w:tc>
          <w:tcPr>
            <w:tcW w:w="2600" w:type="dxa"/>
            <w:vAlign w:val="bottom"/>
          </w:tcPr>
          <w:p>
            <w:pPr>
              <w:ind w:left="220"/>
              <w:spacing w:after="0"/>
              <w:rPr>
                <w:sz w:val="20"/>
                <w:szCs w:val="20"/>
                <w:color w:val="auto"/>
              </w:rPr>
            </w:pPr>
            <w:r>
              <w:rPr>
                <w:rFonts w:ascii="Arial" w:cs="Arial" w:eastAsia="Arial" w:hAnsi="Arial"/>
                <w:sz w:val="18"/>
                <w:szCs w:val="18"/>
                <w:color w:val="auto"/>
              </w:rPr>
              <w:t>$16.182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source: Standard &amp; Poors Capital IQ. Revenue is based on trailing four quarter information available at February 15, 2014.</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longstanding practice of entering into employment agreements with our senior executive officers and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defined as multiple (ranging from one to, in the case of Mr. Wynn, three times) of the sum of the executive’s salary and imputed bonus that would be payable during the remaining term of the contract, but not less than one year and for Mr. Wynn and Ms. Chen, not more than four years (notwithstanding that each of their employment agreements has a term greater than five years. The employment agreements and the terms of equity awards also provide that vesting of some or all of an executive’s equity awards will accelerate upon such event, and the employment agreements (except for Mr. Maddox’s)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029335" cy="445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3"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Tax Deductibility Under Section 162(m)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w:t>
      </w:r>
      <w:r>
        <w:rPr>
          <w:rFonts w:ascii="Arial" w:cs="Arial" w:eastAsia="Arial" w:hAnsi="Arial"/>
          <w:sz w:val="18"/>
          <w:szCs w:val="18"/>
          <w:color w:val="auto"/>
        </w:rPr>
        <w:t>ection 162(m) prevents publicly traded companies from receiving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on certain compensation paid to the chief executive officer and three other highest-paid executive officers (other than the chief financial officer) in excess of $1,000,000 in any taxable year, unless the compensation qualifies as “performance-based.” The Company’s policy with respect to qualifying compensation paid to its executive officers for tax deductibility purposes is that executive compensation plans will be designed and administered to allow for tax deductibility when consistent with the overall objectives of the compensation program.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Salaries over $1,000,000, perquisites, restricted stock grants and discretionary bonuses do not qualify as performance-based compensation under Section 162(m).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Report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Compensation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 Edward Virtue,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Dr. Ray R. Irani</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-81280</wp:posOffset>
            </wp:positionV>
            <wp:extent cx="91503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150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Summary Compensation Table</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2013, 2012 and 2011.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614A3D"/>
              </w:rPr>
              <w:t>Non-Equity</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614A3D"/>
              </w:rPr>
              <w:t>Name and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614A3D"/>
              </w:rPr>
              <w:t>Stock</w:t>
            </w:r>
          </w:p>
        </w:tc>
        <w:tc>
          <w:tcPr>
            <w:tcW w:w="152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614A3D"/>
              </w:rPr>
              <w:t>Incentive Plan</w:t>
            </w:r>
          </w:p>
        </w:tc>
        <w:tc>
          <w:tcPr>
            <w:tcW w:w="5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614A3D"/>
              </w:rPr>
              <w:t>All Other</w:t>
            </w:r>
          </w:p>
        </w:tc>
        <w:tc>
          <w:tcPr>
            <w:tcW w:w="200" w:type="dxa"/>
            <w:vAlign w:val="bottom"/>
          </w:tcPr>
          <w:p>
            <w:pPr>
              <w:spacing w:after="0"/>
              <w:rPr>
                <w:sz w:val="17"/>
                <w:szCs w:val="17"/>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614A3D"/>
              </w:rPr>
              <w:t>Total</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b w:val="1"/>
                <w:bCs w:val="1"/>
                <w:color w:val="614A3D"/>
              </w:rPr>
              <w:t>Salary</w:t>
            </w:r>
          </w:p>
        </w:tc>
        <w:tc>
          <w:tcPr>
            <w:tcW w:w="106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614A3D"/>
              </w:rPr>
              <w:t>Bonus</w:t>
            </w:r>
          </w:p>
        </w:tc>
        <w:tc>
          <w:tcPr>
            <w:tcW w:w="1140" w:type="dxa"/>
            <w:vAlign w:val="bottom"/>
          </w:tcPr>
          <w:p>
            <w:pPr>
              <w:jc w:val="right"/>
              <w:ind w:right="74"/>
              <w:spacing w:after="0" w:line="189" w:lineRule="exact"/>
              <w:rPr>
                <w:sz w:val="20"/>
                <w:szCs w:val="20"/>
                <w:color w:val="auto"/>
              </w:rPr>
            </w:pPr>
            <w:r>
              <w:rPr>
                <w:rFonts w:ascii="Arial" w:cs="Arial" w:eastAsia="Arial" w:hAnsi="Arial"/>
                <w:sz w:val="18"/>
                <w:szCs w:val="18"/>
                <w:b w:val="1"/>
                <w:bCs w:val="1"/>
                <w:color w:val="614A3D"/>
              </w:rPr>
              <w:t>Awards</w:t>
            </w:r>
          </w:p>
        </w:tc>
        <w:tc>
          <w:tcPr>
            <w:tcW w:w="1520" w:type="dxa"/>
            <w:vAlign w:val="bottom"/>
            <w:gridSpan w:val="2"/>
          </w:tcPr>
          <w:p>
            <w:pPr>
              <w:jc w:val="right"/>
              <w:ind w:right="32"/>
              <w:spacing w:after="0" w:line="189" w:lineRule="exact"/>
              <w:rPr>
                <w:sz w:val="20"/>
                <w:szCs w:val="20"/>
                <w:color w:val="auto"/>
              </w:rPr>
            </w:pPr>
            <w:r>
              <w:rPr>
                <w:rFonts w:ascii="Arial" w:cs="Arial" w:eastAsia="Arial" w:hAnsi="Arial"/>
                <w:sz w:val="18"/>
                <w:szCs w:val="18"/>
                <w:b w:val="1"/>
                <w:bCs w:val="1"/>
                <w:color w:val="614A3D"/>
              </w:rPr>
              <w:t>Compensation</w:t>
            </w:r>
          </w:p>
        </w:tc>
        <w:tc>
          <w:tcPr>
            <w:tcW w:w="14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614A3D"/>
              </w:rPr>
              <w:t>Compensation</w:t>
            </w: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Principal Position</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Year</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c>
          <w:tcPr>
            <w:tcW w:w="1140" w:type="dxa"/>
            <w:vAlign w:val="bottom"/>
            <w:tcBorders>
              <w:bottom w:val="single" w:sz="8" w:color="auto"/>
            </w:tcBorders>
          </w:tcPr>
          <w:p>
            <w:pPr>
              <w:jc w:val="right"/>
              <w:ind w:right="74"/>
              <w:spacing w:after="0" w:line="235" w:lineRule="exact"/>
              <w:rPr>
                <w:sz w:val="20"/>
                <w:szCs w:val="20"/>
                <w:color w:val="auto"/>
              </w:rPr>
            </w:pPr>
            <w:r>
              <w:rPr>
                <w:rFonts w:ascii="Arial" w:cs="Arial" w:eastAsia="Arial" w:hAnsi="Arial"/>
                <w:sz w:val="27"/>
                <w:szCs w:val="27"/>
                <w:b w:val="1"/>
                <w:bCs w:val="1"/>
                <w:color w:val="614A3D"/>
                <w:vertAlign w:val="subscript"/>
              </w:rPr>
              <w:t>($)</w:t>
            </w:r>
            <w:r>
              <w:rPr>
                <w:rFonts w:ascii="Arial" w:cs="Arial" w:eastAsia="Arial" w:hAnsi="Arial"/>
                <w:sz w:val="10"/>
                <w:szCs w:val="10"/>
                <w:b w:val="1"/>
                <w:bCs w:val="1"/>
                <w:color w:val="614A3D"/>
              </w:rPr>
              <w:t xml:space="preserve"> (1)</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27"/>
                <w:szCs w:val="27"/>
                <w:b w:val="1"/>
                <w:bCs w:val="1"/>
                <w:color w:val="614A3D"/>
                <w:vertAlign w:val="subscript"/>
              </w:rPr>
              <w:t>($)</w:t>
            </w:r>
            <w:r>
              <w:rPr>
                <w:rFonts w:ascii="Arial" w:cs="Arial" w:eastAsia="Arial" w:hAnsi="Arial"/>
                <w:sz w:val="10"/>
                <w:szCs w:val="10"/>
                <w:b w:val="1"/>
                <w:bCs w:val="1"/>
                <w:color w:val="614A3D"/>
              </w:rPr>
              <w:t xml:space="preserve"> (2)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0"/>
                <w:szCs w:val="20"/>
                <w:color w:val="auto"/>
              </w:rPr>
            </w:pPr>
            <w:r>
              <w:rPr>
                <w:rFonts w:ascii="Arial" w:cs="Arial" w:eastAsia="Arial" w:hAnsi="Arial"/>
                <w:sz w:val="18"/>
                <w:szCs w:val="18"/>
                <w:b w:val="1"/>
                <w:bCs w:val="1"/>
                <w:color w:val="auto"/>
              </w:rPr>
              <w:t>Stephen A. Wynn</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4,000,000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$4,000,000</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
              <w:spacing w:after="0"/>
              <w:rPr>
                <w:sz w:val="20"/>
                <w:szCs w:val="20"/>
                <w:color w:val="auto"/>
              </w:rPr>
            </w:pPr>
            <w:r>
              <w:rPr>
                <w:rFonts w:ascii="Arial" w:cs="Arial" w:eastAsia="Arial" w:hAnsi="Arial"/>
                <w:sz w:val="18"/>
                <w:szCs w:val="18"/>
                <w:color w:val="auto"/>
              </w:rPr>
              <w:t>$ 10,000,000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1,601,381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19,601,381</w:t>
            </w:r>
          </w:p>
        </w:tc>
        <w:tc>
          <w:tcPr>
            <w:tcW w:w="0" w:type="dxa"/>
            <w:vAlign w:val="bottom"/>
          </w:tcPr>
          <w:p>
            <w:pPr>
              <w:spacing w:after="0"/>
              <w:rPr>
                <w:sz w:val="1"/>
                <w:szCs w:val="1"/>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4"/>
              </w:rPr>
              <w:t>4,000,000</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$2,000,000</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$ 10,000,000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7"/>
              </w:rPr>
              <w:t>1,743,434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17,743,434</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3,878,846</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$2,000,000</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9,062,500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1,533,361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16,474,707</w:t>
            </w:r>
          </w:p>
        </w:tc>
        <w:tc>
          <w:tcPr>
            <w:tcW w:w="0" w:type="dxa"/>
            <w:vAlign w:val="bottom"/>
          </w:tcPr>
          <w:p>
            <w:pPr>
              <w:spacing w:after="0"/>
              <w:rPr>
                <w:sz w:val="1"/>
                <w:szCs w:val="1"/>
                <w:color w:val="auto"/>
              </w:rPr>
            </w:pPr>
          </w:p>
        </w:tc>
      </w:tr>
      <w:tr>
        <w:trPr>
          <w:trHeight w:val="302"/>
        </w:trPr>
        <w:tc>
          <w:tcPr>
            <w:tcW w:w="3080" w:type="dxa"/>
            <w:vAlign w:val="bottom"/>
          </w:tcPr>
          <w:p>
            <w:pPr>
              <w:spacing w:after="0"/>
              <w:rPr>
                <w:sz w:val="20"/>
                <w:szCs w:val="20"/>
                <w:color w:val="auto"/>
              </w:rPr>
            </w:pPr>
            <w:r>
              <w:rPr>
                <w:rFonts w:ascii="Arial" w:cs="Arial" w:eastAsia="Arial" w:hAnsi="Arial"/>
                <w:sz w:val="18"/>
                <w:szCs w:val="18"/>
                <w:b w:val="1"/>
                <w:bCs w:val="1"/>
                <w:color w:val="auto"/>
              </w:rPr>
              <w:t>Matt Maddox</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1,065,385</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$1,635,900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358,009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5,059,294</w:t>
            </w:r>
          </w:p>
        </w:tc>
        <w:tc>
          <w:tcPr>
            <w:tcW w:w="0" w:type="dxa"/>
            <w:vAlign w:val="bottom"/>
          </w:tcPr>
          <w:p>
            <w:pPr>
              <w:spacing w:after="0"/>
              <w:rPr>
                <w:sz w:val="1"/>
                <w:szCs w:val="1"/>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President and Chief</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4"/>
              </w:rPr>
              <w:t>1,000,000</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2,000,000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481,296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3,481,296</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rPr>
                <w:sz w:val="20"/>
                <w:szCs w:val="20"/>
                <w:color w:val="auto"/>
              </w:rPr>
            </w:pPr>
            <w:r>
              <w:rPr>
                <w:rFonts w:ascii="Arial" w:cs="Arial" w:eastAsia="Arial" w:hAnsi="Arial"/>
                <w:sz w:val="18"/>
                <w:szCs w:val="18"/>
                <w:color w:val="auto"/>
              </w:rPr>
              <w:t>Financial Officer</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390,756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3,390,756</w:t>
            </w:r>
          </w:p>
        </w:tc>
        <w:tc>
          <w:tcPr>
            <w:tcW w:w="0" w:type="dxa"/>
            <w:vAlign w:val="bottom"/>
          </w:tcPr>
          <w:p>
            <w:pPr>
              <w:spacing w:after="0"/>
              <w:rPr>
                <w:sz w:val="1"/>
                <w:szCs w:val="1"/>
                <w:color w:val="auto"/>
              </w:rPr>
            </w:pPr>
          </w:p>
        </w:tc>
      </w:tr>
      <w:tr>
        <w:trPr>
          <w:trHeight w:val="302"/>
        </w:trPr>
        <w:tc>
          <w:tcPr>
            <w:tcW w:w="3080" w:type="dxa"/>
            <w:vAlign w:val="bottom"/>
          </w:tcPr>
          <w:p>
            <w:pPr>
              <w:spacing w:after="0"/>
              <w:rPr>
                <w:sz w:val="20"/>
                <w:szCs w:val="20"/>
                <w:color w:val="auto"/>
              </w:rPr>
            </w:pPr>
            <w:r>
              <w:rPr>
                <w:rFonts w:ascii="Arial" w:cs="Arial" w:eastAsia="Arial" w:hAnsi="Arial"/>
                <w:sz w:val="18"/>
                <w:szCs w:val="18"/>
                <w:b w:val="1"/>
                <w:bCs w:val="1"/>
                <w:color w:val="auto"/>
              </w:rPr>
              <w:t>Linda Chen</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892,423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5,392,423</w:t>
            </w:r>
          </w:p>
        </w:tc>
        <w:tc>
          <w:tcPr>
            <w:tcW w:w="0" w:type="dxa"/>
            <w:vAlign w:val="bottom"/>
          </w:tcPr>
          <w:p>
            <w:pPr>
              <w:spacing w:after="0"/>
              <w:rPr>
                <w:sz w:val="1"/>
                <w:szCs w:val="1"/>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President of Wynn</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4"/>
              </w:rPr>
              <w:t>1,500,000</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3,000,000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7"/>
              </w:rPr>
              <w:t>1,173,755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5,673,755</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rPr>
                <w:sz w:val="20"/>
                <w:szCs w:val="20"/>
                <w:color w:val="auto"/>
              </w:rPr>
            </w:pPr>
            <w:r>
              <w:rPr>
                <w:rFonts w:ascii="Arial" w:cs="Arial" w:eastAsia="Arial" w:hAnsi="Arial"/>
                <w:sz w:val="18"/>
                <w:szCs w:val="18"/>
                <w:color w:val="auto"/>
              </w:rPr>
              <w:t>International Marketing</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1,500,000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1,352,926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5,852,926</w:t>
            </w:r>
          </w:p>
        </w:tc>
        <w:tc>
          <w:tcPr>
            <w:tcW w:w="0" w:type="dxa"/>
            <w:vAlign w:val="bottom"/>
          </w:tcPr>
          <w:p>
            <w:pPr>
              <w:spacing w:after="0"/>
              <w:rPr>
                <w:sz w:val="1"/>
                <w:szCs w:val="1"/>
                <w:color w:val="auto"/>
              </w:rPr>
            </w:pPr>
          </w:p>
        </w:tc>
      </w:tr>
      <w:tr>
        <w:trPr>
          <w:trHeight w:val="302"/>
        </w:trPr>
        <w:tc>
          <w:tcPr>
            <w:tcW w:w="3080" w:type="dxa"/>
            <w:vAlign w:val="bottom"/>
          </w:tcPr>
          <w:p>
            <w:pPr>
              <w:spacing w:after="0"/>
              <w:rPr>
                <w:sz w:val="20"/>
                <w:szCs w:val="20"/>
                <w:color w:val="auto"/>
              </w:rPr>
            </w:pPr>
            <w:r>
              <w:rPr>
                <w:rFonts w:ascii="Arial" w:cs="Arial" w:eastAsia="Arial" w:hAnsi="Arial"/>
                <w:sz w:val="18"/>
                <w:szCs w:val="18"/>
                <w:b w:val="1"/>
                <w:bCs w:val="1"/>
                <w:color w:val="auto"/>
              </w:rPr>
              <w:t>Kim Sinatra</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180,881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2,580,881</w:t>
            </w:r>
          </w:p>
        </w:tc>
        <w:tc>
          <w:tcPr>
            <w:tcW w:w="0" w:type="dxa"/>
            <w:vAlign w:val="bottom"/>
          </w:tcPr>
          <w:p>
            <w:pPr>
              <w:spacing w:after="0"/>
              <w:rPr>
                <w:sz w:val="1"/>
                <w:szCs w:val="1"/>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General Counsel and</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671,346</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1,300,000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241,352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2,212,698</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647,920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189,156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2,137,076</w:t>
            </w:r>
          </w:p>
        </w:tc>
        <w:tc>
          <w:tcPr>
            <w:tcW w:w="0" w:type="dxa"/>
            <w:vAlign w:val="bottom"/>
          </w:tcPr>
          <w:p>
            <w:pPr>
              <w:spacing w:after="0"/>
              <w:rPr>
                <w:sz w:val="1"/>
                <w:szCs w:val="1"/>
                <w:color w:val="auto"/>
              </w:rPr>
            </w:pPr>
          </w:p>
        </w:tc>
      </w:tr>
      <w:tr>
        <w:trPr>
          <w:trHeight w:val="302"/>
        </w:trPr>
        <w:tc>
          <w:tcPr>
            <w:tcW w:w="3080" w:type="dxa"/>
            <w:vAlign w:val="bottom"/>
          </w:tcPr>
          <w:p>
            <w:pPr>
              <w:spacing w:after="0"/>
              <w:rPr>
                <w:sz w:val="20"/>
                <w:szCs w:val="20"/>
                <w:color w:val="auto"/>
              </w:rPr>
            </w:pPr>
            <w:r>
              <w:rPr>
                <w:rFonts w:ascii="Arial" w:cs="Arial" w:eastAsia="Arial" w:hAnsi="Arial"/>
                <w:sz w:val="18"/>
                <w:szCs w:val="18"/>
                <w:b w:val="1"/>
                <w:bCs w:val="1"/>
                <w:color w:val="auto"/>
              </w:rPr>
              <w:t>John Strzemp</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733,461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$2,888,250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155,412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5,277,123</w:t>
            </w:r>
          </w:p>
        </w:tc>
        <w:tc>
          <w:tcPr>
            <w:tcW w:w="0" w:type="dxa"/>
            <w:vAlign w:val="bottom"/>
          </w:tcPr>
          <w:p>
            <w:pPr>
              <w:spacing w:after="0"/>
              <w:rPr>
                <w:sz w:val="1"/>
                <w:szCs w:val="1"/>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Executive Vice President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650,000</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1,300,000</w:t>
            </w:r>
          </w:p>
        </w:tc>
        <w:tc>
          <w:tcPr>
            <w:tcW w:w="5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rPr>
                <w:sz w:val="20"/>
                <w:szCs w:val="20"/>
                <w:color w:val="auto"/>
              </w:rPr>
            </w:pPr>
            <w:r>
              <w:rPr>
                <w:rFonts w:ascii="Arial" w:cs="Arial" w:eastAsia="Arial" w:hAnsi="Arial"/>
                <w:sz w:val="18"/>
                <w:szCs w:val="18"/>
                <w:color w:val="auto"/>
              </w:rPr>
              <w:t>and Chief Administrative Officer</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1,300,000</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1,950,000</w:t>
            </w:r>
          </w:p>
        </w:tc>
        <w:tc>
          <w:tcPr>
            <w:tcW w:w="0" w:type="dxa"/>
            <w:vAlign w:val="bottom"/>
          </w:tcPr>
          <w:p>
            <w:pPr>
              <w:spacing w:after="0"/>
              <w:rPr>
                <w:sz w:val="1"/>
                <w:szCs w:val="1"/>
                <w:color w:val="auto"/>
              </w:rPr>
            </w:pPr>
          </w:p>
        </w:tc>
      </w:tr>
      <w:tr>
        <w:trPr>
          <w:trHeight w:val="302"/>
        </w:trPr>
        <w:tc>
          <w:tcPr>
            <w:tcW w:w="3080" w:type="dxa"/>
            <w:vAlign w:val="bottom"/>
          </w:tcPr>
          <w:p>
            <w:pPr>
              <w:spacing w:after="0"/>
              <w:rPr>
                <w:sz w:val="20"/>
                <w:szCs w:val="20"/>
                <w:color w:val="auto"/>
              </w:rPr>
            </w:pPr>
            <w:r>
              <w:rPr>
                <w:rFonts w:ascii="Arial" w:cs="Arial" w:eastAsia="Arial" w:hAnsi="Arial"/>
                <w:sz w:val="18"/>
                <w:szCs w:val="18"/>
                <w:b w:val="1"/>
                <w:bCs w:val="1"/>
                <w:color w:val="auto"/>
              </w:rPr>
              <w:t xml:space="preserve">Marc Schorr </w:t>
            </w:r>
            <w:r>
              <w:rPr>
                <w:rFonts w:ascii="Arial" w:cs="Arial" w:eastAsia="Arial" w:hAnsi="Arial"/>
                <w:sz w:val="11"/>
                <w:szCs w:val="11"/>
                <w:b w:val="1"/>
                <w:bCs w:val="1"/>
                <w:color w:val="auto"/>
              </w:rPr>
              <w:t>(3)</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943,461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$7,602,160</w:t>
            </w:r>
          </w:p>
        </w:tc>
        <w:tc>
          <w:tcPr>
            <w:tcW w:w="5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768,099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9,313,720</w:t>
            </w:r>
          </w:p>
        </w:tc>
        <w:tc>
          <w:tcPr>
            <w:tcW w:w="0" w:type="dxa"/>
            <w:vAlign w:val="bottom"/>
          </w:tcPr>
          <w:p>
            <w:pPr>
              <w:spacing w:after="0"/>
              <w:rPr>
                <w:sz w:val="1"/>
                <w:szCs w:val="1"/>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Former Chief Operating</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4"/>
              </w:rPr>
              <w:t>2,000,000</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4,000,000</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7"/>
              </w:rPr>
              <w:t>2,868,489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8,868,489</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rPr>
                <w:sz w:val="20"/>
                <w:szCs w:val="20"/>
                <w:color w:val="auto"/>
              </w:rPr>
            </w:pPr>
            <w:r>
              <w:rPr>
                <w:rFonts w:ascii="Arial" w:cs="Arial" w:eastAsia="Arial" w:hAnsi="Arial"/>
                <w:sz w:val="18"/>
                <w:szCs w:val="18"/>
                <w:color w:val="auto"/>
              </w:rPr>
              <w:t>Officer</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4,000,000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2,117,573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8,117,573</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2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granted in the specified year, computed in accordance with accounting standards for stock based compensation. See our Annual Report on Form 10-K for the year ended December 31, 2013, Item 8, Note 14—“Benefit Plans”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98" w:lineRule="auto"/>
        <w:tabs>
          <w:tab w:leader="none" w:pos="340" w:val="left"/>
        </w:tabs>
        <w:numPr>
          <w:ilvl w:val="0"/>
          <w:numId w:val="2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For executives other than Mr. Wynn, amounts reported as “All Other Compensation” for 2013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the Company did not regularly pay dividends at that time. These dividend amounts are payable to the executive only if and to the extent the restricted stock vests and is not forfeited.</w:t>
      </w:r>
    </w:p>
    <w:p>
      <w:pPr>
        <w:spacing w:after="0" w:line="27" w:lineRule="exact"/>
        <w:rPr>
          <w:rFonts w:ascii="Arial" w:cs="Arial" w:eastAsia="Arial" w:hAnsi="Arial"/>
          <w:sz w:val="22"/>
          <w:szCs w:val="22"/>
          <w:i w:val="1"/>
          <w:iCs w:val="1"/>
          <w:color w:val="auto"/>
          <w:vertAlign w:val="superscript"/>
        </w:rPr>
      </w:pPr>
    </w:p>
    <w:p>
      <w:pPr>
        <w:ind w:left="340"/>
        <w:spacing w:after="0"/>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following amounts for 2013 are included in “All Other Compensation” for Mr. Wynn:</w:t>
      </w:r>
    </w:p>
    <w:p>
      <w:pPr>
        <w:spacing w:after="0" w:line="1" w:lineRule="exact"/>
        <w:rPr>
          <w:rFonts w:ascii="Arial" w:cs="Arial" w:eastAsia="Arial" w:hAnsi="Arial"/>
          <w:sz w:val="22"/>
          <w:szCs w:val="22"/>
          <w:i w:val="1"/>
          <w:iCs w:val="1"/>
          <w:color w:val="auto"/>
          <w:vertAlign w:val="superscript"/>
        </w:rPr>
      </w:pPr>
    </w:p>
    <w:p>
      <w:pPr>
        <w:ind w:left="800" w:hanging="454"/>
        <w:spacing w:after="0" w:line="221" w:lineRule="auto"/>
        <w:tabs>
          <w:tab w:leader="none" w:pos="800" w:val="left"/>
        </w:tabs>
        <w:numPr>
          <w:ilvl w:val="1"/>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$927,829 (Mr. Wynn receives no tax gross ups relating to the value of aircraft usage that is imputed to him as compensation);</w:t>
      </w:r>
    </w:p>
    <w:p>
      <w:pPr>
        <w:jc w:val="both"/>
        <w:ind w:left="800" w:hanging="454"/>
        <w:spacing w:after="0" w:line="258" w:lineRule="auto"/>
        <w:tabs>
          <w:tab w:leader="none" w:pos="800" w:val="left"/>
        </w:tabs>
        <w:numPr>
          <w:ilvl w:val="1"/>
          <w:numId w:val="27"/>
        </w:numPr>
        <w:rPr>
          <w:rFonts w:ascii="Arial" w:cs="Arial" w:eastAsia="Arial" w:hAnsi="Arial"/>
          <w:sz w:val="12"/>
          <w:szCs w:val="12"/>
          <w:i w:val="1"/>
          <w:iCs w:val="1"/>
          <w:color w:val="auto"/>
        </w:rPr>
      </w:pPr>
      <w:r>
        <w:rPr>
          <w:rFonts w:ascii="Arial" w:cs="Arial" w:eastAsia="Arial" w:hAnsi="Arial"/>
          <w:sz w:val="12"/>
          <w:szCs w:val="12"/>
          <w:i w:val="1"/>
          <w:iCs w:val="1"/>
          <w:color w:val="auto"/>
        </w:rPr>
        <w:t>fair market value of a Company-provided villa through November 5, 2013, under the 2013 Amended and Restated Agreement of Lease between Mr. Wynn and Wynn Las Vegas, LLC dated May 7, 2013, in the amount of $453,818, reflecting pro-rated annual lease value of $525,000 per year based on the current fair market value as established by the Audit Committee of the Company with the assistance of an independent third-party appraisal (commencing as of November 5, 2013, Mr. Wynn pays Wynn Las Vegas annual rent for the villa of $525,000 pursuant to the Second Amended and Restated Agreement of Lease between Mr. Wynn and Wynn Las Vegas, LLC dated November 5, 2013);</w:t>
      </w:r>
    </w:p>
    <w:p>
      <w:pPr>
        <w:ind w:left="800" w:hanging="454"/>
        <w:spacing w:after="0" w:line="221" w:lineRule="auto"/>
        <w:tabs>
          <w:tab w:leader="none" w:pos="800" w:val="left"/>
        </w:tabs>
        <w:numPr>
          <w:ilvl w:val="1"/>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$33,293;</w:t>
      </w:r>
    </w:p>
    <w:p>
      <w:pPr>
        <w:ind w:left="800" w:hanging="454"/>
        <w:spacing w:after="0" w:line="221" w:lineRule="auto"/>
        <w:tabs>
          <w:tab w:leader="none" w:pos="800" w:val="left"/>
        </w:tabs>
        <w:numPr>
          <w:ilvl w:val="1"/>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allocated compensation and benefits for the personal use of a driver whom we employ for Mr. Wynn and the personal use of vehicles of $130,245; and</w:t>
      </w:r>
    </w:p>
    <w:p>
      <w:pPr>
        <w:ind w:left="800" w:hanging="454"/>
        <w:spacing w:after="0"/>
        <w:tabs>
          <w:tab w:leader="none" w:pos="800" w:val="left"/>
        </w:tabs>
        <w:numPr>
          <w:ilvl w:val="1"/>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$56,196.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-1576070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2013 are included in “All Other Compensation” for Mr. Maddox:</w:t>
      </w:r>
    </w:p>
    <w:p>
      <w:pPr>
        <w:ind w:left="800" w:hanging="454"/>
        <w:spacing w:after="0" w:line="223"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$1,009;</w:t>
      </w:r>
    </w:p>
    <w:p>
      <w:pPr>
        <w:ind w:left="800" w:hanging="454"/>
        <w:spacing w:after="0" w:line="221" w:lineRule="auto"/>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$7,000; and</w:t>
      </w:r>
    </w:p>
    <w:p>
      <w:pPr>
        <w:ind w:left="800" w:hanging="454"/>
        <w:spacing w:after="0"/>
        <w:tabs>
          <w:tab w:leader="none" w:pos="80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related to unvested restricted stock of $350,000.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2013 are included in “All Other Compensation” for Ms. Chen:</w:t>
      </w:r>
    </w:p>
    <w:p>
      <w:pPr>
        <w:ind w:left="800" w:hanging="454"/>
        <w:spacing w:after="0" w:line="223" w:lineRule="auto"/>
        <w:tabs>
          <w:tab w:leader="none" w:pos="8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housing and other living expenses in Macau of $190,488;</w:t>
      </w:r>
    </w:p>
    <w:p>
      <w:pPr>
        <w:ind w:left="800" w:hanging="454"/>
        <w:spacing w:after="0" w:line="221" w:lineRule="auto"/>
        <w:tabs>
          <w:tab w:leader="none" w:pos="8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$1,935; and</w:t>
      </w:r>
    </w:p>
    <w:p>
      <w:pPr>
        <w:ind w:left="800" w:hanging="454"/>
        <w:spacing w:after="0"/>
        <w:tabs>
          <w:tab w:leader="none" w:pos="80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2013 are included in “All Other Compensation” for Ms. Sinatra:</w:t>
      </w:r>
    </w:p>
    <w:p>
      <w:pPr>
        <w:ind w:left="800" w:hanging="454"/>
        <w:spacing w:after="0" w:line="223" w:lineRule="auto"/>
        <w:tabs>
          <w:tab w:leader="none" w:pos="80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$5,881; and</w:t>
      </w:r>
    </w:p>
    <w:p>
      <w:pPr>
        <w:ind w:left="800" w:hanging="454"/>
        <w:spacing w:after="0"/>
        <w:tabs>
          <w:tab w:leader="none" w:pos="80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$175,000.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2013 are included in “All Other Compensation” for Mr. Strzemp:</w:t>
      </w:r>
    </w:p>
    <w:p>
      <w:pPr>
        <w:ind w:left="800" w:hanging="454"/>
        <w:spacing w:after="0" w:line="223" w:lineRule="auto"/>
        <w:tabs>
          <w:tab w:leader="none" w:pos="80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$5,412; and</w:t>
      </w:r>
    </w:p>
    <w:p>
      <w:pPr>
        <w:ind w:left="800" w:hanging="454"/>
        <w:spacing w:after="0"/>
        <w:tabs>
          <w:tab w:leader="none" w:pos="80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$150,000.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2013 are included in “All Other Compensation” for Mr. Schorr:</w:t>
      </w:r>
    </w:p>
    <w:p>
      <w:pPr>
        <w:ind w:left="800" w:hanging="454"/>
        <w:spacing w:after="0" w:line="223" w:lineRule="auto"/>
        <w:tabs>
          <w:tab w:leader="none" w:pos="80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$117,561 (Mr. Schorr received no tax gross ups relating to the value of aircraft usage that is imputed to him as compensation.);</w:t>
      </w:r>
    </w:p>
    <w:p>
      <w:pPr>
        <w:ind w:left="800" w:hanging="454"/>
        <w:spacing w:after="0" w:line="221" w:lineRule="auto"/>
        <w:tabs>
          <w:tab w:leader="none" w:pos="80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$11,015;</w:t>
      </w:r>
    </w:p>
    <w:p>
      <w:pPr>
        <w:ind w:left="800" w:hanging="454"/>
        <w:spacing w:after="0" w:line="221" w:lineRule="auto"/>
        <w:tabs>
          <w:tab w:leader="none" w:pos="80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$27,985;</w:t>
      </w:r>
    </w:p>
    <w:p>
      <w:pPr>
        <w:ind w:left="800" w:hanging="454"/>
        <w:spacing w:after="0" w:line="221" w:lineRule="auto"/>
        <w:tabs>
          <w:tab w:leader="none" w:pos="80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vacation payout of $161,538; and</w:t>
      </w:r>
    </w:p>
    <w:p>
      <w:pPr>
        <w:ind w:left="800" w:hanging="454"/>
        <w:spacing w:after="0"/>
        <w:tabs>
          <w:tab w:leader="none" w:pos="80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$450,000.</w:t>
      </w:r>
    </w:p>
    <w:p>
      <w:pPr>
        <w:spacing w:after="0" w:line="28" w:lineRule="exact"/>
        <w:rPr>
          <w:sz w:val="20"/>
          <w:szCs w:val="20"/>
          <w:color w:val="auto"/>
        </w:rPr>
      </w:pPr>
    </w:p>
    <w:p>
      <w:pPr>
        <w:ind w:left="340" w:right="20"/>
        <w:spacing w:after="0" w:line="216" w:lineRule="auto"/>
        <w:rPr>
          <w:sz w:val="20"/>
          <w:szCs w:val="20"/>
          <w:color w:val="auto"/>
        </w:rPr>
      </w:pPr>
      <w:r>
        <w:rPr>
          <w:rFonts w:ascii="Arial" w:cs="Arial" w:eastAsia="Arial" w:hAnsi="Arial"/>
          <w:sz w:val="14"/>
          <w:szCs w:val="14"/>
          <w:i w:val="1"/>
          <w:iCs w:val="1"/>
          <w:color w:val="auto"/>
        </w:rPr>
        <w:t>For amounts shown as personal use of Wynn Resorts’ aircraft, incremental aircraft expenses were calculated by dividing the 2013 total direct (variable) flight expenses (consisting primarily of fuel, maintenance and landing fees) by the total hours the aircraft was operated during the year. The executives’ hourly usage was multiplied by this annual hourly rate.</w:t>
      </w:r>
    </w:p>
    <w:p>
      <w:pPr>
        <w:spacing w:after="0" w:line="7" w:lineRule="exact"/>
        <w:rPr>
          <w:sz w:val="20"/>
          <w:szCs w:val="20"/>
          <w:color w:val="auto"/>
        </w:rPr>
      </w:pPr>
    </w:p>
    <w:p>
      <w:pPr>
        <w:jc w:val="both"/>
        <w:ind w:left="340" w:hanging="332"/>
        <w:spacing w:after="0" w:line="197" w:lineRule="auto"/>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Schorr retired from the Company effective June 1, 2013. In connection with his retirement, the Company accelerated vesting of stock awards previously granted to Mr. Schorr in 2008. As a result of the acceleration of these stock awards, the Company computed fair value on the date of the modification in accordance with accounting standards for stock-based compensation. The amount for 2013 included in “Stock Awards” reflects the incremental fair value of these stock awards not presented in the grant date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Discussion of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2013, each of the NEOs received base salary in accordance with the terms of his or her employment agreement, as approved by the</w:t>
      </w: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3640" w:type="dxa"/>
            <w:vAlign w:val="bottom"/>
          </w:tcPr>
          <w:p>
            <w:pPr>
              <w:jc w:val="right"/>
              <w:ind w:right="272"/>
              <w:spacing w:after="0"/>
              <w:rPr>
                <w:sz w:val="20"/>
                <w:szCs w:val="20"/>
                <w:color w:val="auto"/>
              </w:rPr>
            </w:pPr>
            <w:r>
              <w:rPr>
                <w:rFonts w:ascii="Arial" w:cs="Arial" w:eastAsia="Arial" w:hAnsi="Arial"/>
                <w:sz w:val="18"/>
                <w:szCs w:val="18"/>
                <w:b w:val="1"/>
                <w:bCs w:val="1"/>
                <w:color w:val="614A3D"/>
              </w:rPr>
              <w:t>Contract</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1"/>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3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Expiration</w:t>
            </w: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Base Salary</w:t>
            </w:r>
          </w:p>
        </w:tc>
      </w:tr>
      <w:tr>
        <w:trPr>
          <w:trHeight w:val="253"/>
        </w:trPr>
        <w:tc>
          <w:tcPr>
            <w:tcW w:w="4480" w:type="dxa"/>
            <w:vAlign w:val="bottom"/>
          </w:tcPr>
          <w:p>
            <w:pPr>
              <w:spacing w:after="0"/>
              <w:rPr>
                <w:sz w:val="20"/>
                <w:szCs w:val="20"/>
                <w:color w:val="auto"/>
              </w:rPr>
            </w:pPr>
            <w:r>
              <w:rPr>
                <w:rFonts w:ascii="Arial" w:cs="Arial" w:eastAsia="Arial" w:hAnsi="Arial"/>
                <w:sz w:val="18"/>
                <w:szCs w:val="18"/>
                <w:color w:val="auto"/>
              </w:rPr>
              <w:t>Mr. Wynn</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10/24/20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4,000,000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Mr. Maddox</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12/31/16</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Ms. Chen</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2/24/20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1,500,000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Ms. Sinatra</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5/5/14</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Mr. Strzemp</w:t>
            </w:r>
          </w:p>
        </w:tc>
        <w:tc>
          <w:tcPr>
            <w:tcW w:w="3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3/31/17</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750,000</w:t>
            </w:r>
          </w:p>
        </w:tc>
      </w:tr>
      <w:tr>
        <w:trPr>
          <w:trHeight w:val="211"/>
        </w:trPr>
        <w:tc>
          <w:tcPr>
            <w:tcW w:w="4480" w:type="dxa"/>
            <w:vAlign w:val="bottom"/>
          </w:tcPr>
          <w:p>
            <w:pPr>
              <w:spacing w:after="0"/>
              <w:rPr>
                <w:sz w:val="20"/>
                <w:szCs w:val="20"/>
                <w:color w:val="auto"/>
              </w:rPr>
            </w:pPr>
            <w:r>
              <w:rPr>
                <w:rFonts w:ascii="Arial" w:cs="Arial" w:eastAsia="Arial" w:hAnsi="Arial"/>
                <w:sz w:val="18"/>
                <w:szCs w:val="18"/>
                <w:color w:val="auto"/>
              </w:rPr>
              <w:t xml:space="preserve">Mr. Schorr </w:t>
            </w:r>
            <w:r>
              <w:rPr>
                <w:rFonts w:ascii="Arial" w:cs="Arial" w:eastAsia="Arial" w:hAnsi="Arial"/>
                <w:sz w:val="11"/>
                <w:szCs w:val="11"/>
                <w:color w:val="auto"/>
              </w:rPr>
              <w:t>(1)</w:t>
            </w:r>
          </w:p>
        </w:tc>
        <w:tc>
          <w:tcPr>
            <w:tcW w:w="3640" w:type="dxa"/>
            <w:vAlign w:val="bottom"/>
          </w:tcPr>
          <w:p>
            <w:pPr>
              <w:jc w:val="right"/>
              <w:ind w:right="272"/>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2,100,000</w:t>
            </w:r>
          </w:p>
        </w:tc>
      </w:tr>
    </w:tbl>
    <w:p>
      <w:pPr>
        <w:spacing w:after="0" w:line="46" w:lineRule="exact"/>
        <w:rPr>
          <w:sz w:val="20"/>
          <w:szCs w:val="20"/>
          <w:color w:val="auto"/>
        </w:rPr>
      </w:pPr>
    </w:p>
    <w:p>
      <w:pPr>
        <w:ind w:left="1360" w:hanging="447"/>
        <w:spacing w:after="0"/>
        <w:tabs>
          <w:tab w:leader="none" w:pos="1360" w:val="left"/>
        </w:tabs>
        <w:numPr>
          <w:ilvl w:val="0"/>
          <w:numId w:val="3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Schorr retired from the Company effective June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-127635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Grants of Plan-Based Awards Table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Incentive Plan rewards management for creation of superior return to stockholders, measured by the operating performance of our resorts. The amounts shown in the table below reflect possible payments based upon salaries in effect during the first quarter of 2013, when the performance criteria were established. Actual payouts were based upon achievement of the 2013 performance criteria of adjusted property EBITDA at the Company’s Wynn Las Vegas and Wynn Macau resorts which resulted in the payment of maximum bonuses under the Incentive Plan to all NEOs.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614A3D"/>
              </w:rPr>
              <w:t>Estimated Future Payouts</w:t>
            </w:r>
          </w:p>
        </w:tc>
        <w:tc>
          <w:tcPr>
            <w:tcW w:w="2840" w:type="dxa"/>
            <w:vAlign w:val="bottom"/>
          </w:tcPr>
          <w:p>
            <w:pPr>
              <w:jc w:val="right"/>
              <w:ind w:right="352"/>
              <w:spacing w:after="0"/>
              <w:rPr>
                <w:sz w:val="20"/>
                <w:szCs w:val="20"/>
                <w:color w:val="auto"/>
              </w:rPr>
            </w:pPr>
            <w:r>
              <w:rPr>
                <w:rFonts w:ascii="Arial" w:cs="Arial" w:eastAsia="Arial" w:hAnsi="Arial"/>
                <w:sz w:val="18"/>
                <w:szCs w:val="18"/>
                <w:b w:val="1"/>
                <w:bCs w:val="1"/>
                <w:color w:val="614A3D"/>
              </w:rPr>
              <w:t>All Other Stock Awards:</w:t>
            </w:r>
          </w:p>
        </w:tc>
        <w:tc>
          <w:tcPr>
            <w:tcW w:w="2540" w:type="dxa"/>
            <w:vAlign w:val="bottom"/>
          </w:tcPr>
          <w:p>
            <w:pPr>
              <w:jc w:val="right"/>
              <w:ind w:right="12"/>
              <w:spacing w:after="0"/>
              <w:rPr>
                <w:sz w:val="20"/>
                <w:szCs w:val="20"/>
                <w:color w:val="auto"/>
              </w:rPr>
            </w:pPr>
            <w:r>
              <w:rPr>
                <w:rFonts w:ascii="Arial" w:cs="Arial" w:eastAsia="Arial" w:hAnsi="Arial"/>
                <w:sz w:val="18"/>
                <w:szCs w:val="18"/>
                <w:b w:val="1"/>
                <w:bCs w:val="1"/>
                <w:color w:val="614A3D"/>
              </w:rPr>
              <w:t>Grant Date Fair Value of</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0" w:type="dxa"/>
            <w:vAlign w:val="bottom"/>
            <w:gridSpan w:val="2"/>
          </w:tcPr>
          <w:p>
            <w:pPr>
              <w:jc w:val="right"/>
              <w:ind w:right="292"/>
              <w:spacing w:after="0" w:line="202" w:lineRule="exact"/>
              <w:rPr>
                <w:sz w:val="20"/>
                <w:szCs w:val="20"/>
                <w:color w:val="auto"/>
              </w:rPr>
            </w:pPr>
            <w:r>
              <w:rPr>
                <w:rFonts w:ascii="Arial" w:cs="Arial" w:eastAsia="Arial" w:hAnsi="Arial"/>
                <w:sz w:val="18"/>
                <w:szCs w:val="18"/>
                <w:b w:val="1"/>
                <w:bCs w:val="1"/>
                <w:color w:val="614A3D"/>
              </w:rPr>
              <w:t>Under Non-Equity</w:t>
            </w:r>
          </w:p>
        </w:tc>
        <w:tc>
          <w:tcPr>
            <w:tcW w:w="284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614A3D"/>
              </w:rPr>
              <w:t>Number of Shares of</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Stock and Option Awards</w:t>
            </w:r>
          </w:p>
        </w:tc>
        <w:tc>
          <w:tcPr>
            <w:tcW w:w="0" w:type="dxa"/>
            <w:vAlign w:val="bottom"/>
          </w:tcPr>
          <w:p>
            <w:pPr>
              <w:spacing w:after="0"/>
              <w:rPr>
                <w:sz w:val="1"/>
                <w:szCs w:val="1"/>
                <w:color w:val="auto"/>
              </w:rPr>
            </w:pPr>
          </w:p>
        </w:tc>
      </w:tr>
      <w:tr>
        <w:trPr>
          <w:trHeight w:val="221"/>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w:t>
            </w:r>
          </w:p>
        </w:tc>
        <w:tc>
          <w:tcPr>
            <w:tcW w:w="1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614A3D"/>
              </w:rPr>
              <w:t>Grant Date</w:t>
            </w:r>
          </w:p>
        </w:tc>
        <w:tc>
          <w:tcPr>
            <w:tcW w:w="280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8"/>
                <w:szCs w:val="18"/>
                <w:b w:val="1"/>
                <w:bCs w:val="1"/>
                <w:color w:val="614A3D"/>
                <w:w w:val="97"/>
              </w:rPr>
              <w:t>Incentive Plan Awards</w:t>
            </w:r>
          </w:p>
        </w:tc>
        <w:tc>
          <w:tcPr>
            <w:tcW w:w="2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614A3D"/>
              </w:rPr>
              <w:t>Stock or Units (#)</w:t>
            </w:r>
          </w:p>
        </w:tc>
        <w:tc>
          <w:tcPr>
            <w:tcW w:w="2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(2)</w:t>
            </w:r>
          </w:p>
        </w:tc>
        <w:tc>
          <w:tcPr>
            <w:tcW w:w="0" w:type="dxa"/>
            <w:vAlign w:val="bottom"/>
          </w:tcPr>
          <w:p>
            <w:pPr>
              <w:spacing w:after="0"/>
              <w:rPr>
                <w:sz w:val="1"/>
                <w:szCs w:val="1"/>
                <w:color w:val="auto"/>
              </w:rPr>
            </w:pPr>
          </w:p>
        </w:tc>
      </w:tr>
      <w:tr>
        <w:trPr>
          <w:trHeight w:val="177"/>
        </w:trPr>
        <w:tc>
          <w:tcPr>
            <w:tcW w:w="164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2800" w:type="dxa"/>
            <w:vAlign w:val="bottom"/>
            <w:gridSpan w:val="2"/>
          </w:tcPr>
          <w:p>
            <w:pPr>
              <w:jc w:val="center"/>
              <w:ind w:right="252"/>
              <w:spacing w:after="0" w:line="177" w:lineRule="exact"/>
              <w:rPr>
                <w:sz w:val="20"/>
                <w:szCs w:val="20"/>
                <w:color w:val="auto"/>
              </w:rPr>
            </w:pPr>
            <w:r>
              <w:rPr>
                <w:rFonts w:ascii="Arial" w:cs="Arial" w:eastAsia="Arial" w:hAnsi="Arial"/>
                <w:sz w:val="18"/>
                <w:szCs w:val="18"/>
                <w:b w:val="1"/>
                <w:bCs w:val="1"/>
                <w:color w:val="614A3D"/>
                <w:w w:val="96"/>
              </w:rPr>
              <w:t>Target/Maximum</w:t>
            </w:r>
          </w:p>
        </w:tc>
        <w:tc>
          <w:tcPr>
            <w:tcW w:w="28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Officer</w:t>
            </w:r>
          </w:p>
        </w:tc>
        <w:tc>
          <w:tcPr>
            <w:tcW w:w="1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w:t>
            </w:r>
          </w:p>
        </w:tc>
        <w:tc>
          <w:tcPr>
            <w:tcW w:w="1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640" w:type="dxa"/>
            <w:vAlign w:val="bottom"/>
          </w:tcPr>
          <w:p>
            <w:pPr>
              <w:spacing w:after="0"/>
              <w:rPr>
                <w:sz w:val="20"/>
                <w:szCs w:val="20"/>
                <w:color w:val="auto"/>
              </w:rPr>
            </w:pPr>
            <w:r>
              <w:rPr>
                <w:rFonts w:ascii="Arial" w:cs="Arial" w:eastAsia="Arial" w:hAnsi="Arial"/>
                <w:sz w:val="18"/>
                <w:szCs w:val="18"/>
                <w:color w:val="auto"/>
              </w:rPr>
              <w:t>Mr. Wynn</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N/A</w:t>
            </w:r>
          </w:p>
        </w:tc>
        <w:tc>
          <w:tcPr>
            <w:tcW w:w="1520" w:type="dxa"/>
            <w:vAlign w:val="bottom"/>
          </w:tcPr>
          <w:p>
            <w:pPr>
              <w:jc w:val="center"/>
              <w:ind w:left="13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w w:val="97"/>
              </w:rPr>
              <w:t>10,000,000</w:t>
            </w:r>
          </w:p>
        </w:tc>
        <w:tc>
          <w:tcPr>
            <w:tcW w:w="2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 xml:space="preserve">Mr. Maddox </w:t>
            </w:r>
            <w:r>
              <w:rPr>
                <w:rFonts w:ascii="Arial" w:cs="Arial" w:eastAsia="Arial" w:hAnsi="Arial"/>
                <w:sz w:val="11"/>
                <w:szCs w:val="11"/>
                <w:color w:val="auto"/>
              </w:rPr>
              <w:t>(3)</w:t>
            </w: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center"/>
              <w:ind w:left="1332"/>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2,000,000</w:t>
            </w:r>
          </w:p>
        </w:tc>
        <w:tc>
          <w:tcPr>
            <w:tcW w:w="28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11/18/2013</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(3)</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$1,635,900</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Ms. Chen</w:t>
            </w: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center"/>
              <w:ind w:left="1332"/>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3,000,000</w:t>
            </w:r>
          </w:p>
        </w:tc>
        <w:tc>
          <w:tcPr>
            <w:tcW w:w="28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Ms. Sinatra</w:t>
            </w: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center"/>
              <w:ind w:left="1332"/>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1,600,000</w:t>
            </w:r>
          </w:p>
        </w:tc>
        <w:tc>
          <w:tcPr>
            <w:tcW w:w="28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line="202" w:lineRule="exact"/>
              <w:rPr>
                <w:sz w:val="20"/>
                <w:szCs w:val="20"/>
                <w:color w:val="auto"/>
              </w:rPr>
            </w:pPr>
            <w:r>
              <w:rPr>
                <w:rFonts w:ascii="Arial" w:cs="Arial" w:eastAsia="Arial" w:hAnsi="Arial"/>
                <w:sz w:val="18"/>
                <w:szCs w:val="18"/>
                <w:color w:val="auto"/>
              </w:rPr>
              <w:t xml:space="preserve">Mr. Strzemp </w:t>
            </w:r>
            <w:r>
              <w:rPr>
                <w:rFonts w:ascii="Arial" w:cs="Arial" w:eastAsia="Arial" w:hAnsi="Arial"/>
                <w:sz w:val="11"/>
                <w:szCs w:val="11"/>
                <w:color w:val="auto"/>
              </w:rPr>
              <w:t>(4)</w:t>
            </w: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jc w:val="center"/>
              <w:ind w:left="1332"/>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1,500,000</w:t>
            </w:r>
          </w:p>
        </w:tc>
        <w:tc>
          <w:tcPr>
            <w:tcW w:w="28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6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2/22/2013</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(4)</w:t>
            </w:r>
          </w:p>
        </w:tc>
        <w:tc>
          <w:tcPr>
            <w:tcW w:w="2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$2,888,250</w:t>
            </w:r>
          </w:p>
        </w:tc>
        <w:tc>
          <w:tcPr>
            <w:tcW w:w="0" w:type="dxa"/>
            <w:vAlign w:val="bottom"/>
          </w:tcPr>
          <w:p>
            <w:pPr>
              <w:spacing w:after="0"/>
              <w:rPr>
                <w:sz w:val="1"/>
                <w:szCs w:val="1"/>
                <w:color w:val="auto"/>
              </w:rPr>
            </w:pPr>
          </w:p>
        </w:tc>
      </w:tr>
      <w:tr>
        <w:trPr>
          <w:trHeight w:val="211"/>
        </w:trPr>
        <w:tc>
          <w:tcPr>
            <w:tcW w:w="1640" w:type="dxa"/>
            <w:vAlign w:val="bottom"/>
          </w:tcPr>
          <w:p>
            <w:pPr>
              <w:spacing w:after="0"/>
              <w:rPr>
                <w:sz w:val="20"/>
                <w:szCs w:val="20"/>
                <w:color w:val="auto"/>
              </w:rPr>
            </w:pPr>
            <w:r>
              <w:rPr>
                <w:rFonts w:ascii="Arial" w:cs="Arial" w:eastAsia="Arial" w:hAnsi="Arial"/>
                <w:sz w:val="18"/>
                <w:szCs w:val="18"/>
                <w:color w:val="auto"/>
              </w:rPr>
              <w:t xml:space="preserve">Mr. Schorr </w:t>
            </w:r>
            <w:r>
              <w:rPr>
                <w:rFonts w:ascii="Arial" w:cs="Arial" w:eastAsia="Arial" w:hAnsi="Arial"/>
                <w:sz w:val="11"/>
                <w:szCs w:val="11"/>
                <w:color w:val="auto"/>
              </w:rPr>
              <w:t>(5)</w:t>
            </w: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3/27/2013</w:t>
            </w: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40" w:type="dxa"/>
            <w:vAlign w:val="bottom"/>
          </w:tcPr>
          <w:p>
            <w:pPr>
              <w:jc w:val="right"/>
              <w:ind w:right="212"/>
              <w:spacing w:after="0"/>
              <w:rPr>
                <w:sz w:val="20"/>
                <w:szCs w:val="20"/>
                <w:color w:val="auto"/>
              </w:rPr>
            </w:pPr>
            <w:r>
              <w:rPr>
                <w:rFonts w:ascii="Arial" w:cs="Arial" w:eastAsia="Arial" w:hAnsi="Arial"/>
                <w:sz w:val="18"/>
                <w:szCs w:val="18"/>
                <w:color w:val="auto"/>
              </w:rPr>
              <w:t>200,000</w:t>
            </w:r>
            <w:r>
              <w:rPr>
                <w:rFonts w:ascii="Arial" w:cs="Arial" w:eastAsia="Arial" w:hAnsi="Arial"/>
                <w:sz w:val="11"/>
                <w:szCs w:val="11"/>
                <w:color w:val="auto"/>
              </w:rPr>
              <w:t>(5)</w:t>
            </w:r>
          </w:p>
        </w:tc>
        <w:tc>
          <w:tcPr>
            <w:tcW w:w="2540" w:type="dxa"/>
            <w:vAlign w:val="bottom"/>
          </w:tcPr>
          <w:p>
            <w:pPr>
              <w:jc w:val="right"/>
              <w:ind w:right="12"/>
              <w:spacing w:after="0"/>
              <w:rPr>
                <w:sz w:val="20"/>
                <w:szCs w:val="20"/>
                <w:color w:val="auto"/>
              </w:rPr>
            </w:pPr>
            <w:r>
              <w:rPr>
                <w:rFonts w:ascii="Arial" w:cs="Arial" w:eastAsia="Arial" w:hAnsi="Arial"/>
                <w:sz w:val="18"/>
                <w:szCs w:val="18"/>
                <w:color w:val="auto"/>
              </w:rPr>
              <w:t>$7,602,160</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3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shown in the table above reflect possible payments based upon salaries in effect during the first quarter of 2013, when the performance criteria were established. Actual payouts were based upon achievement of the 2013 performance criteria of adjusted property EBITDA at the Company’s Wynn Las Vegas and Wynn Macau resorts, which resulted in the payment of maximum bonus’ under the Incentive Plan to all NEOs, with the exception of Mr. Schorr who retired on June 1, 2013.</w:t>
      </w:r>
    </w:p>
    <w:p>
      <w:pPr>
        <w:spacing w:after="0" w:line="2"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3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The amounts are calculated based on the aggregate grant date fair value computed in accordance with accounting standards for stock based compensation. See our Annual Report on Form 10-K for the year ended December 31, 2013, Item 8, Note 14—“Benefit Plans” to our Consolidated Financial Statements for assumptions used in computing fair value.</w:t>
      </w:r>
    </w:p>
    <w:p>
      <w:pPr>
        <w:ind w:left="340" w:hanging="332"/>
        <w:spacing w:after="0" w:line="182" w:lineRule="auto"/>
        <w:tabs>
          <w:tab w:leader="none" w:pos="340" w:val="left"/>
        </w:tabs>
        <w:numPr>
          <w:ilvl w:val="0"/>
          <w:numId w:val="36"/>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Maddox’s awards immediately vested on November 18, 2013.</w:t>
      </w:r>
    </w:p>
    <w:p>
      <w:pPr>
        <w:ind w:left="340" w:hanging="332"/>
        <w:spacing w:after="0" w:line="182" w:lineRule="auto"/>
        <w:tabs>
          <w:tab w:leader="none" w:pos="340" w:val="left"/>
        </w:tabs>
        <w:numPr>
          <w:ilvl w:val="0"/>
          <w:numId w:val="3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Mr. Strzemp’s awards will vest as follows: 2,500 shares of restricted stock will vest on February 21, 2014, and each anniversary thereafter until February 21, 2017, at which time the remaining 17,500 will vest.</w:t>
      </w:r>
    </w:p>
    <w:p>
      <w:pPr>
        <w:jc w:val="both"/>
        <w:ind w:left="340" w:hanging="332"/>
        <w:spacing w:after="0" w:line="203" w:lineRule="auto"/>
        <w:tabs>
          <w:tab w:leader="none" w:pos="340" w:val="left"/>
        </w:tabs>
        <w:numPr>
          <w:ilvl w:val="0"/>
          <w:numId w:val="36"/>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 connection with Mr. Schorr’s retirement, on March 27, 2013 the Compensation Committee provided that 200,000 unvested shares granted to Mr. Schorr under a Restricted Stock Agreement, and associated accrued cash dividends, would vest and be payable as of May 31, 2013. Pursuant to SEC rules, this amount reflects the fair value of modification to the vesting schedule for the restricted stock equal to the incremental expense arising from the modification (computed in accordance with applicable accounting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-1069340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Outstanding Equity Awards At Fiscal Year-End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14A3D"/>
              </w:rPr>
              <w:t>Option Awards</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14A3D"/>
              </w:rPr>
              <w:t>Stock Awards</w:t>
            </w:r>
          </w:p>
        </w:tc>
        <w:tc>
          <w:tcPr>
            <w:tcW w:w="940" w:type="dxa"/>
            <w:vAlign w:val="bottom"/>
            <w:tcBorders>
              <w:bottom w:val="single" w:sz="8" w:color="auto"/>
            </w:tcBorders>
          </w:tcPr>
          <w:p>
            <w:pPr>
              <w:spacing w:after="0"/>
              <w:rPr>
                <w:sz w:val="19"/>
                <w:szCs w:val="19"/>
                <w:color w:val="auto"/>
              </w:rPr>
            </w:pPr>
          </w:p>
        </w:tc>
      </w:tr>
      <w:tr>
        <w:trPr>
          <w:trHeight w:val="177"/>
        </w:trPr>
        <w:tc>
          <w:tcPr>
            <w:tcW w:w="3660" w:type="dxa"/>
            <w:vAlign w:val="bottom"/>
          </w:tcPr>
          <w:p>
            <w:pPr>
              <w:spacing w:after="0"/>
              <w:rPr>
                <w:sz w:val="15"/>
                <w:szCs w:val="15"/>
                <w:color w:val="auto"/>
              </w:rPr>
            </w:pPr>
          </w:p>
        </w:tc>
        <w:tc>
          <w:tcPr>
            <w:tcW w:w="124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rPr>
              <w:t>Number of</w:t>
            </w:r>
          </w:p>
        </w:tc>
        <w:tc>
          <w:tcPr>
            <w:tcW w:w="140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rPr>
              <w:t>Number of</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366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Securities</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Securities</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Number of</w:t>
            </w:r>
          </w:p>
        </w:tc>
        <w:tc>
          <w:tcPr>
            <w:tcW w:w="15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614A3D"/>
              </w:rPr>
              <w:t>Market Value</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Underlying</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Underlying</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Shares or</w:t>
            </w:r>
          </w:p>
        </w:tc>
        <w:tc>
          <w:tcPr>
            <w:tcW w:w="15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614A3D"/>
              </w:rPr>
              <w:t>of Shares or</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Unexercised</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Unexercised</w:t>
            </w:r>
          </w:p>
        </w:tc>
        <w:tc>
          <w:tcPr>
            <w:tcW w:w="92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Option</w:t>
            </w:r>
          </w:p>
        </w:tc>
        <w:tc>
          <w:tcPr>
            <w:tcW w:w="1060" w:type="dxa"/>
            <w:vAlign w:val="bottom"/>
          </w:tcPr>
          <w:p>
            <w:pPr>
              <w:spacing w:after="0"/>
              <w:rPr>
                <w:sz w:val="17"/>
                <w:szCs w:val="17"/>
                <w:color w:val="auto"/>
              </w:rPr>
            </w:pP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Units of Stock</w:t>
            </w:r>
          </w:p>
        </w:tc>
        <w:tc>
          <w:tcPr>
            <w:tcW w:w="15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614A3D"/>
              </w:rPr>
              <w:t>Units of Stock</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Options</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Options</w:t>
            </w:r>
          </w:p>
        </w:tc>
        <w:tc>
          <w:tcPr>
            <w:tcW w:w="92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Exercise</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Option</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That Have Not</w:t>
            </w:r>
          </w:p>
        </w:tc>
        <w:tc>
          <w:tcPr>
            <w:tcW w:w="1580" w:type="dxa"/>
            <w:vAlign w:val="bottom"/>
            <w:gridSpan w:val="2"/>
          </w:tcPr>
          <w:p>
            <w:pPr>
              <w:jc w:val="right"/>
              <w:ind w:right="16"/>
              <w:spacing w:after="0" w:line="202" w:lineRule="exact"/>
              <w:rPr>
                <w:sz w:val="20"/>
                <w:szCs w:val="20"/>
                <w:color w:val="auto"/>
              </w:rPr>
            </w:pPr>
            <w:r>
              <w:rPr>
                <w:rFonts w:ascii="Arial" w:cs="Arial" w:eastAsia="Arial" w:hAnsi="Arial"/>
                <w:sz w:val="18"/>
                <w:szCs w:val="18"/>
                <w:b w:val="1"/>
                <w:bCs w:val="1"/>
                <w:color w:val="614A3D"/>
              </w:rPr>
              <w:t>That Have Not</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w:t>
            </w:r>
          </w:p>
        </w:tc>
        <w:tc>
          <w:tcPr>
            <w:tcW w:w="14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614A3D"/>
              </w:rPr>
              <w:t>(#)</w:t>
            </w:r>
          </w:p>
        </w:tc>
        <w:tc>
          <w:tcPr>
            <w:tcW w:w="28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Price</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Expiration</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Vested</w:t>
            </w:r>
          </w:p>
        </w:tc>
        <w:tc>
          <w:tcPr>
            <w:tcW w:w="640" w:type="dxa"/>
            <w:vAlign w:val="bottom"/>
          </w:tcPr>
          <w:p>
            <w:pPr>
              <w:spacing w:after="0"/>
              <w:rPr>
                <w:sz w:val="17"/>
                <w:szCs w:val="17"/>
                <w:color w:val="auto"/>
              </w:rPr>
            </w:pP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b w:val="1"/>
                <w:bCs w:val="1"/>
                <w:color w:val="614A3D"/>
              </w:rPr>
              <w:t>Vested</w:t>
            </w:r>
          </w:p>
        </w:tc>
      </w:tr>
      <w:tr>
        <w:trPr>
          <w:trHeight w:val="22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Exercisable</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Unexercisable</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Date</w:t>
            </w: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
              <w:spacing w:after="0" w:line="221" w:lineRule="exact"/>
              <w:rPr>
                <w:sz w:val="20"/>
                <w:szCs w:val="20"/>
                <w:color w:val="auto"/>
              </w:rPr>
            </w:pPr>
            <w:r>
              <w:rPr>
                <w:rFonts w:ascii="Arial" w:cs="Arial" w:eastAsia="Arial" w:hAnsi="Arial"/>
                <w:sz w:val="25"/>
                <w:szCs w:val="25"/>
                <w:b w:val="1"/>
                <w:bCs w:val="1"/>
                <w:color w:val="614A3D"/>
                <w:vertAlign w:val="subscript"/>
              </w:rPr>
              <w:t>($)</w:t>
            </w:r>
            <w:r>
              <w:rPr>
                <w:rFonts w:ascii="Arial" w:cs="Arial" w:eastAsia="Arial" w:hAnsi="Arial"/>
                <w:sz w:val="10"/>
                <w:szCs w:val="10"/>
                <w:b w:val="1"/>
                <w:bCs w:val="1"/>
                <w:color w:val="614A3D"/>
              </w:rPr>
              <w:t xml:space="preserve"> (6)</w:t>
            </w:r>
          </w:p>
        </w:tc>
      </w:tr>
      <w:tr>
        <w:trPr>
          <w:trHeight w:val="253"/>
        </w:trPr>
        <w:tc>
          <w:tcPr>
            <w:tcW w:w="3660" w:type="dxa"/>
            <w:vAlign w:val="bottom"/>
          </w:tcPr>
          <w:p>
            <w:pPr>
              <w:spacing w:after="0"/>
              <w:rPr>
                <w:sz w:val="20"/>
                <w:szCs w:val="20"/>
                <w:color w:val="auto"/>
              </w:rPr>
            </w:pPr>
            <w:r>
              <w:rPr>
                <w:rFonts w:ascii="Arial" w:cs="Arial" w:eastAsia="Arial" w:hAnsi="Arial"/>
                <w:sz w:val="18"/>
                <w:szCs w:val="18"/>
                <w:color w:val="auto"/>
              </w:rPr>
              <w:t>Stephen A. Wynn</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2"/>
                <w:szCs w:val="22"/>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N/A</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N/A</w:t>
            </w:r>
          </w:p>
        </w:tc>
        <w:tc>
          <w:tcPr>
            <w:tcW w:w="64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N/A</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color w:val="auto"/>
              </w:rPr>
              <w:t>(1)</w:t>
            </w: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4"/>
              </w:rPr>
              <w:t>107.95</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05/06/18</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50,000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9,710,500</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47.12</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05/06/19</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color w:val="auto"/>
              </w:rPr>
              <w:t>(2)</w:t>
            </w: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4"/>
              </w:rPr>
              <w:t>107.95</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05/06/18</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100,000</w:t>
            </w:r>
          </w:p>
        </w:tc>
        <w:tc>
          <w:tcPr>
            <w:tcW w:w="1580" w:type="dxa"/>
            <w:vAlign w:val="bottom"/>
            <w:gridSpan w:val="2"/>
          </w:tcPr>
          <w:p>
            <w:pPr>
              <w:jc w:val="right"/>
              <w:ind w:right="16"/>
              <w:spacing w:after="0" w:line="202" w:lineRule="exact"/>
              <w:rPr>
                <w:sz w:val="20"/>
                <w:szCs w:val="20"/>
                <w:color w:val="auto"/>
              </w:rPr>
            </w:pPr>
            <w:r>
              <w:rPr>
                <w:rFonts w:ascii="Arial" w:cs="Arial" w:eastAsia="Arial" w:hAnsi="Arial"/>
                <w:sz w:val="18"/>
                <w:szCs w:val="18"/>
                <w:color w:val="auto"/>
              </w:rPr>
              <w:t>$19,421,000</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10,000</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47.12</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05/06/19</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color w:val="auto"/>
              </w:rPr>
              <w:t>(3)</w:t>
            </w: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4"/>
              </w:rPr>
              <w:t>107.95</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05/06/18</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25,000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4,855,250</w:t>
            </w:r>
          </w:p>
        </w:tc>
      </w:tr>
      <w:tr>
        <w:trPr>
          <w:trHeight w:val="203"/>
        </w:trPr>
        <w:tc>
          <w:tcPr>
            <w:tcW w:w="366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47.12</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05/06/19</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color w:val="auto"/>
              </w:rPr>
              <w:t>(4)</w:t>
            </w: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25,000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4,855,250</w:t>
            </w:r>
          </w:p>
        </w:tc>
      </w:tr>
      <w:tr>
        <w:trPr>
          <w:trHeight w:val="211"/>
        </w:trPr>
        <w:tc>
          <w:tcPr>
            <w:tcW w:w="3660" w:type="dxa"/>
            <w:vAlign w:val="bottom"/>
          </w:tcPr>
          <w:p>
            <w:pPr>
              <w:spacing w:after="0"/>
              <w:rPr>
                <w:sz w:val="20"/>
                <w:szCs w:val="20"/>
                <w:color w:val="auto"/>
              </w:rPr>
            </w:pPr>
            <w:r>
              <w:rPr>
                <w:rFonts w:ascii="Arial" w:cs="Arial" w:eastAsia="Arial" w:hAnsi="Arial"/>
                <w:sz w:val="18"/>
                <w:szCs w:val="18"/>
                <w:color w:val="auto"/>
              </w:rPr>
              <w:t xml:space="preserve">Marc Schorr </w:t>
            </w:r>
            <w:r>
              <w:rPr>
                <w:rFonts w:ascii="Arial" w:cs="Arial" w:eastAsia="Arial" w:hAnsi="Arial"/>
                <w:sz w:val="11"/>
                <w:szCs w:val="11"/>
                <w:color w:val="auto"/>
              </w:rPr>
              <w:t>(5)</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3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Maddox’s unvested awards will vest as follows:</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2014, and each anniversary thereafter until the 180,000 stock options are fully vested; and</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50,000 shares of restricted stock will vest on December 5, 2016.</w:t>
      </w:r>
    </w:p>
    <w:p>
      <w:pPr>
        <w:ind w:left="340" w:hanging="332"/>
        <w:spacing w:after="0" w:line="182" w:lineRule="auto"/>
        <w:tabs>
          <w:tab w:leader="none" w:pos="340"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Chen’s unvested awards will vest as follows:</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2014, and each anniversary thereafter until the 180,000 stock options are fully vested; and</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100,000 shares of restricted stock will vest on December 5, 2016.</w:t>
      </w:r>
    </w:p>
    <w:p>
      <w:pPr>
        <w:ind w:left="340" w:hanging="332"/>
        <w:spacing w:after="0" w:line="182" w:lineRule="auto"/>
        <w:tabs>
          <w:tab w:leader="none" w:pos="340"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Sinatra’s unvested awards will vest as follows:</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75,000 stock options will vest on December 5, 2016;</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25,000 stock options will vest on May 6, 2014, and each anniversary thereafter until the 150,000 stock options are fully vested; and</w:t>
      </w:r>
    </w:p>
    <w:p>
      <w:pPr>
        <w:ind w:left="80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25,000 shares of restricted stock will vest on December 5, 2016.</w:t>
      </w:r>
    </w:p>
    <w:p>
      <w:pPr>
        <w:ind w:left="340" w:hanging="332"/>
        <w:spacing w:after="0" w:line="182" w:lineRule="auto"/>
        <w:tabs>
          <w:tab w:leader="none" w:pos="340"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Strzemp’s unvested awards will vest as follows:</w:t>
      </w:r>
    </w:p>
    <w:p>
      <w:pPr>
        <w:ind w:left="800" w:right="460" w:hanging="346"/>
        <w:spacing w:after="0" w:line="221" w:lineRule="auto"/>
        <w:tabs>
          <w:tab w:leader="none" w:pos="800" w:val="left"/>
        </w:tabs>
        <w:numPr>
          <w:ilvl w:val="1"/>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2,500 shares of restricted stock will vest on February 21, 2014, and each anniversary thereafter until February 21, 2017, at which time the remaining 17,500 shares will vest.</w:t>
      </w:r>
    </w:p>
    <w:p>
      <w:pPr>
        <w:ind w:left="340" w:hanging="332"/>
        <w:spacing w:after="0" w:line="182" w:lineRule="auto"/>
        <w:tabs>
          <w:tab w:leader="none" w:pos="340"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Schorr retired from the Company effective June 1, 2013.</w:t>
      </w:r>
    </w:p>
    <w:p>
      <w:pPr>
        <w:ind w:left="340" w:hanging="332"/>
        <w:spacing w:after="0" w:line="188" w:lineRule="auto"/>
        <w:tabs>
          <w:tab w:leader="none" w:pos="340" w:val="left"/>
        </w:tabs>
        <w:numPr>
          <w:ilvl w:val="0"/>
          <w:numId w:val="37"/>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this column are based upon the closing price of the Company’s stock at year-end, which was $194.21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-1637030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vesting is conditioned upon such NEOs being an employee of the Company on the vesting date, except as discussed below under “Potential Payments Upon Termination or Change in Control.”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40" w:type="dxa"/>
            <w:vAlign w:val="bottom"/>
          </w:tcPr>
          <w:p>
            <w:pPr>
              <w:spacing w:after="0"/>
              <w:rPr>
                <w:sz w:val="20"/>
                <w:szCs w:val="20"/>
                <w:color w:val="auto"/>
              </w:rPr>
            </w:pPr>
            <w:r>
              <w:rPr>
                <w:rFonts w:ascii="Arial" w:cs="Arial" w:eastAsia="Arial" w:hAnsi="Arial"/>
                <w:sz w:val="18"/>
                <w:szCs w:val="18"/>
                <w:b w:val="1"/>
                <w:bCs w:val="1"/>
                <w:color w:val="806E63"/>
              </w:rPr>
              <w:t>Option Exercises and Stock Vested in 2013</w:t>
            </w:r>
          </w:p>
        </w:tc>
        <w:tc>
          <w:tcPr>
            <w:tcW w:w="2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94"/>
        </w:trPr>
        <w:tc>
          <w:tcPr>
            <w:tcW w:w="4440" w:type="dxa"/>
            <w:vAlign w:val="bottom"/>
          </w:tcPr>
          <w:p>
            <w:pPr>
              <w:spacing w:after="0"/>
              <w:rPr>
                <w:sz w:val="24"/>
                <w:szCs w:val="24"/>
                <w:color w:val="auto"/>
              </w:rPr>
            </w:pPr>
          </w:p>
        </w:tc>
        <w:tc>
          <w:tcPr>
            <w:tcW w:w="3480" w:type="dxa"/>
            <w:vAlign w:val="bottom"/>
            <w:tcBorders>
              <w:bottom w:val="single" w:sz="8" w:color="auto"/>
            </w:tcBorders>
            <w:gridSpan w:val="2"/>
          </w:tcPr>
          <w:p>
            <w:pPr>
              <w:jc w:val="right"/>
              <w:ind w:right="1032"/>
              <w:spacing w:after="0"/>
              <w:rPr>
                <w:sz w:val="20"/>
                <w:szCs w:val="20"/>
                <w:color w:val="auto"/>
              </w:rPr>
            </w:pPr>
            <w:r>
              <w:rPr>
                <w:rFonts w:ascii="Arial" w:cs="Arial" w:eastAsia="Arial" w:hAnsi="Arial"/>
                <w:sz w:val="18"/>
                <w:szCs w:val="18"/>
                <w:b w:val="1"/>
                <w:bCs w:val="1"/>
                <w:color w:val="614A3D"/>
              </w:rPr>
              <w:t>Option Awards</w:t>
            </w:r>
          </w:p>
        </w:tc>
        <w:tc>
          <w:tcPr>
            <w:tcW w:w="3500" w:type="dxa"/>
            <w:vAlign w:val="bottom"/>
            <w:tcBorders>
              <w:bottom w:val="single" w:sz="8" w:color="auto"/>
            </w:tcBorders>
            <w:gridSpan w:val="2"/>
          </w:tcPr>
          <w:p>
            <w:pPr>
              <w:jc w:val="right"/>
              <w:ind w:right="1092"/>
              <w:spacing w:after="0"/>
              <w:rPr>
                <w:sz w:val="20"/>
                <w:szCs w:val="20"/>
                <w:color w:val="auto"/>
              </w:rPr>
            </w:pPr>
            <w:r>
              <w:rPr>
                <w:rFonts w:ascii="Arial" w:cs="Arial" w:eastAsia="Arial" w:hAnsi="Arial"/>
                <w:sz w:val="18"/>
                <w:szCs w:val="18"/>
                <w:b w:val="1"/>
                <w:bCs w:val="1"/>
                <w:color w:val="614A3D"/>
              </w:rPr>
              <w:t>Stock Awards</w:t>
            </w:r>
          </w:p>
        </w:tc>
      </w:tr>
      <w:tr>
        <w:trPr>
          <w:trHeight w:val="177"/>
        </w:trPr>
        <w:tc>
          <w:tcPr>
            <w:tcW w:w="4440" w:type="dxa"/>
            <w:vAlign w:val="bottom"/>
          </w:tcPr>
          <w:p>
            <w:pPr>
              <w:spacing w:after="0"/>
              <w:rPr>
                <w:sz w:val="15"/>
                <w:szCs w:val="15"/>
                <w:color w:val="auto"/>
              </w:rPr>
            </w:pPr>
          </w:p>
        </w:tc>
        <w:tc>
          <w:tcPr>
            <w:tcW w:w="202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614A3D"/>
              </w:rPr>
              <w:t>Number of Shares</w:t>
            </w:r>
          </w:p>
        </w:tc>
        <w:tc>
          <w:tcPr>
            <w:tcW w:w="146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rPr>
              <w:t>Value Realized</w:t>
            </w:r>
          </w:p>
        </w:tc>
        <w:tc>
          <w:tcPr>
            <w:tcW w:w="1980" w:type="dxa"/>
            <w:vAlign w:val="bottom"/>
          </w:tcPr>
          <w:p>
            <w:pPr>
              <w:jc w:val="right"/>
              <w:ind w:right="92"/>
              <w:spacing w:after="0" w:line="177" w:lineRule="exact"/>
              <w:rPr>
                <w:sz w:val="20"/>
                <w:szCs w:val="20"/>
                <w:color w:val="auto"/>
              </w:rPr>
            </w:pPr>
            <w:r>
              <w:rPr>
                <w:rFonts w:ascii="Arial" w:cs="Arial" w:eastAsia="Arial" w:hAnsi="Arial"/>
                <w:sz w:val="18"/>
                <w:szCs w:val="18"/>
                <w:b w:val="1"/>
                <w:bCs w:val="1"/>
                <w:color w:val="614A3D"/>
              </w:rPr>
              <w:t>Number of Shares</w:t>
            </w:r>
          </w:p>
        </w:tc>
        <w:tc>
          <w:tcPr>
            <w:tcW w:w="152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rPr>
              <w:t>Value Realized</w:t>
            </w:r>
          </w:p>
        </w:tc>
      </w:tr>
      <w:tr>
        <w:trPr>
          <w:trHeight w:val="203"/>
        </w:trPr>
        <w:tc>
          <w:tcPr>
            <w:tcW w:w="4440" w:type="dxa"/>
            <w:vAlign w:val="bottom"/>
          </w:tcPr>
          <w:p>
            <w:pPr>
              <w:spacing w:after="0"/>
              <w:rPr>
                <w:sz w:val="17"/>
                <w:szCs w:val="17"/>
                <w:color w:val="auto"/>
              </w:rPr>
            </w:pPr>
          </w:p>
        </w:tc>
        <w:tc>
          <w:tcPr>
            <w:tcW w:w="20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Acquired on Exercise</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on Exercise</w:t>
            </w:r>
          </w:p>
        </w:tc>
        <w:tc>
          <w:tcPr>
            <w:tcW w:w="198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614A3D"/>
              </w:rPr>
              <w:t>Acquired on Vesting</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on Vesting</w:t>
            </w:r>
          </w:p>
        </w:tc>
      </w:tr>
      <w:tr>
        <w:trPr>
          <w:trHeight w:val="235"/>
        </w:trPr>
        <w:tc>
          <w:tcPr>
            <w:tcW w:w="4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c>
          <w:tcPr>
            <w:tcW w:w="1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614A3D"/>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4440" w:type="dxa"/>
            <w:vAlign w:val="bottom"/>
          </w:tcPr>
          <w:p>
            <w:pPr>
              <w:spacing w:after="0"/>
              <w:rPr>
                <w:sz w:val="20"/>
                <w:szCs w:val="20"/>
                <w:color w:val="auto"/>
              </w:rPr>
            </w:pPr>
            <w:r>
              <w:rPr>
                <w:rFonts w:ascii="Arial" w:cs="Arial" w:eastAsia="Arial" w:hAnsi="Arial"/>
                <w:sz w:val="18"/>
                <w:szCs w:val="18"/>
                <w:color w:val="auto"/>
              </w:rPr>
              <w:t>Stephen A. Wynn</w:t>
            </w:r>
          </w:p>
        </w:tc>
        <w:tc>
          <w:tcPr>
            <w:tcW w:w="2020" w:type="dxa"/>
            <w:vAlign w:val="bottom"/>
          </w:tcPr>
          <w:p>
            <w:pPr>
              <w:jc w:val="right"/>
              <w:ind w:right="92"/>
              <w:spacing w:after="0"/>
              <w:rPr>
                <w:sz w:val="20"/>
                <w:szCs w:val="20"/>
                <w:color w:val="auto"/>
              </w:rPr>
            </w:pPr>
            <w:r>
              <w:rPr>
                <w:rFonts w:ascii="Arial" w:cs="Arial" w:eastAsia="Arial" w:hAnsi="Arial"/>
                <w:sz w:val="18"/>
                <w:szCs w:val="18"/>
                <w:color w:val="auto"/>
              </w:rPr>
              <w:t>N/A</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N/A</w:t>
            </w:r>
          </w:p>
        </w:tc>
        <w:tc>
          <w:tcPr>
            <w:tcW w:w="1980" w:type="dxa"/>
            <w:vAlign w:val="bottom"/>
          </w:tcPr>
          <w:p>
            <w:pPr>
              <w:jc w:val="right"/>
              <w:ind w:right="132"/>
              <w:spacing w:after="0"/>
              <w:rPr>
                <w:sz w:val="20"/>
                <w:szCs w:val="20"/>
                <w:color w:val="auto"/>
              </w:rPr>
            </w:pPr>
            <w:r>
              <w:rPr>
                <w:rFonts w:ascii="Arial" w:cs="Arial" w:eastAsia="Arial" w:hAnsi="Arial"/>
                <w:sz w:val="18"/>
                <w:szCs w:val="18"/>
                <w:color w:val="auto"/>
              </w:rPr>
              <w:t>N/A</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N/A</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2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30,000</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$2,737,984</w:t>
            </w:r>
          </w:p>
        </w:tc>
        <w:tc>
          <w:tcPr>
            <w:tcW w:w="1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10,000</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  1,635,900</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20,000</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$2,457,600</w:t>
            </w:r>
          </w:p>
        </w:tc>
        <w:tc>
          <w:tcPr>
            <w:tcW w:w="1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25,000</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$2,290,872</w:t>
            </w:r>
          </w:p>
        </w:tc>
        <w:tc>
          <w:tcPr>
            <w:tcW w:w="1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2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80,000</w:t>
            </w:r>
          </w:p>
        </w:tc>
        <w:tc>
          <w:tcPr>
            <w:tcW w:w="14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$6,798,453</w:t>
            </w:r>
          </w:p>
        </w:tc>
        <w:tc>
          <w:tcPr>
            <w:tcW w:w="1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4440" w:type="dxa"/>
            <w:vAlign w:val="bottom"/>
          </w:tcPr>
          <w:p>
            <w:pPr>
              <w:spacing w:after="0"/>
              <w:rPr>
                <w:sz w:val="20"/>
                <w:szCs w:val="20"/>
                <w:color w:val="auto"/>
              </w:rPr>
            </w:pPr>
            <w:r>
              <w:rPr>
                <w:rFonts w:ascii="Arial" w:cs="Arial" w:eastAsia="Arial" w:hAnsi="Arial"/>
                <w:sz w:val="18"/>
                <w:szCs w:val="18"/>
                <w:color w:val="auto"/>
              </w:rPr>
              <w:t>Marc Schorr</w:t>
            </w:r>
          </w:p>
        </w:tc>
        <w:tc>
          <w:tcPr>
            <w:tcW w:w="2020" w:type="dxa"/>
            <w:vAlign w:val="bottom"/>
          </w:tcPr>
          <w:p>
            <w:pPr>
              <w:jc w:val="right"/>
              <w:ind w:right="52"/>
              <w:spacing w:after="0"/>
              <w:rPr>
                <w:sz w:val="20"/>
                <w:szCs w:val="20"/>
                <w:color w:val="auto"/>
              </w:rPr>
            </w:pPr>
            <w:r>
              <w:rPr>
                <w:rFonts w:ascii="Arial" w:cs="Arial" w:eastAsia="Arial" w:hAnsi="Arial"/>
                <w:sz w:val="18"/>
                <w:szCs w:val="18"/>
                <w:color w:val="auto"/>
              </w:rPr>
              <w:t>50,000</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$4,590,000</w:t>
            </w:r>
          </w:p>
        </w:tc>
        <w:tc>
          <w:tcPr>
            <w:tcW w:w="1980" w:type="dxa"/>
            <w:vAlign w:val="bottom"/>
          </w:tcPr>
          <w:p>
            <w:pPr>
              <w:jc w:val="right"/>
              <w:ind w:right="92"/>
              <w:spacing w:after="0"/>
              <w:rPr>
                <w:sz w:val="20"/>
                <w:szCs w:val="20"/>
                <w:color w:val="auto"/>
              </w:rPr>
            </w:pPr>
            <w:r>
              <w:rPr>
                <w:rFonts w:ascii="Arial" w:cs="Arial" w:eastAsia="Arial" w:hAnsi="Arial"/>
                <w:sz w:val="18"/>
                <w:szCs w:val="18"/>
                <w:color w:val="auto"/>
              </w:rPr>
              <w:t>250,000</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$ 33,045,000</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amounts reported in the table above are based on the sales price of the Company’s Common Stock on the date the stock options were exercised or the closing price of the Company’s Common Stock on the date the stock award vested. Upon vesting of the stock award, the executive also was paid an amount equal to the dividends that had accrued on the shares prior to their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Potential Payments Upon Termination or Change in Control</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Payments Made Upon Termination Due to Death, Complete Disability or License Revocation</w:t>
      </w:r>
      <w:r>
        <w:rPr>
          <w:rFonts w:ascii="Arial" w:cs="Arial" w:eastAsia="Arial" w:hAnsi="Arial"/>
          <w:sz w:val="18"/>
          <w:szCs w:val="18"/>
          <w:color w:val="auto"/>
        </w:rPr>
        <w:t>. The Company’s employment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NEOs provide that such agreements terminate 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Payments Made Upon Termination Without Cause at Employer’s Election During the Term</w:t>
      </w:r>
      <w:r>
        <w:rPr>
          <w:rFonts w:ascii="Arial" w:cs="Arial" w:eastAsia="Arial" w:hAnsi="Arial"/>
          <w:sz w:val="18"/>
          <w:szCs w:val="18"/>
          <w:color w:val="auto"/>
        </w:rPr>
        <w:t>. The Company’s employment agreements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provide that such agreements are terminable by the Company without cause upon notice to the employee, so long as a “separation payment” is paid as provided in such contracts. Cause is defined as (i) willful destruction of property of the Company or an affiliate having a material value to the Company or such affiliate; (ii) fraud, embezzlement, theft, or comparable 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“separation payment” consists of a multiple (ranging from one to, in the case of Mr. Wynn, three times) of the sum of (a) base salary through the end of the term of the agreement, but not less than 12 months (and in Mr. Wynn’s and Ms. Chen’s cases, not more than four years); (b) bonus for all bonus periods based upon last bonus paid pursuant to the employment agreement through the end of the term of the agreement but not less than 12 months (and in Mr. Wynn’s and Ms. Chen’s cases, not more than four years); and (c) except for Mr. Maddox, an excise tax gross up. If Ms. Chen is terminated without cause, then as a condition to receiving such separation payment, Ms. Chen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provides that all non-compete provisions of the employment agreement shall terminate after the period of time for which she receives such compensation. In addition, except for Ms. Chen,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Ms. Sinatra’s employment agreement, in providing such health benefits also provides that, so long as Ms. Sinatra continues to receive health benefits, she may not engage or participate in any business that is in competition with the Company or its affiliates. Some of the stock option agreements and restricted stock agreements held by the NEOs provide that unvested options and shares will vest upon termination without cause.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Payments Made Upon Termination by Employee for Good Reason after Change in Control</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employee for good reason after a change in control. A change in control is defined as</w:t>
      </w:r>
    </w:p>
    <w:p>
      <w:pPr>
        <w:jc w:val="both"/>
        <w:ind w:firstLine="8"/>
        <w:spacing w:after="0" w:line="237" w:lineRule="auto"/>
        <w:tabs>
          <w:tab w:leader="none" w:pos="2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Payments Made Upon Termination</w:t>
      </w:r>
      <w:r>
        <w:rPr>
          <w:rFonts w:ascii="Arial" w:cs="Arial" w:eastAsia="Arial" w:hAnsi="Arial"/>
          <w:sz w:val="18"/>
          <w:szCs w:val="18"/>
          <w:color w:val="auto"/>
        </w:rPr>
        <w:t>. The tables below reflect the amount of compensation that would become payable to each of the NEOs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agreements and arrangements if the named executive’s employment had terminated on December 31, 2013,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A. Wynn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614A3D"/>
                <w:w w:val="95"/>
              </w:rPr>
              <w:t>Termination</w:t>
            </w:r>
          </w:p>
        </w:tc>
        <w:tc>
          <w:tcPr>
            <w:tcW w:w="19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060" w:type="dxa"/>
            <w:vAlign w:val="bottom"/>
          </w:tcPr>
          <w:p>
            <w:pPr>
              <w:spacing w:after="0"/>
              <w:rPr>
                <w:sz w:val="17"/>
                <w:szCs w:val="17"/>
                <w:color w:val="auto"/>
              </w:rPr>
            </w:pPr>
          </w:p>
        </w:tc>
        <w:tc>
          <w:tcPr>
            <w:tcW w:w="340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614A3D"/>
              </w:rPr>
              <w:t>Termination Upon</w:t>
            </w:r>
          </w:p>
        </w:tc>
        <w:tc>
          <w:tcPr>
            <w:tcW w:w="206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Without Cause at</w:t>
            </w:r>
          </w:p>
        </w:tc>
        <w:tc>
          <w:tcPr>
            <w:tcW w:w="19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060" w:type="dxa"/>
            <w:vAlign w:val="bottom"/>
          </w:tcPr>
          <w:p>
            <w:pPr>
              <w:spacing w:after="0"/>
              <w:rPr>
                <w:sz w:val="17"/>
                <w:szCs w:val="17"/>
                <w:color w:val="auto"/>
              </w:rPr>
            </w:pPr>
          </w:p>
        </w:tc>
        <w:tc>
          <w:tcPr>
            <w:tcW w:w="3400" w:type="dxa"/>
            <w:vAlign w:val="bottom"/>
            <w:gridSpan w:val="2"/>
          </w:tcPr>
          <w:p>
            <w:pPr>
              <w:jc w:val="right"/>
              <w:ind w:right="1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06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Employer’s Election</w:t>
            </w:r>
          </w:p>
        </w:tc>
        <w:tc>
          <w:tcPr>
            <w:tcW w:w="19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21"/>
        </w:trPr>
        <w:tc>
          <w:tcPr>
            <w:tcW w:w="40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Disability</w:t>
            </w:r>
          </w:p>
        </w:tc>
        <w:tc>
          <w:tcPr>
            <w:tcW w:w="20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614A3D"/>
              </w:rPr>
              <w:t>During the Term</w:t>
            </w:r>
          </w:p>
        </w:tc>
        <w:tc>
          <w:tcPr>
            <w:tcW w:w="1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199"/>
        </w:trPr>
        <w:tc>
          <w:tcPr>
            <w:tcW w:w="40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2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line="200" w:lineRule="exact"/>
              <w:rPr>
                <w:sz w:val="20"/>
                <w:szCs w:val="20"/>
                <w:color w:val="auto"/>
              </w:rPr>
            </w:pPr>
            <w:r>
              <w:rPr>
                <w:rFonts w:ascii="Arial" w:cs="Arial" w:eastAsia="Arial" w:hAnsi="Arial"/>
                <w:sz w:val="18"/>
                <w:szCs w:val="18"/>
                <w:color w:val="auto"/>
                <w:w w:val="95"/>
              </w:rPr>
              <w:t>16,000,000</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line="200" w:lineRule="exact"/>
              <w:rPr>
                <w:sz w:val="20"/>
                <w:szCs w:val="20"/>
                <w:color w:val="auto"/>
              </w:rPr>
            </w:pPr>
            <w:r>
              <w:rPr>
                <w:rFonts w:ascii="Arial" w:cs="Arial" w:eastAsia="Arial" w:hAnsi="Arial"/>
                <w:sz w:val="18"/>
                <w:szCs w:val="18"/>
                <w:color w:val="auto"/>
              </w:rPr>
              <w:t>48,000,000</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48,000,000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Bonus</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5"/>
              </w:rPr>
              <w:t>40,000,000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7"/>
              </w:rPr>
              <w:t>120,000,000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120,000,000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Stock Options/Restricted Stock</w:t>
            </w:r>
          </w:p>
        </w:tc>
        <w:tc>
          <w:tcPr>
            <w:tcW w:w="2300" w:type="dxa"/>
            <w:vAlign w:val="bottom"/>
          </w:tcPr>
          <w:p>
            <w:pPr>
              <w:spacing w:after="0"/>
              <w:rPr>
                <w:sz w:val="17"/>
                <w:szCs w:val="17"/>
                <w:color w:val="auto"/>
              </w:rPr>
            </w:pP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N/A</w:t>
            </w:r>
          </w:p>
        </w:tc>
        <w:tc>
          <w:tcPr>
            <w:tcW w:w="90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N/A</w:t>
            </w:r>
          </w:p>
        </w:tc>
        <w:tc>
          <w:tcPr>
            <w:tcW w:w="80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N/A</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2,000,000</w:t>
            </w:r>
          </w:p>
        </w:tc>
        <w:tc>
          <w:tcPr>
            <w:tcW w:w="90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2300" w:type="dxa"/>
            <w:vAlign w:val="bottom"/>
          </w:tcPr>
          <w:p>
            <w:pPr>
              <w:spacing w:after="0"/>
              <w:rPr>
                <w:sz w:val="17"/>
                <w:szCs w:val="17"/>
                <w:color w:val="auto"/>
              </w:rPr>
            </w:pPr>
          </w:p>
        </w:tc>
        <w:tc>
          <w:tcPr>
            <w:tcW w:w="11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80,137,667</w:t>
            </w:r>
          </w:p>
        </w:tc>
      </w:tr>
      <w:tr>
        <w:trPr>
          <w:trHeight w:val="211"/>
        </w:trPr>
        <w:tc>
          <w:tcPr>
            <w:tcW w:w="40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color w:val="auto"/>
              </w:rPr>
              <w:t>(1)</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215,595</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215,595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328,918</w:t>
            </w:r>
          </w:p>
        </w:tc>
      </w:tr>
    </w:tbl>
    <w:p>
      <w:pPr>
        <w:spacing w:after="0" w:line="122" w:lineRule="exact"/>
        <w:rPr>
          <w:sz w:val="20"/>
          <w:szCs w:val="20"/>
          <w:color w:val="auto"/>
        </w:rPr>
      </w:pPr>
    </w:p>
    <w:p>
      <w:pPr>
        <w:ind w:left="340" w:hanging="332"/>
        <w:spacing w:after="0" w:line="188" w:lineRule="auto"/>
        <w:tabs>
          <w:tab w:leader="none" w:pos="340" w:val="left"/>
        </w:tabs>
        <w:numPr>
          <w:ilvl w:val="0"/>
          <w:numId w:val="3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Matt Maddox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40" w:type="dxa"/>
            <w:vAlign w:val="bottom"/>
            <w:gridSpan w:val="2"/>
          </w:tcPr>
          <w:p>
            <w:pPr>
              <w:ind w:left="860"/>
              <w:spacing w:after="0"/>
              <w:rPr>
                <w:sz w:val="20"/>
                <w:szCs w:val="20"/>
                <w:color w:val="auto"/>
              </w:rPr>
            </w:pPr>
            <w:r>
              <w:rPr>
                <w:rFonts w:ascii="Arial" w:cs="Arial" w:eastAsia="Arial" w:hAnsi="Arial"/>
                <w:sz w:val="18"/>
                <w:szCs w:val="18"/>
                <w:b w:val="1"/>
                <w:bCs w:val="1"/>
                <w:color w:val="614A3D"/>
              </w:rPr>
              <w:t>Termination</w:t>
            </w:r>
          </w:p>
        </w:tc>
        <w:tc>
          <w:tcPr>
            <w:tcW w:w="19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614A3D"/>
              </w:rPr>
              <w:t>Termination Upon</w:t>
            </w:r>
          </w:p>
        </w:tc>
        <w:tc>
          <w:tcPr>
            <w:tcW w:w="204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614A3D"/>
              </w:rPr>
              <w:t>Without Cause at</w:t>
            </w:r>
          </w:p>
        </w:tc>
        <w:tc>
          <w:tcPr>
            <w:tcW w:w="19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614A3D"/>
              </w:rPr>
              <w:t>Death or Complete</w:t>
            </w:r>
          </w:p>
        </w:tc>
        <w:tc>
          <w:tcPr>
            <w:tcW w:w="204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614A3D"/>
              </w:rPr>
              <w:t>Employer’s Election</w:t>
            </w:r>
          </w:p>
        </w:tc>
        <w:tc>
          <w:tcPr>
            <w:tcW w:w="19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21"/>
        </w:trPr>
        <w:tc>
          <w:tcPr>
            <w:tcW w:w="4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614A3D"/>
              </w:rPr>
              <w:t>Disability</w:t>
            </w:r>
          </w:p>
        </w:tc>
        <w:tc>
          <w:tcPr>
            <w:tcW w:w="20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614A3D"/>
              </w:rPr>
              <w:t>During the Term</w:t>
            </w:r>
          </w:p>
        </w:tc>
        <w:tc>
          <w:tcPr>
            <w:tcW w:w="1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199"/>
        </w:trPr>
        <w:tc>
          <w:tcPr>
            <w:tcW w:w="43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080" w:type="dxa"/>
            <w:vAlign w:val="bottom"/>
            <w:gridSpan w:val="2"/>
          </w:tcPr>
          <w:p>
            <w:pPr>
              <w:jc w:val="right"/>
              <w:ind w:right="92"/>
              <w:spacing w:after="0" w:line="200" w:lineRule="exact"/>
              <w:rPr>
                <w:sz w:val="20"/>
                <w:szCs w:val="20"/>
                <w:color w:val="auto"/>
              </w:rPr>
            </w:pPr>
            <w:r>
              <w:rPr>
                <w:rFonts w:ascii="Arial" w:cs="Arial" w:eastAsia="Arial" w:hAnsi="Arial"/>
                <w:sz w:val="18"/>
                <w:szCs w:val="18"/>
                <w:color w:val="auto"/>
              </w:rPr>
              <w:t>Amount earned and</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unpaid through the</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date of termination.</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4,500,000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4,500,000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Bonus</w:t>
            </w:r>
          </w:p>
        </w:tc>
        <w:tc>
          <w:tcPr>
            <w:tcW w:w="202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6,000,000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6,000,000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color w:val="auto"/>
              </w:rPr>
              <w:t>(1)(2)(3)(4)</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53,057,200</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17,460,039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26,581,000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1,500,000</w:t>
            </w:r>
          </w:p>
        </w:tc>
        <w:tc>
          <w:tcPr>
            <w:tcW w:w="960" w:type="dxa"/>
            <w:vAlign w:val="bottom"/>
          </w:tcPr>
          <w:p>
            <w:pPr>
              <w:spacing w:after="0"/>
              <w:rPr>
                <w:sz w:val="17"/>
                <w:szCs w:val="17"/>
                <w:color w:val="auto"/>
              </w:rPr>
            </w:pP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202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color w:val="auto"/>
              </w:rPr>
              <w:t>(5)</w:t>
            </w:r>
          </w:p>
        </w:tc>
        <w:tc>
          <w:tcPr>
            <w:tcW w:w="20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155,090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155,090</w:t>
            </w:r>
          </w:p>
        </w:tc>
      </w:tr>
    </w:tbl>
    <w:p>
      <w:pPr>
        <w:spacing w:after="0" w:line="122" w:lineRule="exact"/>
        <w:rPr>
          <w:sz w:val="20"/>
          <w:szCs w:val="20"/>
          <w:color w:val="auto"/>
        </w:rPr>
      </w:pPr>
    </w:p>
    <w:p>
      <w:pPr>
        <w:jc w:val="both"/>
        <w:ind w:left="340" w:hanging="332"/>
        <w:spacing w:after="0" w:line="198" w:lineRule="auto"/>
        <w:tabs>
          <w:tab w:leader="none" w:pos="34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2013, the value of such stock options upon exercise would have been $15,095,500. Upon termination without cause, 175,000 stock options would vest on a prorated basis based on the number of months since the grant date, so long as the employee’s employment agreement with the Company has not terminated or expired. Using the closing price on December 31, 2013, the value of such 114,951 stock options upon exercise would have been $9,915,673.</w:t>
      </w:r>
    </w:p>
    <w:p>
      <w:pPr>
        <w:spacing w:after="0" w:line="1"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180,000 would vest in full immediately. Using the closing price on December 31, 2013, the value of such stock options upon exercise would have been $26,476,200.</w:t>
      </w:r>
    </w:p>
    <w:p>
      <w:pPr>
        <w:jc w:val="both"/>
        <w:ind w:left="340" w:hanging="332"/>
        <w:spacing w:after="0" w:line="186" w:lineRule="auto"/>
        <w:tabs>
          <w:tab w:leader="none" w:pos="34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50,000 shares of restricted stock would vest in full immediately so long as the employee’s employment agreement with the Company has not terminated or expired. Using the closing price on December 31, 2013, the value of such 50,000 shares would have been $9,710,500, plus accrued dividends of $1,775,000.</w:t>
      </w:r>
    </w:p>
    <w:p>
      <w:pPr>
        <w:jc w:val="both"/>
        <w:ind w:left="340" w:hanging="332"/>
        <w:spacing w:after="0" w:line="186" w:lineRule="auto"/>
        <w:tabs>
          <w:tab w:leader="none" w:pos="34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2013, the value of such 32,843 shares would have been $6,378,439, plus accrued dividends of $1,165,927.</w:t>
      </w:r>
    </w:p>
    <w:p>
      <w:pPr>
        <w:ind w:left="340" w:right="20" w:hanging="332"/>
        <w:spacing w:after="0" w:line="180" w:lineRule="auto"/>
        <w:tabs>
          <w:tab w:leader="none" w:pos="340" w:val="left"/>
        </w:tabs>
        <w:numPr>
          <w:ilvl w:val="0"/>
          <w:numId w:val="4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r>
              <w:rPr>
                <w:rFonts w:ascii="Arial" w:cs="Arial" w:eastAsia="Arial" w:hAnsi="Arial"/>
                <w:sz w:val="18"/>
                <w:szCs w:val="18"/>
                <w:b w:val="1"/>
                <w:bCs w:val="1"/>
                <w:color w:val="614A3D"/>
              </w:rPr>
              <w:t>Linda Chen</w:t>
            </w: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5"/>
        </w:trPr>
        <w:tc>
          <w:tcPr>
            <w:tcW w:w="4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gridSpan w:val="2"/>
          </w:tcPr>
          <w:p>
            <w:pPr>
              <w:ind w:left="860"/>
              <w:spacing w:after="0"/>
              <w:rPr>
                <w:sz w:val="20"/>
                <w:szCs w:val="20"/>
                <w:color w:val="auto"/>
              </w:rPr>
            </w:pPr>
            <w:r>
              <w:rPr>
                <w:rFonts w:ascii="Arial" w:cs="Arial" w:eastAsia="Arial" w:hAnsi="Arial"/>
                <w:sz w:val="18"/>
                <w:szCs w:val="18"/>
                <w:b w:val="1"/>
                <w:bCs w:val="1"/>
                <w:color w:val="614A3D"/>
              </w:rPr>
              <w:t>Termination</w:t>
            </w:r>
          </w:p>
        </w:tc>
        <w:tc>
          <w:tcPr>
            <w:tcW w:w="19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614A3D"/>
              </w:rPr>
              <w:t>Termination Upon</w:t>
            </w:r>
          </w:p>
        </w:tc>
        <w:tc>
          <w:tcPr>
            <w:tcW w:w="204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614A3D"/>
              </w:rPr>
              <w:t>Without Cause at</w:t>
            </w:r>
          </w:p>
        </w:tc>
        <w:tc>
          <w:tcPr>
            <w:tcW w:w="19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614A3D"/>
              </w:rPr>
              <w:t>Death or Complete</w:t>
            </w:r>
          </w:p>
        </w:tc>
        <w:tc>
          <w:tcPr>
            <w:tcW w:w="204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614A3D"/>
              </w:rPr>
              <w:t>Employer’s Election</w:t>
            </w:r>
          </w:p>
        </w:tc>
        <w:tc>
          <w:tcPr>
            <w:tcW w:w="19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21"/>
        </w:trPr>
        <w:tc>
          <w:tcPr>
            <w:tcW w:w="4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614A3D"/>
              </w:rPr>
              <w:t>Disability</w:t>
            </w:r>
          </w:p>
        </w:tc>
        <w:tc>
          <w:tcPr>
            <w:tcW w:w="20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614A3D"/>
              </w:rPr>
              <w:t>During the Term</w:t>
            </w:r>
          </w:p>
        </w:tc>
        <w:tc>
          <w:tcPr>
            <w:tcW w:w="1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199"/>
        </w:trPr>
        <w:tc>
          <w:tcPr>
            <w:tcW w:w="43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3080" w:type="dxa"/>
            <w:vAlign w:val="bottom"/>
            <w:gridSpan w:val="2"/>
          </w:tcPr>
          <w:p>
            <w:pPr>
              <w:jc w:val="right"/>
              <w:ind w:right="92"/>
              <w:spacing w:after="0" w:line="200" w:lineRule="exact"/>
              <w:rPr>
                <w:sz w:val="20"/>
                <w:szCs w:val="20"/>
                <w:color w:val="auto"/>
              </w:rPr>
            </w:pPr>
            <w:r>
              <w:rPr>
                <w:rFonts w:ascii="Arial" w:cs="Arial" w:eastAsia="Arial" w:hAnsi="Arial"/>
                <w:sz w:val="18"/>
                <w:szCs w:val="18"/>
                <w:color w:val="auto"/>
              </w:rPr>
              <w:t>Amount earned and</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unpaid through the</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308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date of termination.</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6,000,000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6,000,000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Bonus</w:t>
            </w:r>
          </w:p>
        </w:tc>
        <w:tc>
          <w:tcPr>
            <w:tcW w:w="202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12,000,000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12,000,000</w:t>
            </w: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color w:val="auto"/>
                <w:vertAlign w:val="superscript"/>
              </w:rPr>
              <w:t>(1)(2)(3)(4)</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66,013,600</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5"/>
              </w:rPr>
              <w:t>26,475,304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39,537,400</w:t>
            </w: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8"/>
                <w:szCs w:val="18"/>
                <w:color w:val="auto"/>
              </w:rPr>
              <w:t xml:space="preserve">Macau Executive Residence </w:t>
            </w:r>
            <w:r>
              <w:rPr>
                <w:rFonts w:ascii="Arial" w:cs="Arial" w:eastAsia="Arial" w:hAnsi="Arial"/>
                <w:sz w:val="22"/>
                <w:szCs w:val="22"/>
                <w:color w:val="auto"/>
                <w:vertAlign w:val="superscript"/>
              </w:rPr>
              <w:t>(5)</w:t>
            </w:r>
          </w:p>
        </w:tc>
        <w:tc>
          <w:tcPr>
            <w:tcW w:w="202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9,929,885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9,929,885</w:t>
            </w: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8"/>
                <w:szCs w:val="18"/>
                <w:color w:val="auto"/>
              </w:rPr>
              <w:t xml:space="preserve">Retention Plan Award </w:t>
            </w:r>
            <w:r>
              <w:rPr>
                <w:rFonts w:ascii="Arial" w:cs="Arial" w:eastAsia="Arial" w:hAnsi="Arial"/>
                <w:sz w:val="22"/>
                <w:szCs w:val="22"/>
                <w:color w:val="auto"/>
                <w:vertAlign w:val="superscript"/>
              </w:rPr>
              <w:t>(6)</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2,416,667</w:t>
            </w:r>
          </w:p>
        </w:tc>
        <w:tc>
          <w:tcPr>
            <w:tcW w:w="96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2,416,667</w:t>
            </w:r>
          </w:p>
        </w:tc>
        <w:tc>
          <w:tcPr>
            <w:tcW w:w="94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1,500,000</w:t>
            </w:r>
          </w:p>
        </w:tc>
        <w:tc>
          <w:tcPr>
            <w:tcW w:w="960" w:type="dxa"/>
            <w:vAlign w:val="bottom"/>
          </w:tcPr>
          <w:p>
            <w:pPr>
              <w:spacing w:after="0"/>
              <w:rPr>
                <w:sz w:val="17"/>
                <w:szCs w:val="17"/>
                <w:color w:val="auto"/>
              </w:rPr>
            </w:pP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2020" w:type="dxa"/>
            <w:vAlign w:val="bottom"/>
          </w:tcPr>
          <w:p>
            <w:pPr>
              <w:spacing w:after="0"/>
              <w:rPr>
                <w:sz w:val="17"/>
                <w:szCs w:val="17"/>
                <w:color w:val="auto"/>
              </w:rPr>
            </w:pPr>
          </w:p>
        </w:tc>
        <w:tc>
          <w:tcPr>
            <w:tcW w:w="10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4360" w:type="dxa"/>
            <w:vAlign w:val="bottom"/>
          </w:tcPr>
          <w:p>
            <w:pPr>
              <w:spacing w:after="0"/>
              <w:rPr>
                <w:sz w:val="20"/>
                <w:szCs w:val="20"/>
                <w:color w:val="auto"/>
              </w:rPr>
            </w:pPr>
            <w:r>
              <w:rPr>
                <w:rFonts w:ascii="Arial" w:cs="Arial" w:eastAsia="Arial" w:hAnsi="Arial"/>
                <w:sz w:val="18"/>
                <w:szCs w:val="18"/>
                <w:color w:val="auto"/>
              </w:rPr>
              <w:t>Benefits</w:t>
            </w:r>
          </w:p>
        </w:tc>
        <w:tc>
          <w:tcPr>
            <w:tcW w:w="202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198" w:lineRule="auto"/>
        <w:tabs>
          <w:tab w:leader="none" w:pos="340" w:val="left"/>
        </w:tabs>
        <w:numPr>
          <w:ilvl w:val="0"/>
          <w:numId w:val="4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2013, the value of such stock options upon exercise would have been $15,095,500. Upon termination without cause, 175,000 stock options would vest on a prorated basis based on the number of months since the grant date, so long as the employee’s employment agreement with the Company has not terminated or expired. Using the closing price on December 31, 2013, the value of such 114,951 stock options upon exercise would have been $9,915,673.</w:t>
      </w:r>
    </w:p>
    <w:p>
      <w:pPr>
        <w:spacing w:after="0" w:line="1"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4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180,000 would vest in full immediately. Using the closing price on December 31, 2013, the value of such stock options upon exercise would have been $26,476,200. As of December 31, 2013, vested stock options of 10,000 were available for exercise. Using the closing price on December 31, 2013, the value of such vested shares would have been $1,470,900.</w:t>
      </w:r>
    </w:p>
    <w:p>
      <w:pPr>
        <w:ind w:left="340" w:hanging="332"/>
        <w:spacing w:after="0" w:line="182" w:lineRule="auto"/>
        <w:tabs>
          <w:tab w:leader="none" w:pos="340" w:val="left"/>
        </w:tabs>
        <w:numPr>
          <w:ilvl w:val="0"/>
          <w:numId w:val="4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complete disability or change in control, 100,000 shares of restricted stock would vest in full immediately. Using the closing price on December 31, 2013, the value of such 100,000 shares would have been $19,421,000, plus accrued dividends of $3,550,000.</w:t>
      </w:r>
    </w:p>
    <w:p>
      <w:pPr>
        <w:ind w:left="340" w:hanging="332"/>
        <w:spacing w:after="0" w:line="182" w:lineRule="auto"/>
        <w:tabs>
          <w:tab w:leader="none" w:pos="340" w:val="left"/>
        </w:tabs>
        <w:numPr>
          <w:ilvl w:val="0"/>
          <w:numId w:val="4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100,000 shares of restricted stock would vest on a prorated basis based on the number of months since the grant date. Using the closing price on December 31, 2013, the value of such 65,686 shares would have been $12,756,878, plus accrued dividends of $2,331,853.</w:t>
      </w:r>
    </w:p>
    <w:p>
      <w:pPr>
        <w:ind w:left="340" w:hanging="332"/>
        <w:spacing w:after="0" w:line="180" w:lineRule="auto"/>
        <w:tabs>
          <w:tab w:leader="none" w:pos="340" w:val="left"/>
        </w:tabs>
        <w:numPr>
          <w:ilvl w:val="0"/>
          <w:numId w:val="4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or a change in control, the Macau Executive Residence could be purchased by Ms. Chen for $1.00. The amount reflected in the table represents the fair market value of the residence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-1259205</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ind w:left="340" w:hanging="332"/>
        <w:spacing w:after="0" w:line="188" w:lineRule="auto"/>
        <w:tabs>
          <w:tab w:leader="none" w:pos="340" w:val="left"/>
        </w:tabs>
        <w:numPr>
          <w:ilvl w:val="0"/>
          <w:numId w:val="4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termination without cause, the retention award will vest on a prorated basis equal to the number of full calendar months elapsed between the grant date and the date of such termination of employment divided by 120.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20" w:type="dxa"/>
            <w:vAlign w:val="bottom"/>
            <w:gridSpan w:val="2"/>
          </w:tcPr>
          <w:p>
            <w:pPr>
              <w:spacing w:after="0"/>
              <w:rPr>
                <w:sz w:val="20"/>
                <w:szCs w:val="20"/>
                <w:color w:val="auto"/>
              </w:rPr>
            </w:pPr>
            <w:r>
              <w:rPr>
                <w:rFonts w:ascii="Arial" w:cs="Arial" w:eastAsia="Arial" w:hAnsi="Arial"/>
                <w:sz w:val="18"/>
                <w:szCs w:val="18"/>
                <w:b w:val="1"/>
                <w:bCs w:val="1"/>
                <w:color w:val="614A3D"/>
              </w:rPr>
              <w:t>Kim Sinatra</w:t>
            </w:r>
          </w:p>
        </w:tc>
        <w:tc>
          <w:tcPr>
            <w:tcW w:w="2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614A3D"/>
              </w:rPr>
              <w:t>Termination</w:t>
            </w:r>
          </w:p>
        </w:tc>
        <w:tc>
          <w:tcPr>
            <w:tcW w:w="19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06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614A3D"/>
              </w:rPr>
              <w:t>Termination Upon</w:t>
            </w:r>
          </w:p>
        </w:tc>
        <w:tc>
          <w:tcPr>
            <w:tcW w:w="2000" w:type="dxa"/>
            <w:vAlign w:val="bottom"/>
            <w:gridSpan w:val="2"/>
          </w:tcPr>
          <w:p>
            <w:pPr>
              <w:jc w:val="right"/>
              <w:ind w:right="112"/>
              <w:spacing w:after="0" w:line="202" w:lineRule="exact"/>
              <w:rPr>
                <w:sz w:val="20"/>
                <w:szCs w:val="20"/>
                <w:color w:val="auto"/>
              </w:rPr>
            </w:pPr>
            <w:r>
              <w:rPr>
                <w:rFonts w:ascii="Arial" w:cs="Arial" w:eastAsia="Arial" w:hAnsi="Arial"/>
                <w:sz w:val="18"/>
                <w:szCs w:val="18"/>
                <w:b w:val="1"/>
                <w:bCs w:val="1"/>
                <w:color w:val="614A3D"/>
              </w:rPr>
              <w:t>Without Cause at</w:t>
            </w:r>
          </w:p>
        </w:tc>
        <w:tc>
          <w:tcPr>
            <w:tcW w:w="19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060" w:type="dxa"/>
            <w:vAlign w:val="bottom"/>
            <w:gridSpan w:val="2"/>
          </w:tcPr>
          <w:p>
            <w:pPr>
              <w:jc w:val="right"/>
              <w:ind w:right="32"/>
              <w:spacing w:after="0" w:line="202" w:lineRule="exact"/>
              <w:rPr>
                <w:sz w:val="20"/>
                <w:szCs w:val="20"/>
                <w:color w:val="auto"/>
              </w:rPr>
            </w:pPr>
            <w:r>
              <w:rPr>
                <w:rFonts w:ascii="Arial" w:cs="Arial" w:eastAsia="Arial" w:hAnsi="Arial"/>
                <w:sz w:val="18"/>
                <w:szCs w:val="18"/>
                <w:b w:val="1"/>
                <w:bCs w:val="1"/>
                <w:color w:val="614A3D"/>
              </w:rPr>
              <w:t>Death or Complete</w:t>
            </w:r>
          </w:p>
        </w:tc>
        <w:tc>
          <w:tcPr>
            <w:tcW w:w="2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614A3D"/>
                <w:w w:val="97"/>
              </w:rPr>
              <w:t>Employer’s Election</w:t>
            </w:r>
          </w:p>
        </w:tc>
        <w:tc>
          <w:tcPr>
            <w:tcW w:w="194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21"/>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Disability</w:t>
            </w:r>
          </w:p>
        </w:tc>
        <w:tc>
          <w:tcPr>
            <w:tcW w:w="20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614A3D"/>
              </w:rPr>
              <w:t>During the Term</w:t>
            </w:r>
          </w:p>
        </w:tc>
        <w:tc>
          <w:tcPr>
            <w:tcW w:w="19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199"/>
        </w:trPr>
        <w:tc>
          <w:tcPr>
            <w:tcW w:w="20" w:type="dxa"/>
            <w:vAlign w:val="bottom"/>
          </w:tcPr>
          <w:p>
            <w:pPr>
              <w:spacing w:after="0"/>
              <w:rPr>
                <w:sz w:val="17"/>
                <w:szCs w:val="17"/>
                <w:color w:val="auto"/>
              </w:rPr>
            </w:pPr>
          </w:p>
        </w:tc>
        <w:tc>
          <w:tcPr>
            <w:tcW w:w="4400" w:type="dxa"/>
            <w:vAlign w:val="bottom"/>
          </w:tcPr>
          <w:p>
            <w:pPr>
              <w:spacing w:after="0" w:line="200" w:lineRule="exact"/>
              <w:rPr>
                <w:sz w:val="20"/>
                <w:szCs w:val="20"/>
                <w:color w:val="auto"/>
              </w:rPr>
            </w:pPr>
            <w:r>
              <w:rPr>
                <w:rFonts w:ascii="Arial" w:cs="Arial" w:eastAsia="Arial" w:hAnsi="Arial"/>
                <w:sz w:val="18"/>
                <w:szCs w:val="18"/>
                <w:b w:val="1"/>
                <w:bCs w:val="1"/>
                <w:color w:val="auto"/>
              </w:rPr>
              <w:t>Base Salary</w:t>
            </w:r>
          </w:p>
        </w:tc>
        <w:tc>
          <w:tcPr>
            <w:tcW w:w="306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Amount earned and</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0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unpaid through the</w:t>
            </w: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0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date of termination.</w:t>
            </w:r>
          </w:p>
        </w:tc>
        <w:tc>
          <w:tcPr>
            <w:tcW w:w="1020" w:type="dxa"/>
            <w:vAlign w:val="bottom"/>
          </w:tcPr>
          <w:p>
            <w:pPr>
              <w:jc w:val="center"/>
              <w:ind w:left="832"/>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800,000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Bonus</w:t>
            </w:r>
          </w:p>
        </w:tc>
        <w:tc>
          <w:tcPr>
            <w:tcW w:w="20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ind w:left="792"/>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4"/>
              </w:rPr>
              <w:t>1,600,000</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1,600,000</w:t>
            </w: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color w:val="auto"/>
              </w:rPr>
              <w:t>(1)(2)(3)(4)</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34,275,750</w:t>
            </w:r>
          </w:p>
        </w:tc>
        <w:tc>
          <w:tcPr>
            <w:tcW w:w="1020" w:type="dxa"/>
            <w:vAlign w:val="bottom"/>
          </w:tcPr>
          <w:p>
            <w:pPr>
              <w:jc w:val="center"/>
              <w:ind w:left="792"/>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4"/>
              </w:rPr>
              <w:t>8,021,897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12,212,250</w:t>
            </w: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Company Paid Life Insurance</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800,000</w:t>
            </w:r>
          </w:p>
        </w:tc>
        <w:tc>
          <w:tcPr>
            <w:tcW w:w="1020" w:type="dxa"/>
            <w:vAlign w:val="bottom"/>
          </w:tcPr>
          <w:p>
            <w:pPr>
              <w:spacing w:after="0"/>
              <w:rPr>
                <w:sz w:val="17"/>
                <w:szCs w:val="17"/>
                <w:color w:val="auto"/>
              </w:rPr>
            </w:pP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Tax Gross Up</w:t>
            </w:r>
          </w:p>
        </w:tc>
        <w:tc>
          <w:tcPr>
            <w:tcW w:w="20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9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color w:val="auto"/>
              </w:rPr>
              <w:t>(5)</w:t>
            </w:r>
          </w:p>
        </w:tc>
        <w:tc>
          <w:tcPr>
            <w:tcW w:w="20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7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47,634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47,634</w:t>
            </w:r>
          </w:p>
        </w:tc>
      </w:tr>
    </w:tbl>
    <w:p>
      <w:pPr>
        <w:spacing w:after="0" w:line="122" w:lineRule="exact"/>
        <w:rPr>
          <w:sz w:val="20"/>
          <w:szCs w:val="20"/>
          <w:color w:val="auto"/>
        </w:rPr>
      </w:pPr>
    </w:p>
    <w:p>
      <w:pPr>
        <w:jc w:val="both"/>
        <w:ind w:left="340" w:hanging="332"/>
        <w:spacing w:after="0" w:line="198"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75,000 would vest in full immediately. Using the closing price on December 31, 2013, the value of such stock options upon exercise would have been $6,469,500. Upon termination without cause, 75,000 stock options would vest on a prorated basis based on the number of months since the grant date, so long as the employee’s employment agreement with the Company has not terminated or expired. Using the closing price on December 31, 2013, the value of such 49,265 stock options upon exercise would have been $4,249,599.</w:t>
      </w:r>
    </w:p>
    <w:p>
      <w:pPr>
        <w:spacing w:after="0" w:line="1" w:lineRule="exact"/>
        <w:rPr>
          <w:rFonts w:ascii="Arial" w:cs="Arial" w:eastAsia="Arial" w:hAnsi="Arial"/>
          <w:sz w:val="22"/>
          <w:szCs w:val="22"/>
          <w:i w:val="1"/>
          <w:iCs w:val="1"/>
          <w:color w:val="auto"/>
          <w:vertAlign w:val="superscript"/>
        </w:rPr>
      </w:pPr>
    </w:p>
    <w:p>
      <w:pPr>
        <w:ind w:left="340" w:hanging="332"/>
        <w:spacing w:after="0" w:line="182" w:lineRule="auto"/>
        <w:tabs>
          <w:tab w:leader="none" w:pos="340"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or complete disability, unvested stock options of 150,000 would vest in full immediately. Using the closing price on December 31, 2013, the value of such stock options upon exercise would have been $22,063,500.</w:t>
      </w:r>
    </w:p>
    <w:p>
      <w:pPr>
        <w:jc w:val="both"/>
        <w:ind w:left="340" w:right="20" w:hanging="332"/>
        <w:spacing w:after="0" w:line="186"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25,000 shares of restricted stock would vest in full, so long as the employee’s employment agreement with the Company has not terminated or expired. Using the closing price on December 31, 2013, the value of such restricted stock grants upon vesting would have been $4,855,250, plus accrued dividends of $887,500.</w:t>
      </w:r>
    </w:p>
    <w:p>
      <w:pPr>
        <w:jc w:val="both"/>
        <w:ind w:left="340" w:hanging="332"/>
        <w:spacing w:after="0" w:line="186"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2013, the value of such 16,422 shares would have been $3,189,317 plus accrued dividends of $582,981.</w:t>
      </w:r>
    </w:p>
    <w:p>
      <w:pPr>
        <w:ind w:left="340" w:right="20" w:hanging="332"/>
        <w:spacing w:after="0" w:line="180" w:lineRule="auto"/>
        <w:tabs>
          <w:tab w:leader="none" w:pos="340" w:val="left"/>
        </w:tabs>
        <w:numPr>
          <w:ilvl w:val="0"/>
          <w:numId w:val="4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00" w:type="dxa"/>
            <w:vAlign w:val="bottom"/>
          </w:tcPr>
          <w:p>
            <w:pPr>
              <w:spacing w:after="0"/>
              <w:rPr>
                <w:sz w:val="20"/>
                <w:szCs w:val="20"/>
                <w:color w:val="auto"/>
              </w:rPr>
            </w:pPr>
            <w:r>
              <w:rPr>
                <w:rFonts w:ascii="Arial" w:cs="Arial" w:eastAsia="Arial" w:hAnsi="Arial"/>
                <w:sz w:val="18"/>
                <w:szCs w:val="18"/>
                <w:b w:val="1"/>
                <w:bCs w:val="1"/>
                <w:color w:val="614A3D"/>
              </w:rPr>
              <w:t>John Strzemp</w:t>
            </w: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5"/>
        </w:trPr>
        <w:tc>
          <w:tcPr>
            <w:tcW w:w="4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614A3D"/>
              </w:rPr>
              <w:t>Termination</w:t>
            </w:r>
          </w:p>
        </w:tc>
        <w:tc>
          <w:tcPr>
            <w:tcW w:w="18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500" w:type="dxa"/>
            <w:vAlign w:val="bottom"/>
          </w:tcPr>
          <w:p>
            <w:pPr>
              <w:spacing w:after="0"/>
              <w:rPr>
                <w:sz w:val="17"/>
                <w:szCs w:val="17"/>
                <w:color w:val="auto"/>
              </w:rPr>
            </w:pP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614A3D"/>
              </w:rPr>
              <w:t>Termination Upon</w:t>
            </w:r>
          </w:p>
        </w:tc>
        <w:tc>
          <w:tcPr>
            <w:tcW w:w="202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Without Cause at</w:t>
            </w:r>
          </w:p>
        </w:tc>
        <w:tc>
          <w:tcPr>
            <w:tcW w:w="18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500" w:type="dxa"/>
            <w:vAlign w:val="bottom"/>
          </w:tcPr>
          <w:p>
            <w:pPr>
              <w:spacing w:after="0"/>
              <w:rPr>
                <w:sz w:val="17"/>
                <w:szCs w:val="17"/>
                <w:color w:val="auto"/>
              </w:rPr>
            </w:pP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614A3D"/>
              </w:rPr>
              <w:t>Death or Complete</w:t>
            </w:r>
          </w:p>
        </w:tc>
        <w:tc>
          <w:tcPr>
            <w:tcW w:w="202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614A3D"/>
              </w:rPr>
              <w:t>Employer’s Election</w:t>
            </w:r>
          </w:p>
        </w:tc>
        <w:tc>
          <w:tcPr>
            <w:tcW w:w="18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21"/>
        </w:trPr>
        <w:tc>
          <w:tcPr>
            <w:tcW w:w="45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614A3D"/>
              </w:rPr>
              <w:t>Disability</w:t>
            </w:r>
          </w:p>
        </w:tc>
        <w:tc>
          <w:tcPr>
            <w:tcW w:w="20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614A3D"/>
              </w:rPr>
              <w:t>During the Term</w:t>
            </w:r>
          </w:p>
        </w:tc>
        <w:tc>
          <w:tcPr>
            <w:tcW w:w="1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Change in Control</w:t>
            </w:r>
          </w:p>
        </w:tc>
      </w:tr>
      <w:tr>
        <w:trPr>
          <w:trHeight w:val="199"/>
        </w:trPr>
        <w:tc>
          <w:tcPr>
            <w:tcW w:w="4500" w:type="dxa"/>
            <w:vAlign w:val="bottom"/>
          </w:tcPr>
          <w:p>
            <w:pPr>
              <w:ind w:left="2280"/>
              <w:spacing w:after="0" w:line="200" w:lineRule="exact"/>
              <w:rPr>
                <w:sz w:val="20"/>
                <w:szCs w:val="20"/>
                <w:color w:val="auto"/>
              </w:rPr>
            </w:pPr>
            <w:r>
              <w:rPr>
                <w:rFonts w:ascii="Arial" w:cs="Arial" w:eastAsia="Arial" w:hAnsi="Arial"/>
                <w:sz w:val="18"/>
                <w:szCs w:val="18"/>
                <w:color w:val="auto"/>
              </w:rPr>
              <w:t>Base Salary</w:t>
            </w:r>
          </w:p>
        </w:tc>
        <w:tc>
          <w:tcPr>
            <w:tcW w:w="3020" w:type="dxa"/>
            <w:vAlign w:val="bottom"/>
          </w:tcPr>
          <w:p>
            <w:pPr>
              <w:jc w:val="right"/>
              <w:ind w:right="72"/>
              <w:spacing w:after="0" w:line="200" w:lineRule="exact"/>
              <w:rPr>
                <w:sz w:val="20"/>
                <w:szCs w:val="20"/>
                <w:color w:val="auto"/>
              </w:rPr>
            </w:pPr>
            <w:r>
              <w:rPr>
                <w:rFonts w:ascii="Arial" w:cs="Arial" w:eastAsia="Arial" w:hAnsi="Arial"/>
                <w:sz w:val="18"/>
                <w:szCs w:val="18"/>
                <w:color w:val="auto"/>
              </w:rPr>
              <w:t>Amount earned and</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unpaid through the</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date of termination.</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2,437,500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4"/>
              </w:rPr>
              <w:t>2,437,500</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Bonus</w:t>
            </w: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4"/>
              </w:rPr>
              <w:t>4,875,000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4"/>
              </w:rPr>
              <w:t>4,875,000</w:t>
            </w:r>
          </w:p>
        </w:tc>
      </w:tr>
      <w:tr>
        <w:trPr>
          <w:trHeight w:val="203"/>
        </w:trPr>
        <w:tc>
          <w:tcPr>
            <w:tcW w:w="4500" w:type="dxa"/>
            <w:vAlign w:val="bottom"/>
          </w:tcPr>
          <w:p>
            <w:pPr>
              <w:spacing w:after="0" w:line="203"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color w:val="auto"/>
                <w:vertAlign w:val="superscript"/>
              </w:rPr>
              <w:t>(1)</w:t>
            </w: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$750,000</w:t>
            </w:r>
          </w:p>
        </w:tc>
        <w:tc>
          <w:tcPr>
            <w:tcW w:w="10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30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spacing w:after="0"/>
              <w:rPr>
                <w:sz w:val="17"/>
                <w:szCs w:val="17"/>
                <w:color w:val="auto"/>
              </w:rPr>
            </w:pP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90"/>
        </w:trPr>
        <w:tc>
          <w:tcPr>
            <w:tcW w:w="450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color w:val="auto"/>
                <w:vertAlign w:val="superscript"/>
              </w:rPr>
              <w:t>(2)</w:t>
            </w:r>
          </w:p>
        </w:tc>
        <w:tc>
          <w:tcPr>
            <w:tcW w:w="3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169,767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169,767</w:t>
            </w:r>
          </w:p>
        </w:tc>
      </w:tr>
    </w:tbl>
    <w:p>
      <w:pPr>
        <w:ind w:left="340" w:hanging="332"/>
        <w:spacing w:after="0" w:line="195"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for any reason, any of his 25,000 shares of restricted stock that have not vested as of December 31, 2013, would be forfeited.</w:t>
      </w:r>
    </w:p>
    <w:p>
      <w:pPr>
        <w:ind w:left="340" w:right="20" w:hanging="332"/>
        <w:spacing w:after="0" w:line="180" w:lineRule="auto"/>
        <w:tabs>
          <w:tab w:leader="none" w:pos="340" w:val="left"/>
        </w:tabs>
        <w:numPr>
          <w:ilvl w:val="0"/>
          <w:numId w:val="4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Marc D. Schorr</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entered into a resignation and release with Mr. Schorr, pursuant to which Mr. Schorr resigned from his position as Chief Operating Officer of the Company on June 1, 2013. In consideration of the terms set forth in the agreement, Mr. Schorr received salary and any accrued vacation through June 1, 2013, and will receive health care benefits coverage for himself and his dependents until the earlier of June 1, 2018 or Mr. Schorr’s death. In addition, 200,000 unvested shares granted to Mr. Schorr under a restricted stock agreement, and associated accrued cash dividends, vested and were paid as of May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Securities Authorized for Issuance Under Equity Compensation Plans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summarizes, as of December 31, 2013, compensation plans under which our equity securities are authorized for issuance, aggregated as to: (i) all compensation plans previously approved by stockholders; and (ii) all compensation plans not previously approved by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614A3D"/>
              </w:rPr>
              <w:t>Number of Securities</w:t>
            </w:r>
          </w:p>
        </w:tc>
      </w:tr>
      <w:tr>
        <w:trPr>
          <w:trHeight w:val="203"/>
        </w:trPr>
        <w:tc>
          <w:tcPr>
            <w:tcW w:w="4380" w:type="dxa"/>
            <w:vAlign w:val="bottom"/>
          </w:tcPr>
          <w:p>
            <w:pPr>
              <w:spacing w:after="0"/>
              <w:rPr>
                <w:sz w:val="17"/>
                <w:szCs w:val="17"/>
                <w:color w:val="auto"/>
              </w:rPr>
            </w:pPr>
          </w:p>
        </w:tc>
        <w:tc>
          <w:tcPr>
            <w:tcW w:w="21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w w:val="96"/>
              </w:rPr>
              <w:t>Number of Securities</w:t>
            </w:r>
          </w:p>
        </w:tc>
        <w:tc>
          <w:tcPr>
            <w:tcW w:w="2380" w:type="dxa"/>
            <w:vAlign w:val="bottom"/>
          </w:tcPr>
          <w:p>
            <w:pPr>
              <w:spacing w:after="0"/>
              <w:rPr>
                <w:sz w:val="17"/>
                <w:szCs w:val="17"/>
                <w:color w:val="auto"/>
              </w:rPr>
            </w:pPr>
          </w:p>
        </w:tc>
        <w:tc>
          <w:tcPr>
            <w:tcW w:w="2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614A3D"/>
              </w:rPr>
              <w:t>Remaining Available</w:t>
            </w:r>
          </w:p>
        </w:tc>
      </w:tr>
      <w:tr>
        <w:trPr>
          <w:trHeight w:val="203"/>
        </w:trPr>
        <w:tc>
          <w:tcPr>
            <w:tcW w:w="4380" w:type="dxa"/>
            <w:vAlign w:val="bottom"/>
          </w:tcPr>
          <w:p>
            <w:pPr>
              <w:spacing w:after="0"/>
              <w:rPr>
                <w:sz w:val="17"/>
                <w:szCs w:val="17"/>
                <w:color w:val="auto"/>
              </w:rPr>
            </w:pPr>
          </w:p>
        </w:tc>
        <w:tc>
          <w:tcPr>
            <w:tcW w:w="21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to be Issued Upon</w:t>
            </w:r>
          </w:p>
        </w:tc>
        <w:tc>
          <w:tcPr>
            <w:tcW w:w="23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Weighted-Average</w:t>
            </w:r>
          </w:p>
        </w:tc>
        <w:tc>
          <w:tcPr>
            <w:tcW w:w="2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614A3D"/>
              </w:rPr>
              <w:t>for Future Issuance</w:t>
            </w:r>
          </w:p>
        </w:tc>
      </w:tr>
      <w:tr>
        <w:trPr>
          <w:trHeight w:val="203"/>
        </w:trPr>
        <w:tc>
          <w:tcPr>
            <w:tcW w:w="4380" w:type="dxa"/>
            <w:vAlign w:val="bottom"/>
          </w:tcPr>
          <w:p>
            <w:pPr>
              <w:spacing w:after="0"/>
              <w:rPr>
                <w:sz w:val="17"/>
                <w:szCs w:val="17"/>
                <w:color w:val="auto"/>
              </w:rPr>
            </w:pPr>
          </w:p>
        </w:tc>
        <w:tc>
          <w:tcPr>
            <w:tcW w:w="21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Exercise of</w:t>
            </w:r>
          </w:p>
        </w:tc>
        <w:tc>
          <w:tcPr>
            <w:tcW w:w="23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Exercise Price</w:t>
            </w:r>
          </w:p>
        </w:tc>
        <w:tc>
          <w:tcPr>
            <w:tcW w:w="2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614A3D"/>
              </w:rPr>
              <w:t>Under Equity</w:t>
            </w:r>
          </w:p>
        </w:tc>
      </w:tr>
      <w:tr>
        <w:trPr>
          <w:trHeight w:val="203"/>
        </w:trPr>
        <w:tc>
          <w:tcPr>
            <w:tcW w:w="4380" w:type="dxa"/>
            <w:vAlign w:val="bottom"/>
          </w:tcPr>
          <w:p>
            <w:pPr>
              <w:spacing w:after="0"/>
              <w:rPr>
                <w:sz w:val="17"/>
                <w:szCs w:val="17"/>
                <w:color w:val="auto"/>
              </w:rPr>
            </w:pPr>
          </w:p>
        </w:tc>
        <w:tc>
          <w:tcPr>
            <w:tcW w:w="21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Outstanding</w:t>
            </w:r>
          </w:p>
        </w:tc>
        <w:tc>
          <w:tcPr>
            <w:tcW w:w="23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of Outstanding</w:t>
            </w:r>
          </w:p>
        </w:tc>
        <w:tc>
          <w:tcPr>
            <w:tcW w:w="2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614A3D"/>
              </w:rPr>
              <w:t>Compensation Plans</w:t>
            </w:r>
          </w:p>
        </w:tc>
      </w:tr>
      <w:tr>
        <w:trPr>
          <w:trHeight w:val="203"/>
        </w:trPr>
        <w:tc>
          <w:tcPr>
            <w:tcW w:w="4380" w:type="dxa"/>
            <w:vAlign w:val="bottom"/>
          </w:tcPr>
          <w:p>
            <w:pPr>
              <w:spacing w:after="0"/>
              <w:rPr>
                <w:sz w:val="17"/>
                <w:szCs w:val="17"/>
                <w:color w:val="auto"/>
              </w:rPr>
            </w:pPr>
          </w:p>
        </w:tc>
        <w:tc>
          <w:tcPr>
            <w:tcW w:w="21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Options, Warrants</w:t>
            </w:r>
          </w:p>
        </w:tc>
        <w:tc>
          <w:tcPr>
            <w:tcW w:w="23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Options, Warrants</w:t>
            </w:r>
          </w:p>
        </w:tc>
        <w:tc>
          <w:tcPr>
            <w:tcW w:w="2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614A3D"/>
              </w:rPr>
              <w:t>(excluding securities</w:t>
            </w:r>
          </w:p>
        </w:tc>
      </w:tr>
      <w:tr>
        <w:trPr>
          <w:trHeight w:val="203"/>
        </w:trPr>
        <w:tc>
          <w:tcPr>
            <w:tcW w:w="4380" w:type="dxa"/>
            <w:vAlign w:val="bottom"/>
          </w:tcPr>
          <w:p>
            <w:pPr>
              <w:spacing w:after="0"/>
              <w:rPr>
                <w:sz w:val="17"/>
                <w:szCs w:val="17"/>
                <w:color w:val="auto"/>
              </w:rPr>
            </w:pPr>
          </w:p>
        </w:tc>
        <w:tc>
          <w:tcPr>
            <w:tcW w:w="21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 xml:space="preserve">and Rights </w:t>
            </w:r>
            <w:r>
              <w:rPr>
                <w:rFonts w:ascii="Arial" w:cs="Arial" w:eastAsia="Arial" w:hAnsi="Arial"/>
                <w:sz w:val="11"/>
                <w:szCs w:val="11"/>
                <w:b w:val="1"/>
                <w:bCs w:val="1"/>
                <w:color w:val="614A3D"/>
              </w:rPr>
              <w:t>(1)</w:t>
            </w:r>
          </w:p>
        </w:tc>
        <w:tc>
          <w:tcPr>
            <w:tcW w:w="238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614A3D"/>
              </w:rPr>
              <w:t>and Rights</w:t>
            </w:r>
          </w:p>
        </w:tc>
        <w:tc>
          <w:tcPr>
            <w:tcW w:w="24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614A3D"/>
              </w:rPr>
              <w:t>reflected in column (a))</w:t>
            </w:r>
          </w:p>
        </w:tc>
      </w:tr>
      <w:tr>
        <w:trPr>
          <w:trHeight w:val="23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Plan Category</w:t>
            </w:r>
          </w:p>
        </w:tc>
        <w:tc>
          <w:tcPr>
            <w:tcW w:w="2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614A3D"/>
              </w:rPr>
              <w:t>(a)</w:t>
            </w:r>
          </w:p>
        </w:tc>
        <w:tc>
          <w:tcPr>
            <w:tcW w:w="2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614A3D"/>
              </w:rPr>
              <w:t>(b)</w:t>
            </w:r>
          </w:p>
        </w:tc>
        <w:tc>
          <w:tcPr>
            <w:tcW w:w="2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614A3D"/>
              </w:rPr>
              <w:t>(c)</w:t>
            </w:r>
          </w:p>
        </w:tc>
      </w:tr>
      <w:tr>
        <w:trPr>
          <w:trHeight w:val="294"/>
        </w:trPr>
        <w:tc>
          <w:tcPr>
            <w:tcW w:w="4380" w:type="dxa"/>
            <w:vAlign w:val="bottom"/>
          </w:tcPr>
          <w:p>
            <w:pPr>
              <w:spacing w:after="0"/>
              <w:rPr>
                <w:sz w:val="20"/>
                <w:szCs w:val="20"/>
                <w:color w:val="auto"/>
              </w:rPr>
            </w:pPr>
            <w:r>
              <w:rPr>
                <w:rFonts w:ascii="Arial" w:cs="Arial" w:eastAsia="Arial" w:hAnsi="Arial"/>
                <w:sz w:val="18"/>
                <w:szCs w:val="18"/>
                <w:color w:val="auto"/>
              </w:rPr>
              <w:t>Equity compensation plans approved by</w:t>
            </w:r>
          </w:p>
        </w:tc>
        <w:tc>
          <w:tcPr>
            <w:tcW w:w="2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380" w:type="dxa"/>
            <w:vAlign w:val="bottom"/>
          </w:tcPr>
          <w:p>
            <w:pPr>
              <w:ind w:left="220"/>
              <w:spacing w:after="0"/>
              <w:rPr>
                <w:sz w:val="20"/>
                <w:szCs w:val="20"/>
                <w:color w:val="auto"/>
              </w:rPr>
            </w:pPr>
            <w:r>
              <w:rPr>
                <w:rFonts w:ascii="Arial" w:cs="Arial" w:eastAsia="Arial" w:hAnsi="Arial"/>
                <w:sz w:val="18"/>
                <w:szCs w:val="18"/>
                <w:color w:val="auto"/>
              </w:rPr>
              <w:t>security holders</w:t>
            </w:r>
          </w:p>
        </w:tc>
        <w:tc>
          <w:tcPr>
            <w:tcW w:w="2180" w:type="dxa"/>
            <w:vAlign w:val="bottom"/>
          </w:tcPr>
          <w:p>
            <w:pPr>
              <w:jc w:val="right"/>
              <w:ind w:right="332"/>
              <w:spacing w:after="0"/>
              <w:rPr>
                <w:sz w:val="20"/>
                <w:szCs w:val="20"/>
                <w:color w:val="auto"/>
              </w:rPr>
            </w:pPr>
            <w:r>
              <w:rPr>
                <w:rFonts w:ascii="Arial" w:cs="Arial" w:eastAsia="Arial" w:hAnsi="Arial"/>
                <w:sz w:val="18"/>
                <w:szCs w:val="18"/>
                <w:color w:val="auto"/>
              </w:rPr>
              <w:t>1,606,309</w:t>
            </w:r>
          </w:p>
        </w:tc>
        <w:tc>
          <w:tcPr>
            <w:tcW w:w="2380" w:type="dxa"/>
            <w:vAlign w:val="bottom"/>
          </w:tcPr>
          <w:p>
            <w:pPr>
              <w:jc w:val="right"/>
              <w:ind w:right="332"/>
              <w:spacing w:after="0"/>
              <w:rPr>
                <w:sz w:val="20"/>
                <w:szCs w:val="20"/>
                <w:color w:val="auto"/>
              </w:rPr>
            </w:pPr>
            <w:r>
              <w:rPr>
                <w:rFonts w:ascii="Arial" w:cs="Arial" w:eastAsia="Arial" w:hAnsi="Arial"/>
                <w:sz w:val="18"/>
                <w:szCs w:val="18"/>
                <w:color w:val="auto"/>
              </w:rPr>
              <w:t>$75.89</w:t>
            </w:r>
          </w:p>
        </w:tc>
        <w:tc>
          <w:tcPr>
            <w:tcW w:w="2380" w:type="dxa"/>
            <w:vAlign w:val="bottom"/>
          </w:tcPr>
          <w:p>
            <w:pPr>
              <w:jc w:val="right"/>
              <w:spacing w:after="0"/>
              <w:rPr>
                <w:sz w:val="20"/>
                <w:szCs w:val="20"/>
                <w:color w:val="auto"/>
              </w:rPr>
            </w:pPr>
            <w:r>
              <w:rPr>
                <w:rFonts w:ascii="Arial" w:cs="Arial" w:eastAsia="Arial" w:hAnsi="Arial"/>
                <w:sz w:val="18"/>
                <w:szCs w:val="18"/>
                <w:color w:val="auto"/>
              </w:rPr>
              <w:t>4,438,524</w:t>
            </w:r>
          </w:p>
        </w:tc>
        <w:tc>
          <w:tcPr>
            <w:tcW w:w="100" w:type="dxa"/>
            <w:vAlign w:val="bottom"/>
          </w:tcPr>
          <w:p>
            <w:pPr>
              <w:spacing w:after="0"/>
              <w:rPr>
                <w:sz w:val="18"/>
                <w:szCs w:val="18"/>
                <w:color w:val="auto"/>
              </w:rPr>
            </w:pPr>
          </w:p>
        </w:tc>
      </w:tr>
      <w:tr>
        <w:trPr>
          <w:trHeight w:val="302"/>
        </w:trPr>
        <w:tc>
          <w:tcPr>
            <w:tcW w:w="438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2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4380" w:type="dxa"/>
            <w:vAlign w:val="bottom"/>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2180" w:type="dxa"/>
            <w:vAlign w:val="bottom"/>
          </w:tcPr>
          <w:p>
            <w:pPr>
              <w:jc w:val="right"/>
              <w:ind w:right="372"/>
              <w:spacing w:after="0" w:line="200" w:lineRule="exact"/>
              <w:rPr>
                <w:sz w:val="20"/>
                <w:szCs w:val="20"/>
                <w:color w:val="auto"/>
              </w:rPr>
            </w:pPr>
            <w:r>
              <w:rPr>
                <w:rFonts w:ascii="Arial" w:cs="Arial" w:eastAsia="Arial" w:hAnsi="Arial"/>
                <w:sz w:val="18"/>
                <w:szCs w:val="18"/>
                <w:color w:val="auto"/>
              </w:rPr>
              <w:t>—</w:t>
            </w:r>
          </w:p>
        </w:tc>
        <w:tc>
          <w:tcPr>
            <w:tcW w:w="2380" w:type="dxa"/>
            <w:vAlign w:val="bottom"/>
          </w:tcPr>
          <w:p>
            <w:pPr>
              <w:jc w:val="right"/>
              <w:ind w:right="392"/>
              <w:spacing w:after="0" w:line="200" w:lineRule="exact"/>
              <w:rPr>
                <w:sz w:val="20"/>
                <w:szCs w:val="20"/>
                <w:color w:val="auto"/>
              </w:rPr>
            </w:pPr>
            <w:r>
              <w:rPr>
                <w:rFonts w:ascii="Arial" w:cs="Arial" w:eastAsia="Arial" w:hAnsi="Arial"/>
                <w:sz w:val="18"/>
                <w:szCs w:val="18"/>
                <w:color w:val="auto"/>
              </w:rPr>
              <w:t>—</w:t>
            </w:r>
          </w:p>
        </w:tc>
        <w:tc>
          <w:tcPr>
            <w:tcW w:w="2480" w:type="dxa"/>
            <w:vAlign w:val="bottom"/>
            <w:gridSpan w:val="2"/>
          </w:tcPr>
          <w:p>
            <w:pPr>
              <w:ind w:left="2140"/>
              <w:spacing w:after="0" w:line="200" w:lineRule="exact"/>
              <w:rPr>
                <w:sz w:val="20"/>
                <w:szCs w:val="20"/>
                <w:color w:val="auto"/>
              </w:rPr>
            </w:pPr>
            <w:r>
              <w:rPr>
                <w:rFonts w:ascii="Arial" w:cs="Arial" w:eastAsia="Arial" w:hAnsi="Arial"/>
                <w:sz w:val="18"/>
                <w:szCs w:val="18"/>
                <w:color w:val="auto"/>
              </w:rPr>
              <w:t>—</w:t>
            </w:r>
          </w:p>
        </w:tc>
      </w:tr>
      <w:tr>
        <w:trPr>
          <w:trHeight w:val="318"/>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1,606,309</w:t>
            </w:r>
          </w:p>
        </w:tc>
        <w:tc>
          <w:tcPr>
            <w:tcW w:w="23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$75.89</w:t>
            </w:r>
          </w:p>
        </w:tc>
        <w:tc>
          <w:tcPr>
            <w:tcW w:w="2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4,438,524</w:t>
            </w:r>
          </w:p>
        </w:tc>
        <w:tc>
          <w:tcPr>
            <w:tcW w:w="100" w:type="dxa"/>
            <w:vAlign w:val="bottom"/>
          </w:tcPr>
          <w:p>
            <w:pPr>
              <w:spacing w:after="0"/>
              <w:rPr>
                <w:sz w:val="24"/>
                <w:szCs w:val="24"/>
                <w:color w:val="auto"/>
              </w:rPr>
            </w:pPr>
          </w:p>
        </w:tc>
      </w:tr>
    </w:tbl>
    <w:p>
      <w:pPr>
        <w:spacing w:after="0" w:line="147" w:lineRule="exact"/>
        <w:rPr>
          <w:sz w:val="20"/>
          <w:szCs w:val="20"/>
          <w:color w:val="auto"/>
        </w:rPr>
      </w:pPr>
    </w:p>
    <w:p>
      <w:pPr>
        <w:ind w:left="340" w:hanging="332"/>
        <w:spacing w:after="0" w:line="188" w:lineRule="auto"/>
        <w:tabs>
          <w:tab w:leader="none" w:pos="340" w:val="left"/>
        </w:tabs>
        <w:numPr>
          <w:ilvl w:val="0"/>
          <w:numId w:val="4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This amount excludes restricted stock awards issued. In addition to the above, there are 397,500 shares of unvested restricted stock awards outstanding under the stockholder-approved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-81280</wp:posOffset>
            </wp:positionV>
            <wp:extent cx="137223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Stockholders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6, 2010, Mr. Wynn, the Chairman of the Board and Chief Executive Officer of the Company, Ms. Elaine 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a director of the Company, and Aruze, each of whom were then greater than 5% stockholders of the Company, entered into an amended and restated stockholders agreement (the “Amended and Restated Stockholders Agreement”) which amended and restated the stockholders agreement between Mr. Wynn and Aruze (which had been entered into as of April 11, 2002, as amended as of November 8, 2006, and was subject to waivers and consents, dated July 31, 2009, and August 13, 2009). Pursuant to the Amended and Restated Stockholders Agreement, Ms. Elaine P. Wynn (a) became a party to the Amended and Restated Stockholders Agreement in connection with her ownership of 11,076,709 shares of the Company’s Common Stock that were transferred to Ms.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Elaine P. Wynn and, so long as such slate results in a majority of directors at all times being candidates endorsed by Mr. Wynn, nominees approved by Aruze. As a result of the share redemption described below, the shares previously held by Aruze are no longer issued and outstanding and neither Mr. Wynn nor Ms. Wynn has or shares the power to vote or dispose of the Former Aruze Shares, as defined below. Further, by virtue of that redemption, neither Mr. Wynn nor Ms. Wynn remains a member of any “group” with Aruze nor is either of Mr. Wynn or Ms. Wynn otherwise a beneficial owner of the Former Aruze Shares.</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Share Redemption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18, 2012, the Company redeemed and cancelled the 24,549,222 shares of the Company’s Common Stock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by Aruze (the “Former Aruze Shares”), pursuant to Article VII of the Company’s Articles. The share redemption was based upon the determination of the Company’s Board that Aruze, Universal Entertainment Corporation and Mr. Kazuo Okada are “Unsuitable Persons” under the provisions of the Company’s Articles. Following a finding of “unsuitability,” the Articles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held by Aruze, under the terms of the Stockholder Agreement. Pursuant to the Articles, Wynn Resorts issued the Redemption Price Promissory Note (the “Note”) to Aruze in redemption of the shares.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Note has a principal amount of $1,936,442,631.36, matures on February 18, 2022 and bears interest at the rate of 2% per annum, payable annually in arrears on each anniversary of the date of the Note. As of February 14, 2014, there was an amount of $1.94 billion outstanding on the Note. On February 14, 2013, and February 14, 2014, the Company issued a check to Aruze in the amount of $38.7 million, representing the interest payment due on the Redemption Note at those times. However, those checks were not cashed. The parties engaged in discussions regarding the terms of an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contemplated by the Court’s order. However, the Okada Parties recently advised of their intent to deposit any checks for interest and principal, past and future, due under the terms of the Redemption Note to the Clerk of the Court for deposit into the Clerk’s Trust Account (see Item 3—“Legal Proceedings” in the Company’s Annual Report on Form 10-K for the year ended December 31, 2013).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for deposit into the Clerk’s Trust Account and filed a Notice with the Court with respect to the same. The Company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the Company or as specifically mandated by law. The indebtedness evidenced by the Note is and shall be subordinated in right of payment, to the extent and in the manner provided in the Note, to the prior payment in full of all existing and future obligations of the Company or any of its affiliates in respect of indebtedness for borrowed money of any kind or nature. The Company, the then members of the Board who authorized the share redemption and the Company’s General Counsel are currently involved in litigation with Mr. Okada, Aruze and Universal Entertainment Corporation (collectively, the “Okada Parties”) relating to the redemption of the Former Aruze Shares as well as various related matters. In that litigation, the Okada Parties have sought, among other things, a declaration that the redemption of the Former Aruze Shares was void, an injunction restoring Aruze’s share ownership, damages in an unspecified amount and rescission of the Stockholders Agreement. For a description of these proceedings see Item 3 —“Legal Proceedings” in the Company’s Annual Report on Form 10-K for the year ended December 31, 2013. Further, Kazuo Okada informed the Board of his resignation on February 21, 2013, and on February 22, 2013, the Company’s stockholders voted to remove Kazuo Okada from the Board.</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Artwork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2006, Wynn Las Vegas, LLC has leased certain pieces of fine art from Mr. Wynn for an annual fee of one dollar ($1).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is responsible for all expenses incurred in exhibiting and safeguarding those works that it exhibits under the lease, including the cost of insurance (including terrorism insurance) and taxes.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The “Wynn” Surname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6, 2004, the Company entered into agreements with Mr. Wynn that confirm and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Villa 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18, 2010, Mr. Wynn and Wynn Las Vegas entered into an Amended and Restated Agreement of Lease (the “Prior SW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for a villa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was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 On May 7, 2013, Wynn Las Vegas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appraisal. On November 7, 2013, Mr. Wynn and Wynn Las Vegas entered into a 2013 Second Amended and Restated Agreement of Lease (the “New SW Lease”) amending and restating the Existing SW Lease, effective as of November 5, 2013. The New SW Lease was approved by the Audit Committee of the Board of Directors of Wynn Resorts. Pursuant to the New SW Lease, effective as of November 5, 2013 and ending on February 28, 2015, Mr. Wynn will pay Wynn Las Vegas annual rent for the villa of $525,000, which amount was determined to be the fair market value of the accommodations based on a third-party appraisal and which is consistent with the rental value under the Existing SW Lease. In addition, pursuant to the New SW Lease, the Company pays for all capital improvements to the villa and will reimburse Mr. Wynn for all amounts he previously paid the Company for capital improvements to the villa in 2012 and 2013. The rental value for the villa will be re-determined every two years during the term of the New SW Lease by the Audit Committee. Certain services for, and maintenance of, the villa are included in the rental.</w:t>
      </w:r>
    </w:p>
    <w:p>
      <w:pPr>
        <w:spacing w:after="0" w:line="14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Home Purchase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May 2010, the Company entered into an employment agreement with Linda Chen, who is an Executive Director and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of Wynn Macau, Limited and President of Wynn International Marketing,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029335" cy="4457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term of the employment agreement is through February 24, 2020. Under the terms of the employment agreement, the Company purchased a home in Macau for use by Ms. Chen and has made renovations to the home with total costs of $9.4 million through December 31, 2013.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in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i w:val="1"/>
          <w:iCs w:val="1"/>
          <w:color w:val="auto"/>
        </w:rPr>
        <w:t>Aircraft Arrangements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Wynn has a time sharing agreement with Las Vegas Jet, LLC, a wholly owned indirect subsidiary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covering his personal use of Company-owned aircraft. Mr. Schorr, the Company’s former Chief Operating Officer, had a similar agreement prior to his retirement. These time share agreements require the Company to include as taxable compensation of such executive, the direct costs that the Company incurs in operating the aircraft, up to an amount determined by using the Internal Revenue Service Standard Industry Fare Level (SIFL) tables for his personal use of the aircraft. During 2013, the following amounts were included in the executives’ taxable compensation pursuant to these time sharing arrangements: Mr. Wynn $504,629; and Mr. Schorr $39,345. In the event that direct costs in operating the aircraft exceed the amounts determined by using the SIFL method, such additional costs are paid for by the Company. However, in connection with our regular review we made significant changes to our compensation programs. Upon stockholder approval of the adoption of our 2014 Plan, this agreement will be amended to, among other things, provide that he will reimburse the Company for certain expenses for his personal use of Company aircraft.</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Reimbursable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2013, Mr. Wynn and Ms. Elaine P. Wynn had net deposit balances with the Company of $595,235 and $64,926, respectively.</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Plane Option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3, 2013, the Company and Mr. Wynn entered into an agreement pursuant to which Mr. Wynn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2020.</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Tax Indemnification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2002, Stephen A. Wynn, Aruze, Baron Asset Fund, and the Kenneth R. Wynn Family Trust (referred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above, the Company (or its subsidiaries) (a) employed through October 5, 2013, Eddie Tseng, the spouse of Ms. Chen,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Wynn International Marketing, as Senior Vice President of Customer Development of Worldwide Wynn, LLC; (b) employs Michael Pascal, the brother of Ms. Elaine P. Wynn, as a Senior Executive Host of Wynn Las Vegas; and (c) employs Michael Pascal’s wife, Mary Ann Pascal, as a Host at Wynn Las Vegas. The Audit Committee of the Company approved each such employment arrangement in advance and determined that compensation was at (or below) levels paid to non-family members. Total compensation paid to the above-named individuals for 2013 included the following amounts calculated in the same manner as the Summary Compensation Table values presented for NEOs: (a) to Eddie Tseng, base salary of $230,231, and other compensation of $857; (b) to Michael Pascal, base salary and bonus of $142,500, and other compensation of $2,762; and (c) to Mary Ann Pascal, base salary and bonus of $260,000, and other compensation of $824. The Company anticipates that Michael and Mary Ann Pascal will continue to serve in their respective positions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029335" cy="4457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-81280</wp:posOffset>
            </wp:positionV>
            <wp:extent cx="45720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public accountants to examine and report to our stockholders on the consolidated financial statements of our Company and its subsidiaries for the year 2014. Representatives of Ernst &amp; Young LLP will be present at the Annual Meeting and will be given an opportunity to make a statement. They also will be available to respond to appropriate questions.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2014,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Audit and Other Fees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for each of the fiscal years ended December 31, 2013, and December 31, 2012:</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22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614A3D"/>
              </w:rPr>
              <w:t>Category</w:t>
            </w:r>
          </w:p>
        </w:tc>
        <w:tc>
          <w:tcPr>
            <w:tcW w:w="284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b w:val="1"/>
                <w:bCs w:val="1"/>
                <w:color w:val="614A3D"/>
              </w:rPr>
              <w:t>Aggregate Fees</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614A3D"/>
              </w:rPr>
              <w:t>2013</w:t>
            </w:r>
          </w:p>
        </w:tc>
        <w:tc>
          <w:tcPr>
            <w:tcW w:w="12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614A3D"/>
              </w:rPr>
              <w:t>2012</w:t>
            </w:r>
          </w:p>
        </w:tc>
        <w:tc>
          <w:tcPr>
            <w:tcW w:w="0" w:type="dxa"/>
            <w:vAlign w:val="bottom"/>
          </w:tcPr>
          <w:p>
            <w:pPr>
              <w:spacing w:after="0"/>
              <w:rPr>
                <w:sz w:val="1"/>
                <w:szCs w:val="1"/>
                <w:color w:val="auto"/>
              </w:rPr>
            </w:pPr>
          </w:p>
        </w:tc>
      </w:tr>
      <w:tr>
        <w:trPr>
          <w:trHeight w:val="253"/>
        </w:trPr>
        <w:tc>
          <w:tcPr>
            <w:tcW w:w="5840" w:type="dxa"/>
            <w:vAlign w:val="bottom"/>
          </w:tcPr>
          <w:p>
            <w:pPr>
              <w:spacing w:after="0"/>
              <w:rPr>
                <w:sz w:val="20"/>
                <w:szCs w:val="20"/>
                <w:color w:val="auto"/>
              </w:rPr>
            </w:pPr>
            <w:r>
              <w:rPr>
                <w:rFonts w:ascii="Arial" w:cs="Arial" w:eastAsia="Arial" w:hAnsi="Arial"/>
                <w:sz w:val="18"/>
                <w:szCs w:val="18"/>
                <w:color w:val="auto"/>
              </w:rPr>
              <w:t>Audit fees</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$1,732,919</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$1,785,572</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5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30,000</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15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328,980</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282,827</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All other fees</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59,538</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402,563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2013, and 2012, and the audit of our internal controls over financial reporting as of December 31, 2013, and 2012. “Audit fees” also include amounts billed for services provided in connection with securities offerings, audit related accounting consultations and statutory audits of certain subsidiaries of the Company. “Audit-related fees” include the aggregate fees billed for audits of the Company’s defined contribution employee benefit plan. “Tax fees” include fees for international tax research, planning for the Company’s foreign subsidiaries, domestic tax planning and other research. “All other fees” consisted of due diligence services. All of our independent auditor’s fees were pre-approved by the Audit Committee in 2013. The Audit Committee pre-approves services either by:</w:t>
      </w:r>
    </w:p>
    <w:p>
      <w:pPr>
        <w:spacing w:after="0" w:line="2" w:lineRule="exact"/>
        <w:rPr>
          <w:sz w:val="20"/>
          <w:szCs w:val="20"/>
          <w:color w:val="auto"/>
        </w:rPr>
      </w:pPr>
    </w:p>
    <w:p>
      <w:pPr>
        <w:ind w:firstLine="8"/>
        <w:spacing w:after="0" w:line="239" w:lineRule="auto"/>
        <w:tabs>
          <w:tab w:leader="none" w:pos="2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231775</wp:posOffset>
            </wp:positionV>
            <wp:extent cx="7276465" cy="4673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383" w:lineRule="exact"/>
        <w:rPr>
          <w:sz w:val="20"/>
          <w:szCs w:val="20"/>
          <w:color w:val="auto"/>
        </w:rPr>
      </w:pPr>
    </w:p>
    <w:p>
      <w:pPr>
        <w:jc w:val="center"/>
        <w:ind w:left="320" w:right="166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RATIFICATION OF THE APPOINTMENT OF ERNST &amp; YOUNG LLP AS THE COMPANY’S INDEPENDENT PUBLIC ACCOUNTANTS FOR THE YEAR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29335" cy="4457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43"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-62230</wp:posOffset>
            </wp:positionV>
            <wp:extent cx="9150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and discussed with management the Company’s audited financial statements for the year ended December 31, 2013. We have discussed with the independent registered public accounting firm the matters required to be discussed by the rules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2013, filed with the SEC.</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Audit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 Boone Wayson,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Robert J. Miller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5500"/>
        <w:spacing w:after="0" w:line="286" w:lineRule="auto"/>
        <w:rPr>
          <w:sz w:val="20"/>
          <w:szCs w:val="20"/>
          <w:color w:val="auto"/>
        </w:rPr>
      </w:pPr>
      <w:r>
        <w:rPr>
          <w:rFonts w:ascii="Arial" w:cs="Arial" w:eastAsia="Arial" w:hAnsi="Arial"/>
          <w:sz w:val="32"/>
          <w:szCs w:val="32"/>
          <w:b w:val="1"/>
          <w:bCs w:val="1"/>
          <w:color w:val="B0A49E"/>
        </w:rPr>
        <w:t>Proposal 3: Approval, on an Advisory Basis,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-164465</wp:posOffset>
            </wp:positionV>
            <wp:extent cx="22860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8600" cy="17145"/>
                    </a:xfrm>
                    <a:prstGeom prst="rect">
                      <a:avLst/>
                    </a:prstGeom>
                    <a:noFill/>
                  </pic:spPr>
                </pic:pic>
              </a:graphicData>
            </a:graphic>
          </wp:anchor>
        </w:drawing>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Section 14A of the Exchange Act (which was added by the Dodd-Frank Wall Street Reform and Consumer Protection Act (the “Dodd Frank Act”)) and the related rules of the SEC, the Company will present a resolution at the Annual Meeting to enable our stockholders to approve, on an advisory and non-binding basis, the compensation of our NEOs as disclosed in the Compensation Discussion and Analysis, the accompanying compensation tables and the related narrative disclosure in this Proxy Statement.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proposal, commonly known as a “Say on Pay” proposal, allows our stockholders the opportunity to express their views on our NEOs’ compensation. This vote is not intended to address any specific item of compensation, but rather the overall compensation of our NEOs and the philosophy, policies and practices described in this Proxy Statement. In considering their vote, stockholders are urged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 The Company holds such votes every three years; unless the Board modifies its policy on the frequency of future advisory votes to approve executive compensation, the next such vote will be held at the 2017 Annual Meeting.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in detail under Compensation Discussion and Analysis, our compensation programs are designed to support the Company’s long-term success by motivating our executives to achieve excellent results for us. We believe that our executive compensation program, with our balance of base salary, performance-based bonuses and long vesting equity awards, encourages and rewards sustained performance that is aligned with long-term stockholder interests.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Therefore, in accordance with Section 14A of the Exchange Act and as a matter of good corporate governance, we are asking stockholders to approve the following advisory resolution at the Annual Meeting: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RESOLVED, that the stockholders of Wynn Resorts, Limited (the “Company”) approve, on an advisory basis, the compensation of the Company’s named executive officers disclosed as described in the Compensation Discussion and Analysis and the tabular disclosure regarding each named executive officer’s compensation (together with the accompanying narrative disclosure) in the Proxy Statement for the 2014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7276465" cy="3384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APPROVAL OF THE ADVISORY RESOLUTIONS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7400"/>
        <w:spacing w:after="0"/>
        <w:rPr>
          <w:sz w:val="20"/>
          <w:szCs w:val="20"/>
          <w:color w:val="auto"/>
        </w:rPr>
      </w:pPr>
      <w:r>
        <w:rPr>
          <w:rFonts w:ascii="Arial" w:cs="Arial" w:eastAsia="Arial" w:hAnsi="Arial"/>
          <w:sz w:val="12"/>
          <w:szCs w:val="12"/>
          <w:b w:val="1"/>
          <w:bCs w:val="1"/>
          <w:color w:val="auto"/>
        </w:rPr>
        <w:t>Proposal 3: Advisory Vote Approving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900"/>
        <w:spacing w:after="0" w:line="286" w:lineRule="auto"/>
        <w:rPr>
          <w:sz w:val="20"/>
          <w:szCs w:val="20"/>
          <w:color w:val="auto"/>
        </w:rPr>
      </w:pPr>
      <w:r>
        <w:rPr>
          <w:rFonts w:ascii="Arial" w:cs="Arial" w:eastAsia="Arial" w:hAnsi="Arial"/>
          <w:sz w:val="32"/>
          <w:szCs w:val="3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-164465</wp:posOffset>
            </wp:positionV>
            <wp:extent cx="6864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643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asking stockholders to approve the Wynn Resorts, Limited 2014 Omnibus Incentive Plan (the “2014 Plan”). This summary is qualified in its entirety by reference to the full text of the 2014 Plan, which is attached as Appendix A to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General</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currently awards annual incentives and equity compensation under the terms of (a) the Amended and Restated Annual Performance-Based Incentive Plan for Executive Officers (the “Existing Annual Incentive Plan”), and (b) the 2002 Stock Incentive Plan (the “Existing Stock Plan” and, together with the Existing Annual Incentive Plan, the “Existing Plans”). On February 27, 2014, subject to stockholder approval, the Board adopted our proposed 2014 Omnibus Incentive Plan (the “2014 Plan”) to replace the Existing Plans. Upon stockholder approval of the 2014 Plan, no new awards will be issued under the Existing Plans, provided that awards outstanding under the Existing Stock Plan will remain pursuant to the terms of the plan and related award agreements.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2014 Plan: (a) provides the ability of the Compensation Committee to grant stock options (both incentive stock options and non-qualified stock options), restricted stock, SARs, performance awards, dividend equivalents, stock payments, deferred stock, deferred stock units, restricted stock units (“RSUs”) and performance-based awards to eligible participants; (b) adds performance targets other than adjusted EBITDA, including, among others net income, cash flow, stock price and achievement of construction or development milestones; and (c) increases the maximum amount of cash payable under an award to a single participant from $10 million to $20 million in a calendar year. The increase in the maximum amount of cash under an award allows us to restructure our CEO’s compensation to significantly reduce base salary and make a greater percentage of total compensation subject to the achievement of relevant performance targets.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Reasons Why You Should Vote In Favor of the 2014 Plan</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recommendation of the Compensation Committee, the Board recommends a vote for the approval of the 2014 Plan because it believes the 2014 Plan is in the best interests of the Company and its stockholders and contains features that are consistent with sound and effective corporate governance and compensation practices, including the following:</w:t>
      </w:r>
    </w:p>
    <w:p>
      <w:pPr>
        <w:spacing w:after="0" w:line="173" w:lineRule="exact"/>
        <w:rPr>
          <w:sz w:val="20"/>
          <w:szCs w:val="20"/>
          <w:color w:val="auto"/>
        </w:rPr>
      </w:pPr>
    </w:p>
    <w:p>
      <w:pPr>
        <w:jc w:val="both"/>
        <w:ind w:left="1020" w:hanging="215"/>
        <w:spacing w:after="0" w:line="239"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Provides for Additional Qualifying Performance-Based Awards, Additional Performance Goals and Enhanced Flexibility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Plan is designed to allow the Company to grant cash and equity incentive compensation awards that are intended to qualify as performance-based compensation exempt from the deduction limitation under Section 162(m) of the Code. Section 162(m) generally does not allow a publicly held company to deduct compensation of more than $1 million paid in any year to its chief executive officer or any of its other three most highly compensated executive officers (other than the chief financial officer), unless such payments are “qualified performance-based compensation,” in accordance with conditions specified under Section 162(m) of the Code. In addition, the 2014 Plan expands the list of performance goals available to the Compensation Committee in designing awards that are intended to qualify as performance-based compensation.</w:t>
      </w:r>
    </w:p>
    <w:p>
      <w:pPr>
        <w:spacing w:after="0" w:line="52" w:lineRule="exact"/>
        <w:rPr>
          <w:rFonts w:ascii="Arial" w:cs="Arial" w:eastAsia="Arial" w:hAnsi="Arial"/>
          <w:sz w:val="18"/>
          <w:szCs w:val="18"/>
          <w:color w:val="auto"/>
        </w:rPr>
      </w:pPr>
    </w:p>
    <w:p>
      <w:pPr>
        <w:jc w:val="both"/>
        <w:ind w:left="1020" w:hanging="215"/>
        <w:spacing w:after="0" w:line="27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No Increase in Existing Share Reserve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not seeking approval to authorize additional shares for issuance. Therefore,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Plan will not increase the existing share reserve under the Existing Stock Plan and would not further dilute the holdings of our stockholders. Any of the 4,467,690 Shares that were available for issuance as of the Effective Date under the Existing Stock Plan that remain available for issuance under the Existing Stock Plan as of the date of stockholder approval of the 2014 Plan will be reserved for issuance under the 2014 Plan, plus any shares that are subject to awards already granted under the Existing Stock Plan as of the date of stockholder approval of the 2014 Plan that terminate, expire or lapse. If the 2014 Plan is approved by stockholders, no new awards will be granted under the Existing Stock Plan. As of the Effective Date, there were 1,530,776 shares subject to stock options or SARs outstanding under the Existing Stock Plan, with a weighted average exercise price of $74.84 and a weighted average remaining term of 5.1 years, and 390,000 shares subject to full value awards outstanding under our Existing Stock Plan.</w:t>
      </w:r>
    </w:p>
    <w:p>
      <w:pPr>
        <w:spacing w:after="0" w:line="27" w:lineRule="exact"/>
        <w:rPr>
          <w:rFonts w:ascii="Arial" w:cs="Arial" w:eastAsia="Arial" w:hAnsi="Arial"/>
          <w:sz w:val="16"/>
          <w:szCs w:val="16"/>
          <w:color w:val="auto"/>
        </w:rPr>
      </w:pPr>
    </w:p>
    <w:p>
      <w:pPr>
        <w:ind w:left="1020" w:hanging="215"/>
        <w:spacing w:after="0" w:line="264"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No Liberal Share Recycling Provisions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2014 Plan does not permit shares tendered or withheld to satisfy the exercise price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or tax withholding obligations with respect to any awards to be recycled back into the share reserve.</w:t>
      </w:r>
    </w:p>
    <w:p>
      <w:pPr>
        <w:spacing w:after="0" w:line="30"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Grants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2014 Plan maintains the current limit under the Existing Stock Plan on the maximum aggregate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with respect to awards that may be granted to any one person during any calendar year of 1.5 million (subject to adjustment for certain equity restructurings and other corporate transactions). The 2014 Plan increases the current limit under the Existing Annual Incentive Plan on the maximum aggregate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ind w:left="1040"/>
        <w:spacing w:after="0" w:line="236" w:lineRule="auto"/>
        <w:rPr>
          <w:sz w:val="20"/>
          <w:szCs w:val="20"/>
          <w:color w:val="auto"/>
        </w:rPr>
      </w:pPr>
      <w:r>
        <w:rPr>
          <w:rFonts w:ascii="Arial" w:cs="Arial" w:eastAsia="Arial" w:hAnsi="Arial"/>
          <w:sz w:val="18"/>
          <w:szCs w:val="18"/>
          <w:color w:val="auto"/>
        </w:rPr>
        <w:t>that may be paid in cash to any person during any one calendar year from $10 million to $20 million. This increase allows us to restructure our CEO’s compensation so that a higher proportion of his compensation is attributable to variable, at-risk components that drive stockholder value while substantially reducing his base salary. These limitations were included under our Existing Stock Plan and are included in the 2014 Plan in order to permit the Company to grant equity and cash awards which are intended to qualify as “qualified performance-based compensation” under Section 162(m) of the Code. In addition, the 2014 Plan includes a new limit on the maximum aggregate number of shares with respect to awards that may be granted to any non-employee director during any calendar year of 50,000.</w:t>
      </w:r>
    </w:p>
    <w:p>
      <w:pPr>
        <w:spacing w:after="0" w:line="52" w:lineRule="exact"/>
        <w:rPr>
          <w:sz w:val="20"/>
          <w:szCs w:val="20"/>
          <w:color w:val="auto"/>
        </w:rPr>
      </w:pPr>
    </w:p>
    <w:p>
      <w:pPr>
        <w:jc w:val="both"/>
        <w:ind w:left="1020" w:hanging="215"/>
        <w:spacing w:after="0" w:line="244"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Does Not Permit Payment of Dividends or Dividend Equivalents on Performance-Based Awards until Vesting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Existing Stock Plan, under the 2014 Plan, dividends and dividend equivalents payable in connection with performance-based awards will only be paid out to the extent that the performance-based vesting conditions are satisfied and the shares underlying such awards are earned and vest.</w:t>
      </w:r>
    </w:p>
    <w:p>
      <w:pPr>
        <w:spacing w:after="0" w:line="51" w:lineRule="exact"/>
        <w:rPr>
          <w:rFonts w:ascii="Arial" w:cs="Arial" w:eastAsia="Arial" w:hAnsi="Arial"/>
          <w:sz w:val="18"/>
          <w:szCs w:val="18"/>
          <w:color w:val="auto"/>
        </w:rPr>
      </w:pPr>
    </w:p>
    <w:p>
      <w:pPr>
        <w:jc w:val="both"/>
        <w:ind w:left="1020" w:hanging="215"/>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Option Exercise Prices and SAR Grant Prices Will Not be lower Than the Fair Market Value on the Grant Date. </w:t>
      </w:r>
      <w:r>
        <w:rPr>
          <w:rFonts w:ascii="Arial" w:cs="Arial" w:eastAsia="Arial" w:hAnsi="Arial"/>
          <w:sz w:val="18"/>
          <w:szCs w:val="18"/>
          <w:color w:val="auto"/>
        </w:rPr>
        <w:t>Consistent with the Existing Stock Plan, the 2014 Plan prohibits granting stock options with exercise prices and SARs with exercise prices lower than the fair market value of a share of our Common Stock on the grant date.</w:t>
      </w:r>
    </w:p>
    <w:p>
      <w:pPr>
        <w:spacing w:after="0" w:line="45" w:lineRule="exact"/>
        <w:rPr>
          <w:rFonts w:ascii="Arial" w:cs="Arial" w:eastAsia="Arial" w:hAnsi="Arial"/>
          <w:sz w:val="18"/>
          <w:szCs w:val="18"/>
          <w:color w:val="auto"/>
        </w:rPr>
      </w:pPr>
    </w:p>
    <w:p>
      <w:pPr>
        <w:jc w:val="both"/>
        <w:ind w:left="1020" w:hanging="215"/>
        <w:spacing w:after="0" w:line="244"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Does Not Permit Repricings without Stockholder Approval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Existing Stock Plan, under the 2014 Plan,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approval, we may not amend any option or stock appreciation right to reduce the exercise price or replace any stock option or SAR with cash or any other award when the price per share of the stock option or SAR exceeds the fair market value of the underlying shares.</w:t>
      </w:r>
    </w:p>
    <w:p>
      <w:pPr>
        <w:spacing w:after="0" w:line="49"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Provides for Independent 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Existing Stock Plan, the Compensation Committee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consists of only independent directors, or another Committee of our Board administers the 2014 Plan.</w:t>
      </w:r>
    </w:p>
    <w:p>
      <w:pPr>
        <w:spacing w:after="0" w:line="32" w:lineRule="exact"/>
        <w:rPr>
          <w:rFonts w:ascii="Arial" w:cs="Arial" w:eastAsia="Arial" w:hAnsi="Arial"/>
          <w:sz w:val="18"/>
          <w:szCs w:val="18"/>
          <w:color w:val="auto"/>
        </w:rPr>
      </w:pPr>
    </w:p>
    <w:p>
      <w:pPr>
        <w:jc w:val="both"/>
        <w:ind w:left="1020" w:hanging="215"/>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Enables the Company to make Important Changes to our Compensation Programs. </w:t>
      </w:r>
      <w:r>
        <w:rPr>
          <w:rFonts w:ascii="Arial" w:cs="Arial" w:eastAsia="Arial" w:hAnsi="Arial"/>
          <w:sz w:val="18"/>
          <w:szCs w:val="18"/>
          <w:color w:val="auto"/>
        </w:rPr>
        <w:t>The 2014 Plan allows the Company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important changes to our compensation programs as described above under “Additional Key Changes for our 2014 Compensation Programs” in the “Compensation Discussion and Analysis” on page 21 of this Proxy Statement.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its determination to approve the 2014 Plan, our Board considered that:</w:t>
      </w:r>
    </w:p>
    <w:p>
      <w:pPr>
        <w:spacing w:after="0" w:line="198" w:lineRule="exact"/>
        <w:rPr>
          <w:sz w:val="20"/>
          <w:szCs w:val="20"/>
          <w:color w:val="auto"/>
        </w:rPr>
      </w:pPr>
    </w:p>
    <w:p>
      <w:pPr>
        <w:jc w:val="both"/>
        <w:ind w:left="1020" w:hanging="215"/>
        <w:spacing w:after="0" w:line="23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not seeking approval to authorize additional shares for issuance. Therefore, the 2014 Plan will not increase the existing share reserve and will not dilute the holdings of our stockholders by any additional amount. The shares being requested under the 2014 Plan represent the number of shares which remain available for issuance under our Existing Stock Plan (which Plan will terminate as to any new grants upon adoption of the 2014 Plan by our stockholders).</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three-year (2011-2013) gross average burn rate was 0.17% of fully diluted shares of Common Stock outstanding.</w:t>
      </w:r>
    </w:p>
    <w:p>
      <w:pPr>
        <w:spacing w:after="0" w:line="76"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2013, 2012 and 2011, our end of year overhang rate, calculated by dividing (i) the number of shares subject to equity awards outstanding at the end of the fiscal year plus the number of shares remaining available for issuance under our Existing Stock Plan by (ii) the number of our shares outstanding at the end of the fiscal year, was 6.37%, 7.08% and 6.09%,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Board of Directors unanimously recommends a vote “FOR” the approval of the 2014 Omnibus Incentive Plan.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2014 Omnibus Incentive Plan</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2014 Plan provides for the grant of stock options (both incentive stock options and non-qualified stock options), restricted stock, SARs, performance awards, dividend equivalents, stock payments, deferred stock, deferred stock units, restricted stock units (“RSUs”) and performance-based awards to eligible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Section 162(m)</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Section 162(m) of the Code generally limits the deductibility of compensation paid to certain executive officers of a publicly held corporation to $1 million in any taxable year of the corporation. Certain types of compensation, including “qualified performance-based compensation,” are exempt from this deduction limitation. In order to qualify for the exemption for qualified performance-based compensation, Section 162(m) of the Code generally requires that:</w:t>
      </w:r>
    </w:p>
    <w:p>
      <w:pPr>
        <w:spacing w:after="0" w:line="195" w:lineRule="exact"/>
        <w:rPr>
          <w:sz w:val="20"/>
          <w:szCs w:val="20"/>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compensation be paid solely upon account of the attainment of one or more pre-established objective performance goals;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goals must be established by a compensation committee comprised of two or more “outside directors”;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material terms of the performance goals must be disclosed to and approved by the stockholders;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compensation committee of “outside directors” must certify that the performance goals have indeed been met prior to payment.</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purposes of Section 162(m), the material terms include (i) the employees eligible to receive compensation, (ii) a description of the business criteria upon which the performance goal is based and (iii) the maximum amount of compensation that can be paid to an employee under the performance goal. Each of these aspects of the 2014 Plan is discussed as part of this proposal, and stockholder approval of the 2014 Plan is intended to constitute approval of each of these aspects of the 2014 Plan for purposes of the approval requirements of Section 162(m).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162(m) contains a special rule for stock options and SARs which provides that stock options and SARs will satisfy the qualified performance-based compensation exception if the awards are made by a qualifying compensation committee, the plan sets forth the maximum number of shares that can be granted to any person within a specified period and the compensation is based solely on an increase in the stock price after the grant date. The 2014 Plan has been designed to permit a committee appointed by the Board, to grant stock options, SARs and other awards which may qualify as qualified performance-based compensation under Section 162(m) of the Code.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Administration</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Unless otherwise determined by the Board, the 2014 Plan will be administered by the Compensation Committee (collectively with Board, the “Administrator”), except that with respect to awards granted to independent directors, the Board will administer the 2014 Plan. The Administrator may delegate to a committee of one or more directors or one or more Company officers the authority to grant or amend awards under the 2014 Plan to participants other than (i) senior Company executives who are subject to Section 16 of the Exchange Act, (ii) employees who are “covered employees” within the meaning of Section 162(m) of Code and (iii) Company officers or directors to whom the authority to grant or amend awards under the 2014 Plan has been delegated. To the extent necessary to comply with Rule 16b-3 of the Exchange Act and for awards granted to employees who are “covered employees” within the meaning of Section 162(m) of Code, the Administrator will consist solely of two or more Directors who are “outside directors” for purposes of Section 162(m) of the Code and Non-Employee Directors (as defined in Rule 16b-3(b)(3) of the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determined by the Board, the Administrator will have the authority to administer the 2014 Plan, including the power to</w:t>
      </w:r>
    </w:p>
    <w:p>
      <w:pPr>
        <w:jc w:val="both"/>
        <w:ind w:firstLine="8"/>
        <w:spacing w:after="0" w:line="236" w:lineRule="auto"/>
        <w:tabs>
          <w:tab w:leader="none" w:pos="2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designate participants under the 2014 Plan, (ii) determine the types of awards granted to participants under the 2014 Plan, the number of such awards, and the number of shares of Common Stock subject to such awards, (iii) determine and interpret the terms and conditions of any awards under the 2014 Plan, including the vesting schedule, exercise price, whether to settle or accept the payment of any exercise price, in cash, Common Stock, other awards or other property, and whether an award may be cancelled, forfeited or surrendered, (iv) accelerate the vesting or lapse of restrictions of any award at any time after the grant of an award, (v) prescribe the form of each award agreement and (vi) adopt rules for the administration, interpretation and application of the 2014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Eligibility</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Persons eligible to participate in the 2014 Plan include all employees (including officers of the Company) and consultants of the Company and its affiliates and members of the Board, as determined by the Administrator. As of the Effective Date, approximately seven non-employee directors and approximately 16,500 employees were eligible to participate in the 2014 Plan. Although the 2014 Plan contains broad eligibility standards, the Company has historically limited the pool of employees to whom equity awards are granted to those in positions of vice presidents and above (currently approximately 101 of our employees), subject to special one-time awards that were previously granted to those employees in positions of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above and the Company expects to continue this practice. Further, although the number of consultants retained by the Company fluctuates and at times can be significant, the Company has historically granted very few equity awards to consultants, typically only where such consultant has made a significant contribution to the Company. The Company also expects to continue this practice.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Limitation on Awards and Shares Available</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are not seeking approval to authorize additional shares for issuance and the 2014 Plan therefore does not increase the existing share reserve under the Existing Stock Plan. The aggregate number of shares of Common Stock that may be issued or transferred under the 2014 Plan is any of the 4,467,690 Shares that were available for issuance as of the Effective Date under the Existing Stock Plan that remain available for issuance under the Existing Stock Plan as of the date of stockholder approval of the 2014 Plan, plus any shares subject to awards already granted under the Existing Stock Plan as of the date of stockholder approval of the 2014 Plan that terminate, expire or lapse unexercised and which following such date are not issued under the Existing Stock Plan will become available for issuance under the 2014 Plan. No more than 4,467,690 shares of Common Stock may be issued upon the exercise of incentive stock options. Subject to and on the date of stockholder approval of the 2014 Plan, the Existing Stock Plan will be terminated, </w:t>
      </w:r>
      <w:r>
        <w:rPr>
          <w:rFonts w:ascii="Arial" w:cs="Arial" w:eastAsia="Arial" w:hAnsi="Arial"/>
          <w:sz w:val="18"/>
          <w:szCs w:val="18"/>
          <w:i w:val="1"/>
          <w:iCs w:val="1"/>
          <w:color w:val="auto"/>
        </w:rPr>
        <w:t>provided</w:t>
      </w:r>
      <w:r>
        <w:rPr>
          <w:rFonts w:ascii="Arial" w:cs="Arial" w:eastAsia="Arial" w:hAnsi="Arial"/>
          <w:sz w:val="18"/>
          <w:szCs w:val="18"/>
          <w:color w:val="auto"/>
        </w:rPr>
        <w:t>, that any awards outstanding under the Existing Stock Plan will remain outstanding pursuant to their respective terms. Consistent with the Existing Stock Plan, the shares of Common Stock covered by the 2014 Plan may be authorized but unissued shares, treasury shares or shares purchased in the open market.</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Generally, shares of Common Stock subject to an award under the 2014 Plan or Existing Stock Plan that terminate, expire or lapse for any reason are made available for issuance again under the 2014 Plan. Shares of Common Stock tendered or withheld to satisfy the grant or exercise price pursuant to any stock option, shares of Common Stock tendered or withheld to satisfy the tax withholding obligation pursuant to an award, shares of Common Stock that were subject to a stock-settled SAR that are not issued upon exercise of the SAR and shares of Common Stock purchased on the open market with the cash proceeds from the exercise of options will not be available for issuance again under the 2014 Plan. The payment of dividend equivalents in cash in conjunction with outstanding awards will not be counted against the shares available for issuance under the 2014 Plan. Furthermore, shares of Common Stock may not be optioned, granted or awarded again if it would prevent any stock option that is intended to qualify as an incentive stock option under Section 422 of the Code from so qualifying. In addition, shares issued in assumption of, or in substitution for, any outstanding awards previously granted by an entity in connection with a corporate transaction will not be counted against the shares available for issuance under the 2014 Plan.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maximum number of shares of Common Stock that may be subject to one or more awards granted to any person pursuant to the 2014 Plan during any calendar year is 1.5 million and the maximum amount that may be paid in cash during any calendar year with respect to any award to any individual person pursuant to the 2014 Plan during any calendar year is $20 million. In addition, the maximum aggregate number of shares with respect to awards that may be granted to any non-employee director pursuant to the 2014 Plan during any calendar year is 50,000.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Awards</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2014 Plan provides for grants of stock options (both incentive stock options and non-qualified stock options), restricted stock, SARs, performance awards, dividend equivalents, stock payments, deferred stock, deferred stock units, RSUs and performance-based awards. Each award must be evidenced by a written award agreement with terms and conditions consistent with the 2014 Plan. Upon the exercise or vesting of an award, the exercise or purchase price must be paid in full by: cash or check; tendering shares of Common Stock with a fair market value at the time of exercise or vesting equal to the aggregate exercise or purchase price of the award or the exercised portion thereof, if applicable;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upon settlement of such sale; or by tendering other property acceptable to the Administrator. Any withholding obligations may be satisfied in the Administrator’s sole discretion by allowing a holder to elect to have the Company withhold shares otherwise issuable under an award which are equal to the fair market value on the date of withholding or repurchase equal to aggregate amount of such liabilities.</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including incentive stock options (as defined under Section 422 of the Code) and non-qualified stock options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granted pursuant to the 2014 Plan. The exercise price of incentive stock options and non-qualified stock options granted pursuant to the 2014 Plan will not be less than 100% of the fair market value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 on the date of grant, unless incentive stock options are granted to any individual who owns, as of the date of grant, stock possessing more than 10% of the total combined voting power of all classes of Company stock (a “Ten Percent Owner”), in which case the exercise price of such incentive stock options will not be less than 110% of the fair market value of the Common Stock on the date of grant. Incentive stock options and non-qualified stock options may be exercised as determined by the Administrator, but in no event after (i) the fifth anniversary of the date of grant with respect to incentive stock options granted to a Ten Percent Owner or (ii) the tenth anniversary of the date of grant with respect to incentive stock options granted to other employees and non-qualified stock options.</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Restricted stock awards may be granted pursuant to the 2014 Plan. A restricted stock award is the grant of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at a price determined by the Administrator (including zero), that is subject to sale, transfer and pledge restrictions and may be subject to substantial risk of forfeiture until specific conditions are met. Conditions may be based on continuing employment or achieving performance goals. During the period of restriction, participants holding shares of restricted stock may have full voting rights with respect to such shares.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 The restrictions will lapse in accordance with a schedule or other conditions determined by the Administrator.</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A SAR is the right to receive payment of an amount equal to (i) the excess of (A) the fair market value of a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exercise of the SAR over (B) the fair market value of a share of Common Stock on the date of grant of the SAR, multiplied by (ii) the aggregate number of shares of Common Stock subject to the SAR. Such payment will be in the form of cash, Common Stock or a combination of cash and Common Stock, as determined by the Administrator, and SARs settled in Common Stock will satisfy all of the restrictions imposed by the 2014 Plan upon stock option grants. The Administrator will determine the time or times at which a SAR may be exercised in whole or in part, provided that the term of any SAR will not exceed ten years.</w:t>
      </w:r>
    </w:p>
    <w:p>
      <w:pPr>
        <w:spacing w:after="0" w:line="1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RSUs may be granted pursuant to the 2014 Plan, typically without consideration from the participant. RSUs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vesting conditions including continued employment or achievement of performance criteria established by the Administrator.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prior to the time when vesting conditions are satisfied.</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Awards of performance awards which may be a cash bonus award, stock bonus award, performance award or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that is paid in cash, shares or a combination of both, and may be linked to any one or more performance criteria determined appropriate by the Administrator, in each case on a specified date or dates or over any period or periods determined by the Administrator. Any participant selected by the Administrator may be granted a cash bonus payable upon the attainment of performance goals that are established by the administrator and relate to any one or more performance criteria determined appropriate by the Administrator on a specified date or dates or over any period or periods determined by the Administrator. Any performance award in the form of a cash bonus paid to a “covered employee” within the meaning of Section 162(m) of the Code may be a performance-based award as described below.</w:t>
      </w:r>
    </w:p>
    <w:p>
      <w:pPr>
        <w:spacing w:after="0" w:line="13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Dividend equivalents are rights to receive the equivalent value (in cash or Common Stock) of dividends paid on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In addition, with respect to an award with performance-based vesting, dividend equivalents which are paid prior to vesting shall only be paid out to the holder to the extent that the performance-based vesting conditions are subsequently satisfied and the award vests. Dividend equivalents cannot be granted with respect to options or SARs.</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Stock Payments. </w:t>
      </w:r>
      <w:r>
        <w:rPr>
          <w:rFonts w:ascii="Arial" w:cs="Arial" w:eastAsia="Arial" w:hAnsi="Arial"/>
          <w:sz w:val="18"/>
          <w:szCs w:val="18"/>
          <w:color w:val="auto"/>
        </w:rPr>
        <w:t>Stock payments include payments in the form of Common Stock, options or other rights to purchase Common Stock which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made in lieu of all or any portion of the compensation that would otherwise be paid to the participant. The number of shares will be determined by the Administrator and may be based upon performance criteria determined appropriate by the Administrator, determined on the date such stock payment is made or on any date thereafter. Unless otherwise provided by the Administrator, a holder of a stock payment shall have no rights as a Company stockholder with respect to such stock payment until such time as the stock payment has vested and the shares underlying the Award have been issued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Deferred Stock. </w:t>
      </w:r>
      <w:r>
        <w:rPr>
          <w:rFonts w:ascii="Arial" w:cs="Arial" w:eastAsia="Arial" w:hAnsi="Arial"/>
          <w:sz w:val="18"/>
          <w:szCs w:val="18"/>
          <w:color w:val="auto"/>
        </w:rPr>
        <w:t>Deferred stock may be awarded to participants and may be linked to any performance criteria determined to be appropriate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Common Stock underlying a deferred stock award will not be issued until the deferred stock award has vested, pursuant to a vesting schedule or performance criteria set by the Administrator, and unless otherwise provided by the Administrator, recipients of deferred stock generally will have no rights as a stockholder with respect to such deferred stock until the time the vesting conditions are satisfied and the stock underlying the deferred stock award has been issued.</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Deferred Stock Units. </w:t>
      </w:r>
      <w:r>
        <w:rPr>
          <w:rFonts w:ascii="Arial" w:cs="Arial" w:eastAsia="Arial" w:hAnsi="Arial"/>
          <w:sz w:val="18"/>
          <w:szCs w:val="18"/>
          <w:color w:val="auto"/>
        </w:rPr>
        <w:t>Awards of deferred stock units are denominated in unit equivalent of shares of Common Stock and vest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schedule or performance criteria set by the Administrator. The Common Stock underlying deferred stock units will not be issued until the deferred stock units have vested, and recipients of deferred stock units generally will have no voting rights prior to the time when vesting conditions are satisfied.</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Performance-based Awards. </w:t>
      </w:r>
      <w:r>
        <w:rPr>
          <w:rFonts w:ascii="Arial" w:cs="Arial" w:eastAsia="Arial" w:hAnsi="Arial"/>
          <w:sz w:val="18"/>
          <w:szCs w:val="18"/>
          <w:color w:val="auto"/>
        </w:rPr>
        <w:t>The Administrator may grant awards to employees who are or may be “covered employees,”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162(m) of the Code, that are intended to be qualified performance-based compensation within the meaning of Section 162(m) of the Code in order to preserve the deductibility of these awards for federal income tax purposes. Participants are only entitled to receive payment for a performance-based award for any given performance period to the extent that pre-established performance goals set by the Administrator for the period are satisfied. With regard to a particular performance period, the Administrator will have the discretion to select the length of the performance period, the type of performance-based awards to be granted and the goals that will be used to measure the performance for the period. In determining the actual size of an individual performance-based award for a performance period, the Administrator may reduce or eliminate (but not increase) the award. Generally, a participant will have to be employed by the Company or an affiliate throughout the applicable performance period to be eligible for a performance-based award. Stock options and SARs granted under the 2014 Plan should satisfy the exception for qualified performance-based compensation because the plan sets forth the maximum number of shares of Common Stock which may be subject to awards granted to any one participant during any calendar year, and the Company intends that they will be made by a qualifying administrator and that the per share exercise price of options and SARs must be at least equal to the fair market value of a share of Common Stock on the date of grant.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Under the 2014 Plan, pre-established performance goals for awards intended to be qualified performance-based compensation within the meaning of Section 162(m) of the Code must be based on one or more of the following performance criteria: (i) operating income (either before or after one or more of the following (a) depreciation, (b) amortization, (c) pre-opening costs and (d) property charges and other corporate expenses,</w:t>
      </w:r>
    </w:p>
    <w:p>
      <w:pPr>
        <w:spacing w:after="0" w:line="1" w:lineRule="exact"/>
        <w:rPr>
          <w:sz w:val="20"/>
          <w:szCs w:val="20"/>
          <w:color w:val="auto"/>
        </w:rPr>
      </w:pPr>
    </w:p>
    <w:p>
      <w:pPr>
        <w:jc w:val="both"/>
        <w:ind w:firstLine="8"/>
        <w:spacing w:after="0" w:line="235" w:lineRule="auto"/>
        <w:tabs>
          <w:tab w:leader="none" w:pos="2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The performance criteria may be measured either in absolute terms or as compared to any incremental increase or decrease or as compared to results of a peer group or to market performance indicators or indices. In addition, the administrator may, in its sole discretion, provide that one or more objectively determinable adjustments shall be made to one or more performance goals established under any of these performance criteria, such as adjustments related to a change in accounting principle or tax laws, related to acquisitions, to asset impairment charges or to gains or losses for litigation, arbitration and contractual settlements. For all awards intended to qualify as performance-based compensation under Section 162(m), such determinations will be made in a manner intended to comply with Section 162(m) of the Code.</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Transferability of Awards. </w:t>
      </w:r>
      <w:r>
        <w:rPr>
          <w:rFonts w:ascii="Arial" w:cs="Arial" w:eastAsia="Arial" w:hAnsi="Arial"/>
          <w:sz w:val="18"/>
          <w:szCs w:val="18"/>
          <w:color w:val="auto"/>
        </w:rPr>
        <w:t>Awards cannot be assigned, transferred or otherwise disposed of by a participant other than by will or the 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descent and distribution, pursuant to a domestic relations order subject to the consent of the Administrator or pursuant to beneficiary designation procedures approved from time to time by the Administrator. The Administrator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provide in any award agreement that an award (other than an incentive stock option) may be transferred to certain persons or entities related to a participant in the 2014 Plan,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permitted by the Administrator. Such permitted assignees will be bound by and subject to such terms and conditions as determined by the Administrator.</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Repricing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cannot, without the approval of the stockholders of the Company, authorize the amendment of any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or SAR to reduce its price per share, or cancel any option or SAR in exchange for cash or another award when the option or SAR price per share exceeds the fair market value of the underlying shares of Common Stock. Subject to adjustment of awards as described below, the Administrator does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Adjustments to Awards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there is a stock dividend, stock split, combination or exchange of shares, merger, consolidation or other distribution (other than cash dividends), that affects the shares of Common Stock (or other securities of the Company) or the stock price of Common Stock (or other securities), then the Administrator may make equitable adjustments to the aggregate number and kind of shares that may be issued under the 2014 Plan, (including adjustments to award limits), the number and kind of shares subject to each outstanding award under the 2014 Plan, the exercise price or grant price of such outstanding award (if applicable), and the terms and conditions of any outstanding awards (including any applicable performance targets or criteria). The Company may refuse to permit the exercise of any award during a period of 30 days prior to the consummation of any such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If there is any stock dividend, stock split, combination or exchange of shares, merger, consolidation or other distribution (other than cash dividends)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Company assets to stockholders, or other unusual or nonrecurring transactions or events, the Administrator may, in its discretion:</w:t>
      </w:r>
    </w:p>
    <w:p>
      <w:pPr>
        <w:spacing w:after="0" w:line="77" w:lineRule="exact"/>
        <w:rPr>
          <w:sz w:val="20"/>
          <w:szCs w:val="20"/>
          <w:color w:val="auto"/>
        </w:rPr>
      </w:pPr>
    </w:p>
    <w:p>
      <w:pPr>
        <w:ind w:left="1020" w:hanging="215"/>
        <w:spacing w:after="0" w:line="23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the termination of any award in exchange for an amount of cash (if any) and/or other property equal to the amount that would have been attained upon the exercise of such award or realization of the participant’s rights;</w:t>
      </w:r>
    </w:p>
    <w:p>
      <w:pPr>
        <w:spacing w:after="0" w:line="73"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the replacement of any award with other rights or property selected by the Administrator in its sole discretion having an aggregate value not exceeding the amount that could have been attained upon exercise of such award or realization or the participant’s rights;</w:t>
      </w:r>
    </w:p>
    <w:p>
      <w:pPr>
        <w:spacing w:after="0" w:line="72" w:lineRule="exact"/>
        <w:rPr>
          <w:rFonts w:ascii="Arial" w:cs="Arial" w:eastAsia="Arial" w:hAnsi="Arial"/>
          <w:sz w:val="18"/>
          <w:szCs w:val="18"/>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any outstanding award cannot vest, be exercised or become payable after such event;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awards may be exercisable, payable or fully vested as to shares of Common Stock covered thereby;</w:t>
      </w:r>
    </w:p>
    <w:p>
      <w:pPr>
        <w:spacing w:after="0" w:line="76"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any surviving corporation (or its parent or subsidiary) will assume awards outstanding under the 2014 Plan or will substitute similar awards for those outstanding under the 2014 Plan, with appropriate adjustment of the number and kind of shares and the prices of such awards; or</w:t>
      </w:r>
    </w:p>
    <w:p>
      <w:pPr>
        <w:spacing w:after="0" w:line="72"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adjustments (i) in the number and type of shares of Common Stock (or other securities or property) subject to outstanding awards or in the number and type of shares of restricted stock or deferred stock or (ii) to the terms and conditions of (including the grant or exercise price) and the criteria included in, outstanding or future awards.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there is a nonreciprocal transaction between the Company and its stockholders, such as a stock dividend, stock split, spin-off, rights offering or recapitalization, that affects the shares of Common Stock (or other securities of the Company) or the stock price of Common Stock (or other securities) and causes a change in the per share value of the Common Stock underlying outstanding awards, then the Administrator will make equitable adjustments to the number and type of securities subject to each outstanding award under the 2014 Plan, and the exercise price or grant price of such outstanding award (if applicable). The Administrator will make other equitable adjustments it determines are appropriate to reflect such an event with respect to the aggregate number and kind of shares that may be issued under the 2014 Plan. The Company may refuse to permit the exercise of any award during a period of 30 days prior to the consummation of any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Effect of a Change in Control</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event of a change in control of the Company, the Administrator may, in its sole discretion, do one or more of the following: shorten the period during which options or SARs are exercisable (provided they remain exercisable for at least 30 days after the date notice of such shortening is given to the holders of the options or SARs); accelerate the vesting of any Award; arrange to have the successor corporation assume or substitute the Awards; or cancel Awards upon payment to the holders of the Awards in cash, with respect to each Award to the extent then exercisable or vested.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Amendment and Termination</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Administrator, subject to approval of the Board, may terminate, amend or modify the 2014 Plan at any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stockholder approval will be obtained (i) to increase the number of shares of Common Stock available under the 2014 Plan, (ii) to reduce the per share exercise price of any outstanding option or SAR and (iii) to cancel any option or SAR in exchange for cash or another award when the option or SAR price per share exceeds the fair market value of the underlying shares of Common Stock. Generally, no amendment, suspension or termination of the 2014 Plan shall, without the consent of the holder, impair any rights or obligations under any awards unless the award itself expressly provides.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 event may an incentive option award be granted pursuant to the 2014 Plan on or after the tenth anniversary of the date the 2014 Plan was adopted by the Board.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Federal Income Tax Consequences</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U.S. federal income tax consequences of the 2014 Plan under current federal law, which is subject to change, are summarized in the following discussion of the general tax principles applicable to the 2014 Plan. This summary is not intended to be exhaustive and, among other considerations, does not describe state, local, or foreign tax consequences. Tax considerations may vary from locality to locality and depending upon individual circumstances.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Section 409A of the Code. </w:t>
      </w:r>
      <w:r>
        <w:rPr>
          <w:rFonts w:ascii="Arial" w:cs="Arial" w:eastAsia="Arial" w:hAnsi="Arial"/>
          <w:sz w:val="18"/>
          <w:szCs w:val="18"/>
          <w:color w:val="auto"/>
        </w:rPr>
        <w:t>Certain types of awards under the 2014 Plan, including deferred stock and RSUs, may constitute, or provide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deferral of compensation subject to Section 409A of the Code. Unless certain requirements set forth in Section 409A are complied with, holders of such awards may be taxed earlier than would otherwise be the case (e.g., at the time of vesting instead of the time of payment) and may be subject to an additional 20% penalty tax (and, potentially, certain interest penalties). To the extent applicable, the 2014 Plan and awards granted under the plan will be structured and interpreted to comply with, or be exempt from, Section 409A of the Code and the Department of Treasury regulations and other interpretive guidance that may be issued under Section 409A. To the extent determined necessary or appropriate by the Administrator, the 2014 Plan and applicable award agreements may be amended without award holder consent to exempt the applicable awards from Section 409A of the Code or to comply with Section 409A.</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Non-Qualified Stock Options. </w:t>
      </w:r>
      <w:r>
        <w:rPr>
          <w:rFonts w:ascii="Arial" w:cs="Arial" w:eastAsia="Arial" w:hAnsi="Arial"/>
          <w:sz w:val="18"/>
          <w:szCs w:val="18"/>
          <w:color w:val="auto"/>
        </w:rPr>
        <w:t>For federal income tax purposes, if participants are granted non-qualified stock options under the 2014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generally will not have taxable income on the grant of the option, nor will we be entitled to any deduction. Generally, on exercise of non-qualified stock options, participants will recognize ordinary income, and the Company will be entitled to a deduction in an amount equal to the difference between the option exercise price and the fair market value of the Common Stock on the date of exercise. The basis that participants have in shares of Common Stock, for purposes of determining their gain or loss on subsequent disposition of such shares of Common Stock generally, will be the fair market value of the shares of Common Stock on the date the participants exercise their options. Any subsequent gain or loss will be generally taxable as capital gains or losses.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color w:val="auto"/>
        </w:rPr>
        <w:t>There is no taxable income to participants when participants are granted an incentive stock option or when that option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exercised. However, the amount by which the fair market value of the shares of Common Stock at the time of exercise exceeds the option price will be an “item of adjustment” for participants for purposes of the alternative minimum tax. Gain realized by participants on the sale of an incentive stock option is taxable at capital gains rates, and no tax deduction is available to the Company, unless participants dispose of the shares of Common Stock within (i) two years after the date of grant of the option or (ii) within one year of the date the shares of Common Stock were transferred to the participant. If the shares of Common Stock are sold or otherwise disposed of before the end of the one-year and two-year periods specified above, the difference between the option exercise price and the fair market value of the shares of Common Stock on the date of the option’s exercise (or the date of sale, if less) will be taxed at ordinary income rates, and the Company will be entitled to a deduction to the extent that participants must recognize ordinary income. If such a sale or disposition takes place in the year in which participants exercise their options, the income such participants recognize upon sale or disposition of the shares of Common Stock will not be considered income for alternative minimum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029335" cy="4457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6"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Incentive stock options exercised more than three months after a participant terminates employment, other than by reason of death or disability, will be taxed as a non-qualified stock option, and the participant will have been deemed to have received income on the exercise taxable at ordinary income rates. The Company will be entitled to a tax deduction equal to the ordinary income, if any, realized by the participant.</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For federal income tax purposes, the grantee generally will not have taxable income on the grant of restricted stock, nor will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then be entitled to any deduction, unless the grantee makes a valid election under Section 83(b) of the Code. However, when restrictions on shares of restricted stock lapse such that the shares are no longer subject to a substantial risk of forfeiture, the grantee generally will recognize ordinary income, and the Company will be entitled to a corresponding deduction for an amount equal to the difference between the fair market value of the shares at the date such restrictions lapse over the purchase price for the restricted stock.</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No taxable income is realized upon the receipt of a SAR, but upon exercise of the SAR, the fair market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received, determined on the date of exercise of the SAR, or the amount of cash received in lieu of shares, must be treated as compensation taxable as ordinary income to the grantee in the year of such exercise. The Company will be entitled to a deduction for compensation paid in the same amount which the grantee realized as ordinary income.</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The grantee generally will not realize taxable income at the time of the grant of the performance award, and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entitled to a deduction at that time. When the award is paid, whether in cash or Common Stock, the grantee will have ordinary income, and the Company will be entitled to a corresponding deduction.</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grantee will generally recognize ordinary income at the time a performance cash-based bonus award is paid to the grantee. The Company will be entitled to a tax deduction equal to the ordinary income, if any, realized by the participant.</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The grantee generally will not realize taxable income at the time of the grant of the dividend equivalents, and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entitled to a deduction at that time. When a dividend equivalent is paid, the grantee will recognize ordinary income, and the Company will be entitled to a corresponding deduction.</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Stock Payments. </w:t>
      </w:r>
      <w:r>
        <w:rPr>
          <w:rFonts w:ascii="Arial" w:cs="Arial" w:eastAsia="Arial" w:hAnsi="Arial"/>
          <w:sz w:val="18"/>
          <w:szCs w:val="18"/>
          <w:color w:val="auto"/>
        </w:rPr>
        <w:t>If the grantee receives a stock payment in lieu of a cash payment that would otherwise have been made, he or she generally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taxed as if the cash payment has been received, and the Company will have a deduction in the same amount.</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Deferred Stock. </w:t>
      </w:r>
      <w:r>
        <w:rPr>
          <w:rFonts w:ascii="Arial" w:cs="Arial" w:eastAsia="Arial" w:hAnsi="Arial"/>
          <w:sz w:val="18"/>
          <w:szCs w:val="18"/>
          <w:color w:val="auto"/>
        </w:rPr>
        <w:t>The grantee generally will not have taxable income upon the issuance of the deferred stock and the Company will not then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a deduction. However, when deferred stock vests and is issued to the grantee, he or she will realize ordinary income and the Company will be entitled to a deduction in an amount equal to the difference between the fair market value of the shares at the date of issuance over the purchase price, if any, for the deferred stock. Deferred stock may be subject to Section 409A of the Code, and the failure of any award of deferred stock that is subject to Section 409A to comply with Section 409A may result in taxable income to the grantee upon the grant or vesting of the award. Furthermore, an additional 20% penalty tax may be imposed pursuant to Section 409A of the Code, and certain interest penalties may apply.</w:t>
      </w:r>
    </w:p>
    <w:p>
      <w:pPr>
        <w:spacing w:after="0" w:line="137"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Deferred Stock Units. </w:t>
      </w:r>
      <w:r>
        <w:rPr>
          <w:rFonts w:ascii="Arial" w:cs="Arial" w:eastAsia="Arial" w:hAnsi="Arial"/>
          <w:sz w:val="18"/>
          <w:szCs w:val="18"/>
          <w:color w:val="auto"/>
        </w:rPr>
        <w:t>The grantee generally will not realize taxable income at the time of the grant of the deferred stock units, and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entitled to a deduction at that time. When the award is paid, whether in cash or Common Stock, the grantee will have ordinary income, and the Company will be entitled to a corresponding deduction. Deferred stock units may be subject to Section 409A of the Code, and the failure of any award of deferred stock units that is subject to Section 409A to comply with Section 409A may result in taxable income to the grantee upon the grant or vesting of the award. Furthermore, an additional 20% penalty tax may be imposed pursuant to Section 409A of the Code, and certain interest penalties may apply.</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grantee generally will not realize taxable income at the time of the grant of the RSUs, and the Company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a deduction at that time. When an award is paid, whether in cash or Common Stock, the grantee will have ordinary income, and the Company will be entitled to a corresponding deduction. RSUs may be subject to Section 409A of the Code, and the failure of any RSU that is subject to Section 409A to comply with Section 409A may result in taxable income to the grantee upon vesting (rather than at such time as the award is paid). Furthermore, an additional 20% penalty tax may be imposed under Section 409A of the Code, and certain interest penalties may apply.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Section 162(m) of the Code. </w:t>
      </w:r>
      <w:r>
        <w:rPr>
          <w:rFonts w:ascii="Arial" w:cs="Arial" w:eastAsia="Arial" w:hAnsi="Arial"/>
          <w:sz w:val="18"/>
          <w:szCs w:val="18"/>
          <w:color w:val="auto"/>
        </w:rPr>
        <w:t>As described above, in general, under Section 162(m) of the Code, income tax deductions of publicly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may be limited to the extent total compensation (including base salary, annual bonus,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029335" cy="4457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9"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-62230</wp:posOffset>
            </wp:positionV>
            <wp:extent cx="9150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exercises and non-qualified benefits) for certain executive officers exceeds $1 million (less the amount of any “excess parachute payments” as defined in Section 280G of the Code) in any taxable year of the corporation, subject to the exception for qualified performance-based compensation discussed above. The 2014 Plan has been designed to permit the Administrator to grant stock options, SARs and performance-based awards which may qualify as “qualified performance-based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2014 Annual Incentive Awards</w:t>
      </w:r>
    </w:p>
    <w:p>
      <w:pPr>
        <w:spacing w:after="0" w:line="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Existing Annual Incentive Plan, the only performance goal which could qualify as performance-based compensation is adjusted property EBITDA, although the Compensation Committee then may exercise negative discretion to reduce the amount payable based on other corporate and individual performance considerations as it determines appropriate. Under the 2014 Plan, the Compensation Committee has the flexibility to choose from a range of qualifying annual operating and strategic goals that drive stockholder value, so that other corporate and individual performance criteria can be incorporated directly into the terms of the annual incentive arrangements. If the adoption of the 2014 Plan is approved by stockholders, in addition to the achievement of a 2014 adjusted property EBITDA goal, the 2014 annual incentive awards performance goals approved for our executive officers include two other performance criteria: (a) retention of specified third party recognition of quality and performance, and (b) achievement of certain goals related to the development of Wynn Palace. These goals combine operating financial performance with ensuring that we maintain high standards at our existing properties and effectively manage progress on our largest development project. The Compensation Committee intends to pay at least 50% of the 2014 annual incentive awards in shares of Common Stock subject to the Holding Period, if applicable.</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has also approved 2014 performance-based annual incentive awards under the Existing Annual Incentive Plan, which will only apply if stockholders do not approve the 2014 Plan. Similar to awards we have historically made under the Existing Annual Incentive Plan, these awards are tied to the achievement of adjusted property EBITDA. Even if the 2014 Plan is not approved, the Compensation Committee intends to pay at least 50% of these awards in shares of Common Stock, subject to the Holding Period, if applicable.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each of the performance goals is achieved at maximum levels, participants will be entitled to receive the following maximum awards set forth in the table below. These awards are subject to (i) the limitations set forth in the 2014 Plan including the cash and stock grant limits and continued employment through the end of the performance period, (ii) the Compensation Committee’s ability to reduce awards in its discretion and (iii) payment of at least 50% of the awards in shares of Common Stock subject to the Holding Period, if applicable.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36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614A3D"/>
              </w:rPr>
              <w:t>Maximum Award</w:t>
            </w:r>
          </w:p>
        </w:tc>
      </w:tr>
      <w:tr>
        <w:trPr>
          <w:trHeight w:val="221"/>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 and Position</w:t>
            </w:r>
          </w:p>
        </w:tc>
        <w:tc>
          <w:tcPr>
            <w:tcW w:w="2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7780" w:type="dxa"/>
            <w:vAlign w:val="bottom"/>
          </w:tcPr>
          <w:p>
            <w:pPr>
              <w:spacing w:after="0"/>
              <w:rPr>
                <w:sz w:val="20"/>
                <w:szCs w:val="20"/>
                <w:color w:val="auto"/>
              </w:rPr>
            </w:pPr>
            <w:r>
              <w:rPr>
                <w:rFonts w:ascii="Arial" w:cs="Arial" w:eastAsia="Arial" w:hAnsi="Arial"/>
                <w:sz w:val="18"/>
                <w:szCs w:val="18"/>
                <w:color w:val="auto"/>
              </w:rPr>
              <w:t>Stephen A. Wynn, Chairman and Chief Executive Officer</w:t>
            </w:r>
          </w:p>
        </w:tc>
        <w:tc>
          <w:tcPr>
            <w:tcW w:w="3640" w:type="dxa"/>
            <w:vAlign w:val="bottom"/>
            <w:gridSpan w:val="2"/>
          </w:tcPr>
          <w:p>
            <w:pPr>
              <w:jc w:val="right"/>
              <w:ind w:right="12"/>
              <w:spacing w:after="0"/>
              <w:rPr>
                <w:sz w:val="20"/>
                <w:szCs w:val="20"/>
                <w:color w:val="auto"/>
              </w:rPr>
            </w:pPr>
            <w:r>
              <w:rPr>
                <w:rFonts w:ascii="Arial" w:cs="Arial" w:eastAsia="Arial" w:hAnsi="Arial"/>
                <w:sz w:val="18"/>
                <w:szCs w:val="18"/>
                <w:color w:val="auto"/>
              </w:rPr>
              <w:t>$ 25,000,000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Matt Maddox, President and Chief Financial Officer</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Linda Chen, President of Wynn International Marketing, Limited</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Kim Sinatra, Executive Vice President, General Counsel and Secretary</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1,700,000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John Strzemp, Executive Vice President and Chief Administrative Officer</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Named Executive Officer Group</w:t>
            </w:r>
          </w:p>
        </w:tc>
        <w:tc>
          <w:tcPr>
            <w:tcW w:w="364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$ 34,200,000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Non-Executive Director Group</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11"/>
        </w:trPr>
        <w:tc>
          <w:tcPr>
            <w:tcW w:w="7780" w:type="dxa"/>
            <w:vAlign w:val="bottom"/>
          </w:tcPr>
          <w:p>
            <w:pPr>
              <w:spacing w:after="0"/>
              <w:rPr>
                <w:sz w:val="20"/>
                <w:szCs w:val="20"/>
                <w:color w:val="auto"/>
              </w:rPr>
            </w:pPr>
            <w:r>
              <w:rPr>
                <w:rFonts w:ascii="Arial" w:cs="Arial" w:eastAsia="Arial" w:hAnsi="Arial"/>
                <w:sz w:val="18"/>
                <w:szCs w:val="18"/>
                <w:color w:val="auto"/>
              </w:rPr>
              <w:t>Non-Named Executive Officer Employee Group</w:t>
            </w:r>
          </w:p>
        </w:tc>
        <w:tc>
          <w:tcPr>
            <w:tcW w:w="2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Except as described above, the Compensation Committee has not made any determination to make future grants to any persons under the 2014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Share Price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On March 21, 2014, the last trading day prior the Record Date, the closing price of our common stock on the NASDAQ was $226.20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Vote Required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2014 Plan requires approval by the affirmative vote of a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233045</wp:posOffset>
            </wp:positionV>
            <wp:extent cx="7276465" cy="3384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BOARD OF DIRECTORS RECOMMENDS THAT YOU VOTE FOR APPROVAL OF THE ADOPTION OF</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THE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Proposal 4: Approval of the Adoption of the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440"/>
        <w:spacing w:after="0" w:line="286" w:lineRule="auto"/>
        <w:rPr>
          <w:sz w:val="20"/>
          <w:szCs w:val="20"/>
          <w:color w:val="auto"/>
        </w:rPr>
      </w:pPr>
      <w:r>
        <w:rPr>
          <w:rFonts w:ascii="Arial" w:cs="Arial" w:eastAsia="Arial" w:hAnsi="Arial"/>
          <w:sz w:val="32"/>
          <w:szCs w:val="32"/>
          <w:b w:val="1"/>
          <w:bCs w:val="1"/>
          <w:color w:val="B0A49E"/>
        </w:rPr>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1903730</wp:posOffset>
            </wp:positionH>
            <wp:positionV relativeFrom="paragraph">
              <wp:posOffset>-164465</wp:posOffset>
            </wp:positionV>
            <wp:extent cx="137223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of Directors is asking that stockholders ratify, on an advisory basis, a bylaw amendment adopted by the Board on September 9, 2013, that imposes additional qualification requirements on director nominees (the “Bylaw Amendment”). The Board adopted the Bylaw Amendment to proactively address risks posed by a practice of some dissident stockholders who offer special compensation arrangements to director candidates they support in proxy contests. These special compensation arrangements may provide that dissident candidates who are elected to a corporation’s board can earn large bonuses that are not payable to other duly elected directors if the corporation accomplishes specified objectives within specified timeframes. The Bylaw Amendment is designed to avoid these special compensation arrangements by providing that a person shall not qualify for service as a director of the Company if he or she is a party to any compensation arrangement with any third party or has received any such compensation or other payment in connection with his or her candidacy or service as a director of the Company (excluding pre-existing employment arrangements and indemnification and/or reimbursement of out-of-pocket expenses in connection with candidacy, but not service, as a director). The Bylaw Amendment appears at Section 3.2(b) of the Company’s Bylaws, and is set forth in full as Appendix B to this proxy statement.</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adopting the Bylaw Amendment, the Board determined that the provision is in the best interests of the Company and its stockholders. However, over the past several months a number of commenters and proxy advisory firms have raised concerns over or expressed opposition to bylaw provisions similar to Section 3.2(b) of the Bylaws. Therefore, the Board has determined to submit this proposal to an advisory vote so that the Board may assess stockholders’ views on the Bylaw Amendment. The Board continues to believe the Bylaw Amendment is appropriate because it is designed to prevent or discourage the use of special compensation arrangements for dissident directors. The Board believes that these special compensation arrangements for dissident directors are inappropriate and could result in poor corporate governance practices because they pose a number of risks, including:</w:t>
      </w:r>
    </w:p>
    <w:p>
      <w:pPr>
        <w:spacing w:after="0" w:line="196" w:lineRule="exact"/>
        <w:rPr>
          <w:sz w:val="20"/>
          <w:szCs w:val="20"/>
          <w:color w:val="auto"/>
        </w:rPr>
      </w:pPr>
    </w:p>
    <w:p>
      <w:pPr>
        <w:ind w:left="1020" w:hanging="215"/>
        <w:spacing w:after="0" w:line="239"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undermining a board’s prerogatives to set director compensation and corporate goals, including the timeframes for achievement of those goals;</w:t>
      </w:r>
    </w:p>
    <w:p>
      <w:pPr>
        <w:spacing w:after="0" w:line="73"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creating a subset of directors with incentives that are significantly different from those of the other directors and that represent only the interests of stockholders who are providing the special compensation arrangements, regardless of changes in the composition of the Company’s stockholders or other changes in the business environment that could affect the appropriateness of a particular objective that triggers payment under a special compensation arrangement;</w:t>
      </w:r>
    </w:p>
    <w:p>
      <w:pPr>
        <w:spacing w:after="0" w:line="73"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introducing economic incentives to take the corporation in a specified direction within a timeframe that may not be in the best interests of the corporation or its stockholders;</w:t>
      </w:r>
    </w:p>
    <w:p>
      <w:pPr>
        <w:spacing w:after="0" w:line="73"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creating a subset of directors who have a significant monetary incentive to sell the corporation or manage it to attain the highest possible stock price in the short-run, even if detrimental to long-term prospects for growth and value creation; and</w:t>
      </w:r>
    </w:p>
    <w:p>
      <w:pPr>
        <w:spacing w:after="0" w:line="7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introducing unnecessary and problematic complexity and conflicts in corporate decision-making at the board level and calling into question directors’ ability to satisfy their fiduciary duties.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believes that these negative corporate governance risks can arise regardless of whether a special compensation arrangement is provided only once a candidate is elected or while a person is a nominee and does not have fiduciary duties to other stockholders. Therefore, the Bylaw Amendment applies regardless of when special compensation is provided.</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Opponents of bylaw provisions similar to Section 3.2(b) of the Bylaws argue that such provisions discourage compensation arrangements that incentivize directors to focus on increasing stockholder value. However, the Board believes that all directors should be motivated to act in the interest of increasing stockholder value and that special compensation arrangements can bias the recipients towards a specific objective regardless of whether that objective is, or has ceased to be, in the best interests of stockholders. Opponents also raise concerns over whether such provisions have the effect of making it more difficult to replace corporate directors by affecting a dissident’s ability to attract qualified director candidates through special compensation arrangements. For this reason, Section 3.2(b) of the Bylaws does not prohibit third parties from indemnifying nominees or reimbursing nominees for out-of-pocket expenses incurred as a director candidate and does not prohibit compensating a candidate who is not elected as a director, but it preserves Board-approved director compensation arrangements (the same compensation the Company’s nominees would be paid if elected after a contest) as the exclusive compensation for a candidate that is elected as a director. The Board seeks to attract qualified director candidates but believes that instead of introducing differential compensation arrangements for directors, all directors should be compensated only through Board-approved arrangements, thereby aligning directors’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029335" cy="4457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50" w:lineRule="exact"/>
        <w:rPr>
          <w:sz w:val="20"/>
          <w:szCs w:val="20"/>
          <w:color w:val="auto"/>
        </w:rPr>
      </w:pPr>
    </w:p>
    <w:p>
      <w:pPr>
        <w:ind w:left="5600"/>
        <w:spacing w:after="0"/>
        <w:rPr>
          <w:sz w:val="20"/>
          <w:szCs w:val="20"/>
          <w:color w:val="auto"/>
        </w:rPr>
      </w:pPr>
      <w:r>
        <w:rPr>
          <w:rFonts w:ascii="Arial" w:cs="Arial" w:eastAsia="Arial" w:hAnsi="Arial"/>
          <w:sz w:val="12"/>
          <w:szCs w:val="12"/>
          <w:b w:val="1"/>
          <w:bCs w:val="1"/>
          <w:color w:val="auto"/>
        </w:rPr>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-62230</wp:posOffset>
            </wp:positionV>
            <wp:extent cx="9150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Opponents of bylaw provisions similar to Section 3.2(b) of the Bylaws also argue that disclosure of special compensation arrangements between third parties and director nominees is sufficient to permit stockholders to express their concerns over such compensation arrangements at the ballot box when they elect directors. However, the Board believes that mere disclosure of the special compensation arrangements is not an appropriate approach because it bundles the distinct issue of special compensation arrangements with the issue of whether a director candidate is otherwise qualified. The Board believes that stockholders should be able to consider these two issues distinctly. Therefore, if the Company retains the Bylaw Amendment, a dissident stockholder who wishes to separately compensate director candidates will be able to seek stockholder approval to repeal the Bylaw Amendment (either in advance of or in connection with soliciting votes for its candidates), thereby providing stockholders a separate vote on the issue. Alternatively, the stockholder’s candidates can seek to amend the Bylaw if and when they are elected as directors, at which time they will be subject to the same fiduciary duties as other directors serving on the Board.</w:t>
      </w:r>
    </w:p>
    <w:p>
      <w:pPr>
        <w:spacing w:after="0" w:line="3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stockholder ratification of the Bylaw Amendment is not required by the Bylaws or Nevada law, the Board has determined to give stockholders an opportunity to voice their position as to whether the Bylaw Amendment should remain effective. If stockholders do not ratify, on an advisory basis, the Bylaw Amendment, the Board intends to repeal the Bylaw Amendment. Even if stockholders ratify the Bylaw Amendment on an advisory basis, the Board in its discretion may determine to amend or repeal the Bylaw Amendment. The Board and management are not aware of any pending or threatened proxy contests at the Company, and the deadline for a stockholder to provide notice of its intention to nominate a director for election at the Annual Meeting has passed without the Company receiving any such notice.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has concluded that the negative corporate governance risks presented by special compensation arrangements for dissident director candidates outweigh the foregoing concerns that have been expressed over this type of bylaw provision. Accordingly, the Board of Directors believes that the Company should retain the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7276465" cy="3384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2" w:lineRule="exact"/>
        <w:rPr>
          <w:sz w:val="20"/>
          <w:szCs w:val="20"/>
          <w:color w:val="auto"/>
        </w:rPr>
      </w:pPr>
    </w:p>
    <w:p>
      <w:pPr>
        <w:jc w:val="center"/>
        <w:ind w:left="320" w:right="380"/>
        <w:spacing w:after="0" w:line="264" w:lineRule="auto"/>
        <w:rPr>
          <w:sz w:val="20"/>
          <w:szCs w:val="20"/>
          <w:color w:val="auto"/>
        </w:rPr>
      </w:pPr>
      <w:r>
        <w:rPr>
          <w:rFonts w:ascii="Arial" w:cs="Arial" w:eastAsia="Arial" w:hAnsi="Arial"/>
          <w:sz w:val="18"/>
          <w:szCs w:val="18"/>
          <w:b w:val="1"/>
          <w:bCs w:val="1"/>
          <w:color w:val="614A3D"/>
        </w:rPr>
        <w:t>OUR BOARD OF DIRECTORS RECOMMENDS THAT YOU VOTE FOR RATIFICATION, ON AN ADVISORY BASIS, OF THE BYLAW AMENDMENT IN SECTION 3.2(b)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29335" cy="4457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2"/>
          <w:szCs w:val="12"/>
          <w:b w:val="1"/>
          <w:bCs w:val="1"/>
          <w:color w:val="auto"/>
        </w:rPr>
        <w:t>Proposal 5: Ratification, on an Advisory Basis, of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640"/>
        <w:spacing w:after="0" w:line="286" w:lineRule="auto"/>
        <w:rPr>
          <w:sz w:val="20"/>
          <w:szCs w:val="20"/>
          <w:color w:val="auto"/>
        </w:rPr>
      </w:pPr>
      <w:r>
        <w:rPr>
          <w:rFonts w:ascii="Arial" w:cs="Arial" w:eastAsia="Arial" w:hAnsi="Arial"/>
          <w:sz w:val="32"/>
          <w:szCs w:val="32"/>
          <w:b w:val="1"/>
          <w:bCs w:val="1"/>
          <w:color w:val="B0A49E"/>
        </w:rPr>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-164465</wp:posOffset>
            </wp:positionV>
            <wp:extent cx="137223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4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has been advised that the New York State Common Retirement Fund, 633 Third Avenue, 31</w:t>
      </w:r>
      <w:r>
        <w:rPr>
          <w:rFonts w:ascii="Arial" w:cs="Arial" w:eastAsia="Arial" w:hAnsi="Arial"/>
          <w:sz w:val="11"/>
          <w:szCs w:val="11"/>
          <w:color w:val="auto"/>
        </w:rPr>
        <w:t>st</w:t>
      </w:r>
      <w:r>
        <w:rPr>
          <w:rFonts w:ascii="Arial" w:cs="Arial" w:eastAsia="Arial" w:hAnsi="Arial"/>
          <w:sz w:val="18"/>
          <w:szCs w:val="18"/>
          <w:color w:val="auto"/>
        </w:rPr>
        <w:t xml:space="preserve"> Floor, New York, NY 10017, the beneficial owner of 236,000 shares, intends to submit the following proposal for consideration at the Annual Meeting:</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that the shareholders of Wynn Resorts, Ltd., (“Company”) hereby request that the Company provide a report, updated semiannually, disclosing the Company’s:</w:t>
      </w:r>
    </w:p>
    <w:p>
      <w:pPr>
        <w:spacing w:after="0" w:line="155" w:lineRule="exact"/>
        <w:rPr>
          <w:sz w:val="20"/>
          <w:szCs w:val="20"/>
          <w:color w:val="auto"/>
        </w:rPr>
      </w:pPr>
    </w:p>
    <w:p>
      <w:pPr>
        <w:jc w:val="both"/>
        <w:ind w:firstLine="8"/>
        <w:spacing w:after="0" w:line="238" w:lineRule="auto"/>
        <w:tabs>
          <w:tab w:leader="none" w:pos="226"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54" w:lineRule="exact"/>
        <w:rPr>
          <w:rFonts w:ascii="Arial" w:cs="Arial" w:eastAsia="Arial" w:hAnsi="Arial"/>
          <w:sz w:val="18"/>
          <w:szCs w:val="18"/>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The identity of the recipient as well as the amount paid to each; 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 The title(s) of the person(s) in the Company responsible for decision-making.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Supporting Statement of the New York State Common Retirement Fund</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Disclosure is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Wynn Resorts contributed at least $1,800,053 in corporate funds since the 2004 election cycle. (CQ: </w:t>
      </w:r>
      <w:r>
        <w:rPr>
          <w:rFonts w:ascii="Arial" w:cs="Arial" w:eastAsia="Arial" w:hAnsi="Arial"/>
          <w:sz w:val="16"/>
          <w:szCs w:val="16"/>
          <w:u w:val="single" w:color="auto"/>
          <w:color w:val="auto"/>
        </w:rPr>
        <w:t>http://moneyline.cq.com</w:t>
      </w:r>
      <w:r>
        <w:rPr>
          <w:rFonts w:ascii="Arial" w:cs="Arial" w:eastAsia="Arial" w:hAnsi="Arial"/>
          <w:sz w:val="16"/>
          <w:szCs w:val="16"/>
          <w:color w:val="auto"/>
        </w:rPr>
        <w:t xml:space="preserve"> and National Institute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-62230</wp:posOffset>
            </wp:positionV>
            <wp:extent cx="9150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The Board of Directors’ Statement in Opposition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After careful consideration, the Board of Directors recommends that stockholders vote AGAINST this proposal for the following reasons: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a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quarterly basis.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also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reports regarding the Company’s specific political contributions in various jurisdictions are publicly available at each jurisdiction’s official website.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231140</wp:posOffset>
            </wp:positionV>
            <wp:extent cx="7276465" cy="3384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UNANIMOUSLY RECOMMENDS THAT YOU VOTE AGAINST THE</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STOCKHOLDER PROPOSAL REGARDING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6: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-81280</wp:posOffset>
            </wp:positionV>
            <wp:extent cx="137223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Procedure and Expenses of Solicitation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an independent tabulator to receive and tabulate the proxies and independent inspector of elections to certify the results.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Solicitation may be undertaken by mail, telephone, personal contact or other similar means by directors, officers and employees without additional compensation. In addition we have engaged D.F. King &amp; Co, Inc. (“DF King”), a professional proxy solicitation firm, to assist in the solicitation of proxies for the Annual Meeting. The Company has agreed to pay DF King a fee of approximately $25,000, plus reimbursement for out of pocket expenses. The address of DF King is 48 Wall Street, New York NY 10005. If you need assistance in completing your proxy card or have questions regarding the Annual Meeting, please contact DF King toll-free at (800) 549-6697.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Stockholder Proposals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intending to present a proposal at the 2015 Annual Meeting of Stockholders for inclusion in our proxy statement for that meeting must submit the proposal in writing to Wynn Resorts, Limited, Attention: Corporate Secretary, 3131 Las Vegas Boulevard South, Las Vegas, Nevada 89109. Such proposals must comply with the requirements of the Bylaws and Rule 14a-8 of the Securities Exchange Act of 1934 and must be received by the Company no later than December 3, 2014.</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Generally, notice of a nomination or proposal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Accordingly, for our 2015 Annual Meeting, notice of a nomination or proposal must be delivered to us no later than February 15, 2015 and no earlier than January 16, 2015.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Annual Report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financial statements for the year ended December 31, 2013, are included in our 2013 Annual Report to Stockholders, which we are providing to our stockholders at the same time as this Proxy Statement. Our Annual Report and this Proxy Statement are also posted on the Internet at </w:t>
      </w:r>
      <w:r>
        <w:rPr>
          <w:rFonts w:ascii="Arial" w:cs="Arial" w:eastAsia="Arial" w:hAnsi="Arial"/>
          <w:sz w:val="18"/>
          <w:szCs w:val="18"/>
          <w:u w:val="single" w:color="auto"/>
          <w:color w:val="auto"/>
        </w:rPr>
        <w:t>http://www.wynnresorts.com</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If you would like to receive a printed copy of these materials, please call our Investor Relations department at</w:t>
      </w:r>
      <w:r>
        <w:rPr>
          <w:rFonts w:ascii="Arial" w:cs="Arial" w:eastAsia="Arial" w:hAnsi="Arial"/>
          <w:sz w:val="18"/>
          <w:szCs w:val="18"/>
          <w:color w:val="auto"/>
        </w:rPr>
        <w:t xml:space="preserve"> </w:t>
      </w:r>
      <w:r>
        <w:rPr>
          <w:rFonts w:ascii="Arial" w:cs="Arial" w:eastAsia="Arial" w:hAnsi="Arial"/>
          <w:sz w:val="18"/>
          <w:szCs w:val="18"/>
          <w:b w:val="1"/>
          <w:bCs w:val="1"/>
          <w:color w:val="auto"/>
        </w:rPr>
        <w:t>(702)770-7555 or send a written request to the Company at Wynn Resorts, Limited, c/o Investor Relations, 3131 Las Vegas Boulevard South, Las Vegas, Nevada 89109, and we will send a copy to you without charge.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Householding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Stockholders who are beneficial owners, but not the record holders, who share a single address may receive only one copy of the Company’s Notice of Internet Availability and, as applicable, any additional proxy materials that are delivered, unless the broker, bank or other nominee delivering the materials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-62230</wp:posOffset>
            </wp:positionV>
            <wp:extent cx="9150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statement and annual report, now or in the future, should submit their request to the Company by telephone at (702) 770-7555 or by submitting a written request to Wynn Resorts, Limited, c/o Investor Relations,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Business</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29335" cy="4457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2100"/>
        <w:spacing w:after="0" w:line="286" w:lineRule="auto"/>
        <w:rPr>
          <w:sz w:val="20"/>
          <w:szCs w:val="20"/>
          <w:color w:val="auto"/>
        </w:rPr>
      </w:pPr>
      <w:r>
        <w:rPr>
          <w:rFonts w:ascii="Arial" w:cs="Arial" w:eastAsia="Arial" w:hAnsi="Arial"/>
          <w:sz w:val="32"/>
          <w:szCs w:val="3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-164465</wp:posOffset>
            </wp:positionV>
            <wp:extent cx="137223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purpose of the Wynn Resorts, Limited 2014 Omnibus Incentive Plan (as it may be amended or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is to promote the success and enhance the value of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and Construction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w:t>
      </w: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Parent or Subsidiary.</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xml:space="preserve"> ”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xml:space="preserve"> ”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w:t>
      </w:r>
    </w:p>
    <w:p>
      <w:pPr>
        <w:spacing w:after="0" w:line="1" w:lineRule="exact"/>
        <w:rPr>
          <w:sz w:val="20"/>
          <w:szCs w:val="20"/>
          <w:color w:val="auto"/>
        </w:rPr>
      </w:pPr>
    </w:p>
    <w:p>
      <w:pPr>
        <w:jc w:val="both"/>
        <w:ind w:firstLine="8"/>
        <w:spacing w:after="0" w:line="238" w:lineRule="auto"/>
        <w:tabs>
          <w:tab w:leader="none" w:pos="2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and outstanding voting securities of the surviving corporation or other entity immediately after such merger, consolidation or reorganization; or</w:t>
      </w:r>
    </w:p>
    <w:p>
      <w:pPr>
        <w:jc w:val="both"/>
        <w:ind w:firstLine="8"/>
        <w:spacing w:after="0" w:line="281" w:lineRule="auto"/>
        <w:tabs>
          <w:tab w:leader="none" w:pos="2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6"/>
          <w:szCs w:val="16"/>
          <w:u w:val="single" w:color="auto"/>
          <w:color w:val="auto"/>
        </w:rPr>
        <w:t>Approved Directors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determining whether a Change in Control has occurred, the following Persons and Groups shall not be deemed to be “unrelated”:</w:t>
      </w:r>
    </w:p>
    <w:p>
      <w:pPr>
        <w:spacing w:after="0" w:line="19" w:lineRule="exact"/>
        <w:rPr>
          <w:sz w:val="20"/>
          <w:szCs w:val="20"/>
          <w:color w:val="auto"/>
        </w:rPr>
      </w:pPr>
    </w:p>
    <w:p>
      <w:pPr>
        <w:jc w:val="both"/>
        <w:ind w:firstLine="8"/>
        <w:spacing w:after="0" w:line="235" w:lineRule="auto"/>
        <w:tabs>
          <w:tab w:leader="none" w:pos="2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Stephen A. Wynn, the spouse, siblings, children, grandchildren or great grandchildren of Stephen A. Wynn, any trust primarily for the benefit of the foregoing persons, or any Affiliate of any of the foregoing persons, (ii) any Person or Group directly or indirectly having Beneficial Ownership of more than fifty percent (50%) of the issued and outstanding voting power of Company’s voting securities immediately before the transaction in question, (iii) any Person or Group of which the Company has Beneficial Ownership of more than fifty percent (50%) of the voting power of the issued and outstanding voting securities immediately before the transaction in question, and (iv)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or as a result of an agreement to avoid or settle an Election Contest or Proxy Contest.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13.1.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 a “covered employee” within the meaning of Section 162(m) of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mean a right to receive Shares awarded under Section 10.4.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Deferred Stock Unit</w:t>
      </w:r>
      <w:r>
        <w:rPr>
          <w:rFonts w:ascii="Arial" w:cs="Arial" w:eastAsia="Arial" w:hAnsi="Arial"/>
          <w:sz w:val="18"/>
          <w:szCs w:val="18"/>
          <w:color w:val="auto"/>
        </w:rPr>
        <w:t>” shall mean a right to receive Shares awarded under Section 10.5.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the Plan is approved by the Board, subject to approval of the Plan by the Company’s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2.22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Committee.</w:t>
      </w:r>
    </w:p>
    <w:p>
      <w:pPr>
        <w:spacing w:after="0" w:line="18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set forth in Section 14.1.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58" w:lineRule="exact"/>
        <w:rPr>
          <w:sz w:val="20"/>
          <w:szCs w:val="20"/>
          <w:color w:val="auto"/>
        </w:rPr>
      </w:pPr>
    </w:p>
    <w:p>
      <w:pPr>
        <w:jc w:val="both"/>
        <w:ind w:firstLine="8"/>
        <w:spacing w:after="0" w:line="236" w:lineRule="auto"/>
        <w:tabs>
          <w:tab w:leader="none" w:pos="2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57" w:lineRule="exact"/>
        <w:rPr>
          <w:rFonts w:ascii="Arial" w:cs="Arial" w:eastAsia="Arial" w:hAnsi="Arial"/>
          <w:sz w:val="18"/>
          <w:szCs w:val="18"/>
          <w:color w:val="auto"/>
        </w:rPr>
      </w:pPr>
    </w:p>
    <w:p>
      <w:pPr>
        <w:jc w:val="both"/>
        <w:ind w:firstLine="8"/>
        <w:spacing w:after="0" w:line="236" w:lineRule="auto"/>
        <w:tabs>
          <w:tab w:leader="none" w:pos="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57" w:lineRule="exact"/>
        <w:rPr>
          <w:rFonts w:ascii="Arial" w:cs="Arial" w:eastAsia="Arial" w:hAnsi="Arial"/>
          <w:sz w:val="18"/>
          <w:szCs w:val="18"/>
          <w:color w:val="auto"/>
        </w:rPr>
      </w:pPr>
    </w:p>
    <w:p>
      <w:pPr>
        <w:ind w:firstLine="8"/>
        <w:spacing w:after="0" w:line="239" w:lineRule="auto"/>
        <w:tabs>
          <w:tab w:leader="none" w:pos="2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shall have the meaning set forth in Section 4.6.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6.4.</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Parent</w:t>
      </w:r>
      <w:r>
        <w:rPr>
          <w:rFonts w:ascii="Arial" w:cs="Arial" w:eastAsia="Arial" w:hAnsi="Arial"/>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Committee selects for an Award for purposes of establishing the</w:t>
      </w: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158" w:lineRule="exact"/>
        <w:rPr>
          <w:sz w:val="20"/>
          <w:szCs w:val="20"/>
          <w:color w:val="auto"/>
        </w:rPr>
      </w:pPr>
    </w:p>
    <w:p>
      <w:pPr>
        <w:jc w:val="both"/>
        <w:ind w:right="20" w:firstLine="8"/>
        <w:spacing w:after="0" w:line="264" w:lineRule="auto"/>
        <w:tabs>
          <w:tab w:leader="none" w:pos="27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operating income (either before or after one or more of the following (a) depreciation, (b) amortization, (c) pre-opening costs, (d) property charges and other corporate expenses,</w:t>
      </w:r>
    </w:p>
    <w:p>
      <w:pPr>
        <w:jc w:val="both"/>
        <w:ind w:firstLine="8"/>
        <w:spacing w:after="0" w:line="266" w:lineRule="auto"/>
        <w:tabs>
          <w:tab w:leader="none" w:pos="281"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345" w:lineRule="exact"/>
        <w:rPr>
          <w:rFonts w:ascii="Arial" w:cs="Arial" w:eastAsia="Arial" w:hAnsi="Arial"/>
          <w:sz w:val="16"/>
          <w:szCs w:val="16"/>
          <w:color w:val="auto"/>
        </w:rPr>
      </w:pPr>
    </w:p>
    <w:p>
      <w:pPr>
        <w:jc w:val="both"/>
        <w:ind w:firstLine="8"/>
        <w:spacing w:after="0" w:line="235" w:lineRule="auto"/>
        <w:tabs>
          <w:tab w:leader="none" w:pos="2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Performance Goals</w:t>
      </w:r>
      <w:r>
        <w:rPr>
          <w:rFonts w:ascii="Arial" w:cs="Arial" w:eastAsia="Arial" w:hAnsi="Arial"/>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performance or the performance of a Subsidiary, division, business unit or an individual. The achievement of each Performance Goal shall be determined, to the extent applicable, with reference to Applicable Accounting Standards.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Stock Unit</w:t>
      </w:r>
      <w:r>
        <w:rPr>
          <w:rFonts w:ascii="Arial" w:cs="Arial" w:eastAsia="Arial" w:hAnsi="Arial"/>
          <w:sz w:val="18"/>
          <w:szCs w:val="18"/>
          <w:color w:val="auto"/>
        </w:rPr>
        <w:t>” shall mean a Performance Award awarded under Section 10.1 which is denominated in units of value including dollar value of Shares.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Prior Plan</w:t>
      </w:r>
      <w:r>
        <w:rPr>
          <w:rFonts w:ascii="Arial" w:cs="Arial" w:eastAsia="Arial" w:hAnsi="Arial"/>
          <w:sz w:val="16"/>
          <w:szCs w:val="16"/>
          <w:color w:val="auto"/>
        </w:rPr>
        <w:t>” shall mean the Amended and Restated Wynn Resorts, Limited 2002 Stock Incentive Plan, as may be amended from time to time.</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shall have the meaning set forth in Section 11.4.</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Stock Payment</w:t>
      </w:r>
      <w:r>
        <w:rPr>
          <w:rFonts w:ascii="Arial" w:cs="Arial" w:eastAsia="Arial" w:hAnsi="Arial"/>
          <w:sz w:val="18"/>
          <w:szCs w:val="18"/>
          <w:color w:val="auto"/>
        </w:rPr>
        <w:t>” shall mean (a) a payment in the form of Shares, or (b) an option or other right to purchase Shares, as part of a bonus, deferred compensation or other arrangement, awarded under Section 10.3.</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158" w:lineRule="exact"/>
        <w:rPr>
          <w:sz w:val="20"/>
          <w:szCs w:val="20"/>
          <w:color w:val="auto"/>
        </w:rPr>
      </w:pPr>
    </w:p>
    <w:p>
      <w:pPr>
        <w:jc w:val="both"/>
        <w:ind w:firstLine="8"/>
        <w:spacing w:after="0" w:line="238" w:lineRule="auto"/>
        <w:tabs>
          <w:tab w:leader="none" w:pos="2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ind w:firstLine="8"/>
        <w:spacing w:after="0" w:line="238"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54" w:lineRule="exact"/>
        <w:rPr>
          <w:rFonts w:ascii="Arial" w:cs="Arial" w:eastAsia="Arial" w:hAnsi="Arial"/>
          <w:sz w:val="18"/>
          <w:szCs w:val="18"/>
          <w:color w:val="auto"/>
        </w:rPr>
      </w:pPr>
    </w:p>
    <w:p>
      <w:pPr>
        <w:jc w:val="both"/>
        <w:ind w:firstLine="8"/>
        <w:spacing w:after="0" w:line="238" w:lineRule="auto"/>
        <w:tabs>
          <w:tab w:leader="none" w:pos="2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6" w:lineRule="auto"/>
        <w:tabs>
          <w:tab w:leader="none" w:pos="2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Section 14.2 and Section 3.1(b) the aggregate number of Shares which may be issued or transferred pursuant to Awards under the Plan is the sum of any of the 4,467,690 Shares that were available for issuance as of the Effective Date under the Prior Plan that remain available for issuance under the Prior Plan as of the date of stockholder approval of the Plan, plus any Shares which as of the date of stockholder approval of the Plan are subject to awards under the Prior Plan which are forfeited or lapse unexercised and which following the date of stockholder approval of the Plan are not issued under the Prior Plan; provided, however, no more than 4,467,690 Shares may be issued upon the exercise of Incentive Stock Options.</w:t>
      </w:r>
    </w:p>
    <w:p>
      <w:pPr>
        <w:spacing w:after="0" w:line="156" w:lineRule="exact"/>
        <w:rPr>
          <w:rFonts w:ascii="Arial" w:cs="Arial" w:eastAsia="Arial" w:hAnsi="Arial"/>
          <w:sz w:val="18"/>
          <w:szCs w:val="18"/>
          <w:color w:val="auto"/>
        </w:rPr>
      </w:pPr>
    </w:p>
    <w:p>
      <w:pPr>
        <w:jc w:val="both"/>
        <w:ind w:firstLine="8"/>
        <w:spacing w:after="0" w:line="268" w:lineRule="auto"/>
        <w:tabs>
          <w:tab w:leader="none" w:pos="281"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335" w:lineRule="exact"/>
        <w:rPr>
          <w:rFonts w:ascii="Arial" w:cs="Arial" w:eastAsia="Arial" w:hAnsi="Arial"/>
          <w:sz w:val="16"/>
          <w:szCs w:val="16"/>
          <w:color w:val="auto"/>
        </w:rPr>
      </w:pPr>
    </w:p>
    <w:p>
      <w:pPr>
        <w:jc w:val="both"/>
        <w:ind w:firstLine="8"/>
        <w:spacing w:after="0" w:line="236" w:lineRule="auto"/>
        <w:tabs>
          <w:tab w:leader="none" w:pos="267"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Awards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Granting of Awards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At-Will Employment; Voluntary Participation</w:t>
      </w:r>
      <w:r>
        <w:rPr>
          <w:rFonts w:ascii="Arial" w:cs="Arial" w:eastAsia="Arial" w:hAnsi="Arial"/>
          <w:sz w:val="18"/>
          <w:szCs w:val="18"/>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Foreign Holders</w:t>
      </w:r>
      <w:r>
        <w:rPr>
          <w:rFonts w:ascii="Arial" w:cs="Arial" w:eastAsia="Arial" w:hAnsi="Arial"/>
          <w:sz w:val="16"/>
          <w:szCs w:val="16"/>
          <w:color w:val="auto"/>
        </w:rPr>
        <w:t>.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w:t>
      </w:r>
    </w:p>
    <w:p>
      <w:pPr>
        <w:spacing w:after="0" w:line="1" w:lineRule="exact"/>
        <w:rPr>
          <w:sz w:val="20"/>
          <w:szCs w:val="20"/>
          <w:color w:val="auto"/>
        </w:rPr>
      </w:pPr>
    </w:p>
    <w:p>
      <w:pPr>
        <w:jc w:val="both"/>
        <w:ind w:firstLine="8"/>
        <w:spacing w:after="0" w:line="238" w:lineRule="auto"/>
        <w:tabs>
          <w:tab w:leader="none" w:pos="2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shall be attached to the Plan as appendices);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Non-Employee Director Awards</w:t>
      </w:r>
      <w:r>
        <w:rPr>
          <w:rFonts w:ascii="Arial" w:cs="Arial" w:eastAsia="Arial" w:hAnsi="Arial"/>
          <w:sz w:val="16"/>
          <w:szCs w:val="16"/>
          <w:color w:val="auto"/>
        </w:rPr>
        <w:t>. The Administrator may, in its discretion,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 Director Equity Compensation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Purpose</w:t>
      </w:r>
      <w:r>
        <w:rPr>
          <w:rFonts w:ascii="Arial" w:cs="Arial" w:eastAsia="Arial" w:hAnsi="Arial"/>
          <w:sz w:val="18"/>
          <w:szCs w:val="18"/>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Applicability</w:t>
      </w:r>
      <w:r>
        <w:rPr>
          <w:rFonts w:ascii="Arial" w:cs="Arial" w:eastAsia="Arial" w:hAnsi="Arial"/>
          <w:sz w:val="18"/>
          <w:szCs w:val="18"/>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Types of Awards</w:t>
      </w:r>
      <w:r>
        <w:rPr>
          <w:rFonts w:ascii="Arial" w:cs="Arial" w:eastAsia="Arial" w:hAnsi="Arial"/>
          <w:sz w:val="18"/>
          <w:szCs w:val="18"/>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w:t>
      </w:r>
    </w:p>
    <w:p>
      <w:pPr>
        <w:spacing w:after="0" w:line="1" w:lineRule="exact"/>
        <w:rPr>
          <w:sz w:val="20"/>
          <w:szCs w:val="20"/>
          <w:color w:val="auto"/>
        </w:rPr>
      </w:pPr>
    </w:p>
    <w:p>
      <w:pPr>
        <w:jc w:val="both"/>
        <w:ind w:firstLine="8"/>
        <w:spacing w:after="0" w:line="236" w:lineRule="auto"/>
        <w:tabs>
          <w:tab w:leader="none" w:pos="2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Granting of Options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Qualification of Incentive Stock Options</w:t>
      </w:r>
      <w:r>
        <w:rPr>
          <w:rFonts w:ascii="Arial" w:cs="Arial" w:eastAsia="Arial" w:hAnsi="Arial"/>
          <w:sz w:val="18"/>
          <w:szCs w:val="18"/>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(the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200"/>
        <w:spacing w:after="0"/>
        <w:rPr>
          <w:sz w:val="20"/>
          <w:szCs w:val="20"/>
          <w:color w:val="auto"/>
        </w:rPr>
      </w:pPr>
      <w:r>
        <w:rPr>
          <w:rFonts w:ascii="Arial" w:cs="Arial" w:eastAsia="Arial" w:hAnsi="Arial"/>
          <w:sz w:val="12"/>
          <w:szCs w:val="12"/>
          <w:b w:val="1"/>
          <w:bCs w:val="1"/>
          <w:color w:val="auto"/>
        </w:rPr>
        <w:t>A-9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8" w:lineRule="auto"/>
        <w:tabs>
          <w:tab w:leader="none" w:pos="2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54" w:lineRule="exact"/>
        <w:rPr>
          <w:rFonts w:ascii="Arial" w:cs="Arial" w:eastAsia="Arial" w:hAnsi="Arial"/>
          <w:sz w:val="18"/>
          <w:szCs w:val="18"/>
          <w:color w:val="auto"/>
        </w:rPr>
      </w:pPr>
    </w:p>
    <w:p>
      <w:pPr>
        <w:jc w:val="both"/>
        <w:ind w:firstLine="8"/>
        <w:spacing w:after="0" w:line="238" w:lineRule="auto"/>
        <w:tabs>
          <w:tab w:leader="none" w:pos="28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Substitute Awards</w:t>
      </w:r>
      <w:r>
        <w:rPr>
          <w:rFonts w:ascii="Arial" w:cs="Arial" w:eastAsia="Arial" w:hAnsi="Arial"/>
          <w:sz w:val="16"/>
          <w:szCs w:val="16"/>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Options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154" w:lineRule="exact"/>
        <w:rPr>
          <w:sz w:val="20"/>
          <w:szCs w:val="20"/>
          <w:color w:val="auto"/>
        </w:rPr>
      </w:pPr>
    </w:p>
    <w:p>
      <w:pPr>
        <w:ind w:firstLine="8"/>
        <w:spacing w:after="0" w:line="239" w:lineRule="auto"/>
        <w:tabs>
          <w:tab w:leader="none" w:pos="26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54" w:lineRule="exact"/>
        <w:rPr>
          <w:rFonts w:ascii="Arial" w:cs="Arial" w:eastAsia="Arial" w:hAnsi="Arial"/>
          <w:sz w:val="18"/>
          <w:szCs w:val="18"/>
          <w:color w:val="auto"/>
        </w:rPr>
      </w:pPr>
    </w:p>
    <w:p>
      <w:pPr>
        <w:jc w:val="both"/>
        <w:ind w:firstLine="8"/>
        <w:spacing w:after="0" w:line="238" w:lineRule="auto"/>
        <w:tabs>
          <w:tab w:leader="none" w:pos="2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54" w:lineRule="exact"/>
        <w:rPr>
          <w:rFonts w:ascii="Arial" w:cs="Arial" w:eastAsia="Arial" w:hAnsi="Arial"/>
          <w:sz w:val="18"/>
          <w:szCs w:val="18"/>
          <w:color w:val="auto"/>
        </w:rPr>
      </w:pPr>
    </w:p>
    <w:p>
      <w:pPr>
        <w:ind w:firstLine="8"/>
        <w:spacing w:after="0" w:line="239"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54" w:lineRule="exact"/>
        <w:rPr>
          <w:rFonts w:ascii="Arial" w:cs="Arial" w:eastAsia="Arial" w:hAnsi="Arial"/>
          <w:sz w:val="18"/>
          <w:szCs w:val="18"/>
          <w:color w:val="auto"/>
        </w:rPr>
      </w:pPr>
    </w:p>
    <w:p>
      <w:pPr>
        <w:ind w:firstLine="8"/>
        <w:spacing w:after="0" w:line="239" w:lineRule="auto"/>
        <w:tabs>
          <w:tab w:leader="none" w:pos="2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Sections 12.1 and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of Restricted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8" w:lineRule="auto"/>
        <w:tabs>
          <w:tab w:leader="none" w:pos="2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54" w:lineRule="exact"/>
        <w:rPr>
          <w:rFonts w:ascii="Arial" w:cs="Arial" w:eastAsia="Arial" w:hAnsi="Arial"/>
          <w:sz w:val="18"/>
          <w:szCs w:val="18"/>
          <w:color w:val="auto"/>
        </w:rPr>
      </w:pPr>
    </w:p>
    <w:p>
      <w:pPr>
        <w:jc w:val="both"/>
        <w:ind w:right="20" w:firstLine="8"/>
        <w:spacing w:after="0" w:line="238" w:lineRule="auto"/>
        <w:tabs>
          <w:tab w:leader="none" w:pos="2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of Restricted Stock Units</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w:t>
      </w:r>
      <w:r>
        <w:rPr>
          <w:rFonts w:ascii="Arial" w:cs="Arial" w:eastAsia="Arial" w:hAnsi="Arial"/>
          <w:sz w:val="18"/>
          <w:szCs w:val="18"/>
          <w:color w:val="auto"/>
        </w:rPr>
        <w:t>. Except as otherwise provided herein, the term of a Restricted Stock Unit award shall be set by the Administrator in its sole discretion.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Maturity and Payment</w:t>
      </w:r>
      <w:r>
        <w:rPr>
          <w:rFonts w:ascii="Arial" w:cs="Arial" w:eastAsia="Arial" w:hAnsi="Arial"/>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w:t>
      </w:r>
      <w:r>
        <w:rPr>
          <w:rFonts w:ascii="Arial" w:cs="Arial" w:eastAsia="Arial" w:hAnsi="Arial"/>
          <w:sz w:val="11"/>
          <w:szCs w:val="11"/>
          <w:color w:val="auto"/>
        </w:rPr>
        <w:t>th</w:t>
      </w:r>
      <w:r>
        <w:rPr>
          <w:rFonts w:ascii="Arial" w:cs="Arial" w:eastAsia="Arial" w:hAnsi="Arial"/>
          <w:sz w:val="18"/>
          <w:szCs w:val="18"/>
          <w:color w:val="auto"/>
        </w:rPr>
        <w:t xml:space="preserve"> day of the third month following the end of calendar year in which the Restricted Stock Unit vests; or (b) the 15</w:t>
      </w:r>
      <w:r>
        <w:rPr>
          <w:rFonts w:ascii="Arial" w:cs="Arial" w:eastAsia="Arial" w:hAnsi="Arial"/>
          <w:sz w:val="11"/>
          <w:szCs w:val="11"/>
          <w:color w:val="auto"/>
        </w:rPr>
        <w:t>th</w:t>
      </w:r>
      <w:r>
        <w:rPr>
          <w:rFonts w:ascii="Arial" w:cs="Arial" w:eastAsia="Arial" w:hAnsi="Arial"/>
          <w:sz w:val="18"/>
          <w:szCs w:val="18"/>
          <w:color w:val="auto"/>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of Performance Awards, Dividend Equivalents, Stock Payments, Deferred Stock, Deferred Stock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73" w:lineRule="auto"/>
        <w:tabs>
          <w:tab w:leader="none" w:pos="27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28" w:lineRule="exact"/>
        <w:rPr>
          <w:rFonts w:ascii="Arial" w:cs="Arial" w:eastAsia="Arial" w:hAnsi="Arial"/>
          <w:sz w:val="16"/>
          <w:szCs w:val="16"/>
          <w:color w:val="auto"/>
        </w:rPr>
      </w:pPr>
    </w:p>
    <w:p>
      <w:pPr>
        <w:jc w:val="both"/>
        <w:ind w:firstLine="8"/>
        <w:spacing w:after="0" w:line="236" w:lineRule="auto"/>
        <w:tabs>
          <w:tab w:leader="none" w:pos="2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6" w:lineRule="auto"/>
        <w:tabs>
          <w:tab w:leader="none" w:pos="2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56" w:lineRule="exact"/>
        <w:rPr>
          <w:rFonts w:ascii="Arial" w:cs="Arial" w:eastAsia="Arial" w:hAnsi="Arial"/>
          <w:sz w:val="18"/>
          <w:szCs w:val="18"/>
          <w:color w:val="auto"/>
        </w:rPr>
      </w:pP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 Appreciation Rights.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Stock Payments</w:t>
      </w:r>
      <w:r>
        <w:rPr>
          <w:rFonts w:ascii="Arial" w:cs="Arial" w:eastAsia="Arial" w:hAnsi="Arial"/>
          <w:sz w:val="16"/>
          <w:szCs w:val="16"/>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Deferred Stock</w:t>
      </w:r>
      <w:r>
        <w:rPr>
          <w:rFonts w:ascii="Arial" w:cs="Arial" w:eastAsia="Arial" w:hAnsi="Arial"/>
          <w:sz w:val="18"/>
          <w:szCs w:val="18"/>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Stock Payment award, Deferred Stock award and/or Deferred Stock Unit award shall be set by the Administrator in its sole discretion.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may establish the purchase price of a Performance Award, Shares distributed as a Stock Payment award, shares of Deferred Stock or Shares distributed pursuant to a Deferred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of Stock Appreciation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158" w:lineRule="exact"/>
        <w:rPr>
          <w:sz w:val="20"/>
          <w:szCs w:val="20"/>
          <w:color w:val="auto"/>
        </w:rPr>
      </w:pPr>
    </w:p>
    <w:p>
      <w:pPr>
        <w:ind w:firstLine="8"/>
        <w:spacing w:after="0" w:line="239" w:lineRule="auto"/>
        <w:tabs>
          <w:tab w:leader="none" w:pos="26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154" w:lineRule="exact"/>
        <w:rPr>
          <w:rFonts w:ascii="Arial" w:cs="Arial" w:eastAsia="Arial" w:hAnsi="Arial"/>
          <w:sz w:val="18"/>
          <w:szCs w:val="18"/>
          <w:color w:val="auto"/>
        </w:rPr>
      </w:pPr>
    </w:p>
    <w:p>
      <w:pPr>
        <w:jc w:val="both"/>
        <w:ind w:firstLine="8"/>
        <w:spacing w:after="0" w:line="234" w:lineRule="auto"/>
        <w:tabs>
          <w:tab w:leader="none" w:pos="2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w:t>
      </w:r>
    </w:p>
    <w:p>
      <w:pPr>
        <w:spacing w:after="0" w:line="3" w:lineRule="exact"/>
        <w:rPr>
          <w:rFonts w:ascii="Arial" w:cs="Arial" w:eastAsia="Arial" w:hAnsi="Arial"/>
          <w:sz w:val="18"/>
          <w:szCs w:val="18"/>
          <w:color w:val="auto"/>
        </w:rPr>
      </w:pP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54" w:lineRule="exact"/>
        <w:rPr>
          <w:rFonts w:ascii="Arial" w:cs="Arial" w:eastAsia="Arial" w:hAnsi="Arial"/>
          <w:sz w:val="18"/>
          <w:szCs w:val="18"/>
          <w:color w:val="auto"/>
        </w:rPr>
      </w:pPr>
    </w:p>
    <w:p>
      <w:pPr>
        <w:jc w:val="both"/>
        <w:ind w:firstLine="8"/>
        <w:spacing w:after="0" w:line="236" w:lineRule="auto"/>
        <w:tabs>
          <w:tab w:leader="none" w:pos="25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pacing w:after="0" w:line="158" w:lineRule="exact"/>
        <w:rPr>
          <w:sz w:val="20"/>
          <w:szCs w:val="20"/>
          <w:color w:val="auto"/>
        </w:rPr>
      </w:pPr>
    </w:p>
    <w:p>
      <w:pPr>
        <w:ind w:firstLine="8"/>
        <w:spacing w:after="0" w:line="239" w:lineRule="auto"/>
        <w:tabs>
          <w:tab w:leader="none" w:pos="2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54" w:lineRule="exact"/>
        <w:rPr>
          <w:sz w:val="20"/>
          <w:szCs w:val="20"/>
          <w:color w:val="auto"/>
        </w:rPr>
      </w:pPr>
    </w:p>
    <w:p>
      <w:pPr>
        <w:jc w:val="both"/>
        <w:ind w:firstLine="8"/>
        <w:spacing w:after="0" w:line="238" w:lineRule="auto"/>
        <w:tabs>
          <w:tab w:leader="none" w:pos="2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54" w:lineRule="exact"/>
        <w:rPr>
          <w:sz w:val="20"/>
          <w:szCs w:val="20"/>
          <w:color w:val="auto"/>
        </w:rPr>
      </w:pPr>
    </w:p>
    <w:p>
      <w:pPr>
        <w:jc w:val="both"/>
        <w:ind w:firstLine="8"/>
        <w:spacing w:after="0" w:line="238" w:lineRule="auto"/>
        <w:tabs>
          <w:tab w:leader="none" w:pos="2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54" w:lineRule="exact"/>
        <w:rPr>
          <w:rFonts w:ascii="Arial" w:cs="Arial" w:eastAsia="Arial" w:hAnsi="Arial"/>
          <w:sz w:val="18"/>
          <w:szCs w:val="18"/>
          <w:color w:val="auto"/>
        </w:rPr>
      </w:pPr>
    </w:p>
    <w:p>
      <w:pPr>
        <w:jc w:val="both"/>
        <w:ind w:firstLine="8"/>
        <w:spacing w:after="0" w:line="238" w:lineRule="auto"/>
        <w:tabs>
          <w:tab w:leader="none" w:pos="2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54" w:lineRule="exact"/>
        <w:rPr>
          <w:rFonts w:ascii="Arial" w:cs="Arial" w:eastAsia="Arial" w:hAnsi="Arial"/>
          <w:sz w:val="18"/>
          <w:szCs w:val="18"/>
          <w:color w:val="auto"/>
        </w:rPr>
      </w:pPr>
    </w:p>
    <w:p>
      <w:pPr>
        <w:ind w:firstLine="8"/>
        <w:spacing w:after="0" w:line="239" w:lineRule="auto"/>
        <w:tabs>
          <w:tab w:leader="none" w:pos="2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The term of each Stock Appreciation Right (the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Payment</w:t>
      </w:r>
      <w:r>
        <w:rPr>
          <w:rFonts w:ascii="Arial" w:cs="Arial" w:eastAsia="Arial" w:hAnsi="Arial"/>
          <w:sz w:val="18"/>
          <w:szCs w:val="18"/>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Awards</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allow a Holder to elect to have the Company withhold Shares otherwise issuable under an Award (or allow the surrender of 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Except as otherwise provided in Section 12.3(b):</w:t>
      </w:r>
    </w:p>
    <w:p>
      <w:pPr>
        <w:spacing w:after="0" w:line="158" w:lineRule="exact"/>
        <w:rPr>
          <w:sz w:val="20"/>
          <w:szCs w:val="20"/>
          <w:color w:val="auto"/>
        </w:rPr>
      </w:pPr>
    </w:p>
    <w:p>
      <w:pPr>
        <w:jc w:val="both"/>
        <w:ind w:firstLine="8"/>
        <w:spacing w:after="0" w:line="238" w:lineRule="auto"/>
        <w:tabs>
          <w:tab w:leader="none" w:pos="2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54" w:lineRule="exact"/>
        <w:rPr>
          <w:rFonts w:ascii="Arial" w:cs="Arial" w:eastAsia="Arial" w:hAnsi="Arial"/>
          <w:sz w:val="18"/>
          <w:szCs w:val="18"/>
          <w:color w:val="auto"/>
        </w:rPr>
      </w:pPr>
    </w:p>
    <w:p>
      <w:pPr>
        <w:jc w:val="both"/>
        <w:ind w:firstLine="8"/>
        <w:spacing w:after="0" w:line="236"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57" w:lineRule="exact"/>
        <w:rPr>
          <w:rFonts w:ascii="Arial" w:cs="Arial" w:eastAsia="Arial" w:hAnsi="Arial"/>
          <w:sz w:val="18"/>
          <w:szCs w:val="18"/>
          <w:color w:val="auto"/>
        </w:rPr>
      </w:pPr>
    </w:p>
    <w:p>
      <w:pPr>
        <w:jc w:val="both"/>
        <w:ind w:firstLine="8"/>
        <w:spacing w:after="0" w:line="236" w:lineRule="auto"/>
        <w:tabs>
          <w:tab w:leader="none" w:pos="2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57" w:lineRule="exact"/>
        <w:rPr>
          <w:sz w:val="20"/>
          <w:szCs w:val="20"/>
          <w:color w:val="auto"/>
        </w:rPr>
      </w:pPr>
    </w:p>
    <w:p>
      <w:pPr>
        <w:jc w:val="both"/>
        <w:ind w:firstLine="8"/>
        <w:spacing w:after="0" w:line="270" w:lineRule="auto"/>
        <w:tabs>
          <w:tab w:leader="none" w:pos="2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31" w:lineRule="exact"/>
        <w:rPr>
          <w:rFonts w:ascii="Arial" w:cs="Arial" w:eastAsia="Arial" w:hAnsi="Arial"/>
          <w:sz w:val="16"/>
          <w:szCs w:val="16"/>
          <w:color w:val="auto"/>
        </w:rPr>
      </w:pPr>
    </w:p>
    <w:p>
      <w:pPr>
        <w:jc w:val="both"/>
        <w:ind w:firstLine="8"/>
        <w:spacing w:after="0" w:line="235" w:lineRule="auto"/>
        <w:tabs>
          <w:tab w:leader="none" w:pos="2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change or revocation is filed with the Administrator prior to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6"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56" w:lineRule="exact"/>
        <w:rPr>
          <w:rFonts w:ascii="Arial" w:cs="Arial" w:eastAsia="Arial" w:hAnsi="Arial"/>
          <w:sz w:val="18"/>
          <w:szCs w:val="18"/>
          <w:color w:val="auto"/>
        </w:rPr>
      </w:pPr>
    </w:p>
    <w:p>
      <w:pPr>
        <w:jc w:val="both"/>
        <w:ind w:firstLine="8"/>
        <w:spacing w:after="0" w:line="238" w:lineRule="auto"/>
        <w:tabs>
          <w:tab w:leader="none" w:pos="27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54" w:lineRule="exact"/>
        <w:rPr>
          <w:rFonts w:ascii="Arial" w:cs="Arial" w:eastAsia="Arial" w:hAnsi="Arial"/>
          <w:sz w:val="18"/>
          <w:szCs w:val="18"/>
          <w:color w:val="auto"/>
        </w:rPr>
      </w:pPr>
    </w:p>
    <w:p>
      <w:pPr>
        <w:ind w:firstLine="8"/>
        <w:spacing w:after="0" w:line="239" w:lineRule="auto"/>
        <w:tabs>
          <w:tab w:leader="none" w:pos="2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54" w:lineRule="exact"/>
        <w:rPr>
          <w:rFonts w:ascii="Arial" w:cs="Arial" w:eastAsia="Arial" w:hAnsi="Arial"/>
          <w:sz w:val="18"/>
          <w:szCs w:val="18"/>
          <w:color w:val="auto"/>
        </w:rPr>
      </w:pPr>
    </w:p>
    <w:p>
      <w:pPr>
        <w:ind w:firstLine="8"/>
        <w:spacing w:after="0" w:line="239"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54" w:lineRule="exact"/>
        <w:rPr>
          <w:rFonts w:ascii="Arial" w:cs="Arial" w:eastAsia="Arial" w:hAnsi="Arial"/>
          <w:sz w:val="18"/>
          <w:szCs w:val="18"/>
          <w:color w:val="auto"/>
        </w:rPr>
      </w:pPr>
    </w:p>
    <w:p>
      <w:pPr>
        <w:jc w:val="both"/>
        <w:ind w:firstLine="8"/>
        <w:spacing w:after="0" w:line="238"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Forfeiture and Claw-Back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55" w:lineRule="exact"/>
        <w:rPr>
          <w:sz w:val="20"/>
          <w:szCs w:val="20"/>
          <w:color w:val="auto"/>
        </w:rPr>
      </w:pPr>
    </w:p>
    <w:p>
      <w:pPr>
        <w:jc w:val="both"/>
        <w:ind w:firstLine="8"/>
        <w:spacing w:after="0" w:line="236" w:lineRule="auto"/>
        <w:tabs>
          <w:tab w:leader="none" w:pos="2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14.2, the Administrator shall not, without the approval of the stockholders of the Company,</w:t>
      </w:r>
    </w:p>
    <w:p>
      <w:pPr>
        <w:jc w:val="both"/>
        <w:ind w:firstLine="8"/>
        <w:spacing w:after="0" w:line="236" w:lineRule="auto"/>
        <w:tabs>
          <w:tab w:leader="none" w:pos="20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Authority of Administrator</w:t>
      </w:r>
      <w:r>
        <w:rPr>
          <w:rFonts w:ascii="Arial" w:cs="Arial" w:eastAsia="Arial" w:hAnsi="Arial"/>
          <w:sz w:val="18"/>
          <w:szCs w:val="18"/>
          <w:color w:val="auto"/>
        </w:rPr>
        <w:t>. Subject to the Company’s Bylaws, the Committee’s Charter and any specific designation in the Plan, the</w:t>
      </w: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158" w:lineRule="exact"/>
        <w:rPr>
          <w:sz w:val="20"/>
          <w:szCs w:val="20"/>
          <w:color w:val="auto"/>
        </w:rPr>
      </w:pPr>
    </w:p>
    <w:p>
      <w:pPr>
        <w:ind w:left="280" w:hanging="272"/>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57" w:lineRule="exact"/>
        <w:rPr>
          <w:rFonts w:ascii="Arial" w:cs="Arial" w:eastAsia="Arial" w:hAnsi="Arial"/>
          <w:sz w:val="18"/>
          <w:szCs w:val="18"/>
          <w:color w:val="auto"/>
        </w:rPr>
      </w:pPr>
    </w:p>
    <w:p>
      <w:pPr>
        <w:ind w:firstLine="8"/>
        <w:spacing w:after="0" w:line="239" w:lineRule="auto"/>
        <w:tabs>
          <w:tab w:leader="none" w:pos="2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or purchase price, any Performance Criteria, any restrictions or limitations on the Award, any schedule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54" w:lineRule="exact"/>
        <w:rPr>
          <w:sz w:val="20"/>
          <w:szCs w:val="20"/>
          <w:color w:val="auto"/>
        </w:rPr>
      </w:pPr>
    </w:p>
    <w:p>
      <w:pPr>
        <w:ind w:firstLine="8"/>
        <w:spacing w:after="0" w:line="239" w:lineRule="auto"/>
        <w:tabs>
          <w:tab w:leader="none" w:pos="2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54" w:lineRule="exact"/>
        <w:rPr>
          <w:rFonts w:ascii="Arial" w:cs="Arial" w:eastAsia="Arial" w:hAnsi="Arial"/>
          <w:sz w:val="18"/>
          <w:szCs w:val="18"/>
          <w:color w:val="auto"/>
        </w:rPr>
      </w:pPr>
    </w:p>
    <w:p>
      <w:pPr>
        <w:ind w:left="220" w:hanging="212"/>
        <w:spacing w:after="0"/>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157" w:lineRule="exact"/>
        <w:rPr>
          <w:rFonts w:ascii="Arial" w:cs="Arial" w:eastAsia="Arial" w:hAnsi="Arial"/>
          <w:sz w:val="18"/>
          <w:szCs w:val="18"/>
          <w:color w:val="auto"/>
        </w:rPr>
      </w:pPr>
    </w:p>
    <w:p>
      <w:pPr>
        <w:ind w:firstLine="8"/>
        <w:spacing w:after="0" w:line="239" w:lineRule="auto"/>
        <w:tabs>
          <w:tab w:leader="none" w:pos="208"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54" w:lineRule="exact"/>
        <w:rPr>
          <w:rFonts w:ascii="Arial" w:cs="Arial" w:eastAsia="Arial" w:hAnsi="Arial"/>
          <w:sz w:val="18"/>
          <w:szCs w:val="18"/>
          <w:color w:val="auto"/>
        </w:rPr>
      </w:pPr>
    </w:p>
    <w:p>
      <w:pPr>
        <w:ind w:firstLine="8"/>
        <w:spacing w:after="0" w:line="239" w:lineRule="auto"/>
        <w:tabs>
          <w:tab w:leader="none" w:pos="2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 14.2.</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Decisions Binding</w:t>
      </w:r>
      <w:r>
        <w:rPr>
          <w:rFonts w:ascii="Arial" w:cs="Arial" w:eastAsia="Arial" w:hAnsi="Arial"/>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Provisions</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Arial" w:cs="Arial" w:eastAsia="Arial" w:hAnsi="Arial"/>
          <w:sz w:val="11"/>
          <w:szCs w:val="11"/>
          <w:color w:val="auto"/>
        </w:rPr>
        <w:t>th</w:t>
      </w:r>
      <w:r>
        <w:rPr>
          <w:rFonts w:ascii="Arial" w:cs="Arial" w:eastAsia="Arial" w:hAnsi="Arial"/>
          <w:sz w:val="18"/>
          <w:szCs w:val="18"/>
          <w:color w:val="auto"/>
        </w:rPr>
        <w:t>) anniversary of the Effective Date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Any Awards that are outstanding on the Expiration Date shall remain in force according to the terms of the Plan and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A-19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35" w:lineRule="auto"/>
        <w:tabs>
          <w:tab w:leader="none" w:pos="27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161" w:lineRule="exact"/>
        <w:rPr>
          <w:rFonts w:ascii="Arial" w:cs="Arial" w:eastAsia="Arial" w:hAnsi="Arial"/>
          <w:sz w:val="18"/>
          <w:szCs w:val="18"/>
          <w:color w:val="auto"/>
        </w:rPr>
      </w:pPr>
    </w:p>
    <w:p>
      <w:pPr>
        <w:jc w:val="both"/>
        <w:ind w:firstLine="8"/>
        <w:spacing w:after="0" w:line="236" w:lineRule="auto"/>
        <w:tabs>
          <w:tab w:leader="none" w:pos="29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55" w:lineRule="exact"/>
        <w:rPr>
          <w:sz w:val="20"/>
          <w:szCs w:val="20"/>
          <w:color w:val="auto"/>
        </w:rPr>
      </w:pPr>
    </w:p>
    <w:p>
      <w:pPr>
        <w:jc w:val="both"/>
        <w:ind w:firstLine="8"/>
        <w:spacing w:after="0" w:line="236" w:lineRule="auto"/>
        <w:tabs>
          <w:tab w:leader="none" w:pos="2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55" w:lineRule="exact"/>
        <w:rPr>
          <w:rFonts w:ascii="Arial" w:cs="Arial" w:eastAsia="Arial" w:hAnsi="Arial"/>
          <w:sz w:val="18"/>
          <w:szCs w:val="18"/>
          <w:color w:val="auto"/>
        </w:rPr>
      </w:pPr>
    </w:p>
    <w:p>
      <w:pPr>
        <w:jc w:val="both"/>
        <w:ind w:firstLine="8"/>
        <w:spacing w:after="0" w:line="238" w:lineRule="auto"/>
        <w:tabs>
          <w:tab w:leader="none" w:pos="2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54" w:lineRule="exact"/>
        <w:rPr>
          <w:rFonts w:ascii="Arial" w:cs="Arial" w:eastAsia="Arial" w:hAnsi="Arial"/>
          <w:sz w:val="18"/>
          <w:szCs w:val="18"/>
          <w:color w:val="auto"/>
        </w:rPr>
      </w:pPr>
    </w:p>
    <w:p>
      <w:pPr>
        <w:jc w:val="both"/>
        <w:ind w:firstLine="8"/>
        <w:spacing w:after="0" w:line="238" w:lineRule="auto"/>
        <w:tabs>
          <w:tab w:leader="none" w:pos="2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54" w:lineRule="exact"/>
        <w:rPr>
          <w:rFonts w:ascii="Arial" w:cs="Arial" w:eastAsia="Arial" w:hAnsi="Arial"/>
          <w:sz w:val="18"/>
          <w:szCs w:val="18"/>
          <w:color w:val="auto"/>
        </w:rPr>
      </w:pPr>
    </w:p>
    <w:p>
      <w:pPr>
        <w:ind w:right="20" w:firstLine="8"/>
        <w:spacing w:after="0" w:line="239" w:lineRule="auto"/>
        <w:tabs>
          <w:tab w:leader="none" w:pos="2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54"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 In connection with the occurrence of any Equity Restructuring, and notwithstanding anything to the contrary in Sections 14.2(a) and 14.2(b):</w:t>
      </w:r>
    </w:p>
    <w:p>
      <w:pPr>
        <w:spacing w:after="0" w:line="158" w:lineRule="exact"/>
        <w:rPr>
          <w:sz w:val="20"/>
          <w:szCs w:val="20"/>
          <w:color w:val="auto"/>
        </w:rPr>
      </w:pPr>
    </w:p>
    <w:p>
      <w:pPr>
        <w:ind w:firstLine="8"/>
        <w:spacing w:after="0" w:line="239" w:lineRule="auto"/>
        <w:tabs>
          <w:tab w:leader="none" w:pos="2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54" w:lineRule="exact"/>
        <w:rPr>
          <w:rFonts w:ascii="Arial" w:cs="Arial" w:eastAsia="Arial" w:hAnsi="Arial"/>
          <w:sz w:val="18"/>
          <w:szCs w:val="18"/>
          <w:color w:val="auto"/>
        </w:rPr>
      </w:pPr>
    </w:p>
    <w:p>
      <w:pPr>
        <w:jc w:val="both"/>
        <w:ind w:firstLine="8"/>
        <w:spacing w:after="0" w:line="236" w:lineRule="auto"/>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A-20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ind w:firstLine="8"/>
        <w:spacing w:after="0" w:line="266" w:lineRule="auto"/>
        <w:tabs>
          <w:tab w:leader="none" w:pos="27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344" w:lineRule="exact"/>
        <w:rPr>
          <w:rFonts w:ascii="Arial" w:cs="Arial" w:eastAsia="Arial" w:hAnsi="Arial"/>
          <w:sz w:val="16"/>
          <w:szCs w:val="16"/>
          <w:color w:val="auto"/>
        </w:rPr>
      </w:pPr>
    </w:p>
    <w:p>
      <w:pPr>
        <w:ind w:right="20" w:firstLine="8"/>
        <w:spacing w:after="0" w:line="239" w:lineRule="auto"/>
        <w:tabs>
          <w:tab w:leader="none" w:pos="27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54" w:lineRule="exact"/>
        <w:rPr>
          <w:rFonts w:ascii="Arial" w:cs="Arial" w:eastAsia="Arial" w:hAnsi="Arial"/>
          <w:sz w:val="18"/>
          <w:szCs w:val="18"/>
          <w:color w:val="auto"/>
        </w:rPr>
      </w:pPr>
    </w:p>
    <w:p>
      <w:pPr>
        <w:jc w:val="both"/>
        <w:ind w:firstLine="8"/>
        <w:spacing w:after="0" w:line="236" w:lineRule="auto"/>
        <w:tabs>
          <w:tab w:leader="none" w:pos="2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55" w:lineRule="exact"/>
        <w:rPr>
          <w:rFonts w:ascii="Arial" w:cs="Arial" w:eastAsia="Arial" w:hAnsi="Arial"/>
          <w:sz w:val="18"/>
          <w:szCs w:val="18"/>
          <w:color w:val="auto"/>
        </w:rPr>
      </w:pPr>
    </w:p>
    <w:p>
      <w:pPr>
        <w:jc w:val="both"/>
        <w:ind w:firstLine="8"/>
        <w:spacing w:after="0" w:line="271" w:lineRule="auto"/>
        <w:tabs>
          <w:tab w:leader="none" w:pos="264"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31" w:lineRule="exact"/>
        <w:rPr>
          <w:rFonts w:ascii="Arial" w:cs="Arial" w:eastAsia="Arial" w:hAnsi="Arial"/>
          <w:sz w:val="16"/>
          <w:szCs w:val="16"/>
          <w:color w:val="auto"/>
        </w:rPr>
      </w:pPr>
    </w:p>
    <w:p>
      <w:pPr>
        <w:ind w:firstLine="8"/>
        <w:spacing w:after="0" w:line="239" w:lineRule="auto"/>
        <w:tabs>
          <w:tab w:leader="none" w:pos="2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action shall be taken under this Section 14.2 which shall cause an Award to fail to comply with Section 409A of the Code or the Treasury Regulations thereunder, to the extent applicable to such Award.</w:t>
      </w:r>
    </w:p>
    <w:p>
      <w:pPr>
        <w:spacing w:after="0" w:line="154" w:lineRule="exact"/>
        <w:rPr>
          <w:rFonts w:ascii="Arial" w:cs="Arial" w:eastAsia="Arial" w:hAnsi="Arial"/>
          <w:sz w:val="18"/>
          <w:szCs w:val="18"/>
          <w:color w:val="auto"/>
        </w:rPr>
      </w:pPr>
    </w:p>
    <w:p>
      <w:pPr>
        <w:jc w:val="both"/>
        <w:ind w:firstLine="8"/>
        <w:spacing w:after="0" w:line="237" w:lineRule="auto"/>
        <w:tabs>
          <w:tab w:leader="none" w:pos="2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Approval of Plan by Stockholders</w:t>
      </w:r>
      <w:r>
        <w:rPr>
          <w:rFonts w:ascii="Arial" w:cs="Arial" w:eastAsia="Arial" w:hAnsi="Arial"/>
          <w:sz w:val="16"/>
          <w:szCs w:val="16"/>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approval has not been obtained at the end of said twelve (12) month period, all Awards previously granted or awarded under the Plan shall thereupon be canceled and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029335" cy="4457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3"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A-21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covered by any Award until the Holder becomes the record owner of such Shares.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Nevada without regard to conflicts of laws thereof or of any other jurisdiction.</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A-22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-62230</wp:posOffset>
            </wp:positionV>
            <wp:extent cx="9150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7220"/>
        <w:spacing w:after="0"/>
        <w:rPr>
          <w:sz w:val="20"/>
          <w:szCs w:val="20"/>
          <w:color w:val="auto"/>
        </w:rPr>
      </w:pPr>
      <w:r>
        <w:rPr>
          <w:rFonts w:ascii="Arial" w:cs="Arial" w:eastAsia="Arial" w:hAnsi="Arial"/>
          <w:sz w:val="12"/>
          <w:szCs w:val="12"/>
          <w:b w:val="1"/>
          <w:bCs w:val="1"/>
          <w:color w:val="auto"/>
        </w:rPr>
        <w:t>Appendix A: Wynn Resorts, Limited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A-23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Appendix B: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-81280</wp:posOffset>
            </wp:positionV>
            <wp:extent cx="137223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Section 3.2(b) of the Company’s Bylaws provides as follows:</w:t>
      </w:r>
    </w:p>
    <w:p>
      <w:pPr>
        <w:spacing w:after="0" w:line="158" w:lineRule="exact"/>
        <w:rPr>
          <w:sz w:val="20"/>
          <w:szCs w:val="20"/>
          <w:color w:val="auto"/>
        </w:rPr>
      </w:pPr>
    </w:p>
    <w:p>
      <w:pPr>
        <w:jc w:val="both"/>
        <w:ind w:firstLine="8"/>
        <w:spacing w:after="0" w:line="236" w:lineRule="auto"/>
        <w:tabs>
          <w:tab w:leader="none" w:pos="2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person shall qualify for service as a director of the Corporation if he or she is a party to any compensatory, payment or other financial agreement, arrangement or understanding with any person or entity other than the Corporation, or has received any such compensation or other payment from any person or entity other than the Corporation, in each case in connection with candidacy or service as a director of the Corporation; provided that agreements providing only for indemnification and/or reimbursement of out-of-pocket expenses in connection with candidacy as a director (but not, for the avoidance of doubt, in connection with service as a director) and any pre-existing employment agreement a candidate has with his or her employer (not entered into in contemplation of the employer’s investment in the Corporation or such employee’s candidacy as a director), shall not be disqualifying under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Appendix B: Director Qualification Bylaw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00" w:type="dxa"/>
            <w:vAlign w:val="bottom"/>
            <w:gridSpan w:val="6"/>
          </w:tcPr>
          <w:p>
            <w:pPr>
              <w:ind w:left="10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information up until 11:59 P.M. Eastern Time the day before the meeting date. Have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your proxy card in hand when you access the web site and follow the instructions to</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500" w:type="dxa"/>
            <w:vAlign w:val="bottom"/>
            <w:gridSpan w:val="6"/>
          </w:tcPr>
          <w:p>
            <w:pPr>
              <w:ind w:left="100"/>
              <w:spacing w:after="0"/>
              <w:rPr>
                <w:sz w:val="20"/>
                <w:szCs w:val="20"/>
                <w:color w:val="auto"/>
              </w:rPr>
            </w:pPr>
            <w:r>
              <w:rPr>
                <w:rFonts w:ascii="Arial" w:cs="Arial" w:eastAsia="Arial" w:hAnsi="Arial"/>
                <w:sz w:val="14"/>
                <w:szCs w:val="14"/>
                <w:color w:val="auto"/>
              </w:rPr>
              <w:t>obtain your records and to create an electronic voting instruction form.</w:t>
            </w: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p>
        </w:tc>
        <w:tc>
          <w:tcPr>
            <w:tcW w:w="4040" w:type="dxa"/>
            <w:vAlign w:val="bottom"/>
            <w:gridSpan w:val="2"/>
          </w:tcPr>
          <w:p>
            <w:pPr>
              <w:ind w:left="500"/>
              <w:spacing w:after="0"/>
              <w:rPr>
                <w:sz w:val="20"/>
                <w:szCs w:val="20"/>
                <w:color w:val="auto"/>
              </w:rPr>
            </w:pPr>
            <w:r>
              <w:rPr>
                <w:rFonts w:ascii="Arial" w:cs="Arial" w:eastAsia="Arial" w:hAnsi="Arial"/>
                <w:sz w:val="14"/>
                <w:szCs w:val="14"/>
                <w:b w:val="1"/>
                <w:bCs w:val="1"/>
                <w:i w:val="1"/>
                <w:iCs w:val="1"/>
                <w:color w:val="auto"/>
              </w:rPr>
              <w:t>WYNN RESORTS, LIMITED</w:t>
            </w: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00" w:type="dxa"/>
            <w:vAlign w:val="bottom"/>
            <w:gridSpan w:val="6"/>
          </w:tcPr>
          <w:p>
            <w:pPr>
              <w:ind w:left="10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40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i w:val="1"/>
                <w:iCs w:val="1"/>
                <w:color w:val="auto"/>
              </w:rPr>
              <w:t>ATTN: LEWIS FANGER</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If you would like to reduce the costs incurred by our company in mailing proxy</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40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i w:val="1"/>
                <w:iCs w:val="1"/>
                <w:color w:val="auto"/>
              </w:rPr>
              <w:t>3131 LAS VEGAS BLVD., SOUTH</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materials, you can consent to receiving all future proxy statements, proxy cards and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4040" w:type="dxa"/>
            <w:vAlign w:val="bottom"/>
            <w:gridSpan w:val="2"/>
          </w:tcPr>
          <w:p>
            <w:pPr>
              <w:ind w:left="500"/>
              <w:spacing w:after="0" w:line="149" w:lineRule="exact"/>
              <w:rPr>
                <w:sz w:val="20"/>
                <w:szCs w:val="20"/>
                <w:color w:val="auto"/>
              </w:rPr>
            </w:pPr>
            <w:r>
              <w:rPr>
                <w:rFonts w:ascii="Arial" w:cs="Arial" w:eastAsia="Arial" w:hAnsi="Arial"/>
                <w:sz w:val="14"/>
                <w:szCs w:val="14"/>
                <w:b w:val="1"/>
                <w:bCs w:val="1"/>
                <w:i w:val="1"/>
                <w:iCs w:val="1"/>
                <w:color w:val="auto"/>
              </w:rPr>
              <w:t>LAS VEGAS, NV 89109</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annual reports electronically via e-mail or the Internet. To sign up for electronic</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delivery, please follow the instructions above to vote using the Internet and, when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prompted, indicate that you agree to receive or access proxy materials electronically</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color w:val="auto"/>
              </w:rPr>
              <w:t>in future years.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VOTE BY PHONE - 1-800-690-6903</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Use any touch-tone telephone to transmit your voting instructions up until 11:59 P.M.</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Eastern Time the day before the meeting date. Have your proxy card in hand when</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color w:val="auto"/>
                <w:w w:val="98"/>
              </w:rPr>
              <w:t>you call and then follow the instructions.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VOTE BY MAIL</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500" w:type="dxa"/>
            <w:vAlign w:val="bottom"/>
            <w:gridSpan w:val="6"/>
          </w:tcPr>
          <w:p>
            <w:pPr>
              <w:ind w:left="100"/>
              <w:spacing w:after="0" w:line="149" w:lineRule="exact"/>
              <w:rPr>
                <w:sz w:val="20"/>
                <w:szCs w:val="20"/>
                <w:color w:val="auto"/>
              </w:rPr>
            </w:pPr>
            <w:r>
              <w:rPr>
                <w:rFonts w:ascii="Arial" w:cs="Arial" w:eastAsia="Arial" w:hAnsi="Arial"/>
                <w:sz w:val="14"/>
                <w:szCs w:val="14"/>
                <w:color w:val="auto"/>
              </w:rPr>
              <w:t>have provided or return it to Vote Processing, c/o Broadridge, 51 Mercedes Way,</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gridSpan w:val="2"/>
          </w:tcPr>
          <w:p>
            <w:pPr>
              <w:ind w:left="100"/>
              <w:spacing w:after="0"/>
              <w:rPr>
                <w:sz w:val="20"/>
                <w:szCs w:val="20"/>
                <w:color w:val="auto"/>
              </w:rPr>
            </w:pPr>
            <w:r>
              <w:rPr>
                <w:rFonts w:ascii="Arial" w:cs="Arial" w:eastAsia="Arial" w:hAnsi="Arial"/>
                <w:sz w:val="14"/>
                <w:szCs w:val="14"/>
                <w:color w:val="auto"/>
              </w:rPr>
              <w:t>Edgewood, NY 11717.</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9"/>
        </w:trPr>
        <w:tc>
          <w:tcPr>
            <w:tcW w:w="4580" w:type="dxa"/>
            <w:vAlign w:val="bottom"/>
            <w:gridSpan w:val="3"/>
            <w:vMerge w:val="restart"/>
          </w:tcPr>
          <w:p>
            <w:pPr>
              <w:ind w:left="240"/>
              <w:spacing w:after="0"/>
              <w:rPr>
                <w:sz w:val="20"/>
                <w:szCs w:val="20"/>
                <w:color w:val="auto"/>
              </w:rPr>
            </w:pPr>
            <w:r>
              <w:rPr>
                <w:rFonts w:ascii="Arial" w:cs="Arial" w:eastAsia="Arial" w:hAnsi="Arial"/>
                <w:sz w:val="12"/>
                <w:szCs w:val="12"/>
                <w:color w:val="auto"/>
              </w:rPr>
              <w:t>TO VOTE</w:t>
            </w:r>
            <w:r>
              <w:rPr>
                <w:rFonts w:ascii="Arial" w:cs="Arial" w:eastAsia="Arial" w:hAnsi="Arial"/>
                <w:sz w:val="14"/>
                <w:szCs w:val="14"/>
                <w:color w:val="auto"/>
              </w:rPr>
              <w:t>,</w:t>
            </w:r>
            <w:r>
              <w:rPr>
                <w:rFonts w:ascii="Arial" w:cs="Arial" w:eastAsia="Arial" w:hAnsi="Arial"/>
                <w:sz w:val="12"/>
                <w:szCs w:val="12"/>
                <w:color w:val="auto"/>
              </w:rPr>
              <w:t xml:space="preserve"> MARK BLOCKS BELOW IN BLUE OR BLACK INK AS FOLLOWS</w:t>
            </w:r>
            <w:r>
              <w:rPr>
                <w:rFonts w:ascii="Arial" w:cs="Arial" w:eastAsia="Arial" w:hAnsi="Arial"/>
                <w:sz w:val="14"/>
                <w:szCs w:val="14"/>
                <w:color w:val="auto"/>
              </w:rPr>
              <w:t>:</w:t>
            </w:r>
          </w:p>
        </w:tc>
        <w:tc>
          <w:tcPr>
            <w:tcW w:w="74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40" w:type="dxa"/>
            <w:vAlign w:val="bottom"/>
            <w:gridSpan w:val="4"/>
          </w:tcPr>
          <w:p>
            <w:pPr>
              <w:ind w:left="120"/>
              <w:spacing w:after="0"/>
              <w:rPr>
                <w:sz w:val="20"/>
                <w:szCs w:val="20"/>
                <w:color w:val="auto"/>
              </w:rPr>
            </w:pPr>
            <w:r>
              <w:rPr>
                <w:rFonts w:ascii="Arial" w:cs="Arial" w:eastAsia="Arial" w:hAnsi="Arial"/>
                <w:sz w:val="12"/>
                <w:szCs w:val="12"/>
                <w:color w:val="auto"/>
              </w:rPr>
              <w:t>KEEP THIS PORTION FOR YOUR RECORDS</w:t>
            </w:r>
          </w:p>
        </w:tc>
        <w:tc>
          <w:tcPr>
            <w:tcW w:w="0" w:type="dxa"/>
            <w:vAlign w:val="bottom"/>
          </w:tcPr>
          <w:p>
            <w:pPr>
              <w:spacing w:after="0"/>
              <w:rPr>
                <w:sz w:val="1"/>
                <w:szCs w:val="1"/>
                <w:color w:val="auto"/>
              </w:rPr>
            </w:pPr>
          </w:p>
        </w:tc>
      </w:tr>
      <w:tr>
        <w:trPr>
          <w:trHeight w:val="79"/>
        </w:trPr>
        <w:tc>
          <w:tcPr>
            <w:tcW w:w="45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2940" w:type="dxa"/>
            <w:vAlign w:val="bottom"/>
            <w:gridSpan w:val="4"/>
            <w:vMerge w:val="restart"/>
          </w:tcPr>
          <w:p>
            <w:pPr>
              <w:ind w:left="120"/>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500" w:type="dxa"/>
            <w:vAlign w:val="bottom"/>
            <w:gridSpan w:val="5"/>
            <w:vMerge w:val="restart"/>
          </w:tcPr>
          <w:p>
            <w:pPr>
              <w:ind w:left="2040"/>
              <w:spacing w:after="0"/>
              <w:rPr>
                <w:sz w:val="20"/>
                <w:szCs w:val="20"/>
                <w:color w:val="auto"/>
              </w:rPr>
            </w:pPr>
            <w:r>
              <w:rPr>
                <w:rFonts w:ascii="Arial" w:cs="Arial" w:eastAsia="Arial" w:hAnsi="Arial"/>
                <w:sz w:val="12"/>
                <w:szCs w:val="12"/>
                <w:color w:val="auto"/>
              </w:rPr>
              <w:t>THIS PROXY CARD IS VALID ONLY WHEN SIGNED AND DATED</w:t>
            </w:r>
            <w:r>
              <w:rPr>
                <w:rFonts w:ascii="Arial" w:cs="Arial" w:eastAsia="Arial" w:hAnsi="Arial"/>
                <w:sz w:val="14"/>
                <w:szCs w:val="14"/>
                <w:color w:val="auto"/>
              </w:rPr>
              <w:t>.</w:t>
            </w:r>
          </w:p>
        </w:tc>
        <w:tc>
          <w:tcPr>
            <w:tcW w:w="29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540" w:type="dxa"/>
            <w:vAlign w:val="bottom"/>
            <w:tcBorders>
              <w:bottom w:val="single" w:sz="8" w:color="CCCCCC"/>
            </w:tcBorders>
          </w:tcPr>
          <w:p>
            <w:pPr>
              <w:spacing w:after="0"/>
              <w:rPr>
                <w:sz w:val="6"/>
                <w:szCs w:val="6"/>
                <w:color w:val="auto"/>
              </w:rPr>
            </w:pPr>
          </w:p>
        </w:tc>
        <w:tc>
          <w:tcPr>
            <w:tcW w:w="1460" w:type="dxa"/>
            <w:vAlign w:val="bottom"/>
            <w:tcBorders>
              <w:bottom w:val="single" w:sz="8" w:color="CCCCCC"/>
            </w:tcBorders>
          </w:tcPr>
          <w:p>
            <w:pPr>
              <w:spacing w:after="0"/>
              <w:rPr>
                <w:sz w:val="6"/>
                <w:szCs w:val="6"/>
                <w:color w:val="auto"/>
              </w:rPr>
            </w:pPr>
          </w:p>
        </w:tc>
        <w:tc>
          <w:tcPr>
            <w:tcW w:w="6500" w:type="dxa"/>
            <w:vAlign w:val="bottom"/>
            <w:tcBorders>
              <w:bottom w:val="single" w:sz="8" w:color="CCCCCC"/>
            </w:tcBorders>
            <w:gridSpan w:val="5"/>
            <w:vMerge w:val="continue"/>
          </w:tcPr>
          <w:p>
            <w:pPr>
              <w:spacing w:after="0"/>
              <w:rPr>
                <w:sz w:val="6"/>
                <w:szCs w:val="6"/>
                <w:color w:val="auto"/>
              </w:rPr>
            </w:pPr>
          </w:p>
        </w:tc>
        <w:tc>
          <w:tcPr>
            <w:tcW w:w="1200" w:type="dxa"/>
            <w:vAlign w:val="bottom"/>
            <w:tcBorders>
              <w:bottom w:val="single" w:sz="8" w:color="CCCCCC"/>
            </w:tcBorders>
          </w:tcPr>
          <w:p>
            <w:pPr>
              <w:spacing w:after="0"/>
              <w:rPr>
                <w:sz w:val="6"/>
                <w:szCs w:val="6"/>
                <w:color w:val="auto"/>
              </w:rPr>
            </w:pPr>
          </w:p>
        </w:tc>
        <w:tc>
          <w:tcPr>
            <w:tcW w:w="660" w:type="dxa"/>
            <w:vAlign w:val="bottom"/>
            <w:tcBorders>
              <w:bottom w:val="single" w:sz="8" w:color="CCCCCC"/>
            </w:tcBorders>
          </w:tcPr>
          <w:p>
            <w:pPr>
              <w:spacing w:after="0"/>
              <w:rPr>
                <w:sz w:val="6"/>
                <w:szCs w:val="6"/>
                <w:color w:val="auto"/>
              </w:rPr>
            </w:pPr>
          </w:p>
        </w:tc>
        <w:tc>
          <w:tcPr>
            <w:tcW w:w="700" w:type="dxa"/>
            <w:vAlign w:val="bottom"/>
            <w:tcBorders>
              <w:bottom w:val="single" w:sz="8" w:color="CCCCCC"/>
            </w:tcBorders>
          </w:tcPr>
          <w:p>
            <w:pPr>
              <w:spacing w:after="0"/>
              <w:rPr>
                <w:sz w:val="6"/>
                <w:szCs w:val="6"/>
                <w:color w:val="auto"/>
              </w:rPr>
            </w:pPr>
          </w:p>
        </w:tc>
        <w:tc>
          <w:tcPr>
            <w:tcW w:w="380" w:type="dxa"/>
            <w:vAlign w:val="bottom"/>
            <w:tcBorders>
              <w:bottom w:val="single" w:sz="8" w:color="CCCCCC"/>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80" w:type="dxa"/>
            <w:vAlign w:val="bottom"/>
            <w:vMerge w:val="restart"/>
          </w:tcPr>
          <w:p>
            <w:pPr>
              <w:jc w:val="center"/>
              <w:ind w:left="2127"/>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For All</w:t>
            </w:r>
          </w:p>
        </w:tc>
        <w:tc>
          <w:tcPr>
            <w:tcW w:w="4420" w:type="dxa"/>
            <w:vAlign w:val="bottom"/>
            <w:gridSpan w:val="4"/>
            <w:vMerge w:val="restart"/>
          </w:tcPr>
          <w:p>
            <w:pPr>
              <w:ind w:left="220"/>
              <w:spacing w:after="0"/>
              <w:rPr>
                <w:sz w:val="20"/>
                <w:szCs w:val="20"/>
                <w:color w:val="auto"/>
              </w:rPr>
            </w:pPr>
            <w:r>
              <w:rPr>
                <w:rFonts w:ascii="Arial" w:cs="Arial" w:eastAsia="Arial" w:hAnsi="Arial"/>
                <w:sz w:val="14"/>
                <w:szCs w:val="14"/>
                <w:color w:val="auto"/>
              </w:rPr>
              <w:t>To withhold authority to vote for any individual</w:t>
            </w:r>
          </w:p>
        </w:tc>
        <w:tc>
          <w:tcPr>
            <w:tcW w:w="7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420" w:type="dxa"/>
            <w:vAlign w:val="bottom"/>
            <w:gridSpan w:val="4"/>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80" w:type="dxa"/>
            <w:vAlign w:val="bottom"/>
          </w:tcPr>
          <w:p>
            <w:pPr>
              <w:jc w:val="center"/>
              <w:ind w:left="2127"/>
              <w:spacing w:after="0" w:line="153" w:lineRule="exact"/>
              <w:rPr>
                <w:sz w:val="20"/>
                <w:szCs w:val="20"/>
                <w:color w:val="auto"/>
              </w:rPr>
            </w:pPr>
            <w:r>
              <w:rPr>
                <w:rFonts w:ascii="Arial" w:cs="Arial" w:eastAsia="Arial" w:hAnsi="Arial"/>
                <w:sz w:val="14"/>
                <w:szCs w:val="14"/>
                <w:b w:val="1"/>
                <w:bCs w:val="1"/>
                <w:color w:val="auto"/>
              </w:rPr>
              <w:t>All</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Except</w:t>
            </w:r>
          </w:p>
        </w:tc>
        <w:tc>
          <w:tcPr>
            <w:tcW w:w="5120" w:type="dxa"/>
            <w:vAlign w:val="bottom"/>
            <w:tcBorders>
              <w:right w:val="single" w:sz="8" w:color="auto"/>
            </w:tcBorders>
            <w:gridSpan w:val="5"/>
          </w:tcPr>
          <w:p>
            <w:pPr>
              <w:ind w:left="220"/>
              <w:spacing w:after="0" w:line="153" w:lineRule="exact"/>
              <w:rPr>
                <w:sz w:val="20"/>
                <w:szCs w:val="20"/>
                <w:color w:val="auto"/>
              </w:rPr>
            </w:pPr>
            <w:r>
              <w:rPr>
                <w:rFonts w:ascii="Arial" w:cs="Arial" w:eastAsia="Arial" w:hAnsi="Arial"/>
                <w:sz w:val="14"/>
                <w:szCs w:val="14"/>
                <w:color w:val="auto"/>
              </w:rPr>
              <w:t>nominee(s), mark “For All Except” and write the</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THE BOARD OF DIRECTORS RECOMMENDS A VOTE</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120" w:type="dxa"/>
            <w:vAlign w:val="bottom"/>
            <w:tcBorders>
              <w:right w:val="single" w:sz="8" w:color="auto"/>
            </w:tcBorders>
            <w:gridSpan w:val="5"/>
          </w:tcPr>
          <w:p>
            <w:pPr>
              <w:ind w:left="220"/>
              <w:spacing w:after="0"/>
              <w:rPr>
                <w:sz w:val="20"/>
                <w:szCs w:val="20"/>
                <w:color w:val="auto"/>
              </w:rPr>
            </w:pPr>
            <w:r>
              <w:rPr>
                <w:rFonts w:ascii="Arial" w:cs="Arial" w:eastAsia="Arial" w:hAnsi="Arial"/>
                <w:sz w:val="14"/>
                <w:szCs w:val="14"/>
                <w:color w:val="auto"/>
              </w:rPr>
              <w:t>number(s) of the nominee(s) on the line below.</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58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580" w:type="dxa"/>
            <w:vAlign w:val="bottom"/>
            <w:gridSpan w:val="3"/>
          </w:tcPr>
          <w:p>
            <w:pP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3"/>
                <w:szCs w:val="13"/>
                <w:b w:val="1"/>
                <w:bCs w:val="1"/>
                <w:color w:val="auto"/>
              </w:rPr>
              <w:t>FOR</w:t>
            </w: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ALL NOMINEES LISTED BELOW</w:t>
            </w:r>
            <w:r>
              <w:rPr>
                <w:rFonts w:ascii="Arial" w:cs="Arial" w:eastAsia="Arial" w:hAnsi="Arial"/>
                <w:sz w:val="16"/>
                <w:szCs w:val="16"/>
                <w:b w:val="1"/>
                <w:bCs w:val="1"/>
                <w:color w:val="auto"/>
              </w:rPr>
              <w:t>:</w:t>
            </w: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540" w:type="dxa"/>
            <w:vAlign w:val="bottom"/>
          </w:tcPr>
          <w:p>
            <w:pPr>
              <w:ind w:left="340"/>
              <w:spacing w:after="0"/>
              <w:rPr>
                <w:sz w:val="20"/>
                <w:szCs w:val="20"/>
                <w:color w:val="auto"/>
              </w:rPr>
            </w:pPr>
            <w:r>
              <w:rPr>
                <w:rFonts w:ascii="Arial" w:cs="Arial" w:eastAsia="Arial" w:hAnsi="Arial"/>
                <w:sz w:val="14"/>
                <w:szCs w:val="14"/>
                <w:b w:val="1"/>
                <w:bCs w:val="1"/>
                <w:color w:val="auto"/>
              </w:rPr>
              <w:t>1.</w:t>
            </w:r>
          </w:p>
        </w:tc>
        <w:tc>
          <w:tcPr>
            <w:tcW w:w="1460" w:type="dxa"/>
            <w:vAlign w:val="bottom"/>
          </w:tcPr>
          <w:p>
            <w:pPr>
              <w:ind w:left="40"/>
              <w:spacing w:after="0"/>
              <w:rPr>
                <w:sz w:val="20"/>
                <w:szCs w:val="20"/>
                <w:color w:val="auto"/>
              </w:rPr>
            </w:pPr>
            <w:r>
              <w:rPr>
                <w:rFonts w:ascii="Arial" w:cs="Arial" w:eastAsia="Arial" w:hAnsi="Arial"/>
                <w:sz w:val="14"/>
                <w:szCs w:val="14"/>
                <w:color w:val="auto"/>
              </w:rPr>
              <w:t>Election of Directors</w:t>
            </w:r>
          </w:p>
        </w:tc>
        <w:tc>
          <w:tcPr>
            <w:tcW w:w="2580" w:type="dxa"/>
            <w:vAlign w:val="bottom"/>
          </w:tcPr>
          <w:p>
            <w:pPr>
              <w:jc w:val="center"/>
              <w:ind w:left="2127"/>
              <w:spacing w:after="0" w:line="181" w:lineRule="exact"/>
              <w:rPr>
                <w:sz w:val="20"/>
                <w:szCs w:val="20"/>
                <w:color w:val="auto"/>
              </w:rPr>
            </w:pPr>
            <w:r>
              <w:rPr>
                <w:rFonts w:ascii="MS PGothic" w:cs="MS PGothic" w:eastAsia="MS PGothic" w:hAnsi="MS PGothic"/>
                <w:sz w:val="18"/>
                <w:szCs w:val="18"/>
                <w:color w:val="auto"/>
                <w:w w:val="99"/>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Nominees</w:t>
            </w:r>
          </w:p>
        </w:tc>
        <w:tc>
          <w:tcPr>
            <w:tcW w:w="2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540" w:type="dxa"/>
            <w:vAlign w:val="bottom"/>
          </w:tcPr>
          <w:p>
            <w:pPr>
              <w:ind w:left="340"/>
              <w:spacing w:after="0"/>
              <w:rPr>
                <w:sz w:val="20"/>
                <w:szCs w:val="20"/>
                <w:color w:val="auto"/>
              </w:rPr>
            </w:pPr>
            <w:r>
              <w:rPr>
                <w:rFonts w:ascii="Arial" w:cs="Arial" w:eastAsia="Arial" w:hAnsi="Arial"/>
                <w:sz w:val="14"/>
                <w:szCs w:val="14"/>
                <w:color w:val="auto"/>
              </w:rPr>
              <w:t>01</w:t>
            </w:r>
          </w:p>
        </w:tc>
        <w:tc>
          <w:tcPr>
            <w:tcW w:w="1460" w:type="dxa"/>
            <w:vAlign w:val="bottom"/>
          </w:tcPr>
          <w:p>
            <w:pPr>
              <w:ind w:left="40"/>
              <w:spacing w:after="0"/>
              <w:rPr>
                <w:sz w:val="20"/>
                <w:szCs w:val="20"/>
                <w:color w:val="auto"/>
              </w:rPr>
            </w:pPr>
            <w:r>
              <w:rPr>
                <w:rFonts w:ascii="Arial" w:cs="Arial" w:eastAsia="Arial" w:hAnsi="Arial"/>
                <w:sz w:val="14"/>
                <w:szCs w:val="14"/>
                <w:color w:val="auto"/>
              </w:rPr>
              <w:t>Robert J. Miller</w:t>
            </w:r>
          </w:p>
        </w:tc>
        <w:tc>
          <w:tcPr>
            <w:tcW w:w="2580" w:type="dxa"/>
            <w:vAlign w:val="bottom"/>
          </w:tcPr>
          <w:p>
            <w:pPr>
              <w:ind w:left="180"/>
              <w:spacing w:after="0"/>
              <w:rPr>
                <w:sz w:val="20"/>
                <w:szCs w:val="20"/>
                <w:color w:val="auto"/>
              </w:rPr>
            </w:pPr>
            <w:r>
              <w:rPr>
                <w:rFonts w:ascii="Arial" w:cs="Arial" w:eastAsia="Arial" w:hAnsi="Arial"/>
                <w:sz w:val="14"/>
                <w:szCs w:val="14"/>
                <w:color w:val="auto"/>
              </w:rPr>
              <w:t>02  D. Boone Wayson</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-1393825</wp:posOffset>
            </wp:positionV>
            <wp:extent cx="7267575" cy="4754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4754880"/>
                    </a:xfrm>
                    <a:prstGeom prst="rect">
                      <a:avLst/>
                    </a:prstGeom>
                    <a:noFill/>
                  </pic:spPr>
                </pic:pic>
              </a:graphicData>
            </a:graphic>
          </wp:anchor>
        </w:drawing>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A VOTE “FOR” THE FOLLOWING PROPOSALS:</w:t>
            </w:r>
          </w:p>
        </w:tc>
        <w:tc>
          <w:tcPr>
            <w:tcW w:w="1420" w:type="dxa"/>
            <w:vAlign w:val="bottom"/>
          </w:tcPr>
          <w:p>
            <w:pPr>
              <w:jc w:val="center"/>
              <w:ind w:left="955"/>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80" w:type="dxa"/>
            <w:vAlign w:val="bottom"/>
          </w:tcPr>
          <w:p>
            <w:pPr>
              <w:spacing w:after="0"/>
              <w:rPr>
                <w:sz w:val="20"/>
                <w:szCs w:val="20"/>
                <w:color w:val="auto"/>
              </w:rPr>
            </w:pPr>
            <w:r>
              <w:rPr>
                <w:rFonts w:ascii="Arial" w:cs="Arial" w:eastAsia="Arial" w:hAnsi="Arial"/>
                <w:sz w:val="14"/>
                <w:szCs w:val="14"/>
                <w:b w:val="1"/>
                <w:bCs w:val="1"/>
                <w:color w:val="auto"/>
              </w:rPr>
              <w:t>2.</w:t>
            </w:r>
          </w:p>
        </w:tc>
        <w:tc>
          <w:tcPr>
            <w:tcW w:w="8160" w:type="dxa"/>
            <w:vAlign w:val="bottom"/>
          </w:tcPr>
          <w:p>
            <w:pPr>
              <w:ind w:left="60"/>
              <w:spacing w:after="0"/>
              <w:rPr>
                <w:sz w:val="20"/>
                <w:szCs w:val="20"/>
                <w:color w:val="auto"/>
              </w:rPr>
            </w:pPr>
            <w:r>
              <w:rPr>
                <w:rFonts w:ascii="Arial" w:cs="Arial" w:eastAsia="Arial" w:hAnsi="Arial"/>
                <w:sz w:val="14"/>
                <w:szCs w:val="14"/>
                <w:color w:val="auto"/>
              </w:rPr>
              <w:t>To ratify the appointment of Ernst &amp; Young LLP as our independent registered public accounting firm for 2014.</w:t>
            </w:r>
          </w:p>
        </w:tc>
        <w:tc>
          <w:tcPr>
            <w:tcW w:w="1420" w:type="dxa"/>
            <w:vAlign w:val="bottom"/>
          </w:tcPr>
          <w:p>
            <w:pPr>
              <w:jc w:val="center"/>
              <w:ind w:left="975"/>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46"/>
        </w:trPr>
        <w:tc>
          <w:tcPr>
            <w:tcW w:w="180" w:type="dxa"/>
            <w:vAlign w:val="bottom"/>
          </w:tcPr>
          <w:p>
            <w:pPr>
              <w:spacing w:after="0"/>
              <w:rPr>
                <w:sz w:val="20"/>
                <w:szCs w:val="20"/>
                <w:color w:val="auto"/>
              </w:rPr>
            </w:pPr>
            <w:r>
              <w:rPr>
                <w:rFonts w:ascii="Arial" w:cs="Arial" w:eastAsia="Arial" w:hAnsi="Arial"/>
                <w:sz w:val="14"/>
                <w:szCs w:val="14"/>
                <w:b w:val="1"/>
                <w:bCs w:val="1"/>
                <w:color w:val="auto"/>
              </w:rPr>
              <w:t>3.</w:t>
            </w:r>
          </w:p>
        </w:tc>
        <w:tc>
          <w:tcPr>
            <w:tcW w:w="8160" w:type="dxa"/>
            <w:vAlign w:val="bottom"/>
          </w:tcPr>
          <w:p>
            <w:pPr>
              <w:ind w:left="60"/>
              <w:spacing w:after="0"/>
              <w:rPr>
                <w:sz w:val="20"/>
                <w:szCs w:val="20"/>
                <w:color w:val="auto"/>
              </w:rPr>
            </w:pPr>
            <w:r>
              <w:rPr>
                <w:rFonts w:ascii="Arial" w:cs="Arial" w:eastAsia="Arial" w:hAnsi="Arial"/>
                <w:sz w:val="14"/>
                <w:szCs w:val="14"/>
                <w:color w:val="auto"/>
              </w:rPr>
              <w:t>To approve, on an advisory basis, our executive compensation.</w:t>
            </w:r>
          </w:p>
        </w:tc>
        <w:tc>
          <w:tcPr>
            <w:tcW w:w="1420" w:type="dxa"/>
            <w:vAlign w:val="bottom"/>
          </w:tcPr>
          <w:p>
            <w:pPr>
              <w:jc w:val="center"/>
              <w:ind w:left="975"/>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180" w:type="dxa"/>
            <w:vAlign w:val="bottom"/>
          </w:tcPr>
          <w:p>
            <w:pPr>
              <w:spacing w:after="0"/>
              <w:rPr>
                <w:sz w:val="20"/>
                <w:szCs w:val="20"/>
                <w:color w:val="auto"/>
              </w:rPr>
            </w:pPr>
            <w:r>
              <w:rPr>
                <w:rFonts w:ascii="Arial" w:cs="Arial" w:eastAsia="Arial" w:hAnsi="Arial"/>
                <w:sz w:val="14"/>
                <w:szCs w:val="14"/>
                <w:b w:val="1"/>
                <w:bCs w:val="1"/>
                <w:color w:val="auto"/>
              </w:rPr>
              <w:t>4.</w:t>
            </w:r>
          </w:p>
        </w:tc>
        <w:tc>
          <w:tcPr>
            <w:tcW w:w="8160" w:type="dxa"/>
            <w:vAlign w:val="bottom"/>
          </w:tcPr>
          <w:p>
            <w:pPr>
              <w:ind w:left="60"/>
              <w:spacing w:after="0"/>
              <w:rPr>
                <w:sz w:val="20"/>
                <w:szCs w:val="20"/>
                <w:color w:val="auto"/>
              </w:rPr>
            </w:pPr>
            <w:r>
              <w:rPr>
                <w:rFonts w:ascii="Arial" w:cs="Arial" w:eastAsia="Arial" w:hAnsi="Arial"/>
                <w:sz w:val="14"/>
                <w:szCs w:val="14"/>
                <w:color w:val="auto"/>
              </w:rPr>
              <w:t>To approve the Wynn Resorts, Limited 2014 Omnibus Incentive Plan.</w:t>
            </w:r>
          </w:p>
        </w:tc>
        <w:tc>
          <w:tcPr>
            <w:tcW w:w="1420" w:type="dxa"/>
            <w:vAlign w:val="bottom"/>
          </w:tcPr>
          <w:p>
            <w:pPr>
              <w:jc w:val="center"/>
              <w:ind w:left="975"/>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180" w:type="dxa"/>
            <w:vAlign w:val="bottom"/>
          </w:tcPr>
          <w:p>
            <w:pPr>
              <w:spacing w:after="0"/>
              <w:rPr>
                <w:sz w:val="20"/>
                <w:szCs w:val="20"/>
                <w:color w:val="auto"/>
              </w:rPr>
            </w:pPr>
            <w:r>
              <w:rPr>
                <w:rFonts w:ascii="Arial" w:cs="Arial" w:eastAsia="Arial" w:hAnsi="Arial"/>
                <w:sz w:val="14"/>
                <w:szCs w:val="14"/>
                <w:b w:val="1"/>
                <w:bCs w:val="1"/>
                <w:color w:val="auto"/>
              </w:rPr>
              <w:t>5.</w:t>
            </w:r>
          </w:p>
        </w:tc>
        <w:tc>
          <w:tcPr>
            <w:tcW w:w="8160" w:type="dxa"/>
            <w:vAlign w:val="bottom"/>
          </w:tcPr>
          <w:p>
            <w:pPr>
              <w:ind w:left="60"/>
              <w:spacing w:after="0"/>
              <w:rPr>
                <w:sz w:val="20"/>
                <w:szCs w:val="20"/>
                <w:color w:val="auto"/>
              </w:rPr>
            </w:pPr>
            <w:r>
              <w:rPr>
                <w:rFonts w:ascii="Arial" w:cs="Arial" w:eastAsia="Arial" w:hAnsi="Arial"/>
                <w:sz w:val="14"/>
                <w:szCs w:val="14"/>
                <w:color w:val="auto"/>
              </w:rPr>
              <w:t>To ratify, on an advisory basis, the Director Qualification Bylaw Amendment.</w:t>
            </w:r>
          </w:p>
        </w:tc>
        <w:tc>
          <w:tcPr>
            <w:tcW w:w="1420" w:type="dxa"/>
            <w:vAlign w:val="bottom"/>
          </w:tcPr>
          <w:p>
            <w:pPr>
              <w:jc w:val="center"/>
              <w:ind w:left="975"/>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60"/>
        </w:trPr>
        <w:tc>
          <w:tcPr>
            <w:tcW w:w="834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A VOTE “AGAINST” PROPOSAL NO. 6:</w:t>
            </w:r>
          </w:p>
        </w:tc>
        <w:tc>
          <w:tcPr>
            <w:tcW w:w="1420" w:type="dxa"/>
            <w:vAlign w:val="bottom"/>
          </w:tcPr>
          <w:p>
            <w:pPr>
              <w:jc w:val="center"/>
              <w:ind w:left="955"/>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80" w:type="dxa"/>
            <w:vAlign w:val="bottom"/>
          </w:tcPr>
          <w:p>
            <w:pPr>
              <w:spacing w:after="0"/>
              <w:rPr>
                <w:sz w:val="20"/>
                <w:szCs w:val="20"/>
                <w:color w:val="auto"/>
              </w:rPr>
            </w:pPr>
            <w:r>
              <w:rPr>
                <w:rFonts w:ascii="Arial" w:cs="Arial" w:eastAsia="Arial" w:hAnsi="Arial"/>
                <w:sz w:val="14"/>
                <w:szCs w:val="14"/>
                <w:b w:val="1"/>
                <w:bCs w:val="1"/>
                <w:color w:val="auto"/>
              </w:rPr>
              <w:t>6.</w:t>
            </w:r>
          </w:p>
        </w:tc>
        <w:tc>
          <w:tcPr>
            <w:tcW w:w="8160" w:type="dxa"/>
            <w:vAlign w:val="bottom"/>
          </w:tcPr>
          <w:p>
            <w:pPr>
              <w:ind w:left="60"/>
              <w:spacing w:after="0"/>
              <w:rPr>
                <w:sz w:val="20"/>
                <w:szCs w:val="20"/>
                <w:color w:val="auto"/>
              </w:rPr>
            </w:pPr>
            <w:r>
              <w:rPr>
                <w:rFonts w:ascii="Arial" w:cs="Arial" w:eastAsia="Arial" w:hAnsi="Arial"/>
                <w:sz w:val="14"/>
                <w:szCs w:val="14"/>
                <w:color w:val="auto"/>
              </w:rPr>
              <w:t>To vote on a stockholder proposal regarding a political contributions report, if properly presented at the Annual Meeting.</w:t>
            </w:r>
          </w:p>
        </w:tc>
        <w:tc>
          <w:tcPr>
            <w:tcW w:w="1420" w:type="dxa"/>
            <w:vAlign w:val="bottom"/>
          </w:tcPr>
          <w:p>
            <w:pPr>
              <w:jc w:val="center"/>
              <w:ind w:left="975"/>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7" w:lineRule="exact"/>
        <w:rPr>
          <w:sz w:val="20"/>
          <w:szCs w:val="20"/>
          <w:color w:val="auto"/>
        </w:rPr>
      </w:pPr>
    </w:p>
    <w:p>
      <w:pPr>
        <w:jc w:val="center"/>
        <w:ind w:right="21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consider and transact such other business as may properly come before the Annual Meeting or any adjournment or postponement thereof.</w:t>
      </w:r>
    </w:p>
    <w:p>
      <w:pPr>
        <w:spacing w:after="0" w:line="215" w:lineRule="exact"/>
        <w:rPr>
          <w:sz w:val="20"/>
          <w:szCs w:val="20"/>
          <w:color w:val="auto"/>
        </w:rPr>
      </w:pPr>
    </w:p>
    <w:p>
      <w:pPr>
        <w:ind w:left="4280"/>
        <w:spacing w:after="0"/>
        <w:tabs>
          <w:tab w:leader="none" w:pos="484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ind w:left="340"/>
        <w:spacing w:after="0" w:line="328" w:lineRule="exact"/>
        <w:tabs>
          <w:tab w:leader="none" w:pos="4280" w:val="left"/>
          <w:tab w:leader="none" w:pos="486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MS PGothic" w:cs="MS PGothic" w:eastAsia="MS PGothic" w:hAnsi="MS PGothic"/>
          <w:sz w:val="36"/>
          <w:szCs w:val="36"/>
          <w:color w:val="auto"/>
          <w:vertAlign w:val="subscript"/>
        </w:rPr>
        <w:t>☐</w:t>
      </w:r>
      <w:r>
        <w:rPr>
          <w:sz w:val="20"/>
          <w:szCs w:val="20"/>
          <w:color w:val="auto"/>
        </w:rPr>
        <w:tab/>
      </w:r>
      <w:r>
        <w:rPr>
          <w:rFonts w:ascii="MS PGothic" w:cs="MS PGothic" w:eastAsia="MS PGothic" w:hAnsi="MS PGothic"/>
          <w:sz w:val="24"/>
          <w:szCs w:val="24"/>
          <w:color w:val="auto"/>
          <w:vertAlign w:val="subscript"/>
        </w:rPr>
        <w: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Please sign exactly as your name(s) appear(s) hereon. When signing as attorney, executor,</w:t>
      </w:r>
    </w:p>
    <w:p>
      <w:pPr>
        <w:ind w:left="340"/>
        <w:spacing w:after="0" w:line="221" w:lineRule="auto"/>
        <w:rPr>
          <w:sz w:val="20"/>
          <w:szCs w:val="20"/>
          <w:color w:val="auto"/>
        </w:rPr>
      </w:pPr>
      <w:r>
        <w:rPr>
          <w:rFonts w:ascii="Arial" w:cs="Arial" w:eastAsia="Arial" w:hAnsi="Arial"/>
          <w:sz w:val="14"/>
          <w:szCs w:val="14"/>
          <w:color w:val="auto"/>
        </w:rPr>
        <w:t>administrator, or other fiduciary, please give full title as such. Joint owners should each sign</w:t>
      </w:r>
    </w:p>
    <w:p>
      <w:pPr>
        <w:ind w:left="340"/>
        <w:spacing w:after="0" w:line="221" w:lineRule="auto"/>
        <w:rPr>
          <w:sz w:val="20"/>
          <w:szCs w:val="20"/>
          <w:color w:val="auto"/>
        </w:rPr>
      </w:pPr>
      <w:r>
        <w:rPr>
          <w:rFonts w:ascii="Arial" w:cs="Arial" w:eastAsia="Arial" w:hAnsi="Arial"/>
          <w:sz w:val="14"/>
          <w:szCs w:val="14"/>
          <w:color w:val="auto"/>
        </w:rPr>
        <w:t>personally. All holders must sign. If a corporation or partnership, please sign in full corporate or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3380" w:val="left"/>
          <w:tab w:leader="none" w:pos="6140" w:val="left"/>
          <w:tab w:leader="none" w:pos="88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40"/>
          </w:cols>
          <w:pgMar w:left="240" w:top="459" w:right="2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40" w:right="580"/>
        <w:spacing w:after="0" w:line="267"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Annual Meeting: </w:t>
      </w:r>
      <w:r>
        <w:rPr>
          <w:rFonts w:ascii="Arial" w:cs="Arial" w:eastAsia="Arial" w:hAnsi="Arial"/>
          <w:sz w:val="20"/>
          <w:szCs w:val="20"/>
          <w:color w:val="auto"/>
        </w:rPr>
        <w:t>The Annual Report, Notice &amp; Proxy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Statement is/are available at </w:t>
      </w:r>
      <w:r>
        <w:rPr>
          <w:rFonts w:ascii="Arial" w:cs="Arial" w:eastAsia="Arial" w:hAnsi="Arial"/>
          <w:sz w:val="20"/>
          <w:szCs w:val="20"/>
          <w:u w:val="single" w:color="auto"/>
          <w:color w:val="auto"/>
        </w:rPr>
        <w:t>www.proxyvote.com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307340</wp:posOffset>
            </wp:positionV>
            <wp:extent cx="7186295" cy="39363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629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WYNN RESORTS, LIMITED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To Be Held on May 16, 2014</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5" w:lineRule="exact"/>
        <w:rPr>
          <w:sz w:val="20"/>
          <w:szCs w:val="20"/>
          <w:color w:val="auto"/>
        </w:rPr>
      </w:pPr>
    </w:p>
    <w:p>
      <w:pPr>
        <w:ind w:left="640"/>
        <w:spacing w:after="0" w:line="256" w:lineRule="auto"/>
        <w:rPr>
          <w:sz w:val="20"/>
          <w:szCs w:val="20"/>
          <w:color w:val="auto"/>
        </w:rPr>
      </w:pPr>
      <w:r>
        <w:rPr>
          <w:rFonts w:ascii="Arial" w:cs="Arial" w:eastAsia="Arial" w:hAnsi="Arial"/>
          <w:sz w:val="19"/>
          <w:szCs w:val="19"/>
          <w:color w:val="auto"/>
        </w:rPr>
        <w:t>The undersigned stockholder of Wynn Resorts, Limited, a Nevada corporation (the “Company”), hereby appoints Stephen A. Wynn, Kim Sinatra or Kevin Tourek, and each of them, as proxies for the undersigned, each with full power of substitution, to attend the Annual Meeting of Stockholders of the Company to be held on May 16, 2014, at 9:00 am, local time, at Wynn Macau, in the Wynn Macau Ballroom, Rua Cidade de Sintra, NAPE, Macau,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207" w:lineRule="exact"/>
        <w:rPr>
          <w:sz w:val="20"/>
          <w:szCs w:val="20"/>
          <w:color w:val="auto"/>
        </w:rPr>
      </w:pPr>
    </w:p>
    <w:p>
      <w:pPr>
        <w:ind w:left="600" w:right="80"/>
        <w:spacing w:after="0" w:line="255"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ALL NOMINEES LISTED ON PROPOSAL NO. 1, “FOR” PROPOSAL NO. 2, “FOR” PROPOSAL NO. 3, “FOR” PROPOSAL NO. 4, “FOR” PROPOSAL NO. 5 AND “AGAINST” PROPOSAL NO. 6 (IF</w:t>
      </w:r>
    </w:p>
    <w:p>
      <w:pPr>
        <w:spacing w:after="0" w:line="3" w:lineRule="exact"/>
        <w:rPr>
          <w:sz w:val="20"/>
          <w:szCs w:val="20"/>
          <w:color w:val="auto"/>
        </w:rPr>
      </w:pPr>
    </w:p>
    <w:p>
      <w:pPr>
        <w:ind w:left="600" w:right="180"/>
        <w:spacing w:after="0" w:line="261" w:lineRule="auto"/>
        <w:rPr>
          <w:sz w:val="20"/>
          <w:szCs w:val="20"/>
          <w:color w:val="auto"/>
        </w:rPr>
      </w:pPr>
      <w:r>
        <w:rPr>
          <w:rFonts w:ascii="Arial" w:cs="Arial" w:eastAsia="Arial" w:hAnsi="Arial"/>
          <w:sz w:val="18"/>
          <w:szCs w:val="18"/>
          <w:b w:val="1"/>
          <w:bCs w:val="1"/>
          <w:color w:val="auto"/>
        </w:rPr>
        <w:t>PROPERLY PRESENTED AT THE MEETING) AND THEY WILL BE VOTED IN THE DISCRETION OF THE PROXIES ON ANY OTHER MATTER AT THE ANNUAL MEETING OR ANY ADJOURNMENT OR POSTPONEMENT THEREOF.</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lvl w:ilvl="1">
      <w:lvlJc w:val="left"/>
      <w:lvlText w:val="(%2)"/>
      <w:numFmt w:val="decimal"/>
      <w:start w:val="1"/>
    </w:lvl>
  </w:abstractNum>
  <w:abstractNum w:abstractNumId="5">
    <w:nsid w:val="6DE91B18"/>
    <w:multiLevelType w:val="hybridMultilevel"/>
    <w:lvl w:ilvl="0">
      <w:lvlJc w:val="left"/>
      <w:lvlText w:val="(%1)"/>
      <w:numFmt w:val="decimal"/>
      <w:start w:val="4"/>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10"/>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decimal"/>
      <w:start w:val="1"/>
    </w:lvl>
    <w:lvl w:ilvl="1">
      <w:lvlJc w:val="left"/>
      <w:lvlText w:val="(%2)"/>
      <w:numFmt w:val="lowerRoman"/>
      <w:start w:val="1"/>
    </w:lvl>
  </w:abstractNum>
  <w:abstractNum w:abstractNumId="27">
    <w:nsid w:val="235BA861"/>
    <w:multiLevelType w:val="hybridMultilevel"/>
    <w:lvl w:ilvl="0">
      <w:lvlJc w:val="left"/>
      <w:lvlText w:val="(%1)"/>
      <w:numFmt w:val="lowerRoman"/>
      <w:start w:val="1"/>
    </w:lvl>
  </w:abstractNum>
  <w:abstractNum w:abstractNumId="28">
    <w:nsid w:val="47398C89"/>
    <w:multiLevelType w:val="hybridMultilevel"/>
    <w:lvl w:ilvl="0">
      <w:lvlJc w:val="left"/>
      <w:lvlText w:val="(%1)"/>
      <w:numFmt w:val="lowerRoman"/>
      <w:start w:val="1"/>
    </w:lvl>
  </w:abstractNum>
  <w:abstractNum w:abstractNumId="29">
    <w:nsid w:val="354FE9F9"/>
    <w:multiLevelType w:val="hybridMultilevel"/>
    <w:lvl w:ilvl="0">
      <w:lvlJc w:val="left"/>
      <w:lvlText w:val="(%1)"/>
      <w:numFmt w:val="lowerRoman"/>
      <w:start w:val="1"/>
    </w:lvl>
  </w:abstractNum>
  <w:abstractNum w:abstractNumId="30">
    <w:nsid w:val="15B5AF5C"/>
    <w:multiLevelType w:val="hybridMultilevel"/>
    <w:lvl w:ilvl="0">
      <w:lvlJc w:val="left"/>
      <w:lvlText w:val="(%1)"/>
      <w:numFmt w:val="lowerRoman"/>
      <w:start w:val="1"/>
    </w:lvl>
  </w:abstractNum>
  <w:abstractNum w:abstractNumId="31">
    <w:nsid w:val="741226BB"/>
    <w:multiLevelType w:val="hybridMultilevel"/>
    <w:lvl w:ilvl="0">
      <w:lvlJc w:val="left"/>
      <w:lvlText w:val="(%1)"/>
      <w:numFmt w:val="lowerRoman"/>
      <w:start w:val="1"/>
    </w:lvl>
  </w:abstractNum>
  <w:abstractNum w:abstractNumId="32">
    <w:nsid w:val="D34B6A8"/>
    <w:multiLevelType w:val="hybridMultilevel"/>
    <w:lvl w:ilvl="0">
      <w:lvlJc w:val="left"/>
      <w:lvlText w:val="(%1)"/>
      <w:numFmt w:val="lowerRoman"/>
      <w:start w:val="4"/>
    </w:lvl>
  </w:abstractNum>
  <w:abstractNum w:abstractNumId="33">
    <w:nsid w:val="10233C99"/>
    <w:multiLevelType w:val="hybridMultilevel"/>
    <w:lvl w:ilvl="0">
      <w:lvlJc w:val="left"/>
      <w:lvlText w:val="(%1)"/>
      <w:numFmt w:val="decimal"/>
      <w:start w:val="3"/>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lvl w:ilvl="1">
      <w:lvlJc w:val="left"/>
      <w:lvlText w:val="%2."/>
      <w:numFmt w:val="lowerLetter"/>
      <w:start w:val="1"/>
    </w:lvl>
  </w:abstractNum>
  <w:abstractNum w:abstractNumId="37">
    <w:nsid w:val="77AE35EB"/>
    <w:multiLevelType w:val="hybridMultilevel"/>
    <w:lvl w:ilvl="0">
      <w:lvlJc w:val="left"/>
      <w:lvlText w:val="(%1)"/>
      <w:numFmt w:val="lowerLetter"/>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6"/>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lowerRoman"/>
      <w:start w:val="1"/>
    </w:lvl>
  </w:abstractNum>
  <w:abstractNum w:abstractNumId="51">
    <w:nsid w:val="5F5E7FD0"/>
    <w:multiLevelType w:val="hybridMultilevel"/>
    <w:lvl w:ilvl="0">
      <w:lvlJc w:val="left"/>
      <w:lvlText w:val="(%1)"/>
      <w:numFmt w:val="lowerLetter"/>
      <w:start w:val="5"/>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lowerLetter"/>
      <w:start w:val="3"/>
    </w:lvl>
  </w:abstractNum>
  <w:abstractNum w:abstractNumId="56">
    <w:nsid w:val="168E121F"/>
    <w:multiLevelType w:val="hybridMultilevel"/>
    <w:lvl w:ilvl="0">
      <w:lvlJc w:val="left"/>
      <w:lvlText w:val="(%1)"/>
      <w:numFmt w:val="lowerLetter"/>
      <w:start w:val="4"/>
    </w:lvl>
  </w:abstractNum>
  <w:abstractNum w:abstractNumId="57">
    <w:nsid w:val="1EBA5D23"/>
    <w:multiLevelType w:val="hybridMultilevel"/>
    <w:lvl w:ilvl="0">
      <w:lvlJc w:val="left"/>
      <w:lvlText w:val="(%1)"/>
      <w:numFmt w:val="lowerRoman"/>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1"/>
    </w:lvl>
  </w:abstractNum>
  <w:abstractNum w:abstractNumId="60">
    <w:nsid w:val="540A471C"/>
    <w:multiLevelType w:val="hybridMultilevel"/>
    <w:lvl w:ilvl="0">
      <w:lvlJc w:val="left"/>
      <w:lvlText w:val="(%1)"/>
      <w:numFmt w:val="lowerLetter"/>
      <w:start w:val="5"/>
    </w:lvl>
  </w:abstractNum>
  <w:abstractNum w:abstractNumId="61">
    <w:nsid w:val="7BD3EE7B"/>
    <w:multiLevelType w:val="hybridMultilevel"/>
    <w:lvl w:ilvl="0">
      <w:lvlJc w:val="left"/>
      <w:lvlText w:val="(%1)"/>
      <w:numFmt w:val="lowerLetter"/>
      <w:start w:val="2"/>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2"/>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3"/>
    </w:lvl>
  </w:abstractNum>
  <w:abstractNum w:abstractNumId="66">
    <w:nsid w:val="42963E5A"/>
    <w:multiLevelType w:val="hybridMultilevel"/>
    <w:lvl w:ilvl="0">
      <w:lvlJc w:val="left"/>
      <w:lvlText w:val="(%1)"/>
      <w:numFmt w:val="lowerLetter"/>
      <w:start w:val="2"/>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lowerLetter"/>
      <w:start w:val="1"/>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2"/>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Roman"/>
      <w:start w:val="1"/>
    </w:lvl>
  </w:abstractNum>
  <w:abstractNum w:abstractNumId="77">
    <w:nsid w:val="1A27709E"/>
    <w:multiLevelType w:val="hybridMultilevel"/>
    <w:lvl w:ilvl="0">
      <w:lvlJc w:val="left"/>
      <w:lvlText w:val="(%1)"/>
      <w:numFmt w:val="lowerLetter"/>
      <w:start w:val="2"/>
    </w:lvl>
  </w:abstractNum>
  <w:abstractNum w:abstractNumId="78">
    <w:nsid w:val="71EA1109"/>
    <w:multiLevelType w:val="hybridMultilevel"/>
    <w:lvl w:ilvl="0">
      <w:lvlJc w:val="left"/>
      <w:lvlText w:val="(%1)"/>
      <w:numFmt w:val="lowerLetter"/>
      <w:start w:val="1"/>
    </w:lvl>
  </w:abstractNum>
  <w:abstractNum w:abstractNumId="79">
    <w:nsid w:val="100F59DC"/>
    <w:multiLevelType w:val="hybridMultilevel"/>
    <w:lvl w:ilvl="0">
      <w:lvlJc w:val="left"/>
      <w:lvlText w:val="(%1)"/>
      <w:numFmt w:val="lowerLetter"/>
      <w:start w:val="2"/>
    </w:lvl>
  </w:abstractNum>
  <w:abstractNum w:abstractNumId="80">
    <w:nsid w:val="7FB7E0AA"/>
    <w:multiLevelType w:val="hybridMultilevel"/>
    <w:lvl w:ilvl="0">
      <w:lvlJc w:val="left"/>
      <w:lvlText w:val="(%1)"/>
      <w:numFmt w:val="lowerRoman"/>
      <w:start w:val="1"/>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lowerLetter"/>
      <w:start w:val="5"/>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Roman"/>
      <w:start w:val="1"/>
    </w:lvl>
  </w:abstractNum>
  <w:abstractNum w:abstractNumId="85">
    <w:nsid w:val="76272110"/>
    <w:multiLevelType w:val="hybridMultilevel"/>
    <w:lvl w:ilvl="0">
      <w:lvlJc w:val="left"/>
      <w:lvlText w:val="(%1)"/>
      <w:numFmt w:val="lowerRoman"/>
      <w:start w:val="1"/>
    </w:lvl>
  </w:abstractNum>
  <w:abstractNum w:abstractNumId="86">
    <w:nsid w:val="4C04A8AF"/>
    <w:multiLevelType w:val="hybridMultilevel"/>
    <w:lvl w:ilvl="0">
      <w:lvlJc w:val="left"/>
      <w:lvlText w:val="(%1)"/>
      <w:numFmt w:val="lowerLetter"/>
      <w:start w:val="4"/>
    </w:lvl>
  </w:abstractNum>
  <w:abstractNum w:abstractNumId="87">
    <w:nsid w:val="1716703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2019-12-07T03:50:51Z</dcterms:created>
  <dcterms:modified xsi:type="dcterms:W3CDTF">2019-12-07T03:50:51Z</dcterms:modified>
</cp:coreProperties>
</file>