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6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OMB APPROVAL</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w w:val="96"/>
              </w:rPr>
              <w:t>|OMB Number: 3235-0145|</w:t>
            </w:r>
          </w:p>
        </w:tc>
      </w:tr>
      <w:tr>
        <w:trPr>
          <w:trHeight w:val="203"/>
        </w:trPr>
        <w:tc>
          <w:tcPr>
            <w:tcW w:w="3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UNITED STATES</w:t>
            </w:r>
          </w:p>
        </w:tc>
        <w:tc>
          <w:tcPr>
            <w:tcW w:w="320" w:type="dxa"/>
            <w:vAlign w:val="bottom"/>
          </w:tcPr>
          <w:p>
            <w:pPr>
              <w:spacing w:after="0"/>
              <w:rPr>
                <w:sz w:val="17"/>
                <w:szCs w:val="17"/>
                <w:color w:val="auto"/>
              </w:rPr>
            </w:pPr>
          </w:p>
        </w:tc>
        <w:tc>
          <w:tcPr>
            <w:tcW w:w="290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|Expires: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SECURITIES AND EXCHANGE COMMISSION</w:t>
            </w: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23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December 31, 2005|</w:t>
            </w:r>
          </w:p>
        </w:tc>
      </w:tr>
      <w:tr>
        <w:trPr>
          <w:trHeight w:val="203"/>
        </w:trPr>
        <w:tc>
          <w:tcPr>
            <w:tcW w:w="3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Washington, D.C.  20549</w:t>
            </w:r>
          </w:p>
        </w:tc>
        <w:tc>
          <w:tcPr>
            <w:tcW w:w="320" w:type="dxa"/>
            <w:vAlign w:val="bottom"/>
          </w:tcPr>
          <w:p>
            <w:pPr>
              <w:spacing w:after="0"/>
              <w:rPr>
                <w:sz w:val="17"/>
                <w:szCs w:val="17"/>
                <w:color w:val="auto"/>
              </w:rPr>
            </w:pPr>
          </w:p>
        </w:tc>
        <w:tc>
          <w:tcPr>
            <w:tcW w:w="290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|Estimated Average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|Burden Hours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|Per Response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11|</w:t>
            </w:r>
          </w:p>
        </w:tc>
      </w:tr>
      <w:tr>
        <w:trPr>
          <w:trHeight w:val="203"/>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gridSpan w:val="3"/>
          </w:tcPr>
          <w:p>
            <w:pPr>
              <w:jc w:val="center"/>
              <w:ind w:left="1792"/>
              <w:spacing w:after="0"/>
              <w:rPr>
                <w:sz w:val="20"/>
                <w:szCs w:val="20"/>
                <w:color w:val="auto"/>
              </w:rPr>
            </w:pPr>
            <w:r>
              <w:rPr>
                <w:rFonts w:ascii="Courier New" w:cs="Courier New" w:eastAsia="Courier New" w:hAnsi="Courier New"/>
                <w:sz w:val="18"/>
                <w:szCs w:val="18"/>
                <w:color w:val="auto"/>
                <w:w w:val="97"/>
              </w:rPr>
              <w:t>SCHEDULE 13D/A</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Under the Securities Exchange Act of 1934</w:t>
            </w:r>
          </w:p>
        </w:tc>
        <w:tc>
          <w:tcPr>
            <w:tcW w:w="300" w:type="dxa"/>
            <w:vAlign w:val="bottom"/>
          </w:tcPr>
          <w:p>
            <w:pPr>
              <w:spacing w:after="0"/>
              <w:rPr>
                <w:sz w:val="17"/>
                <w:szCs w:val="17"/>
                <w:color w:val="auto"/>
              </w:rPr>
            </w:pPr>
          </w:p>
        </w:tc>
      </w:tr>
      <w:tr>
        <w:trPr>
          <w:trHeight w:val="203"/>
        </w:trPr>
        <w:tc>
          <w:tcPr>
            <w:tcW w:w="4640" w:type="dxa"/>
            <w:vAlign w:val="bottom"/>
            <w:gridSpan w:val="3"/>
          </w:tcPr>
          <w:p>
            <w:pPr>
              <w:jc w:val="center"/>
              <w:ind w:left="1912"/>
              <w:spacing w:after="0" w:line="203" w:lineRule="exact"/>
              <w:rPr>
                <w:sz w:val="20"/>
                <w:szCs w:val="20"/>
                <w:color w:val="auto"/>
              </w:rPr>
            </w:pPr>
            <w:r>
              <w:rPr>
                <w:rFonts w:ascii="Courier New" w:cs="Courier New" w:eastAsia="Courier New" w:hAnsi="Courier New"/>
                <w:sz w:val="18"/>
                <w:szCs w:val="18"/>
                <w:color w:val="auto"/>
                <w:w w:val="97"/>
              </w:rPr>
              <w:t>(Amendment No. 2 )*</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08"/>
        </w:trPr>
        <w:tc>
          <w:tcPr>
            <w:tcW w:w="4640" w:type="dxa"/>
            <w:vAlign w:val="bottom"/>
            <w:gridSpan w:val="3"/>
          </w:tcPr>
          <w:p>
            <w:pPr>
              <w:jc w:val="center"/>
              <w:ind w:left="1892"/>
              <w:spacing w:after="0"/>
              <w:rPr>
                <w:sz w:val="20"/>
                <w:szCs w:val="20"/>
                <w:color w:val="auto"/>
              </w:rPr>
            </w:pPr>
            <w:r>
              <w:rPr>
                <w:rFonts w:ascii="Courier New" w:cs="Courier New" w:eastAsia="Courier New" w:hAnsi="Courier New"/>
                <w:sz w:val="18"/>
                <w:szCs w:val="18"/>
                <w:color w:val="auto"/>
                <w:w w:val="97"/>
              </w:rPr>
              <w:t>WYNN RESORTS, LIMITED</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r>
      <w:tr>
        <w:trPr>
          <w:trHeight w:val="203"/>
        </w:trPr>
        <w:tc>
          <w:tcPr>
            <w:tcW w:w="4640" w:type="dxa"/>
            <w:vAlign w:val="bottom"/>
            <w:gridSpan w:val="3"/>
          </w:tcPr>
          <w:p>
            <w:pPr>
              <w:jc w:val="center"/>
              <w:ind w:left="1792"/>
              <w:spacing w:after="0" w:line="203" w:lineRule="exact"/>
              <w:rPr>
                <w:sz w:val="20"/>
                <w:szCs w:val="20"/>
                <w:color w:val="auto"/>
              </w:rPr>
            </w:pPr>
            <w:r>
              <w:rPr>
                <w:rFonts w:ascii="Courier New" w:cs="Courier New" w:eastAsia="Courier New" w:hAnsi="Courier New"/>
                <w:sz w:val="18"/>
                <w:szCs w:val="18"/>
                <w:color w:val="auto"/>
                <w:w w:val="97"/>
              </w:rPr>
              <w:t>(Name of Issuer)</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05"/>
        </w:trPr>
        <w:tc>
          <w:tcPr>
            <w:tcW w:w="664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Common Stock, par value $0.01 per share</w:t>
            </w:r>
          </w:p>
        </w:tc>
        <w:tc>
          <w:tcPr>
            <w:tcW w:w="300" w:type="dxa"/>
            <w:vAlign w:val="bottom"/>
          </w:tcPr>
          <w:p>
            <w:pPr>
              <w:spacing w:after="0"/>
              <w:rPr>
                <w:sz w:val="24"/>
                <w:szCs w:val="24"/>
                <w:color w:val="auto"/>
              </w:rPr>
            </w:pPr>
          </w:p>
        </w:tc>
      </w:tr>
      <w:tr>
        <w:trPr>
          <w:trHeight w:val="203"/>
        </w:trPr>
        <w:tc>
          <w:tcPr>
            <w:tcW w:w="6640" w:type="dxa"/>
            <w:vAlign w:val="bottom"/>
            <w:gridSpan w:val="4"/>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r>
      <w:tr>
        <w:trPr>
          <w:trHeight w:val="203"/>
        </w:trPr>
        <w:tc>
          <w:tcPr>
            <w:tcW w:w="6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(Title of Class and Securities)</w:t>
            </w:r>
          </w:p>
        </w:tc>
        <w:tc>
          <w:tcPr>
            <w:tcW w:w="300" w:type="dxa"/>
            <w:vAlign w:val="bottom"/>
          </w:tcPr>
          <w:p>
            <w:pPr>
              <w:spacing w:after="0"/>
              <w:rPr>
                <w:sz w:val="17"/>
                <w:szCs w:val="17"/>
                <w:color w:val="auto"/>
              </w:rPr>
            </w:pPr>
          </w:p>
        </w:tc>
      </w:tr>
      <w:tr>
        <w:trPr>
          <w:trHeight w:val="405"/>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983134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Marc H. Rubinstein</w:t>
      </w:r>
    </w:p>
    <w:p>
      <w:pPr>
        <w:ind w:left="2640"/>
        <w:spacing w:after="0" w:line="238" w:lineRule="auto"/>
        <w:rPr>
          <w:sz w:val="20"/>
          <w:szCs w:val="20"/>
          <w:color w:val="auto"/>
        </w:rPr>
      </w:pPr>
      <w:r>
        <w:rPr>
          <w:rFonts w:ascii="Courier New" w:cs="Courier New" w:eastAsia="Courier New" w:hAnsi="Courier New"/>
          <w:sz w:val="18"/>
          <w:szCs w:val="18"/>
          <w:color w:val="auto"/>
        </w:rPr>
        <w:t>3145 Las Vegas Boulevard South</w:t>
      </w:r>
    </w:p>
    <w:p>
      <w:pPr>
        <w:ind w:left="3060"/>
        <w:spacing w:after="0"/>
        <w:rPr>
          <w:sz w:val="20"/>
          <w:szCs w:val="20"/>
          <w:color w:val="auto"/>
        </w:rPr>
      </w:pPr>
      <w:r>
        <w:rPr>
          <w:rFonts w:ascii="Courier New" w:cs="Courier New" w:eastAsia="Courier New" w:hAnsi="Courier New"/>
          <w:sz w:val="18"/>
          <w:szCs w:val="18"/>
          <w:color w:val="auto"/>
        </w:rPr>
        <w:t>Las Vegas, Nevada 89109</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July 14, 2003</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(Date of Event which Requires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Filing of this Statement)</w:t>
      </w:r>
    </w:p>
    <w:p>
      <w:pPr>
        <w:spacing w:after="0" w:line="207"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7" w:lineRule="exact"/>
        <w:rPr>
          <w:sz w:val="24"/>
          <w:szCs w:val="24"/>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to whom copies are to be sent.</w:t>
      </w:r>
    </w:p>
    <w:p>
      <w:pPr>
        <w:spacing w:after="0" w:line="209" w:lineRule="exact"/>
        <w:rPr>
          <w:sz w:val="24"/>
          <w:szCs w:val="24"/>
          <w:color w:val="auto"/>
        </w:rPr>
      </w:pPr>
    </w:p>
    <w:p>
      <w:pPr>
        <w:ind w:left="960" w:right="1879" w:hanging="952"/>
        <w:spacing w:after="0" w:line="275"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2945"/>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CUSIP No. 983134 10 7</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45"/>
        <w:spacing w:after="0"/>
        <w:rPr>
          <w:sz w:val="20"/>
          <w:szCs w:val="20"/>
          <w:color w:val="auto"/>
        </w:rPr>
      </w:pPr>
      <w:r>
        <w:rPr>
          <w:rFonts w:ascii="Courier New" w:cs="Courier New" w:eastAsia="Courier New" w:hAnsi="Courier New"/>
          <w:sz w:val="18"/>
          <w:szCs w:val="18"/>
          <w:color w:val="auto"/>
        </w:rPr>
        <w:t>Stephen A. Wynn</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5"/>
        <w:spacing w:after="0"/>
        <w:tabs>
          <w:tab w:leader="none" w:pos="605"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5785"/>
        <w:spacing w:after="0" w:line="237" w:lineRule="auto"/>
        <w:rPr>
          <w:sz w:val="20"/>
          <w:szCs w:val="20"/>
          <w:color w:val="auto"/>
        </w:rPr>
      </w:pPr>
      <w:r>
        <w:rPr>
          <w:rFonts w:ascii="Courier New" w:cs="Courier New" w:eastAsia="Courier New" w:hAnsi="Courier New"/>
          <w:sz w:val="18"/>
          <w:szCs w:val="18"/>
          <w:color w:val="auto"/>
        </w:rPr>
        <w:t>(a) [X]</w:t>
      </w:r>
    </w:p>
    <w:p>
      <w:pPr>
        <w:ind w:left="5785"/>
        <w:spacing w:after="0" w:line="238" w:lineRule="auto"/>
        <w:rPr>
          <w:sz w:val="20"/>
          <w:szCs w:val="20"/>
          <w:color w:val="auto"/>
        </w:rPr>
      </w:pPr>
      <w:r>
        <w:rPr>
          <w:rFonts w:ascii="Courier New" w:cs="Courier New" w:eastAsia="Courier New" w:hAnsi="Courier New"/>
          <w:sz w:val="18"/>
          <w:szCs w:val="18"/>
          <w:color w:val="auto"/>
        </w:rPr>
        <w:t>(b) [ ]</w:t>
      </w: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7" w:lineRule="auto"/>
        <w:tabs>
          <w:tab w:leader="none" w:pos="6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BK</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25" w:hanging="625"/>
        <w:spacing w:after="0"/>
        <w:tabs>
          <w:tab w:leader="none" w:pos="62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w:t>
      </w:r>
    </w:p>
    <w:p>
      <w:pPr>
        <w:spacing w:after="0" w:line="16" w:lineRule="exact"/>
        <w:rPr>
          <w:sz w:val="20"/>
          <w:szCs w:val="20"/>
          <w:color w:val="auto"/>
        </w:rPr>
      </w:pPr>
    </w:p>
    <w:p>
      <w:pPr>
        <w:ind w:left="625"/>
        <w:spacing w:after="0"/>
        <w:tabs>
          <w:tab w:leader="none" w:pos="6185"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745"/>
        <w:spacing w:after="0"/>
        <w:rPr>
          <w:sz w:val="20"/>
          <w:szCs w:val="20"/>
          <w:color w:val="auto"/>
        </w:rPr>
      </w:pPr>
      <w:r>
        <w:rPr>
          <w:rFonts w:ascii="Courier New" w:cs="Courier New" w:eastAsia="Courier New" w:hAnsi="Courier New"/>
          <w:sz w:val="18"/>
          <w:szCs w:val="18"/>
          <w:color w:val="auto"/>
        </w:rPr>
        <w:t>United States of America</w:t>
      </w:r>
    </w:p>
    <w:p>
      <w:pPr>
        <w:ind w:left="5"/>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8"/>
                <w:szCs w:val="18"/>
                <w:color w:val="auto"/>
              </w:rPr>
              <w:t>7.</w:t>
            </w:r>
          </w:p>
        </w:tc>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49,098,444 (1)(2)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24,549,222</w:t>
            </w:r>
          </w:p>
        </w:tc>
        <w:tc>
          <w:tcPr>
            <w:tcW w:w="1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r>
    </w:tbl>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745"/>
        <w:spacing w:after="0"/>
        <w:rPr>
          <w:sz w:val="20"/>
          <w:szCs w:val="20"/>
          <w:color w:val="auto"/>
        </w:rPr>
      </w:pPr>
      <w:r>
        <w:rPr>
          <w:rFonts w:ascii="Courier New" w:cs="Courier New" w:eastAsia="Courier New" w:hAnsi="Courier New"/>
          <w:sz w:val="18"/>
          <w:szCs w:val="18"/>
          <w:color w:val="auto"/>
        </w:rPr>
        <w:t>49,098,444 (1)(2)</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ind w:left="625"/>
        <w:spacing w:after="0"/>
        <w:tabs>
          <w:tab w:leader="none" w:pos="6085"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2" w:lineRule="exact"/>
        <w:rPr>
          <w:sz w:val="20"/>
          <w:szCs w:val="20"/>
          <w:color w:val="auto"/>
        </w:rPr>
      </w:pPr>
    </w:p>
    <w:p>
      <w:pPr>
        <w:ind w:left="625"/>
        <w:spacing w:after="0"/>
        <w:rPr>
          <w:sz w:val="20"/>
          <w:szCs w:val="20"/>
          <w:color w:val="auto"/>
        </w:rPr>
      </w:pPr>
      <w:r>
        <w:rPr>
          <w:rFonts w:ascii="Courier New" w:cs="Courier New" w:eastAsia="Courier New" w:hAnsi="Courier New"/>
          <w:sz w:val="18"/>
          <w:szCs w:val="18"/>
          <w:color w:val="auto"/>
        </w:rPr>
        <w:t>62.0%</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5"/>
        <w:spacing w:after="0"/>
        <w:tabs>
          <w:tab w:leader="none" w:pos="605" w:val="left"/>
        </w:tabs>
        <w:rPr>
          <w:sz w:val="20"/>
          <w:szCs w:val="20"/>
          <w:color w:val="auto"/>
        </w:rPr>
      </w:pPr>
      <w:r>
        <w:rPr>
          <w:rFonts w:ascii="Courier New" w:cs="Courier New" w:eastAsia="Courier New" w:hAnsi="Courier New"/>
          <w:sz w:val="18"/>
          <w:szCs w:val="18"/>
          <w:color w:val="auto"/>
        </w:rPr>
        <w:t>14.</w:t>
        <w:tab/>
        <w:t>TYPE OF REPORTING PERSON (See Instructions)</w:t>
      </w:r>
    </w:p>
    <w:p>
      <w:pPr>
        <w:sectPr>
          <w:pgSz w:w="11900" w:h="16838" w:orient="portrait"/>
          <w:cols w:equalWidth="0" w:num="1">
            <w:col w:w="9684"/>
          </w:cols>
          <w:pgMar w:left="775" w:top="1122" w:right="1440" w:bottom="1440" w:gutter="0" w:footer="0" w:header="0"/>
        </w:sectPr>
      </w:pPr>
    </w:p>
    <w:bookmarkStart w:id="2" w:name="page3"/>
    <w:bookmarkEnd w:id="2"/>
    <w:p>
      <w:pPr>
        <w:ind w:left="1052"/>
        <w:spacing w:after="0"/>
        <w:rPr>
          <w:sz w:val="20"/>
          <w:szCs w:val="20"/>
          <w:color w:val="auto"/>
        </w:rPr>
      </w:pPr>
      <w:r>
        <w:rPr>
          <w:rFonts w:ascii="Courier New" w:cs="Courier New" w:eastAsia="Courier New" w:hAnsi="Courier New"/>
          <w:sz w:val="18"/>
          <w:szCs w:val="18"/>
          <w:color w:val="auto"/>
        </w:rPr>
        <w:t>IN</w:t>
      </w:r>
    </w:p>
    <w:p>
      <w:pPr>
        <w:ind w:left="53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 w:right="2099" w:firstLine="8"/>
        <w:spacing w:after="0" w:line="237" w:lineRule="auto"/>
        <w:tabs>
          <w:tab w:leader="none" w:pos="41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acquired by Mr. Wynn (as described below) that may be considered community property under applicable Nevada state law. Accordingly, the Reporting Persons may be deemed to have shared voting and dispositive power over such shares.</w:t>
      </w:r>
    </w:p>
    <w:p>
      <w:pPr>
        <w:spacing w:after="0" w:line="207" w:lineRule="exact"/>
        <w:rPr>
          <w:rFonts w:ascii="Courier New" w:cs="Courier New" w:eastAsia="Courier New" w:hAnsi="Courier New"/>
          <w:sz w:val="18"/>
          <w:szCs w:val="18"/>
          <w:color w:val="auto"/>
        </w:rPr>
      </w:pPr>
    </w:p>
    <w:p>
      <w:pPr>
        <w:ind w:left="-8" w:right="1999" w:firstLine="8"/>
        <w:spacing w:after="0" w:line="237" w:lineRule="auto"/>
        <w:tabs>
          <w:tab w:leader="none" w:pos="41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Aruze USA, Inc., a Nevada corporation ("Aruze USA") that are beneficially owned by the Reporting Persons as a result of that certain Stockholders Agreement, dated as of April 11, 2002 (the "Stockholders Agreement"), by and among Stephen A. Wynn, Baron Asset Fund, a Massachusetts business trust ("Baron") and Aruze USA. The aggregate percentage of the outstanding common stock that the Reporting Persons beneficially own is 62.0%. Excluding the additional shares of common stock that the Reporting Persons beneficially own as a result of the Stockholders Agreement, the Reporting Persons directly beneficially own 31.0% of the outstanding common stock. (See Item 6)</w:t>
      </w:r>
    </w:p>
    <w:p>
      <w:pPr>
        <w:sectPr>
          <w:pgSz w:w="11900" w:h="16838" w:orient="portrait"/>
          <w:cols w:equalWidth="0" w:num="1">
            <w:col w:w="10211"/>
          </w:cols>
          <w:pgMar w:left="248" w:top="1122" w:right="1440" w:bottom="1440" w:gutter="0" w:footer="0" w:header="0"/>
        </w:sectPr>
      </w:pPr>
    </w:p>
    <w:bookmarkStart w:id="3" w:name="page4"/>
    <w:bookmarkEnd w:id="3"/>
    <w:p>
      <w:pPr>
        <w:ind w:left="2945"/>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CUSIP No. 983134 10 7</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45"/>
        <w:spacing w:after="0"/>
        <w:rPr>
          <w:sz w:val="20"/>
          <w:szCs w:val="20"/>
          <w:color w:val="auto"/>
        </w:rPr>
      </w:pPr>
      <w:r>
        <w:rPr>
          <w:rFonts w:ascii="Courier New" w:cs="Courier New" w:eastAsia="Courier New" w:hAnsi="Courier New"/>
          <w:sz w:val="18"/>
          <w:szCs w:val="18"/>
          <w:color w:val="auto"/>
        </w:rPr>
        <w:t>Elaine P. Wynn</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5"/>
        <w:spacing w:after="0"/>
        <w:tabs>
          <w:tab w:leader="none" w:pos="605"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5905"/>
        <w:spacing w:after="0" w:line="237" w:lineRule="auto"/>
        <w:rPr>
          <w:sz w:val="20"/>
          <w:szCs w:val="20"/>
          <w:color w:val="auto"/>
        </w:rPr>
      </w:pPr>
      <w:r>
        <w:rPr>
          <w:rFonts w:ascii="Courier New" w:cs="Courier New" w:eastAsia="Courier New" w:hAnsi="Courier New"/>
          <w:sz w:val="18"/>
          <w:szCs w:val="18"/>
          <w:color w:val="auto"/>
        </w:rPr>
        <w:t>(a) [X]</w:t>
      </w:r>
    </w:p>
    <w:p>
      <w:pPr>
        <w:ind w:left="5905"/>
        <w:spacing w:after="0" w:line="238" w:lineRule="auto"/>
        <w:rPr>
          <w:sz w:val="20"/>
          <w:szCs w:val="20"/>
          <w:color w:val="auto"/>
        </w:rPr>
      </w:pPr>
      <w:r>
        <w:rPr>
          <w:rFonts w:ascii="Courier New" w:cs="Courier New" w:eastAsia="Courier New" w:hAnsi="Courier New"/>
          <w:sz w:val="18"/>
          <w:szCs w:val="18"/>
          <w:color w:val="auto"/>
        </w:rPr>
        <w:t>(b) [ ]</w:t>
      </w: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7" w:lineRule="auto"/>
        <w:tabs>
          <w:tab w:leader="none" w:pos="62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BK</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25" w:hanging="625"/>
        <w:spacing w:after="0"/>
        <w:tabs>
          <w:tab w:leader="none" w:pos="62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w:t>
      </w:r>
    </w:p>
    <w:p>
      <w:pPr>
        <w:spacing w:after="0" w:line="16" w:lineRule="exact"/>
        <w:rPr>
          <w:sz w:val="20"/>
          <w:szCs w:val="20"/>
          <w:color w:val="auto"/>
        </w:rPr>
      </w:pPr>
    </w:p>
    <w:p>
      <w:pPr>
        <w:ind w:left="625"/>
        <w:spacing w:after="0"/>
        <w:tabs>
          <w:tab w:leader="none" w:pos="6305"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745"/>
        <w:spacing w:after="0"/>
        <w:rPr>
          <w:sz w:val="20"/>
          <w:szCs w:val="20"/>
          <w:color w:val="auto"/>
        </w:rPr>
      </w:pPr>
      <w:r>
        <w:rPr>
          <w:rFonts w:ascii="Courier New" w:cs="Courier New" w:eastAsia="Courier New" w:hAnsi="Courier New"/>
          <w:sz w:val="18"/>
          <w:szCs w:val="18"/>
          <w:color w:val="auto"/>
        </w:rPr>
        <w:t>United States of America</w:t>
      </w:r>
    </w:p>
    <w:p>
      <w:pPr>
        <w:ind w:left="5"/>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8"/>
                <w:szCs w:val="18"/>
                <w:color w:val="auto"/>
              </w:rPr>
              <w:t>7.</w:t>
            </w:r>
          </w:p>
        </w:tc>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49,098,444 (1)(2)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620" w:type="dxa"/>
            <w:vAlign w:val="bottom"/>
            <w:gridSpan w:val="2"/>
          </w:tcPr>
          <w:p>
            <w:pPr>
              <w:ind w:left="880"/>
              <w:spacing w:after="0"/>
              <w:rPr>
                <w:sz w:val="20"/>
                <w:szCs w:val="20"/>
                <w:color w:val="auto"/>
              </w:rPr>
            </w:pPr>
            <w:r>
              <w:rPr>
                <w:rFonts w:ascii="Courier New" w:cs="Courier New" w:eastAsia="Courier New" w:hAnsi="Courier New"/>
                <w:sz w:val="10"/>
                <w:szCs w:val="10"/>
                <w:color w:val="auto"/>
                <w:w w:val="75"/>
              </w:rPr>
              <w:t>--------------------------------------</w:t>
            </w:r>
          </w:p>
        </w:tc>
        <w:tc>
          <w:tcPr>
            <w:tcW w:w="14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5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24,549,222</w:t>
            </w:r>
          </w:p>
        </w:tc>
        <w:tc>
          <w:tcPr>
            <w:tcW w:w="1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r>
    </w:tbl>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625"/>
        <w:spacing w:after="0"/>
        <w:rPr>
          <w:sz w:val="20"/>
          <w:szCs w:val="20"/>
          <w:color w:val="auto"/>
        </w:rPr>
      </w:pPr>
      <w:r>
        <w:rPr>
          <w:rFonts w:ascii="Courier New" w:cs="Courier New" w:eastAsia="Courier New" w:hAnsi="Courier New"/>
          <w:sz w:val="18"/>
          <w:szCs w:val="18"/>
          <w:color w:val="auto"/>
        </w:rPr>
        <w:t>49,098,444 (1)(2)</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625" w:hanging="625"/>
        <w:spacing w:after="0"/>
        <w:tabs>
          <w:tab w:leader="none" w:pos="6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ind w:left="625"/>
        <w:spacing w:after="0"/>
        <w:tabs>
          <w:tab w:leader="none" w:pos="6305"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w:t>
      </w:r>
    </w:p>
    <w:p>
      <w:pPr>
        <w:ind w:left="625" w:hanging="625"/>
        <w:spacing w:after="0" w:line="238" w:lineRule="auto"/>
        <w:tabs>
          <w:tab w:leader="none" w:pos="62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2" w:lineRule="exact"/>
        <w:rPr>
          <w:sz w:val="20"/>
          <w:szCs w:val="20"/>
          <w:color w:val="auto"/>
        </w:rPr>
      </w:pPr>
    </w:p>
    <w:p>
      <w:pPr>
        <w:ind w:left="625"/>
        <w:spacing w:after="0"/>
        <w:rPr>
          <w:sz w:val="20"/>
          <w:szCs w:val="20"/>
          <w:color w:val="auto"/>
        </w:rPr>
      </w:pPr>
      <w:r>
        <w:rPr>
          <w:rFonts w:ascii="Courier New" w:cs="Courier New" w:eastAsia="Courier New" w:hAnsi="Courier New"/>
          <w:sz w:val="18"/>
          <w:szCs w:val="18"/>
          <w:color w:val="auto"/>
        </w:rPr>
        <w:t>62.0%</w:t>
      </w:r>
    </w:p>
    <w:p>
      <w:pPr>
        <w:ind w:left="5"/>
        <w:spacing w:after="0" w:line="238" w:lineRule="auto"/>
        <w:rPr>
          <w:sz w:val="20"/>
          <w:szCs w:val="20"/>
          <w:color w:val="auto"/>
        </w:rPr>
      </w:pPr>
      <w:r>
        <w:rPr>
          <w:rFonts w:ascii="Courier New" w:cs="Courier New" w:eastAsia="Courier New" w:hAnsi="Courier New"/>
          <w:sz w:val="18"/>
          <w:szCs w:val="18"/>
          <w:color w:val="auto"/>
        </w:rPr>
        <w:t>--------------------------------------------------------------------</w:t>
      </w:r>
    </w:p>
    <w:p>
      <w:pPr>
        <w:ind w:left="5"/>
        <w:spacing w:after="0"/>
        <w:tabs>
          <w:tab w:leader="none" w:pos="605" w:val="left"/>
        </w:tabs>
        <w:rPr>
          <w:sz w:val="20"/>
          <w:szCs w:val="20"/>
          <w:color w:val="auto"/>
        </w:rPr>
      </w:pPr>
      <w:r>
        <w:rPr>
          <w:rFonts w:ascii="Courier New" w:cs="Courier New" w:eastAsia="Courier New" w:hAnsi="Courier New"/>
          <w:sz w:val="18"/>
          <w:szCs w:val="18"/>
          <w:color w:val="auto"/>
        </w:rPr>
        <w:t>14.</w:t>
        <w:tab/>
        <w:t>TYPE OF REPORTING PERSON (See Instructions)</w:t>
      </w:r>
    </w:p>
    <w:p>
      <w:pPr>
        <w:sectPr>
          <w:pgSz w:w="11900" w:h="16838" w:orient="portrait"/>
          <w:cols w:equalWidth="0" w:num="1">
            <w:col w:w="9684"/>
          </w:cols>
          <w:pgMar w:left="775" w:top="1122" w:right="1440" w:bottom="1440" w:gutter="0" w:footer="0" w:header="0"/>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IN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acquired by Mr. Wynn (as described below) that may be considered community property under applicable Nevada state law. Accordingly, the Reporting Persons may be deemed to have shared voting and dispositive power over such shares.</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24,549,222 shares held by Aruze USA, Inc., a Nevada corporation ("Aruze USA") that are beneficially owned by the Reporting Persons as a result of that certain Stockholders Agreement, dated as of April 11, 2002 (the "Stockholders Agreement"), by and among Stephen A. Wynn, Baron Asset Fund, a Massachusetts business trust ("Baron") and Aruze USA. The aggregate percentage of the outstanding common stock that the Reporting Persons beneficially own is 62.0%. Excluding the additional shares of common stock that the Reporting Persons beneficially own as a result of the Stockholders Agreement, the Reporting Persons directly beneficially own 31.0% of the outstanding common stock. (See Item 6)</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Schedule 13D/A (this "Amendment No. 2") should be read in conjunction with the Schedule 13D/A (Amendment No. 1) filed by Stephen A. and Elaine P. Wynn with the Securities and Exchange Commission on April 21, 2003 (referred to herein as "Amendment No. 1"). This Amendment No. 2 amends and restates Item 3 and Item 7 of Amendment No. 1 in their entirety. All other information in Amendment No. 1 remains in effect. All capitalized terms used herein and not otherwise defined shall have the meanings ascribed thereto in Amendment No. 1.</w:t>
      </w:r>
    </w:p>
    <w:p>
      <w:pPr>
        <w:sectPr>
          <w:pgSz w:w="11900" w:h="16838" w:orient="portrait"/>
          <w:cols w:equalWidth="0" w:num="1">
            <w:col w:w="10219"/>
          </w:cols>
          <w:pgMar w:left="240" w:top="1122" w:right="1440" w:bottom="1440" w:gutter="0" w:footer="0" w:header="0"/>
        </w:sectPr>
      </w:pPr>
    </w:p>
    <w:bookmarkStart w:id="5" w:name="page6"/>
    <w:bookmarkEnd w:id="5"/>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response set forth in Item 3 of Amendment No. 1 is hereby amended and restated in its entirety as follows: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Wynn used a draw of $72,500,000 under an $85,000,000 personal credit line with Bank of America, N.A. (the "Bank Line"), which is secured by assets owned by the Reporting Persons other than shares of Issuer Common Stock, to purchase 5,576,923 shares of Issuer Common Stock. Such shares were purchased pursuant to that certain Purchase Agreement, dated October 25, 2002 (the "Purchase Agreement"), by and between the Issuer and Mr. Wynn at the price offered to the public in the Issuer's initial public offering. Mr. Wynn's purchase of Issuer Common Stock pursuant to the Purchase Agreement was consummated on October 30, 2002.</w:t>
      </w:r>
    </w:p>
    <w:p>
      <w:pPr>
        <w:spacing w:after="0" w:line="21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On July 14, 2003, the Reporting Persons and Bank of America, N.A. amended and restated the Bank Line to, among other things, increase the line of credit available to the Reporting Persons from $85,000,000 to $125,000,000.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response set forth in Item 7 of Amendment No. 1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42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7"/>
              </w:rPr>
              <w:t>Exhibit No.</w:t>
            </w:r>
          </w:p>
        </w:tc>
        <w:tc>
          <w:tcPr>
            <w:tcW w:w="5380" w:type="dxa"/>
            <w:vAlign w:val="bottom"/>
          </w:tcPr>
          <w:p>
            <w:pPr>
              <w:ind w:left="126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242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w:t>
            </w: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2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8"/>
              </w:rPr>
              <w:t>(a)</w:t>
            </w:r>
          </w:p>
        </w:tc>
        <w:tc>
          <w:tcPr>
            <w:tcW w:w="5380" w:type="dxa"/>
            <w:vAlign w:val="bottom"/>
          </w:tcPr>
          <w:p>
            <w:pPr>
              <w:ind w:left="1260"/>
              <w:spacing w:after="0"/>
              <w:rPr>
                <w:sz w:val="20"/>
                <w:szCs w:val="20"/>
                <w:color w:val="auto"/>
              </w:rPr>
            </w:pPr>
            <w:r>
              <w:rPr>
                <w:rFonts w:ascii="Courier New" w:cs="Courier New" w:eastAsia="Courier New" w:hAnsi="Courier New"/>
                <w:sz w:val="18"/>
                <w:szCs w:val="18"/>
                <w:color w:val="auto"/>
              </w:rPr>
              <w:t>Purchase Agreement, dated October 25,</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2002, by and between Wynn Resorts,</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Limited and Stephen A. Wynn (previously</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filed as Exhibit 10.1 to the Schedule</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13D of Stephen A. Wynn, Commission File</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 005-78590, filed on November 13,</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2002 and incorporated herein by</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242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8"/>
              </w:rPr>
              <w:t>(b)</w:t>
            </w:r>
          </w:p>
        </w:tc>
        <w:tc>
          <w:tcPr>
            <w:tcW w:w="5380" w:type="dxa"/>
            <w:vAlign w:val="bottom"/>
          </w:tcPr>
          <w:p>
            <w:pPr>
              <w:ind w:left="1260"/>
              <w:spacing w:after="0"/>
              <w:rPr>
                <w:sz w:val="20"/>
                <w:szCs w:val="20"/>
                <w:color w:val="auto"/>
              </w:rPr>
            </w:pPr>
            <w:r>
              <w:rPr>
                <w:rFonts w:ascii="Courier New" w:cs="Courier New" w:eastAsia="Courier New" w:hAnsi="Courier New"/>
                <w:sz w:val="18"/>
                <w:szCs w:val="18"/>
                <w:color w:val="auto"/>
              </w:rPr>
              <w:t>Stockholders Agreement, dated as of</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April 11, 2002, by and among Stephen A.</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Wynn, Baron Asset Fund and Aruze USA,</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Inc. (previously filed as Exhibit 10.10</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to the Form S-1 of Wynn Resorts,</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Limited, Commission File No. 333-90600,</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7"/>
              </w:rPr>
              <w:t>filed on June 17, 2002 and incorporated</w:t>
            </w:r>
          </w:p>
        </w:tc>
      </w:tr>
      <w:tr>
        <w:trPr>
          <w:trHeight w:val="203"/>
        </w:trPr>
        <w:tc>
          <w:tcPr>
            <w:tcW w:w="2420" w:type="dxa"/>
            <w:vAlign w:val="bottom"/>
          </w:tcPr>
          <w:p>
            <w:pPr>
              <w:spacing w:after="0"/>
              <w:rPr>
                <w:sz w:val="17"/>
                <w:szCs w:val="17"/>
                <w:color w:val="auto"/>
              </w:rPr>
            </w:pPr>
          </w:p>
        </w:tc>
        <w:tc>
          <w:tcPr>
            <w:tcW w:w="53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ectPr>
          <w:pgSz w:w="11900" w:h="16838" w:orient="portrait"/>
          <w:cols w:equalWidth="0" w:num="1">
            <w:col w:w="10219"/>
          </w:cols>
          <w:pgMar w:left="240" w:top="1122" w:right="1440" w:bottom="1440" w:gutter="0" w:footer="0" w:header="0"/>
        </w:sectPr>
      </w:pPr>
    </w:p>
    <w:bookmarkStart w:id="6" w:name="page7"/>
    <w:bookmarkEnd w:id="6"/>
    <w:p>
      <w:pPr>
        <w:ind w:left="138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Buy-Sell Agreement, dated as of June 13,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 by and among Stephen A. Wynn,</w:t>
      </w:r>
    </w:p>
    <w:p>
      <w:pPr>
        <w:spacing w:after="0" w:line="238" w:lineRule="auto"/>
        <w:rPr>
          <w:sz w:val="20"/>
          <w:szCs w:val="20"/>
          <w:color w:val="auto"/>
        </w:rPr>
      </w:pPr>
      <w:r>
        <w:rPr>
          <w:rFonts w:ascii="Courier New" w:cs="Courier New" w:eastAsia="Courier New" w:hAnsi="Courier New"/>
          <w:sz w:val="18"/>
          <w:szCs w:val="18"/>
          <w:color w:val="auto"/>
        </w:rPr>
        <w:t>Kazuo Okada, Aruze USA, Inc. and Aruze</w:t>
      </w:r>
    </w:p>
    <w:p>
      <w:pPr>
        <w:spacing w:after="0"/>
        <w:rPr>
          <w:sz w:val="20"/>
          <w:szCs w:val="20"/>
          <w:color w:val="auto"/>
        </w:rPr>
      </w:pPr>
      <w:r>
        <w:rPr>
          <w:rFonts w:ascii="Courier New" w:cs="Courier New" w:eastAsia="Courier New" w:hAnsi="Courier New"/>
          <w:sz w:val="18"/>
          <w:szCs w:val="18"/>
          <w:color w:val="auto"/>
        </w:rPr>
        <w:t>Corp. (previously filed as Exhibit 10.3</w:t>
      </w:r>
    </w:p>
    <w:p>
      <w:pPr>
        <w:spacing w:after="0" w:line="237" w:lineRule="auto"/>
        <w:rPr>
          <w:sz w:val="20"/>
          <w:szCs w:val="20"/>
          <w:color w:val="auto"/>
        </w:rPr>
      </w:pPr>
      <w:r>
        <w:rPr>
          <w:rFonts w:ascii="Courier New" w:cs="Courier New" w:eastAsia="Courier New" w:hAnsi="Courier New"/>
          <w:sz w:val="18"/>
          <w:szCs w:val="18"/>
          <w:color w:val="auto"/>
        </w:rPr>
        <w:t>to the Schedule 13D of Stephen A. Wynn,</w:t>
      </w:r>
    </w:p>
    <w:p>
      <w:pPr>
        <w:spacing w:after="0" w:line="238" w:lineRule="auto"/>
        <w:rPr>
          <w:sz w:val="20"/>
          <w:szCs w:val="20"/>
          <w:color w:val="auto"/>
        </w:rPr>
      </w:pPr>
      <w:r>
        <w:rPr>
          <w:rFonts w:ascii="Courier New" w:cs="Courier New" w:eastAsia="Courier New" w:hAnsi="Courier New"/>
          <w:sz w:val="18"/>
          <w:szCs w:val="18"/>
          <w:color w:val="auto"/>
        </w:rPr>
        <w:t>Commission File No. 005-78590, filed on</w:t>
      </w:r>
    </w:p>
    <w:p>
      <w:pPr>
        <w:spacing w:after="0"/>
        <w:rPr>
          <w:sz w:val="20"/>
          <w:szCs w:val="20"/>
          <w:color w:val="auto"/>
        </w:rPr>
      </w:pPr>
      <w:r>
        <w:rPr>
          <w:rFonts w:ascii="Courier New" w:cs="Courier New" w:eastAsia="Courier New" w:hAnsi="Courier New"/>
          <w:sz w:val="18"/>
          <w:szCs w:val="18"/>
          <w:color w:val="auto"/>
        </w:rPr>
        <w:t>November 13, 2002 and incorporated</w:t>
      </w:r>
    </w:p>
    <w:p>
      <w:pPr>
        <w:spacing w:after="0" w:line="237" w:lineRule="auto"/>
        <w:rPr>
          <w:sz w:val="20"/>
          <w:szCs w:val="20"/>
          <w:color w:val="auto"/>
        </w:rPr>
      </w:pPr>
      <w:r>
        <w:rPr>
          <w:rFonts w:ascii="Courier New" w:cs="Courier New" w:eastAsia="Courier New" w:hAnsi="Courier New"/>
          <w:sz w:val="18"/>
          <w:szCs w:val="18"/>
          <w:color w:val="auto"/>
        </w:rPr>
        <w:t>herein by reference)</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Agreement, dated as of June 13, 2002,</w:t>
      </w:r>
    </w:p>
    <w:p>
      <w:pPr>
        <w:spacing w:after="0" w:line="238" w:lineRule="auto"/>
        <w:rPr>
          <w:sz w:val="20"/>
          <w:szCs w:val="20"/>
          <w:color w:val="auto"/>
        </w:rPr>
      </w:pPr>
      <w:r>
        <w:rPr>
          <w:rFonts w:ascii="Courier New" w:cs="Courier New" w:eastAsia="Courier New" w:hAnsi="Courier New"/>
          <w:sz w:val="18"/>
          <w:szCs w:val="18"/>
          <w:color w:val="auto"/>
        </w:rPr>
        <w:t>between Stephen A. Wynn and Wynn</w:t>
      </w:r>
    </w:p>
    <w:p>
      <w:pPr>
        <w:spacing w:after="0"/>
        <w:rPr>
          <w:sz w:val="20"/>
          <w:szCs w:val="20"/>
          <w:color w:val="auto"/>
        </w:rPr>
      </w:pPr>
      <w:r>
        <w:rPr>
          <w:rFonts w:ascii="Courier New" w:cs="Courier New" w:eastAsia="Courier New" w:hAnsi="Courier New"/>
          <w:sz w:val="18"/>
          <w:szCs w:val="18"/>
          <w:color w:val="auto"/>
        </w:rPr>
        <w:t>Resorts, Limited (previously filed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10.20 to Amendment No. 1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S-1 of Wynn Resorts,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File No. 333-90600, filed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20, 2002 and incorporated herein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reference)</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Registration Rights Agreement, dated as</w:t>
      </w:r>
    </w:p>
    <w:p>
      <w:pPr>
        <w:spacing w:after="0" w:line="238" w:lineRule="auto"/>
        <w:rPr>
          <w:sz w:val="20"/>
          <w:szCs w:val="20"/>
          <w:color w:val="auto"/>
        </w:rPr>
      </w:pPr>
      <w:r>
        <w:rPr>
          <w:rFonts w:ascii="Courier New" w:cs="Courier New" w:eastAsia="Courier New" w:hAnsi="Courier New"/>
          <w:sz w:val="18"/>
          <w:szCs w:val="18"/>
          <w:color w:val="auto"/>
        </w:rPr>
        <w:t>of October 30, 2002, between Stephen A.</w:t>
      </w:r>
    </w:p>
    <w:p>
      <w:pPr>
        <w:spacing w:after="0"/>
        <w:rPr>
          <w:sz w:val="20"/>
          <w:szCs w:val="20"/>
          <w:color w:val="auto"/>
        </w:rPr>
      </w:pPr>
      <w:r>
        <w:rPr>
          <w:rFonts w:ascii="Courier New" w:cs="Courier New" w:eastAsia="Courier New" w:hAnsi="Courier New"/>
          <w:sz w:val="18"/>
          <w:szCs w:val="18"/>
          <w:color w:val="auto"/>
        </w:rPr>
        <w:t>Wynn and Wynn Resorts,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filed as Exhibit 10.5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13D of Stephen A. Wynn,</w:t>
      </w:r>
    </w:p>
    <w:p>
      <w:pPr>
        <w:spacing w:after="0" w:line="238" w:lineRule="auto"/>
        <w:rPr>
          <w:sz w:val="20"/>
          <w:szCs w:val="20"/>
          <w:color w:val="auto"/>
        </w:rPr>
      </w:pPr>
      <w:r>
        <w:rPr>
          <w:rFonts w:ascii="Courier New" w:cs="Courier New" w:eastAsia="Courier New" w:hAnsi="Courier New"/>
          <w:sz w:val="18"/>
          <w:szCs w:val="18"/>
          <w:color w:val="auto"/>
        </w:rPr>
        <w:t>Commission File No. 005-78590, filed on</w:t>
      </w:r>
    </w:p>
    <w:p>
      <w:pPr>
        <w:spacing w:after="0"/>
        <w:rPr>
          <w:sz w:val="20"/>
          <w:szCs w:val="20"/>
          <w:color w:val="auto"/>
        </w:rPr>
      </w:pPr>
      <w:r>
        <w:rPr>
          <w:rFonts w:ascii="Courier New" w:cs="Courier New" w:eastAsia="Courier New" w:hAnsi="Courier New"/>
          <w:sz w:val="18"/>
          <w:szCs w:val="18"/>
          <w:color w:val="auto"/>
        </w:rPr>
        <w:t>November 13, 2002 and incorporated</w:t>
      </w:r>
    </w:p>
    <w:p>
      <w:pPr>
        <w:spacing w:after="0" w:line="237" w:lineRule="auto"/>
        <w:rPr>
          <w:sz w:val="20"/>
          <w:szCs w:val="20"/>
          <w:color w:val="auto"/>
        </w:rPr>
      </w:pPr>
      <w:r>
        <w:rPr>
          <w:rFonts w:ascii="Courier New" w:cs="Courier New" w:eastAsia="Courier New" w:hAnsi="Courier New"/>
          <w:sz w:val="18"/>
          <w:szCs w:val="18"/>
          <w:color w:val="auto"/>
        </w:rPr>
        <w:t>herein by reference)</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Amended and Restated Loan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July 14, 2003, by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Bank of America, N.A., Stephen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Wynn and Elaine P. Wynn*</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type w:val="continuous"/>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Joint Filing Agreement, dated April 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between Stephen A. Wynn and Elaine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 Wynn (previously filed as Exhibit (g)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Schedule 13D/A (Amendment No. 1)</w:t>
      </w:r>
    </w:p>
    <w:p>
      <w:pPr>
        <w:spacing w:after="0" w:line="238" w:lineRule="auto"/>
        <w:rPr>
          <w:sz w:val="20"/>
          <w:szCs w:val="20"/>
          <w:color w:val="auto"/>
        </w:rPr>
      </w:pPr>
      <w:r>
        <w:rPr>
          <w:rFonts w:ascii="Courier New" w:cs="Courier New" w:eastAsia="Courier New" w:hAnsi="Courier New"/>
          <w:sz w:val="18"/>
          <w:szCs w:val="18"/>
          <w:color w:val="auto"/>
        </w:rPr>
        <w:t>of the Reporting Persons, Commission</w:t>
      </w:r>
    </w:p>
    <w:p>
      <w:pPr>
        <w:spacing w:after="0"/>
        <w:rPr>
          <w:sz w:val="20"/>
          <w:szCs w:val="20"/>
          <w:color w:val="auto"/>
        </w:rPr>
      </w:pPr>
      <w:r>
        <w:rPr>
          <w:rFonts w:ascii="Courier New" w:cs="Courier New" w:eastAsia="Courier New" w:hAnsi="Courier New"/>
          <w:sz w:val="18"/>
          <w:szCs w:val="18"/>
          <w:color w:val="auto"/>
        </w:rPr>
        <w:t>File No. 005-78590, filed on April 21,</w:t>
      </w:r>
    </w:p>
    <w:p>
      <w:pPr>
        <w:spacing w:after="0" w:line="237" w:lineRule="auto"/>
        <w:rPr>
          <w:sz w:val="20"/>
          <w:szCs w:val="20"/>
          <w:color w:val="auto"/>
        </w:rPr>
      </w:pPr>
      <w:r>
        <w:rPr>
          <w:rFonts w:ascii="Courier New" w:cs="Courier New" w:eastAsia="Courier New" w:hAnsi="Courier New"/>
          <w:sz w:val="18"/>
          <w:szCs w:val="18"/>
          <w:color w:val="auto"/>
        </w:rPr>
        <w:t>2003 and incorporated herein by</w:t>
      </w:r>
    </w:p>
    <w:p>
      <w:pPr>
        <w:spacing w:after="0" w:line="238" w:lineRule="auto"/>
        <w:rPr>
          <w:sz w:val="20"/>
          <w:szCs w:val="20"/>
          <w:color w:val="auto"/>
        </w:rPr>
      </w:pPr>
      <w:r>
        <w:rPr>
          <w:rFonts w:ascii="Courier New" w:cs="Courier New" w:eastAsia="Courier New" w:hAnsi="Courier New"/>
          <w:sz w:val="18"/>
          <w:szCs w:val="18"/>
          <w:color w:val="auto"/>
        </w:rPr>
        <w:t>reference)</w:t>
      </w:r>
    </w:p>
    <w:p>
      <w:pPr>
        <w:spacing w:after="0" w:line="200" w:lineRule="exact"/>
        <w:rPr>
          <w:sz w:val="20"/>
          <w:szCs w:val="20"/>
          <w:color w:val="auto"/>
        </w:rPr>
      </w:pPr>
    </w:p>
    <w:p>
      <w:pPr>
        <w:sectPr>
          <w:pgSz w:w="11900" w:h="16838" w:orient="portrait"/>
          <w:cols w:equalWidth="0" w:num="2">
            <w:col w:w="3920" w:space="720"/>
            <w:col w:w="5579"/>
          </w:cols>
          <w:pgMar w:left="240" w:top="1128" w:right="1440" w:bottom="1440" w:gutter="0" w:footer="0" w:header="0"/>
          <w:type w:val="continuous"/>
        </w:sectPr>
      </w:pPr>
    </w:p>
    <w:p>
      <w:pPr>
        <w:spacing w:after="0" w:line="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*Certain portions of this exhibit have been omitted and filed separately under an application for confidential treatment.</w:t>
      </w:r>
    </w:p>
    <w:p>
      <w:pPr>
        <w:sectPr>
          <w:pgSz w:w="11900" w:h="16838" w:orient="portrait"/>
          <w:cols w:equalWidth="0" w:num="1">
            <w:col w:w="10219"/>
          </w:cols>
          <w:pgMar w:left="240" w:top="1128" w:right="1440" w:bottom="1440" w:gutter="0" w:footer="0" w:header="0"/>
          <w:type w:val="continuous"/>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2003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Stephen A. Wynn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Stephen A. Wynn</w:t>
      </w:r>
    </w:p>
    <w:p>
      <w:pPr>
        <w:spacing w:after="0" w:line="200" w:lineRule="exact"/>
        <w:rPr>
          <w:sz w:val="20"/>
          <w:szCs w:val="20"/>
          <w:color w:val="auto"/>
        </w:rPr>
      </w:pPr>
    </w:p>
    <w:p>
      <w:pPr>
        <w:sectPr>
          <w:pgSz w:w="11900" w:h="16838" w:orient="portrait"/>
          <w:cols w:equalWidth="0" w:num="3">
            <w:col w:w="640" w:space="220"/>
            <w:col w:w="3800" w:space="720"/>
            <w:col w:w="483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2003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Elaine P. Wynn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Elaine P. Wynn</w:t>
      </w:r>
    </w:p>
    <w:p>
      <w:pPr>
        <w:sectPr>
          <w:pgSz w:w="11900" w:h="16838" w:orient="portrait"/>
          <w:cols w:equalWidth="0" w:num="3">
            <w:col w:w="640" w:space="220"/>
            <w:col w:w="3800" w:space="720"/>
            <w:col w:w="4839"/>
          </w:cols>
          <w:pgMar w:left="240" w:top="919" w:right="1440" w:bottom="1440" w:gutter="0" w:footer="0" w:header="0"/>
          <w:type w:val="continuous"/>
        </w:sectPr>
      </w:pPr>
    </w:p>
    <w:bookmarkStart w:id="8" w:name="page9"/>
    <w:bookmarkEnd w:id="8"/>
    <w:p>
      <w:pPr>
        <w:ind w:left="7180"/>
        <w:spacing w:after="0"/>
        <w:rPr>
          <w:sz w:val="20"/>
          <w:szCs w:val="20"/>
          <w:color w:val="auto"/>
        </w:rPr>
      </w:pPr>
      <w:r>
        <w:rPr>
          <w:rFonts w:ascii="Courier New" w:cs="Courier New" w:eastAsia="Courier New" w:hAnsi="Courier New"/>
          <w:sz w:val="18"/>
          <w:szCs w:val="18"/>
          <w:color w:val="auto"/>
        </w:rPr>
        <w:t>Exhibit (f)</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AMENDED AND RESTATED LOAN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Amended and Restated Loan Agreement ("Agreement") dated as of July 14, 2003, is between Bank of America, N.A. (the "Bank") and Stephen A. Wynn and Elaine P. Wynn (collectively, the "Borrower"). This Agreement amends and restates in its entirety that certain Loan Agreement dated as of October 30, 2002, as amended by a Modification Agreement, between the Bank and Stephen A. Wynn.</w:t>
      </w:r>
    </w:p>
    <w:p>
      <w:pPr>
        <w:spacing w:after="0" w:line="204" w:lineRule="exact"/>
        <w:rPr>
          <w:sz w:val="20"/>
          <w:szCs w:val="20"/>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 AMOUNT AND TERMS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Line of Credit Amount.</w:t>
      </w:r>
    </w:p>
    <w:p>
      <w:pPr>
        <w:spacing w:after="0" w:line="206"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availability period described in Section 1.2 below, the Bank will provide a line of credit to the Borrower. The amount of the line of credit (the "Commitment") is One Hundred Twenty-Five Million Dollars ($125,000,000).</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revolving line of credit providing for</w:t>
      </w:r>
    </w:p>
    <w:p>
      <w:pPr>
        <w:spacing w:after="0" w:line="4"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cash advances. During the availability period described in Section 1.2, the Borrower may repay principal amounts and reborrow them.</w:t>
      </w:r>
    </w:p>
    <w:p>
      <w:pPr>
        <w:spacing w:after="0" w:line="208" w:lineRule="exact"/>
        <w:rPr>
          <w:sz w:val="20"/>
          <w:szCs w:val="20"/>
          <w:color w:val="auto"/>
        </w:rPr>
      </w:pPr>
    </w:p>
    <w:p>
      <w:pPr>
        <w:ind w:left="960" w:right="2099" w:firstLine="944"/>
        <w:spacing w:after="0" w:line="236" w:lineRule="auto"/>
        <w:tabs>
          <w:tab w:leader="none" w:pos="285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not to permit the outstanding principal balance of advances under the line of credit to exceed the limitations specified in paragraph 1.3 below.</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1.2 Availability Period. The line of credit is available between the date of this Agreement and July 14, 2006, or such earlier date as the availability may terminate as provided in this Agreement (the "Expiration Date").</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Borrowing Base.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779" w:firstLine="944"/>
        <w:spacing w:after="0" w:line="237" w:lineRule="auto"/>
        <w:tabs>
          <w:tab w:leader="none" w:pos="28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Collateral. The Borrower's obligations to the Bank will be secured by the collateral acceptable to the Bank ("Eligible Collateral") that is more particularly described on Exhibit A to this Agreement and the Borrower's interest under that lease dated September 18, 2002 between the Borrower and Wynn Resorts Holdings, LLC (the "Art Lease"). The term Eligible Collateral shall also include those items of personal property added to maintain the collateral value as required by Section 8.17 hereof or substituted for Eligible Collateral in accordance with the provisions of this Agreement and the Security Agreement, as hereinafter defined.</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Rate. The Bank will not make any extension</w:t>
      </w:r>
    </w:p>
    <w:p>
      <w:pPr>
        <w:spacing w:after="0" w:line="4"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of credit if, as a result, the Outstanding Balance would exceed the Borrowing Base.</w:t>
      </w:r>
    </w:p>
    <w:p>
      <w:pPr>
        <w:spacing w:after="0" w:line="208" w:lineRule="exact"/>
        <w:rPr>
          <w:sz w:val="20"/>
          <w:szCs w:val="20"/>
          <w:color w:val="auto"/>
        </w:rPr>
      </w:pPr>
    </w:p>
    <w:p>
      <w:pPr>
        <w:ind w:left="960" w:right="1999" w:firstLine="944"/>
        <w:spacing w:after="0" w:line="237"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The "Borrowing Base" is the sum of the amounts determined by multiplying the Collateral Value by forty-five percent (45%) for each type of Eligible Collateral pledged to the Bank.</w:t>
      </w:r>
    </w:p>
    <w:p>
      <w:pPr>
        <w:spacing w:after="0" w:line="207"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Balance. The "Outstanding Balance" means the principal balance outstanding from time to time under this Agreement, including the undrawn and the drawn.</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85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"Collateral Value" of Eligible Collateral shall be the fair market value as determined from time to time by the Bank in its reasonable discretion.</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Interest Rate.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2199" w:firstLine="944"/>
        <w:spacing w:after="0" w:line="236" w:lineRule="auto"/>
        <w:tabs>
          <w:tab w:leader="none" w:pos="28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is a rate per year equal to the Wall Street Journal LIBOR Daily Floating Rate plus 1.20 percentage points.</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Wall Street Journal LIBOR Daily Floating Rate</w:t>
      </w:r>
    </w:p>
    <w:p>
      <w:pPr>
        <w:spacing w:after="0" w:line="4"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is a fluctuating rate of interest equal to the one month, two month or three month London interbank offered rate as published in the "Money Rates" section of The Wall Street Journal (or, if such source is not available, such alternate source as determined by the Bank), as adjusted from time to time in the Bank's sole discretion for reserve requirements, deposit insurance assessment rates and other regulatory costs. Any change in the rate will take effect on the effective date as indicated in The Wall Street Journal. Interest will accrue on any</w:t>
      </w:r>
    </w:p>
    <w:p>
      <w:pPr>
        <w:sectPr>
          <w:pgSz w:w="11900" w:h="16838" w:orient="portrait"/>
          <w:cols w:equalWidth="0" w:num="1">
            <w:col w:w="10219"/>
          </w:cols>
          <w:pgMar w:left="240" w:top="136" w:right="1440" w:bottom="0" w:gutter="0" w:footer="0" w:header="0"/>
        </w:sectPr>
      </w:pPr>
    </w:p>
    <w:bookmarkStart w:id="9" w:name="page10"/>
    <w:bookmarkEnd w:id="9"/>
    <w:p>
      <w:pPr>
        <w:ind w:left="960" w:right="1879"/>
        <w:spacing w:after="0" w:line="237" w:lineRule="auto"/>
        <w:rPr>
          <w:sz w:val="20"/>
          <w:szCs w:val="20"/>
          <w:color w:val="auto"/>
        </w:rPr>
      </w:pPr>
      <w:r>
        <w:rPr>
          <w:rFonts w:ascii="Courier New" w:cs="Courier New" w:eastAsia="Courier New" w:hAnsi="Courier New"/>
          <w:sz w:val="18"/>
          <w:szCs w:val="18"/>
          <w:color w:val="auto"/>
        </w:rPr>
        <w:t>non-banking day at the rate in effect on the immediately preceding banking day. The Borrower shall irrevocably notify the Bank of the interest period selected at least one banking day prior to expiration of the then expiring interest period. In the event the Borrower fails to make such election, the interest rate under this Agreement shall be the one month Wall Street Journal LIBOR Daily Floating Rate. All amounts outstanding under this Agreement shall bear interest at the same rate of interest. Any interest period shall expire no later than the Expiration Date.</w:t>
      </w:r>
    </w:p>
    <w:p>
      <w:pPr>
        <w:spacing w:after="0" w:line="208"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Repayment Terms.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860" w:hanging="956"/>
        <w:spacing w:after="0"/>
        <w:tabs>
          <w:tab w:leader="none" w:pos="2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pay interest on August 5, 2003</w:t>
      </w:r>
    </w:p>
    <w:p>
      <w:pPr>
        <w:spacing w:after="0" w:line="4"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and then the fifth (5th) day of each month thereafter until payment in full of all principal outstanding under this line of credit.</w:t>
      </w:r>
    </w:p>
    <w:p>
      <w:pPr>
        <w:spacing w:after="0" w:line="208" w:lineRule="exact"/>
        <w:rPr>
          <w:sz w:val="20"/>
          <w:szCs w:val="20"/>
          <w:color w:val="auto"/>
        </w:rPr>
      </w:pPr>
    </w:p>
    <w:p>
      <w:pPr>
        <w:jc w:val="both"/>
        <w:ind w:left="960" w:right="2199" w:firstLine="944"/>
        <w:spacing w:after="0" w:line="236" w:lineRule="auto"/>
        <w:tabs>
          <w:tab w:leader="none" w:pos="285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repay in full all principal and any unpaid interest or other charges outstanding under this line of credit no later than the Expiration Date.</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3.1Fees.</w:t>
      </w:r>
    </w:p>
    <w:p>
      <w:pPr>
        <w:spacing w:after="0" w:line="206"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Non-utilization fee. The Borrower agrees to pay a quarterly non-utilization fee in an amount equal to .10% (one-tenth of one percent) of the lesser of (i) $35,000,000 and (ii) the difference between the Commitment and the outstanding principal balance under this Agreement as of the date such fee is payable. This fee shall be payable on the fifth day of January, April, June and October in each year, commencing on October 5, 2003.</w:t>
      </w:r>
    </w:p>
    <w:p>
      <w:pPr>
        <w:spacing w:after="0" w:line="205"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Fee. If the Bank, at its discretion, agrees</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to waive or amend any terms of this Agreement at the request of the Borrower, the Borrower will, at the Bank's option, pay the Bank a fee for each waiver or amendment in an amount advised by the Bank at the time the Borrower requests the waiver or amendment. Nothing in this paragraph shall imply that the Bank is obligated to agree to any waiver or amendment requested by the Borrower. The Bank may impose additional requirements as a condition to any waiver or amendment. No such fee shall be due with respect to the amendments through the date of this Agreement, including this amended and restated Agreement and the amendment to the Security Agreement.</w:t>
      </w:r>
    </w:p>
    <w:p>
      <w:pPr>
        <w:spacing w:after="0" w:line="215" w:lineRule="exact"/>
        <w:rPr>
          <w:sz w:val="20"/>
          <w:szCs w:val="20"/>
          <w:color w:val="auto"/>
        </w:rPr>
      </w:pPr>
    </w:p>
    <w:p>
      <w:pPr>
        <w:ind w:left="960" w:right="1999" w:firstLine="944"/>
        <w:spacing w:after="0" w:line="237" w:lineRule="auto"/>
        <w:tabs>
          <w:tab w:leader="none" w:pos="285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Late Fee. To the extent permitted by law, the Borrower agrees to pay a late fee in an amount equal to four percent (4%) of any payment that is more than fifteen (15) days late. The imposition and payment of a late fee shall not constitute a waiver of the Bank's rights with respect to the default.</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3.2 Expenses. The Borrower agrees to immediately repay the Bank for reasonable expenses that include, but are not limited to, filing, recording and search fees, appraisal fees, title report fees and documentation fees.</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Reimbursement Costs.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999" w:firstLine="944"/>
        <w:spacing w:after="0" w:line="237" w:lineRule="auto"/>
        <w:tabs>
          <w:tab w:leader="none" w:pos="275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75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reimburse the Bank for the cost of periodic audits and appraisals of the Eligible Collateral securing this Agreement, at such intervals as the Bank may reasonably require but no more frequently than once in any 1 year period following the date of this Agreement. The audits and appraisals may be performed by employees of the Bank or by independent appraisers acceptable to the Bank.</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obligations to the Bank under this Agreement will be</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secured by Eligible Collateral consisting of various pieces of fine art the Borrower now owns or will own in the future and the Borrower's interest under the Art Lease. The Eligible Collateral is further defined in security agreement(s) executed by the Borrower, which, as of the date of this Agreement</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includes the personal property listed on Exhibit A to this Agreement.</w:t>
      </w:r>
    </w:p>
    <w:p>
      <w:pPr>
        <w:spacing w:after="0" w:line="201"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PAYMENTS AND COSTS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5.1 Requests for Credit; Equal Access by all Borrowers. If two or more Borrowers sign this Agreement, any Borrower (or a person or persons authorized in writing by any one of the Borrowers), acting alone, can borrow up to the full amount of the Commitment. Each Borrower will be liable for all extensions of credit made under this Agreement to any other Borrower. Each request for an extension of credit will be made in writing in a manner acceptable to the Bank, or by another means acceptable to the Bank.</w:t>
      </w:r>
    </w:p>
    <w:p>
      <w:pPr>
        <w:spacing w:after="0" w:line="205"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Disbursements and Payments.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879" w:firstLine="944"/>
        <w:spacing w:after="0" w:line="237" w:lineRule="auto"/>
        <w:tabs>
          <w:tab w:leader="none" w:pos="275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by the Borrower will be made at the Bank's banking center (or other location) selected by the Bank from time to time; and will be made in immediately available funds, or such other type of funds selected by the Bank.</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75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disbursement by the Bank and each payment by the Borrower will be evidenced by records kept by the Bank. In addition, the Bank may, at its discretion, require the Borrower to sign one or more promissory notes.</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Telephone and Telefax Authorization.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879" w:firstLine="944"/>
        <w:spacing w:after="0" w:line="237" w:lineRule="auto"/>
        <w:tabs>
          <w:tab w:leader="none" w:pos="285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honor telephone or telefax instructions for advances or repayments or for the designation of optional interest rates given, or purported to be given, by any one of the individual signer(s) of this Agreement or a person or persons authorized in writing by any one of the signer(s) of this Agreement.</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85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will be deposited in such of the Borrower's accounts with the Bank as designated in writing by the Borrower or as otherwise designated by Borrower.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indemnify and hold the Bank harmless from all liability, loss, and costs in connection with any act resulting from telephone or telefax instructions the Bank reasonably believes are made by any individual authorized by the Borrower to give such instructions. This paragraph will survive this Agreement's termination, and will benefit the Bank and its officers, employees, and agents.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5.4 Banking Days. Unless otherwise provided in this Agreement, a banking day is a day other than a Saturday, Sunday or other day on which commercial banks are authorized to close, or are in fact closed, in Nevada,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Taxes.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(a) If any payments to the Bank under this Agreement are made from outside the United States, the Borrower will not deduct any foreign taxes from any payments it makes to the Bank. If any such taxes are imposed on any payments made by the Borrower (including payments under this paragraph), the Borrower will pay the taxes and will also pay to the Bank, at the time interest is paid, any additional amount which the Bank specifies as necessary to preserve the after-tax yield the Bank would have received if such taxes had not been imposed. The Borrower will confirm that it has paid the taxes by giving the Bank official tax receipts (or notarized copies) within 30 days after the due date.</w:t>
      </w:r>
    </w:p>
    <w:p>
      <w:pPr>
        <w:spacing w:after="0" w:line="216"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(b) Payments made by the Borrower to the Bank will be made without deduction of United States withholding or similar taxes. If the Borrower is required to pay U.S. withholding taxes, the Borrower will pay such taxes in addition to the amounts due to the Bank under this Agreement. If the Borrower fails to make such tax payments when due, the Borrower indemnifies the Bank against any liability for such taxes, as well as for any related interest, expenses, additions to tax, or penalties asserted against or suffered by the Bank with respect to such taxes.</w:t>
      </w:r>
    </w:p>
    <w:p>
      <w:pPr>
        <w:sectPr>
          <w:pgSz w:w="11900" w:h="16838" w:orient="portrait"/>
          <w:cols w:equalWidth="0" w:num="1">
            <w:col w:w="10219"/>
          </w:cols>
          <w:pgMar w:left="240" w:top="136" w:right="1440" w:bottom="0" w:gutter="0" w:footer="0" w:header="0"/>
        </w:sectPr>
      </w:pPr>
    </w:p>
    <w:bookmarkStart w:id="11" w:name="page12"/>
    <w:bookmarkEnd w:id="11"/>
    <w:p>
      <w:pPr>
        <w:ind w:right="1779" w:firstLine="948"/>
        <w:spacing w:after="0" w:line="237" w:lineRule="auto"/>
        <w:rPr>
          <w:sz w:val="20"/>
          <w:szCs w:val="20"/>
          <w:color w:val="auto"/>
        </w:rPr>
      </w:pPr>
      <w:r>
        <w:rPr>
          <w:rFonts w:ascii="Courier New" w:cs="Courier New" w:eastAsia="Courier New" w:hAnsi="Courier New"/>
          <w:sz w:val="18"/>
          <w:szCs w:val="18"/>
          <w:color w:val="auto"/>
        </w:rPr>
        <w:t>5.6 Additional Costs. The Borrower will pay the Bank, on demand, for the Bank's actual costs or losses arising from any statute or regulation, or any request or requirement of a regulatory agency which is applicable to all national banks or a class of all national banks. The costs and losses will be allocated to the loan in a manner determined by the Bank, using any reasonable method. The costs include the following:</w:t>
      </w:r>
    </w:p>
    <w:p>
      <w:pPr>
        <w:spacing w:after="0" w:line="204" w:lineRule="exact"/>
        <w:rPr>
          <w:sz w:val="20"/>
          <w:szCs w:val="20"/>
          <w:color w:val="auto"/>
        </w:rPr>
      </w:pPr>
    </w:p>
    <w:p>
      <w:pPr>
        <w:ind w:left="2860" w:hanging="956"/>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reserve or deposit requirements; and</w:t>
      </w:r>
    </w:p>
    <w:p>
      <w:pPr>
        <w:spacing w:after="0" w:line="206" w:lineRule="exact"/>
        <w:rPr>
          <w:rFonts w:ascii="Courier New" w:cs="Courier New" w:eastAsia="Courier New" w:hAnsi="Courier New"/>
          <w:sz w:val="18"/>
          <w:szCs w:val="18"/>
          <w:color w:val="auto"/>
        </w:rPr>
      </w:pPr>
    </w:p>
    <w:p>
      <w:pPr>
        <w:ind w:left="960" w:right="2419" w:firstLine="944"/>
        <w:spacing w:after="0" w:line="235" w:lineRule="auto"/>
        <w:tabs>
          <w:tab w:leader="none" w:pos="285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requirements relating to the Bank's assets and commitments for credit.</w:t>
      </w:r>
    </w:p>
    <w:p>
      <w:pPr>
        <w:spacing w:after="0" w:line="208"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5.7 Interest Calculation. 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5.8 Default Rate. Upon the occurrence of any default under this Agreement, principal amounts outstanding under this Agreement will at the option of the Bank bear interest at the Bank's Prime Rate plus one (1) percentage point. This will not constitute a waiver of any default. The Prime Rate is the rate of interest publicly announced from time to time by the Bank as its Prime Rate. The Prime Rate is set by the Bank based on various factors, including the Bank's costs and desired return, general economic conditions and other factors, and is used as a reference point for pricing some loans. The Bank may price loans to its customers at, above, or below the Prime Rate. Any change in the Prime Rate shall take effect at the opening of business on the day specified in the public announcement of a change in the Bank's Prime Rate.</w:t>
      </w:r>
    </w:p>
    <w:p>
      <w:pPr>
        <w:spacing w:after="0" w:line="210"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The Bank must receive the following items, in form and content acceptable to the Bank, before it is required to extend any credit to the Borrower under this Agreement: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6.1 Security Agreements. Signed original security agreements and assignments which the Bank requires.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6.2 Perfection and Evidence of Priority. Financing statements (and any collateral in which the Bank requires a possessory security interest), together with evidence that the security interests and liens in favor of the Bank are valid, enforceable, and prior to all others' rights and interests, except those the Bank consents to in writing.</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6.3 Insurance. Evidence of insurance coverage, as required in the "Covenants" section of this Agreement.</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6.4 Payment of Fees. Payment of all accrued and unpaid expenses incurred by the Bank as required by the paragraph entitled "Reimbursement Costs."</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6.5 Form FRU-1. Execution and delivery by the Borrower to the Bank of Form FRU-1.</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6.6 Liquidity. Evidence of the Borrower's unencumbered Liquid Assets, as hereinafter defined, equal to at least Twenty Million Dollars ($20,000,000).</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6"/>
          <w:szCs w:val="16"/>
          <w:color w:val="auto"/>
        </w:rPr>
        <w:t>Other Required Documentation:</w:t>
      </w:r>
    </w:p>
    <w:p>
      <w:pPr>
        <w:spacing w:after="0" w:line="207" w:lineRule="exact"/>
        <w:rPr>
          <w:sz w:val="20"/>
          <w:szCs w:val="20"/>
          <w:color w:val="auto"/>
        </w:rPr>
      </w:pPr>
    </w:p>
    <w:p>
      <w:pPr>
        <w:ind w:left="960" w:right="1879" w:firstLine="944"/>
        <w:spacing w:after="0" w:line="237" w:lineRule="auto"/>
        <w:tabs>
          <w:tab w:leader="none" w:pos="285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appraisal of the Eligible Collateral, in form, substance and performed by appraiser(s) acceptable to Bank in Bank's discretion. Bank acknowledges that it has received an appraisal dated October 21, 2002 with respect to certain items of Eligible Collateral, which is acceptable to Bank as to such items.</w:t>
      </w:r>
    </w:p>
    <w:p>
      <w:pPr>
        <w:spacing w:after="0" w:line="208" w:lineRule="exact"/>
        <w:rPr>
          <w:rFonts w:ascii="Courier New" w:cs="Courier New" w:eastAsia="Courier New" w:hAnsi="Courier New"/>
          <w:sz w:val="18"/>
          <w:szCs w:val="18"/>
          <w:color w:val="auto"/>
        </w:rPr>
      </w:pPr>
    </w:p>
    <w:p>
      <w:pPr>
        <w:ind w:left="960" w:right="2199" w:firstLine="944"/>
        <w:spacing w:after="0" w:line="237" w:lineRule="auto"/>
        <w:tabs>
          <w:tab w:leader="none" w:pos="285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the Borrower owns the Eligible Collateral and that the Eligible Collateral is authentic, including bills of sale, certificates of authenticity or attribution and provenances.</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all of the Eligible Collateral is stored either at [*MATERIAL OMITTED AND SEPARATELY FILED WITH THE COMMISSION UNDER AN APPLICATION FOR CONFIDENTIAL TREATMENT] or at The Wynn Collection of Fine Art, 3145 South Las Vegas Boulevard, Las Vegas, Nevada (the "Gallery") and that the mode and manner of storage provides adequate protection against theft and damage.</w:t>
      </w:r>
    </w:p>
    <w:p>
      <w:pPr>
        <w:spacing w:after="0" w:line="204" w:lineRule="exact"/>
        <w:rPr>
          <w:sz w:val="20"/>
          <w:szCs w:val="20"/>
          <w:color w:val="auto"/>
        </w:rPr>
      </w:pPr>
    </w:p>
    <w:p>
      <w:pPr>
        <w:jc w:val="right"/>
        <w:ind w:right="1779"/>
        <w:spacing w:after="0"/>
        <w:tabs>
          <w:tab w:leader="none" w:pos="6520" w:val="left"/>
          <w:tab w:leader="none" w:pos="50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Other Items.</w:t>
      </w:r>
      <w:r>
        <w:rPr>
          <w:sz w:val="20"/>
          <w:szCs w:val="20"/>
          <w:color w:val="auto"/>
        </w:rPr>
        <w:tab/>
      </w:r>
      <w:r>
        <w:rPr>
          <w:rFonts w:ascii="Courier New" w:cs="Courier New" w:eastAsia="Courier New" w:hAnsi="Courier New"/>
          <w:sz w:val="16"/>
          <w:szCs w:val="16"/>
          <w:color w:val="auto"/>
        </w:rPr>
        <w:t>Any other items reasonably required by the Bank.</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7. REPRESENTATIONS AND WARRANTIES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When the Borrower signs this Agreement, and until the Bank is repaid in full, the Borrower makes the following representations and warranties. Each request for an extension of credit constitutes a renewal of these representations and warranties as of the date of the request: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7.1 Enforceable Agreement. This Agreement is a legal, valid and binding agreement of the Borrower, enforceable against the Borrower in accordance with its terms, and any instrument or agreement required hereunder, when executed and delivered, will be similarly legal, valid, binding and enforceable.</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7.2 No Conflicts. This Agreement does not conflict with any law, agreement, or obligation by which the Borrower is bound.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7.3 Financial Information. All financial and other information that has been or will be supplied to the Bank is sufficiently complete to give the Bank accurate knowledge of the Borrower's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7.4 Lawsuits. There is no lawsuit, tax claim or other dispute pending or threatened against the Borrower which, if lost, would materially impair the Borrower's financial condition or ability to repay the loan, except as have been disclosed in writing to the Bank.</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7.5 Collateral. Other than the lien created by this Agreement and the Security Agreement, all collateral required in this Agreement is owned by the Borrower free of any title defects or any liens or interests of others, except that the Eligible Collateral is subject to the Art Lease.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7.6 Permits, Franchises. The Borrower possesses all permits, memberships, franchises, contracts and licenses required and all trademark rights, trade name rights, patent rights and fictitious name rights necessary to enable it to conduct the business in which it is now engaged.</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7.7 Other Obligations. The Borrower is not in default on any obligation for borrowed money, any purchase money obligation or any other material lease, commitment, contract, instrument or obligation that would materially impair the Borrower's financial condition or ability to repay the advances under this Agreement.</w:t>
      </w:r>
    </w:p>
    <w:p>
      <w:pPr>
        <w:spacing w:after="0" w:line="209" w:lineRule="exact"/>
        <w:rPr>
          <w:sz w:val="20"/>
          <w:szCs w:val="20"/>
          <w:color w:val="auto"/>
        </w:rPr>
      </w:pPr>
    </w:p>
    <w:p>
      <w:pPr>
        <w:jc w:val="both"/>
        <w:ind w:right="2419" w:firstLine="948"/>
        <w:spacing w:after="0" w:line="235" w:lineRule="auto"/>
        <w:rPr>
          <w:sz w:val="20"/>
          <w:szCs w:val="20"/>
          <w:color w:val="auto"/>
        </w:rPr>
      </w:pPr>
      <w:r>
        <w:rPr>
          <w:rFonts w:ascii="Courier New" w:cs="Courier New" w:eastAsia="Courier New" w:hAnsi="Courier New"/>
          <w:sz w:val="18"/>
          <w:szCs w:val="18"/>
          <w:color w:val="auto"/>
        </w:rPr>
        <w:t>7.8 Income Tax Matters. The Borrower has no knowledge of any pending assessments or adjustments of its income tax for any year.</w:t>
      </w:r>
    </w:p>
    <w:p>
      <w:pPr>
        <w:spacing w:after="0" w:line="208" w:lineRule="exact"/>
        <w:rPr>
          <w:sz w:val="20"/>
          <w:szCs w:val="20"/>
          <w:color w:val="auto"/>
        </w:rPr>
      </w:pPr>
    </w:p>
    <w:p>
      <w:pPr>
        <w:jc w:val="both"/>
        <w:ind w:right="2419" w:firstLine="948"/>
        <w:spacing w:after="0" w:line="290" w:lineRule="auto"/>
        <w:rPr>
          <w:sz w:val="20"/>
          <w:szCs w:val="20"/>
          <w:color w:val="auto"/>
        </w:rPr>
      </w:pPr>
      <w:r>
        <w:rPr>
          <w:rFonts w:ascii="Courier New" w:cs="Courier New" w:eastAsia="Courier New" w:hAnsi="Courier New"/>
          <w:sz w:val="16"/>
          <w:szCs w:val="16"/>
          <w:color w:val="auto"/>
        </w:rPr>
        <w:t>7.9 No Event of Default. There is no event which is, or with notice or lapse of time or both would be, a default under this Agreement.</w:t>
      </w:r>
    </w:p>
    <w:p>
      <w:pPr>
        <w:spacing w:after="0" w:line="170"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7.10 Insurance. The Borrower has obtained, and maintained in effect, the insurance coverage required in the "Covenants" section of this Agreement.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Location of Borrower. The Borrower is located at [*MATERIAL</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OMITTED AND SEPARATELY FILED WITH THE COMMISSION UNDER AN APPLICATION FOR CONFIDENTIAL TREATMENT]. For the purposes of this paragraph, the Borrower's location [*MATERIAL OMITTED AND SEPARATELY FILED WITH THE COMMISSION UNDER AN APPLICATION FOR CONFIDENTIAL TREATMENT].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7.12 Use of Eligible Collateral. The Borrower has used and intends to use the Eligible Collateral primarily for business purposes, and in particular holds such Eligible Collateral primarily for public display, or for sale or lease.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7.13 Location of Eligible Collateral. The Eligible Collateral is entirely located and stored at [*MATERIAL OMITTED AND SEPARATELY FILED WITH THE COMMISSION UNDER AN APPLICATION FOR CONFIDENTIAL TREATMENT] or at the Gallery, or such other location that the Bank, in its reasonable discretion, approves from time to time.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7.14 Security and Storage. The Eligible Collateral is stored and secured so as to limit, to the extent reasonably possible in light of the value of the Eligible Collateral, the risk of damage from the elements, theft and damage from fire or other casualty.</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7.15 Date Eligible Collateral Created. No piece of the Eligible Collateral was created after June 1, 1991.</w:t>
      </w:r>
    </w:p>
    <w:p>
      <w:pPr>
        <w:sectPr>
          <w:pgSz w:w="11900" w:h="16838" w:orient="portrait"/>
          <w:cols w:equalWidth="0" w:num="1">
            <w:col w:w="10219"/>
          </w:cols>
          <w:pgMar w:left="240" w:top="339" w:right="1440" w:bottom="0" w:gutter="0" w:footer="0" w:header="0"/>
        </w:sectPr>
      </w:pPr>
    </w:p>
    <w:bookmarkStart w:id="13" w:name="page14"/>
    <w:bookmarkEnd w:id="13"/>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Borrower agrees, so long as credit is available under this</w:t>
      </w:r>
    </w:p>
    <w:p>
      <w:pPr>
        <w:spacing w:after="0" w:line="238" w:lineRule="auto"/>
        <w:rPr>
          <w:sz w:val="20"/>
          <w:szCs w:val="20"/>
          <w:color w:val="auto"/>
        </w:rPr>
      </w:pPr>
      <w:r>
        <w:rPr>
          <w:rFonts w:ascii="Courier New" w:cs="Courier New" w:eastAsia="Courier New" w:hAnsi="Courier New"/>
          <w:sz w:val="18"/>
          <w:szCs w:val="18"/>
          <w:color w:val="auto"/>
        </w:rPr>
        <w:t>Agreement and until the Bank is repaid in full:</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8.1 Use of Proceeds. To use the proceeds of the credit only for acquisition of shares of Wynn Resorts, Limited in a public offering and for working capital purposes only.</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8.2 Financial Information. To provide the following financial information and statements in form and content acceptable to the Bank, and such additional information as requested by the Bank from time to time:</w:t>
      </w:r>
    </w:p>
    <w:p>
      <w:pPr>
        <w:spacing w:after="0" w:line="209" w:lineRule="exact"/>
        <w:rPr>
          <w:sz w:val="20"/>
          <w:szCs w:val="20"/>
          <w:color w:val="auto"/>
        </w:rPr>
      </w:pPr>
    </w:p>
    <w:p>
      <w:pPr>
        <w:ind w:left="960" w:right="2199" w:firstLine="944"/>
        <w:spacing w:after="0" w:line="237" w:lineRule="auto"/>
        <w:tabs>
          <w:tab w:leader="none" w:pos="285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no later than sixty (60) days of each calendar year, the Borrower's annual financial statements. These financial statements must be prepared in accordance with generally accepted accounting principals.</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Borrower's most recent federal income tax return (with all forms K-1 attached), within 30 days of filing, together with a statement of any contributions made by the Borrower to any subchapter S corporation or trust, and, if requested by the Bank, copies of any extensions of the filing date.</w:t>
      </w:r>
    </w:p>
    <w:p>
      <w:pPr>
        <w:spacing w:after="0" w:line="208" w:lineRule="exact"/>
        <w:rPr>
          <w:rFonts w:ascii="Courier New" w:cs="Courier New" w:eastAsia="Courier New" w:hAnsi="Courier New"/>
          <w:sz w:val="18"/>
          <w:szCs w:val="18"/>
          <w:color w:val="auto"/>
        </w:rPr>
      </w:pPr>
    </w:p>
    <w:p>
      <w:pPr>
        <w:ind w:left="960" w:right="1879" w:firstLine="944"/>
        <w:spacing w:after="0" w:line="271" w:lineRule="auto"/>
        <w:tabs>
          <w:tab w:leader="none" w:pos="285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days after each calendar quarter, a compliance certificate signed by the Borrower setting forth (i) the information and computations (in sufficient detail) to establish that the Borrower is in compliance with all financial covenants at the end of each calendar quarter and (ii) whether there existed as of the date of such compliance certificate and whether there exists as of the date of the certificate, any default under this Agreement and, if any such default exists, specifying the nature thereof and the action the Borrower is taking and proposes to take with respect thereto.</w:t>
      </w:r>
    </w:p>
    <w:p>
      <w:pPr>
        <w:spacing w:after="0" w:line="183" w:lineRule="exact"/>
        <w:rPr>
          <w:rFonts w:ascii="Courier New" w:cs="Courier New" w:eastAsia="Courier New" w:hAnsi="Courier New"/>
          <w:sz w:val="16"/>
          <w:szCs w:val="16"/>
          <w:color w:val="auto"/>
        </w:rPr>
      </w:pPr>
    </w:p>
    <w:p>
      <w:pPr>
        <w:ind w:left="960" w:right="1879" w:firstLine="944"/>
        <w:spacing w:after="0" w:line="236" w:lineRule="auto"/>
        <w:tabs>
          <w:tab w:leader="none" w:pos="285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request, such additional information regarding the Borrower, any guarantor or any other obligor as the Bank may request from time to time.</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8.3 To maintain unencumbered Liquid Assets equal to at least Twenty Million Dollars ($20,000,000).</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"Liquid Assets" means the following assets of the Borrower (excluding assets of any retirement plan established pursuant to the provisions of Sections 401(a) and 501(a) of the Internal Revenue Code, any individual retirement account or annuity, simplified employee pension plan or SIMPLE plan established pursuant to the provisions of Section 408 of the Internal Revenue Code, or any other retirement plan or arrangement established pursuant to any other federal or state statute) which may be converted to cash by sale or other means within five (5) days:</w:t>
      </w:r>
    </w:p>
    <w:p>
      <w:pPr>
        <w:spacing w:after="0" w:line="207" w:lineRule="exact"/>
        <w:rPr>
          <w:sz w:val="20"/>
          <w:szCs w:val="20"/>
          <w:color w:val="auto"/>
        </w:rPr>
      </w:pPr>
    </w:p>
    <w:p>
      <w:pPr>
        <w:ind w:left="2860" w:hanging="956"/>
        <w:spacing w:after="0"/>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6"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deposits or interest-bearing time and eurodollar deposits, certificates of deposit or similar banking arrangements held in the United States where either (i) such deposits or other arrangements are held with banks or other financial institutions which have capital and surplus of not less than One Hundred Million Dollars ($100,000,000) or (ii) such deposits are fully FDIC-insured;</w:t>
      </w:r>
    </w:p>
    <w:p>
      <w:pPr>
        <w:spacing w:after="0" w:line="211"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obligations of the United States of America in the form of United States Treasury obligations or any governmental agency or instrumentality whose obligations constitute full faith and credit obligations of the United States of America and which are regularly traded on a public market or exchange;</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rated P-1 by Moody's Investors Services, Inc. or A-1 by Standard &amp; Poor's Corporation, a division of McGraw Hill, Inc.;</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Bonds and other fixed income instruments (including tax-exempt bonds) from companies or public entities rated investment grade by one of the rating agencies described in (d), and mutual funds that invest substantially all of their assets in such bonds and other fixed income instruments, either owned directly or managed by (i) any nationally recognized investment advisor or (ii) any investment advisor which has assets under management in excess of Two Hundred Fifty Million Dollars ($250,000,000);</w:t>
      </w:r>
    </w:p>
    <w:p>
      <w:pPr>
        <w:spacing w:after="0" w:line="212" w:lineRule="exact"/>
        <w:rPr>
          <w:rFonts w:ascii="Courier New" w:cs="Courier New" w:eastAsia="Courier New" w:hAnsi="Courier New"/>
          <w:sz w:val="18"/>
          <w:szCs w:val="18"/>
          <w:color w:val="auto"/>
        </w:rPr>
      </w:pPr>
    </w:p>
    <w:p>
      <w:pPr>
        <w:jc w:val="both"/>
        <w:ind w:left="960" w:right="2199" w:firstLine="944"/>
        <w:spacing w:after="0" w:line="290" w:lineRule="auto"/>
        <w:tabs>
          <w:tab w:leader="none" w:pos="285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Stocks, either (a) owned directly by the Borrower or (b) managed by (i) any nationally recognized investment</w:t>
      </w:r>
    </w:p>
    <w:p>
      <w:pPr>
        <w:sectPr>
          <w:pgSz w:w="11900" w:h="16838" w:orient="portrait"/>
          <w:cols w:equalWidth="0" w:num="1">
            <w:col w:w="10219"/>
          </w:cols>
          <w:pgMar w:left="240" w:top="136" w:right="1440" w:bottom="0" w:gutter="0" w:footer="0" w:header="0"/>
        </w:sectPr>
      </w:pPr>
    </w:p>
    <w:bookmarkStart w:id="14" w:name="page15"/>
    <w:bookmarkEnd w:id="14"/>
    <w:p>
      <w:pPr>
        <w:ind w:left="960" w:right="2839"/>
        <w:spacing w:after="0" w:line="236" w:lineRule="auto"/>
        <w:rPr>
          <w:sz w:val="20"/>
          <w:szCs w:val="20"/>
          <w:color w:val="auto"/>
        </w:rPr>
      </w:pPr>
      <w:r>
        <w:rPr>
          <w:rFonts w:ascii="Courier New" w:cs="Courier New" w:eastAsia="Courier New" w:hAnsi="Courier New"/>
          <w:sz w:val="18"/>
          <w:szCs w:val="18"/>
          <w:color w:val="auto"/>
        </w:rPr>
        <w:t>advisor or (ii) any investment advisor which has assets under management in excess of Two Hundred Fifty Million Dollars ($250,000,000); and</w:t>
      </w:r>
    </w:p>
    <w:p>
      <w:pPr>
        <w:spacing w:after="0" w:line="209" w:lineRule="exact"/>
        <w:rPr>
          <w:sz w:val="20"/>
          <w:szCs w:val="20"/>
          <w:color w:val="auto"/>
        </w:rPr>
      </w:pPr>
    </w:p>
    <w:p>
      <w:pPr>
        <w:ind w:left="960" w:right="1779" w:firstLine="944"/>
        <w:spacing w:after="0" w:line="237" w:lineRule="auto"/>
        <w:tabs>
          <w:tab w:leader="none" w:pos="285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Mutual funds or money market funds that invest substantially all of their assets in instruments described above in (a), (b), (c), (d), (e) and/or (f) of this section and which are quoted in either the Wall Street Journal or Barron's.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Within 10 days of the end of each calendar quarter, the Borrower shall provide to the Bank copies of statements from depository institutions or brokerage firms, or other evidence acceptable to the Bank of the Borrower's Liquid Assets; together with a compliance certificate substantially in the form of Exhibit B, in form and content satisfactory to the Bank, and certified in writing as true and correct.</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"Eligible Stocks" shall include any common or preferred stock which is traded on a U.S. national stock exchange or included in the National Market tier of NASDAQ and which (i) is issued by a company with a market capitalization, as of the close of the most recent trading day, of at least One Billion Dollars ($1,000,000,000), (ii) has, as of the close of the most recent trading day, a per share price of at least Fifteen Dollars ($15), and (iii) is not subject to any restriction or limitation by applicable laws or agreements governing the sale, transfer or other disposition thereof in the public market.</w:t>
      </w:r>
    </w:p>
    <w:p>
      <w:pPr>
        <w:spacing w:after="0" w:line="18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8.4 Location of Collateral. To provide the Bank within ten days of the end of each calendar quarter an inventory of the Eligible Collateral subject to this Agreement and its location(s).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8.5 Other Debts. To promptly notify Bank in writing at any time, and from time to time, Borrower has outstanding debt or incurs any direct or contingent liabilities (other than those to the Bank under this Agreement), or becomes liable for the liabilities of others, in the aggregate in excess of Fifty Million Dollars ($50,000,000).</w:t>
      </w:r>
    </w:p>
    <w:p>
      <w:pPr>
        <w:spacing w:after="0" w:line="203" w:lineRule="exact"/>
        <w:rPr>
          <w:sz w:val="20"/>
          <w:szCs w:val="20"/>
          <w:color w:val="auto"/>
        </w:rPr>
      </w:pPr>
    </w:p>
    <w:p>
      <w:pPr>
        <w:ind w:left="960"/>
        <w:spacing w:after="0"/>
        <w:tabs>
          <w:tab w:leader="none" w:pos="1880" w:val="left"/>
          <w:tab w:leader="none" w:pos="378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Notices to Bank.</w:t>
      </w:r>
      <w:r>
        <w:rPr>
          <w:sz w:val="20"/>
          <w:szCs w:val="20"/>
          <w:color w:val="auto"/>
        </w:rPr>
        <w:tab/>
      </w:r>
      <w:r>
        <w:rPr>
          <w:rFonts w:ascii="Courier New" w:cs="Courier New" w:eastAsia="Courier New" w:hAnsi="Courier New"/>
          <w:sz w:val="16"/>
          <w:szCs w:val="16"/>
          <w:color w:val="auto"/>
        </w:rPr>
        <w:t>To promptly notify the Bank in writing of:</w:t>
      </w:r>
    </w:p>
    <w:p>
      <w:pPr>
        <w:spacing w:after="0" w:line="207" w:lineRule="exact"/>
        <w:rPr>
          <w:sz w:val="20"/>
          <w:szCs w:val="20"/>
          <w:color w:val="auto"/>
        </w:rPr>
      </w:pPr>
    </w:p>
    <w:p>
      <w:pPr>
        <w:ind w:left="960" w:right="2199" w:firstLine="944"/>
        <w:spacing w:after="0" w:line="290" w:lineRule="auto"/>
        <w:tabs>
          <w:tab w:leader="none" w:pos="285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lawsuit over One Million Dollars ($1,000,000) against the Borrower or any of the Borrower's property.</w:t>
      </w:r>
    </w:p>
    <w:p>
      <w:pPr>
        <w:spacing w:after="0" w:line="164"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substantial dispute between the Borrower and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any government authority, or which may affect the Borrower's property.</w:t>
      </w:r>
    </w:p>
    <w:p>
      <w:pPr>
        <w:spacing w:after="0" w:line="224" w:lineRule="exact"/>
        <w:rPr>
          <w:sz w:val="20"/>
          <w:szCs w:val="20"/>
          <w:color w:val="auto"/>
        </w:rPr>
      </w:pPr>
    </w:p>
    <w:p>
      <w:pPr>
        <w:jc w:val="both"/>
        <w:ind w:left="960" w:right="2199" w:firstLine="944"/>
        <w:spacing w:after="0" w:line="236" w:lineRule="auto"/>
        <w:tabs>
          <w:tab w:leader="none" w:pos="2856"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of default under this Agreement, or any event which, with notice or lapse of time or both, would constitute an event of default.</w:t>
      </w:r>
    </w:p>
    <w:p>
      <w:pPr>
        <w:spacing w:after="0" w:line="208" w:lineRule="exact"/>
        <w:rPr>
          <w:rFonts w:ascii="Courier New" w:cs="Courier New" w:eastAsia="Courier New" w:hAnsi="Courier New"/>
          <w:sz w:val="18"/>
          <w:szCs w:val="18"/>
          <w:color w:val="auto"/>
        </w:rPr>
      </w:pPr>
    </w:p>
    <w:p>
      <w:pPr>
        <w:ind w:left="960" w:right="2099" w:firstLine="944"/>
        <w:spacing w:after="0" w:line="279" w:lineRule="auto"/>
        <w:tabs>
          <w:tab w:leader="none" w:pos="285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adverse change in the Borrower's (or any guarantor's) business condition (financial or otherwise), operations, properties or prospects, or ability to repay the credit.</w:t>
      </w:r>
    </w:p>
    <w:p>
      <w:pPr>
        <w:spacing w:after="0" w:line="172"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Borrower's name or address.</w:t>
      </w:r>
    </w:p>
    <w:p>
      <w:pPr>
        <w:spacing w:after="0" w:line="206" w:lineRule="exact"/>
        <w:rPr>
          <w:rFonts w:ascii="Courier New" w:cs="Courier New" w:eastAsia="Courier New" w:hAnsi="Courier New"/>
          <w:sz w:val="18"/>
          <w:szCs w:val="18"/>
          <w:color w:val="auto"/>
        </w:rPr>
      </w:pPr>
    </w:p>
    <w:p>
      <w:pPr>
        <w:ind w:left="960" w:right="2199" w:firstLine="944"/>
        <w:spacing w:after="0" w:line="236" w:lineRule="auto"/>
        <w:tabs>
          <w:tab w:leader="none" w:pos="2856"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actual contingent liabilities of the Borrower (or any guarantor), and any such contingent liabilities which are reasonably foreseeable.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8.7 Inspections and Appraisals. To allow the Bank and its agents to inspect and appraise any of the Eligible Collateral securing this Agreement and examine, audit and make copies of books and records concerning the Eligible Collateral at any reasonable time. If any of the Eligible Collateral, books or records are in the possession of a third party, the Borrower authorizes that third party to permit the Bank or its agents to have access to perform inspections, appraisals or audits. Without limiting the foregoing, the Borrower, at Borrower's expense shall cause the Eligible Collateral subject to the Agreement to be re-appraised pursuant to the provisions of Section 3.3(b).</w:t>
      </w:r>
    </w:p>
    <w:p>
      <w:pPr>
        <w:spacing w:after="0" w:line="21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8.8 Compliance with Laws. To comply with the laws, regulations, and orders of any government body with authority over the Borrower's business.</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8.9 Perfection of Liens. To help the Bank perfect and protect its security interests and liens, and reimburse it for related costs it incurs to protect its security interests and liens.</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8.10 Cooperation. To take any action reasonably requested by the Bank to carry out the intent of this Agreement.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6"/>
          <w:szCs w:val="16"/>
          <w:color w:val="auto"/>
        </w:rPr>
        <w:t>Insurance.</w:t>
      </w:r>
    </w:p>
    <w:p>
      <w:pPr>
        <w:spacing w:after="0" w:line="207" w:lineRule="exact"/>
        <w:rPr>
          <w:sz w:val="20"/>
          <w:szCs w:val="20"/>
          <w:color w:val="auto"/>
        </w:rPr>
      </w:pPr>
    </w:p>
    <w:p>
      <w:pPr>
        <w:ind w:left="960" w:right="1999" w:firstLine="944"/>
        <w:spacing w:after="0" w:line="290" w:lineRule="auto"/>
        <w:tabs>
          <w:tab w:leader="none" w:pos="285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Covering Collateral. To maintain a fine art insurance policy for the Eligible Collateral for no less than one</w:t>
      </w:r>
    </w:p>
    <w:p>
      <w:pPr>
        <w:sectPr>
          <w:pgSz w:w="11900" w:h="16838" w:orient="portrait"/>
          <w:cols w:equalWidth="0" w:num="1">
            <w:col w:w="10219"/>
          </w:cols>
          <w:pgMar w:left="240" w:top="142" w:right="1440" w:bottom="0" w:gutter="0" w:footer="0" w:header="0"/>
        </w:sectPr>
      </w:pPr>
    </w:p>
    <w:bookmarkStart w:id="15" w:name="page16"/>
    <w:bookmarkEnd w:id="15"/>
    <w:p>
      <w:pPr>
        <w:ind w:left="960" w:right="2619"/>
        <w:spacing w:after="0" w:line="290" w:lineRule="auto"/>
        <w:rPr>
          <w:sz w:val="20"/>
          <w:szCs w:val="20"/>
          <w:color w:val="auto"/>
        </w:rPr>
      </w:pPr>
      <w:r>
        <w:rPr>
          <w:rFonts w:ascii="Courier New" w:cs="Courier New" w:eastAsia="Courier New" w:hAnsi="Courier New"/>
          <w:sz w:val="16"/>
          <w:szCs w:val="16"/>
          <w:color w:val="auto"/>
        </w:rPr>
        <w:t>hundred thirty percent (130%) of the Commitment with an insurer acceptable to the Bank, and with the Bank named a "mortgagee".</w:t>
      </w:r>
    </w:p>
    <w:p>
      <w:pPr>
        <w:spacing w:after="0" w:line="170" w:lineRule="exact"/>
        <w:rPr>
          <w:sz w:val="20"/>
          <w:szCs w:val="20"/>
          <w:color w:val="auto"/>
        </w:rPr>
      </w:pPr>
    </w:p>
    <w:p>
      <w:pPr>
        <w:ind w:left="960" w:right="1879" w:firstLine="944"/>
        <w:spacing w:after="0" w:line="237" w:lineRule="auto"/>
        <w:tabs>
          <w:tab w:leader="none" w:pos="285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Business Insurance. To maintain or cause to be maintained insurance satisfactory to the Bank as to amount, nature and carrier covering property damage (including loss of use and occupancy).</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Insurance. Upon the request of the Bank, to deliver to the Bank a copy of each insurance policy, or, if permitted by the Bank, a certificate of insurance listing all insurance in force.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8.12 Additional Negative Covenants. Not to, without the Bank's written consent:</w:t>
      </w:r>
    </w:p>
    <w:p>
      <w:pPr>
        <w:spacing w:after="0" w:line="208" w:lineRule="exact"/>
        <w:rPr>
          <w:sz w:val="20"/>
          <w:szCs w:val="20"/>
          <w:color w:val="auto"/>
        </w:rPr>
      </w:pPr>
    </w:p>
    <w:p>
      <w:pPr>
        <w:ind w:left="960" w:right="2199" w:firstLine="944"/>
        <w:spacing w:after="0" w:line="290" w:lineRule="auto"/>
        <w:tabs>
          <w:tab w:leader="none" w:pos="285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Borrower's primary use of the Eligible Collateral from the primary use specified in paragraph 7.12 above.</w:t>
      </w:r>
    </w:p>
    <w:p>
      <w:pPr>
        <w:spacing w:after="0" w:line="169" w:lineRule="exact"/>
        <w:rPr>
          <w:rFonts w:ascii="Courier New" w:cs="Courier New" w:eastAsia="Courier New" w:hAnsi="Courier New"/>
          <w:sz w:val="16"/>
          <w:szCs w:val="16"/>
          <w:color w:val="auto"/>
        </w:rPr>
      </w:pPr>
    </w:p>
    <w:p>
      <w:pPr>
        <w:ind w:left="960" w:right="1779" w:firstLine="944"/>
        <w:spacing w:after="0" w:line="237" w:lineRule="auto"/>
        <w:tabs>
          <w:tab w:leader="none" w:pos="285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or transport the Eligible Collateral from the location specified in paragraph 7.13 above, including exhibition of the Eligible Collateral and the release of the Eligible Collateral on consignment.</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8.13 No Consumer Purpose. Not to use this loan for family, or household purposes. The Bank may provide the Borrower (or any guarantor) with certain disclosures intended for loans made for family, or household purposes. The fact that the Bank elects to make such disclosures shall not be deemed a determination by the Bank that the loan will be used for such purposes.</w:t>
      </w:r>
    </w:p>
    <w:p>
      <w:pPr>
        <w:spacing w:after="0" w:line="185"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8.14 Bank as Principal Depository. To maintain the Bank as its principal depository bank, including for the maintenance of business, cash management, operating and administrative deposit accounts.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8.15 Delivery of Possession. If legally necessary in order to perfect and maintain the Bank's first-priority lien and security interest, the Borrower will, after request by the Bank, assemble and deliver possession of the Eligible Collateral to the Bank in such manner as the Bank shall require.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8.16 Removal of Collateral from Art Lease. Upon the occurrence of any default under this Agreement or the Security Agreement, upon written request of the Bank the Borrower shall immediately terminate the Art Lease with respect to all Eligible Collateral by withdrawal of such Eligible Collateral from the Art Lease pursuant to Paragraph 6 thereof and further shall immediately deliver such Eligible Collateral to the Bank.</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8.17 Maintenance of Collateral Value. At all times during the term of this Agreement the value of the Eligible Collateral, as established by appraisals reasonably acceptable to the Bank, shall be at least equal to $277,777,777. In the event the Borrower provides replacement or additional collateral in order to satisfy the foregoing requirements, such collateral must be acceptable to the Bank, in its discretion and the Borrower shall provide the Bank with such appraisals, certificates of provenance and ownership and other information as the Bank may reasonably require. In the event of any addition or substitution of collateral hereunder the Borrower shall enter into such amendments of this Agreement, the Security Agreement and any financing statements as may be necessary in order to evidence and perfect the Bank's security interest in such collateral.</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8.18 Sale of Eligible Collateral. Notify the Bank within five (5) days after the sale or transfer of any Eligible Collateral.</w:t>
      </w:r>
    </w:p>
    <w:p>
      <w:pPr>
        <w:spacing w:after="0" w:line="203" w:lineRule="exact"/>
        <w:rPr>
          <w:sz w:val="20"/>
          <w:szCs w:val="20"/>
          <w:color w:val="auto"/>
        </w:rPr>
      </w:pPr>
    </w:p>
    <w:p>
      <w:pPr>
        <w:ind w:left="960" w:hanging="952"/>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any of the following events occurs, the Bank may do one or more of the following: declare the Borrower in default, stop making any additional credit available to the Borrower, and require the Borrower to repay its entire debt immediately and without prior notice. If an event of default occurs under the paragraph entitled "Bankruptcy," below, with respect to the Borrower, then the entire debt outstanding under this Agreement will automatically be due immediately.</w:t>
      </w:r>
    </w:p>
    <w:p>
      <w:pPr>
        <w:spacing w:after="0" w:line="211"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9.1 Failure to Pay. The Borrower fails to make a payment under this Agreement within 10 days after the date when due.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9.2 Lien Priority. The Bank fails to have an enforceable first lien (except for any prior liens to which the Bank has consented in writing) on or security interest in any property given as security for this Agreement (or any guaranty).</w:t>
      </w:r>
    </w:p>
    <w:p>
      <w:pPr>
        <w:spacing w:after="0" w:line="202" w:lineRule="exact"/>
        <w:rPr>
          <w:sz w:val="20"/>
          <w:szCs w:val="20"/>
          <w:color w:val="auto"/>
        </w:rPr>
      </w:pPr>
    </w:p>
    <w:p>
      <w:pPr>
        <w:ind w:left="960"/>
        <w:spacing w:after="0"/>
        <w:tabs>
          <w:tab w:leader="none" w:pos="1880" w:val="left"/>
          <w:tab w:leader="none" w:pos="400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False Information.</w:t>
      </w:r>
      <w:r>
        <w:rPr>
          <w:sz w:val="20"/>
          <w:szCs w:val="20"/>
          <w:color w:val="auto"/>
        </w:rPr>
        <w:tab/>
      </w:r>
      <w:r>
        <w:rPr>
          <w:rFonts w:ascii="Courier New" w:cs="Courier New" w:eastAsia="Courier New" w:hAnsi="Courier New"/>
          <w:sz w:val="16"/>
          <w:szCs w:val="16"/>
          <w:color w:val="auto"/>
        </w:rPr>
        <w:t>The Borrower has given the Bank false or</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misleading information or representations.</w:t>
      </w:r>
    </w:p>
    <w:p>
      <w:pPr>
        <w:spacing w:after="0" w:line="201" w:lineRule="exact"/>
        <w:rPr>
          <w:sz w:val="20"/>
          <w:szCs w:val="20"/>
          <w:color w:val="auto"/>
        </w:rPr>
      </w:pPr>
    </w:p>
    <w:p>
      <w:pPr>
        <w:ind w:left="960"/>
        <w:spacing w:after="0"/>
        <w:tabs>
          <w:tab w:leader="none" w:pos="1880" w:val="left"/>
          <w:tab w:leader="none" w:pos="272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Death.</w:t>
      </w:r>
      <w:r>
        <w:rPr>
          <w:sz w:val="20"/>
          <w:szCs w:val="20"/>
          <w:color w:val="auto"/>
        </w:rPr>
        <w:tab/>
      </w:r>
      <w:r>
        <w:rPr>
          <w:rFonts w:ascii="Courier New" w:cs="Courier New" w:eastAsia="Courier New" w:hAnsi="Courier New"/>
          <w:sz w:val="16"/>
          <w:szCs w:val="16"/>
          <w:color w:val="auto"/>
        </w:rPr>
        <w:t>The Borrower dies or becomes legally incompetent.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9.5 Bankruptcy. The Borrower files a bankruptcy petition, a bankruptcy petition is filed against the Borrower or the Borrower makes a general assignment for the benefit of creditors. The default will be deemed cured if any bankruptcy petition filed against the Borrower is dismissed within a period of 45 days after the filing; provided, however, that the Bank will not be obligated to extend any additional credit to the Borrower during that period; and provided further that such cure opportunity will be terminated upon the entry of an order for relief in any bankruptcy case arising from such a petition.</w:t>
      </w:r>
    </w:p>
    <w:p>
      <w:pPr>
        <w:spacing w:after="0" w:line="214"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9.6 Receivers. A receiver or similar official is appointed for a substantial portion of the Borrower's assets.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9.7 Judgments. Any judgments or arbitration awards are entered against the Borrower or the Borrower enters into any settlement agreements with respect to any litigation or arbitration, in an aggregate amount of Five Million Dollars ($5,000,000) or more.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9.8 Government Action. Any government authority takes action that the Bank believes materially adversely affects the Borrower's financial condition or ability to repay.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9.9 Material Adverse Change. A material adverse change occurs, or is reasonably likely to occur, in the Borrower's financial condition, operations, properties or prospects, or ability to repay the credit; or the Bank determines that it is insecure for any other reason.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9.10 Cross-default. Any default occurs under any agreement in connection with any credit in excess of One Million Dollars ($1,000,000) the Borrower has obtained from anyone else or which the Borrower has guaranteed if the default consists of failing to make a payment when due and the other lender accelerates the obligation.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9.11 Default under Related Documents. Any default occurs under any guaranty, subordination agreement, security agreement, deed of trust, mortgage, or other document required by or delivered in connection with this Agreement or any such document is no longer in effect, or any guarantor purports to revoke or disavow the guaranty.</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9.12 Other Bank Agreements. The Borrower fails to meet the conditions of, or fails to perform any obligation under any other agreement the Borrower has with the Bank or any affiliate of the Bank. If, in the Bank's opinion, the breach is capable of being remedied, the breach will not be considered an event of default under this Agreement for a period of thirty (30) days after the date on which the Bank gives written notice of the breach to the Borrower; provided, however, that the Bank will not be obligated to extend any additional credit to the Borrower during that period.</w:t>
      </w:r>
    </w:p>
    <w:p>
      <w:pPr>
        <w:spacing w:after="0" w:line="212"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9.13 Use of Proceeds. The Borrower does not utilize or invest the proceeds of any extension of credit made under this Agreement for the purposes described by the Borrower to the Bank.</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9.14 Other Breach Under Agreement. The Borrower fails to meet the conditions of, or fails to perform any obligation under, any term of this Agreement not specifically referred to in this Article. This includes any failure or anticipated failure by the Borrower to comply with any financial covenants set forth in this Agreement, whether such failure is evidenced by financial statements delivered to the Bank or is otherwise known to the Borrower or the Bank. If, in the Bank's opinion, the breach is capable of being remedied, the breach will not be considered an event of default under this Agreement for a period of thirty (30) days after the date on which the Bank gives written notice of the breach to the Borrower; provided, however, that the Bank will not be obligated to extend any additional credit to the Borrower during that period.</w:t>
      </w:r>
    </w:p>
    <w:p>
      <w:pPr>
        <w:spacing w:after="0" w:line="182" w:lineRule="exact"/>
        <w:rPr>
          <w:sz w:val="20"/>
          <w:szCs w:val="20"/>
          <w:color w:val="auto"/>
        </w:rPr>
      </w:pP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ENFORCING THIS AGREEMENT; 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10.1 Financial Computations. Except as otherwise stated in this Agreement, all financial information provided to the Bank and all financial covenants will be made in accordance with accounting principles applied consistently with those applied in the preparation of the Borrower's financial statements dated May 28, 2003; provided, however, that assets may be listed at market value on the condition that deferred income taxes on any unrealized gain are shown as a liability. The calculation of the Borrower's assets shall exclude goodwill and other intangibles.</w:t>
      </w:r>
    </w:p>
    <w:p>
      <w:pPr>
        <w:spacing w:after="0" w:line="207" w:lineRule="exact"/>
        <w:rPr>
          <w:sz w:val="20"/>
          <w:szCs w:val="20"/>
          <w:color w:val="auto"/>
        </w:rPr>
      </w:pPr>
    </w:p>
    <w:p>
      <w:pPr>
        <w:ind w:left="96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Nevada Law.</w:t>
      </w:r>
      <w:r>
        <w:rPr>
          <w:sz w:val="20"/>
          <w:szCs w:val="20"/>
          <w:color w:val="auto"/>
        </w:rPr>
        <w:tab/>
      </w:r>
      <w:r>
        <w:rPr>
          <w:rFonts w:ascii="Courier New" w:cs="Courier New" w:eastAsia="Courier New" w:hAnsi="Courier New"/>
          <w:sz w:val="16"/>
          <w:szCs w:val="16"/>
          <w:color w:val="auto"/>
        </w:rPr>
        <w:t>This Agreement is governed by Nevada law.</w:t>
      </w:r>
    </w:p>
    <w:p>
      <w:pPr>
        <w:sectPr>
          <w:pgSz w:w="11900" w:h="16838" w:orient="portrait"/>
          <w:cols w:equalWidth="0" w:num="1">
            <w:col w:w="10219"/>
          </w:cols>
          <w:pgMar w:left="240" w:top="136" w:right="1440" w:bottom="0" w:gutter="0" w:footer="0" w:header="0"/>
        </w:sectPr>
      </w:pPr>
    </w:p>
    <w:bookmarkStart w:id="17" w:name="page18"/>
    <w:bookmarkEnd w:id="17"/>
    <w:p>
      <w:pPr>
        <w:ind w:right="1879" w:firstLine="948"/>
        <w:spacing w:after="0" w:line="237" w:lineRule="auto"/>
        <w:rPr>
          <w:sz w:val="20"/>
          <w:szCs w:val="20"/>
          <w:color w:val="auto"/>
        </w:rPr>
      </w:pPr>
      <w:r>
        <w:rPr>
          <w:rFonts w:ascii="Courier New" w:cs="Courier New" w:eastAsia="Courier New" w:hAnsi="Courier New"/>
          <w:sz w:val="18"/>
          <w:szCs w:val="18"/>
          <w:color w:val="auto"/>
        </w:rPr>
        <w:t>10.3 Successors and Assigns. This Agreement is binding on the Borrower's and the Bank's successors and assignees. The Borrower agrees that it may not assign this Agreement without the Bank's prior consent. The Bank may sell participations in or assign this loan, and may exchange financial information about the Borrower with actual or potential participants or assignees; provided, however, the Bank shall consult with the Borrower prior to any such participation or assignment.</w:t>
      </w:r>
    </w:p>
    <w:p>
      <w:pPr>
        <w:spacing w:after="0" w:line="205"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ARBITRATION AND WAIVER OF JURY TRIAL.</w:t>
      </w:r>
    </w:p>
    <w:p>
      <w:pPr>
        <w:spacing w:after="0" w:line="207" w:lineRule="exact"/>
        <w:rPr>
          <w:sz w:val="20"/>
          <w:szCs w:val="20"/>
          <w:color w:val="auto"/>
        </w:rPr>
      </w:pPr>
    </w:p>
    <w:p>
      <w:pPr>
        <w:ind w:left="960" w:right="1999" w:firstLine="944"/>
        <w:spacing w:after="0" w:line="237" w:lineRule="auto"/>
        <w:tabs>
          <w:tab w:leader="none" w:pos="232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CONCERNS THE RESOLUTION OF ANY CONTROVERSIES OR CLAIMS BETWEEN THE BORROWER AND THE BANK, WHETHER ARISING IN CONTRACT, TORT OR BY STATUTE, INCLUDING BUT NOT LIMITED TO CONTROVERSIES OR CLAIMS THAT ARISE OUT OF OR RELATE TO: (I) THIS AGREEMENT (INCLUDING ANY RENEWALS, EXTENSIONS OR MODIFICATIONS); OR</w:t>
      </w:r>
    </w:p>
    <w:p>
      <w:pPr>
        <w:spacing w:after="0" w:line="1"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 RELATED TO THIS AGREEMENT (COLLECTIVELY A "CLAIM").</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BORROWER OR THE BANK, ANY CLAIM SHALL BE RESOLVED BY BINDING ARBITRATION IN ACCORDANCE WITH THE FEDERAL ARBITRATION ACT (TITLE 9, U. S. CODE) (THE "ACT"). THE ACT WILL APPLY EVEN THOUGH THIS AGREEMENT PROVIDES THAT IT IS GOVERNED BY THE LAW OF A SPECIFIED STATE.</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PROCEEDINGS WILL BE DETERMINED IN ACCORDANCE WITH THE ACT, THE RULES AND PROCEDURES FOR THE ARBITRATION OF FINANCIAL SERVICES DISPUTES OF JAMS/ENDISPUTE, LLC, A DELAWARE LIMITED LIABILITY COMPANY OR ANY SUCCESSOR THEREOF ("JAMS"), AND THE TERMS OF THIS PARAGRAPH. IN THE EVENT OF ANY INCONSISTENCY, THE TERMS OF THIS PARAGRAPH SHALL CONTROL.</w:t>
      </w:r>
    </w:p>
    <w:p>
      <w:pPr>
        <w:spacing w:after="0" w:line="209" w:lineRule="exact"/>
        <w:rPr>
          <w:rFonts w:ascii="Courier New" w:cs="Courier New" w:eastAsia="Courier New" w:hAnsi="Courier New"/>
          <w:sz w:val="18"/>
          <w:szCs w:val="18"/>
          <w:color w:val="auto"/>
        </w:rPr>
      </w:pPr>
    </w:p>
    <w:p>
      <w:pPr>
        <w:ind w:left="960" w:right="1879" w:firstLine="944"/>
        <w:spacing w:after="0" w:line="270" w:lineRule="auto"/>
        <w:tabs>
          <w:tab w:leader="none" w:pos="232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ARBITRATION SHALL BE ADMINISTERED BY JAMS AND CONDUCTED IN ANY U. S. STATE WHERE REAL OR TANGIBLE PERSONAL PROPERTY COLLATERAL FOR THIS CREDIT IS LOCATED OR IF THERE IS NO SUCH COLLATERAL, IN NEVADA. ALL CLAIMS SHALL BE DETERMINED BY ONE ARBITRATOR; HOWEVER, IF CLAIMS EXCEED FIVE MILLION DOLLARS ($5,000,000),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ENFORCED.</w:t>
      </w:r>
    </w:p>
    <w:p>
      <w:pPr>
        <w:spacing w:after="0" w:line="386"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ARBITRATOR(S) WILL HAVE THE AUTHORITY TO DECIDE WHETHER ANY CLAIM IS BARRED BY THE STATUTE OF LIMITATIONS AND, IF SO, TO DISMISS THE ARBITRATION ON THAT BASIS. FOR PURPOSES OF THE APPLICATION OF THE STATUTE OF LIMITATIONS, THE SERVICE ON JAMS UNDER APPLICABLE JAMS RULES OF A NOTICE OF CLAIM IS THE EQUIVALENT OF THE FILING OF A LAWSUIT. ANY DISPUTE CONCERNING THIS ARBITRATION PROVISION OR WHETHER A CLAIM IS ARBITRABLE SHALL BE DETERMINED BY THE ARBITRATOR(S). THE ARBITRATOR(S) SHALL HAVE THE POWER TO AWARD LEGAL FEES PURSUANT TO THE TERMS OF THIS AGREEMENT.</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DOES NOT LIMIT THE RIGHT OF THE BORROWER OR THE BANK TO: (I) EXERCISE SELF-HELP REMEDIES, SUCH AS BUT NOT LIMITED TO, SETOFF; (II) 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w:t>
      </w:r>
    </w:p>
    <w:p>
      <w:pPr>
        <w:spacing w:after="0" w:line="212" w:lineRule="exact"/>
        <w:rPr>
          <w:rFonts w:ascii="Courier New" w:cs="Courier New" w:eastAsia="Courier New" w:hAnsi="Courier New"/>
          <w:sz w:val="18"/>
          <w:szCs w:val="18"/>
          <w:color w:val="auto"/>
        </w:rPr>
      </w:pPr>
    </w:p>
    <w:p>
      <w:pPr>
        <w:ind w:left="960" w:right="1779" w:firstLine="944"/>
        <w:spacing w:after="0" w:line="279" w:lineRule="auto"/>
        <w:tabs>
          <w:tab w:leader="none" w:pos="2329"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A COURT ACTION IS NOT INTENDED TO CONSTITUTE A WAIVER OF THE RIGHT OF THE BORROWER OR THE BANK, INCLUDING THE SUING PARTY, THEREAFTER TO REQUIRE SUBMITTAL OF THE CLAIM TO ARBITRATION.</w:t>
      </w:r>
    </w:p>
    <w:p>
      <w:pPr>
        <w:spacing w:after="0" w:line="178"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AGREEING TO BINDING ARBITRATION, THE PARTIES IRREVOCABLY AND VOLUNTARILY WAIVE ANY RIGHT THEY MAY HAVE TO A TRIAL BY JURY IN RESPECT OF ANY CLAIM. FURTHERMORE, WITHOUT INTENDING IN ANY WAY TO LIMIT THIS AGREEMENT TO ARBITRATE, TO THE EXTENT ANY CLAIM IS NOT ARBITRATED, THE PARTIES IRREVOCABLY AND VOLUNTARILY WAIVE ANY RIGHT THEY MAY HAVE TO A TRIAL BY JURY IN RESPECT OF SUCH CLAIM. THIS PROVISION IS A MATERIAL INDUCEMENT FOR THE PARTIES ENTERING INTO THIS AGREEMENT.</w:t>
      </w:r>
    </w:p>
    <w:p>
      <w:pPr>
        <w:spacing w:after="0" w:line="212"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10.5 Severability; Waivers. If any part of this Agreement is not enforceable, the rest of the Agreement may be enforced. The Bank retains all rights, even if it makes a loan after default. If the Bank waives a default, it</w:t>
      </w:r>
    </w:p>
    <w:p>
      <w:pPr>
        <w:sectPr>
          <w:pgSz w:w="11900" w:h="16838" w:orient="portrait"/>
          <w:cols w:equalWidth="0" w:num="1">
            <w:col w:w="10219"/>
          </w:cols>
          <w:pgMar w:left="240" w:top="142" w:right="1440" w:bottom="0" w:gutter="0" w:footer="0" w:header="0"/>
        </w:sectPr>
      </w:pPr>
    </w:p>
    <w:bookmarkStart w:id="18" w:name="page19"/>
    <w:bookmarkEnd w:id="18"/>
    <w:p>
      <w:pPr>
        <w:ind w:right="1879"/>
        <w:spacing w:after="0" w:line="235" w:lineRule="auto"/>
        <w:rPr>
          <w:sz w:val="20"/>
          <w:szCs w:val="20"/>
          <w:color w:val="auto"/>
        </w:rPr>
      </w:pPr>
      <w:r>
        <w:rPr>
          <w:rFonts w:ascii="Courier New" w:cs="Courier New" w:eastAsia="Courier New" w:hAnsi="Courier New"/>
          <w:sz w:val="18"/>
          <w:szCs w:val="18"/>
          <w:color w:val="auto"/>
        </w:rPr>
        <w:t>may enforce a later default. Any consent or waiver under this Agreement must be in writing.</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10.6 Administration Costs. The Borrower shall pay the Bank for all reasonable costs incurred by the Bank in connection with administering this Agreement.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Attorneys' Fees. The Borrower shall reimburse the Bank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reasonable costs and attorneys' fees incurred by the Bank in connection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enforcement or preservation of any rights or remedies under this Agreement</w:t>
      </w:r>
    </w:p>
    <w:p>
      <w:pPr>
        <w:spacing w:after="0" w:line="238" w:lineRule="auto"/>
        <w:rPr>
          <w:sz w:val="20"/>
          <w:szCs w:val="20"/>
          <w:color w:val="auto"/>
        </w:rPr>
      </w:pPr>
      <w:r>
        <w:rPr>
          <w:rFonts w:ascii="Courier New" w:cs="Courier New" w:eastAsia="Courier New" w:hAnsi="Courier New"/>
          <w:sz w:val="18"/>
          <w:szCs w:val="18"/>
          <w:color w:val="auto"/>
        </w:rPr>
        <w:t>and any other documents executed in connection with this Agreement, and in</w:t>
      </w:r>
    </w:p>
    <w:p>
      <w:pPr>
        <w:spacing w:after="0"/>
        <w:rPr>
          <w:sz w:val="20"/>
          <w:szCs w:val="20"/>
          <w:color w:val="auto"/>
        </w:rPr>
      </w:pPr>
      <w:r>
        <w:rPr>
          <w:rFonts w:ascii="Courier New" w:cs="Courier New" w:eastAsia="Courier New" w:hAnsi="Courier New"/>
          <w:sz w:val="18"/>
          <w:szCs w:val="18"/>
          <w:color w:val="auto"/>
        </w:rPr>
        <w:t>connection with any amendment, waiver, "workout" or restructuring under this</w:t>
      </w:r>
    </w:p>
    <w:p>
      <w:pPr>
        <w:spacing w:after="0" w:line="237" w:lineRule="auto"/>
        <w:rPr>
          <w:sz w:val="20"/>
          <w:szCs w:val="20"/>
          <w:color w:val="auto"/>
        </w:rPr>
      </w:pPr>
      <w:r>
        <w:rPr>
          <w:rFonts w:ascii="Courier New" w:cs="Courier New" w:eastAsia="Courier New" w:hAnsi="Courier New"/>
          <w:sz w:val="18"/>
          <w:szCs w:val="18"/>
          <w:color w:val="auto"/>
        </w:rPr>
        <w:t>Agreement. In the event of a lawsuit or arbitration proceeding, the prevailing</w:t>
      </w:r>
    </w:p>
    <w:p>
      <w:pPr>
        <w:spacing w:after="0" w:line="238" w:lineRule="auto"/>
        <w:rPr>
          <w:sz w:val="20"/>
          <w:szCs w:val="20"/>
          <w:color w:val="auto"/>
        </w:rPr>
      </w:pPr>
      <w:r>
        <w:rPr>
          <w:rFonts w:ascii="Courier New" w:cs="Courier New" w:eastAsia="Courier New" w:hAnsi="Courier New"/>
          <w:sz w:val="18"/>
          <w:szCs w:val="18"/>
          <w:color w:val="auto"/>
        </w:rPr>
        <w:t>party is entitled to recover costs and reasonable attorneys' fees incurred in</w:t>
      </w:r>
    </w:p>
    <w:p>
      <w:pPr>
        <w:spacing w:after="0"/>
        <w:rPr>
          <w:sz w:val="20"/>
          <w:szCs w:val="20"/>
          <w:color w:val="auto"/>
        </w:rPr>
      </w:pPr>
      <w:r>
        <w:rPr>
          <w:rFonts w:ascii="Courier New" w:cs="Courier New" w:eastAsia="Courier New" w:hAnsi="Courier New"/>
          <w:sz w:val="18"/>
          <w:szCs w:val="18"/>
          <w:color w:val="auto"/>
        </w:rPr>
        <w:t>connection with the lawsuit or arbitration proceeding, as determined by the</w:t>
      </w:r>
    </w:p>
    <w:p>
      <w:pPr>
        <w:spacing w:after="0" w:line="237" w:lineRule="auto"/>
        <w:rPr>
          <w:sz w:val="20"/>
          <w:szCs w:val="20"/>
          <w:color w:val="auto"/>
        </w:rPr>
      </w:pPr>
      <w:r>
        <w:rPr>
          <w:rFonts w:ascii="Courier New" w:cs="Courier New" w:eastAsia="Courier New" w:hAnsi="Courier New"/>
          <w:sz w:val="18"/>
          <w:szCs w:val="18"/>
          <w:color w:val="auto"/>
        </w:rPr>
        <w:t>court or arbitrator. In the event that any case is commenced by or against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under the Bankruptcy Code (Title 11, United States Code) or any similar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successor statute, the Bank is entitled to recover costs and reasonable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attorneys' fees incurred by the Bank related to the preservation, protection,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enforcement of any rights of the Bank in such a case. As used in this paragraph,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 fees" includes the allocated costs of the Bank's in-house counsel.</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10.8 Multiple Borrowers. If two or more borrowers sign this Agreement, each will be jointly and severally obligated to repay the Bank in full.</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10.9 One Agreement. This Agreement and any related security or other agreements required by this Agreement, collectively:</w:t>
      </w:r>
    </w:p>
    <w:p>
      <w:pPr>
        <w:spacing w:after="0" w:line="208" w:lineRule="exact"/>
        <w:rPr>
          <w:sz w:val="20"/>
          <w:szCs w:val="20"/>
          <w:color w:val="auto"/>
        </w:rPr>
      </w:pPr>
    </w:p>
    <w:p>
      <w:pPr>
        <w:ind w:left="960" w:right="2099" w:firstLine="944"/>
        <w:spacing w:after="0" w:line="290" w:lineRule="auto"/>
        <w:tabs>
          <w:tab w:leader="none" w:pos="285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 the sum of the understandings and agreements between the Bank and the Borrower concerning this credit;</w:t>
      </w:r>
    </w:p>
    <w:p>
      <w:pPr>
        <w:spacing w:after="0" w:line="169" w:lineRule="exact"/>
        <w:rPr>
          <w:rFonts w:ascii="Courier New" w:cs="Courier New" w:eastAsia="Courier New" w:hAnsi="Courier New"/>
          <w:sz w:val="16"/>
          <w:szCs w:val="16"/>
          <w:color w:val="auto"/>
        </w:rPr>
      </w:pPr>
    </w:p>
    <w:p>
      <w:pPr>
        <w:ind w:left="960" w:right="1879" w:firstLine="944"/>
        <w:spacing w:after="0" w:line="235" w:lineRule="auto"/>
        <w:tabs>
          <w:tab w:leader="none" w:pos="2856"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any prior oral or written agreements between the Bank and the Borrower concerning this credit; and</w:t>
      </w:r>
    </w:p>
    <w:p>
      <w:pPr>
        <w:spacing w:after="0" w:line="208" w:lineRule="exact"/>
        <w:rPr>
          <w:rFonts w:ascii="Courier New" w:cs="Courier New" w:eastAsia="Courier New" w:hAnsi="Courier New"/>
          <w:sz w:val="18"/>
          <w:szCs w:val="18"/>
          <w:color w:val="auto"/>
        </w:rPr>
      </w:pPr>
    </w:p>
    <w:p>
      <w:pPr>
        <w:ind w:left="960" w:right="1779" w:firstLine="944"/>
        <w:spacing w:after="0" w:line="290" w:lineRule="auto"/>
        <w:tabs>
          <w:tab w:leader="none" w:pos="285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intended by the Bank and the Borrower as the final, complete and exclusive statement of the terms agreed to by them.</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event of any conflict between this Agreement and any other agreements required by this Agreement, this Agreement will prevail.</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10.10 Indemnification. The Borrower will indemnify and hold the Bank harmless from any loss, liability, damages, judgments, and costs ("Damages")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other than Damages that are a result of the gross negligence or willful misconduct of the Bank or its directors, officers, employees, agents, successors, attorneys and assigns.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10.11 Notices. 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Bank and the Borrower may specify from time to time in writing. Notices and other communications sent by</w:t>
      </w:r>
    </w:p>
    <w:p>
      <w:pPr>
        <w:spacing w:after="0" w:line="1" w:lineRule="exact"/>
        <w:rPr>
          <w:sz w:val="20"/>
          <w:szCs w:val="20"/>
          <w:color w:val="auto"/>
        </w:rPr>
      </w:pPr>
    </w:p>
    <w:p>
      <w:pPr>
        <w:ind w:right="1879" w:firstLine="8"/>
        <w:spacing w:after="0" w:line="268"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class mail shall be deemed delivered on the earlier of actual receipt or on the fourth business day after deposit in the U.S. mail, postage prepaid,</w:t>
      </w:r>
    </w:p>
    <w:p>
      <w:pPr>
        <w:ind w:left="420" w:hanging="412"/>
        <w:spacing w:after="0" w:line="238" w:lineRule="auto"/>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overnight courier shall be deemed delivered on the next business day, and</w:t>
      </w:r>
    </w:p>
    <w:p>
      <w:pPr>
        <w:ind w:left="420" w:hanging="412"/>
        <w:spacing w:after="0" w:line="238" w:lineRule="auto"/>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shall be deemed delivered when transmitted.</w:t>
      </w:r>
    </w:p>
    <w:p>
      <w:pPr>
        <w:spacing w:after="0" w:line="207"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10.12 Headings. Article and paragraph headings are for reference only and shall not affect the interpretation or meaning of any provisions of this Agreement.</w:t>
      </w:r>
    </w:p>
    <w:p>
      <w:pPr>
        <w:spacing w:after="0" w:line="209"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10.13 Counterparts. This Agreement may be executed in as many counterparts as necessary or convenient, and by the different parties on separate counterparts each of which, when so executed, shall be deemed an original but all such counterparts shall constitute but one and the same agreement.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This Agreement is executed as of the date stated at the top of the first page.</w:t>
      </w:r>
    </w:p>
    <w:p>
      <w:pPr>
        <w:sectPr>
          <w:pgSz w:w="11900" w:h="16838" w:orient="portrait"/>
          <w:cols w:equalWidth="0" w:num="1">
            <w:col w:w="10219"/>
          </w:cols>
          <w:pgMar w:left="240" w:top="142"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Bank of America, N.A.</w:t>
            </w:r>
          </w:p>
        </w:tc>
        <w:tc>
          <w:tcPr>
            <w:tcW w:w="406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 Chris Kelly</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rPr>
              <w:t>/s/ Stephen A. Wynn</w:t>
            </w:r>
          </w:p>
        </w:tc>
      </w:tr>
      <w:tr>
        <w:trPr>
          <w:trHeight w:val="203"/>
        </w:trPr>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Typed Name   Chris Kelly</w:t>
            </w: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Stephen A. Wynn</w:t>
            </w:r>
          </w:p>
        </w:tc>
      </w:tr>
      <w:tr>
        <w:trPr>
          <w:trHeight w:val="203"/>
        </w:trPr>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Sr. Vice President</w:t>
            </w:r>
          </w:p>
        </w:tc>
        <w:tc>
          <w:tcPr>
            <w:tcW w:w="4060" w:type="dxa"/>
            <w:vAlign w:val="bottom"/>
          </w:tcPr>
          <w:p>
            <w:pPr>
              <w:spacing w:after="0"/>
              <w:rPr>
                <w:sz w:val="17"/>
                <w:szCs w:val="17"/>
                <w:color w:val="auto"/>
              </w:rPr>
            </w:pPr>
          </w:p>
        </w:tc>
      </w:tr>
      <w:tr>
        <w:trPr>
          <w:trHeight w:val="203"/>
        </w:trPr>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/s/ Elaine P. Wynn</w:t>
            </w:r>
          </w:p>
        </w:tc>
      </w:tr>
      <w:tr>
        <w:trPr>
          <w:trHeight w:val="203"/>
        </w:trPr>
        <w:tc>
          <w:tcPr>
            <w:tcW w:w="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Elaine P. Wynn</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Address where notices to</w:t>
            </w:r>
          </w:p>
        </w:tc>
        <w:tc>
          <w:tcPr>
            <w:tcW w:w="4060" w:type="dxa"/>
            <w:vAlign w:val="bottom"/>
          </w:tcPr>
          <w:p>
            <w:pPr>
              <w:ind w:left="800"/>
              <w:spacing w:after="0"/>
              <w:rPr>
                <w:sz w:val="20"/>
                <w:szCs w:val="20"/>
                <w:color w:val="auto"/>
              </w:rPr>
            </w:pPr>
            <w:r>
              <w:rPr>
                <w:rFonts w:ascii="Courier New" w:cs="Courier New" w:eastAsia="Courier New" w:hAnsi="Courier New"/>
                <w:sz w:val="18"/>
                <w:szCs w:val="18"/>
                <w:color w:val="auto"/>
              </w:rPr>
              <w:t>Address where notices to</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Bank are to be sent:</w:t>
            </w: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the Borrower are to be sent:</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Private Bank</w:t>
            </w:r>
          </w:p>
        </w:tc>
        <w:tc>
          <w:tcPr>
            <w:tcW w:w="4060" w:type="dxa"/>
            <w:vAlign w:val="bottom"/>
          </w:tcPr>
          <w:p>
            <w:pPr>
              <w:ind w:left="800"/>
              <w:spacing w:after="0"/>
              <w:rPr>
                <w:sz w:val="20"/>
                <w:szCs w:val="20"/>
                <w:color w:val="auto"/>
              </w:rPr>
            </w:pPr>
            <w:r>
              <w:rPr>
                <w:rFonts w:ascii="Courier New" w:cs="Courier New" w:eastAsia="Courier New" w:hAnsi="Courier New"/>
                <w:sz w:val="18"/>
                <w:szCs w:val="18"/>
                <w:color w:val="auto"/>
              </w:rPr>
              <w:t>[*MATERIAL OMITTED AND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NV1-119-03-01</w:t>
            </w: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SEPARATELY FILED WITH THE</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300 South Fourth Street</w:t>
            </w: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6"/>
              </w:rPr>
              <w:t>COMMISSION UNDER AN APPLICATION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Suite 300</w:t>
            </w:r>
          </w:p>
        </w:tc>
        <w:tc>
          <w:tcPr>
            <w:tcW w:w="3100" w:type="dxa"/>
            <w:vAlign w:val="bottom"/>
          </w:tcPr>
          <w:p>
            <w:pPr>
              <w:spacing w:after="0"/>
              <w:rPr>
                <w:sz w:val="17"/>
                <w:szCs w:val="17"/>
                <w:color w:val="auto"/>
              </w:rPr>
            </w:pPr>
          </w:p>
        </w:tc>
        <w:tc>
          <w:tcPr>
            <w:tcW w:w="4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FOR CONFIDENTIAL TREATMENT]</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Las Vegas, Nevada  89101-6014</w:t>
            </w:r>
          </w:p>
        </w:tc>
        <w:tc>
          <w:tcPr>
            <w:tcW w:w="406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Attn: Wayne Warren</w:t>
            </w:r>
          </w:p>
        </w:tc>
        <w:tc>
          <w:tcPr>
            <w:tcW w:w="40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3"/>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decimal"/>
      <w:start w:val="6"/>
    </w:lvl>
  </w:abstractNum>
  <w:abstractNum w:abstractNumId="5">
    <w:nsid w:val="71F32454"/>
    <w:multiLevelType w:val="hybridMultilevel"/>
    <w:lvl w:ilvl="0">
      <w:lvlJc w:val="left"/>
      <w:lvlText w:val="%1."/>
      <w:numFmt w:val="decimal"/>
      <w:start w:val="11"/>
    </w:lvl>
  </w:abstractNum>
  <w:abstractNum w:abstractNumId="6">
    <w:nsid w:val="2CA88611"/>
    <w:multiLevelType w:val="hybridMultilevel"/>
    <w:lvl w:ilvl="0">
      <w:lvlJc w:val="left"/>
      <w:lvlText w:val="%1."/>
      <w:numFmt w:val="decimal"/>
      <w:start w:val="12"/>
    </w:lvl>
  </w:abstractNum>
  <w:abstractNum w:abstractNumId="7">
    <w:nsid w:val="836C40E"/>
    <w:multiLevelType w:val="hybridMultilevel"/>
    <w:lvl w:ilvl="0">
      <w:lvlJc w:val="left"/>
      <w:lvlText w:val="%1."/>
      <w:numFmt w:val="decimal"/>
      <w:start w:val="13"/>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1."/>
      <w:numFmt w:val="decimal"/>
      <w:start w:val="4"/>
    </w:lvl>
  </w:abstractNum>
  <w:abstractNum w:abstractNumId="12">
    <w:nsid w:val="7C3DBD3D"/>
    <w:multiLevelType w:val="hybridMultilevel"/>
    <w:lvl w:ilvl="0">
      <w:lvlJc w:val="left"/>
      <w:lvlText w:val="%1."/>
      <w:numFmt w:val="decimal"/>
      <w:start w:val="6"/>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1."/>
      <w:numFmt w:val="decimal"/>
      <w:start w:val="12"/>
    </w:lvl>
  </w:abstractNum>
  <w:abstractNum w:abstractNumId="15">
    <w:nsid w:val="22221A70"/>
    <w:multiLevelType w:val="hybridMultilevel"/>
    <w:lvl w:ilvl="0">
      <w:lvlJc w:val="left"/>
      <w:lvlText w:val="%1."/>
      <w:numFmt w:val="decimal"/>
      <w:start w:val="13"/>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lvl w:ilvl="1">
      <w:lvlJc w:val="left"/>
      <w:lvlText w:val="(%2)"/>
      <w:numFmt w:val="lowerLetter"/>
      <w:start w:val="1"/>
    </w:lvl>
  </w:abstractNum>
  <w:abstractNum w:abstractNumId="18">
    <w:nsid w:val="614FD4A1"/>
    <w:multiLevelType w:val="hybridMultilevel"/>
    <w:lvl w:ilvl="0">
      <w:lvlJc w:val="left"/>
      <w:lvlText w:val="(%1)"/>
      <w:numFmt w:val="lowerLetter"/>
      <w:start w:val="3"/>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3"/>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decimal"/>
      <w:start w:val="1"/>
    </w:lvl>
    <w:lvl w:ilvl="1">
      <w:lvlJc w:val="left"/>
      <w:lvlText w:val="(%2)"/>
      <w:numFmt w:val="lowerLetter"/>
      <w:start w:val="2"/>
    </w:lvl>
  </w:abstractNum>
  <w:abstractNum w:abstractNumId="24">
    <w:nsid w:val="77465F01"/>
    <w:multiLevelType w:val="hybridMultilevel"/>
    <w:lvl w:ilvl="0">
      <w:lvlJc w:val="left"/>
      <w:lvlText w:val="%1."/>
      <w:numFmt w:val="decimal"/>
      <w:start w:val="2"/>
    </w:lvl>
    <w:lvl w:ilvl="1">
      <w:lvlJc w:val="left"/>
      <w:lvlText w:val="(%2)"/>
      <w:numFmt w:val="lowerLetter"/>
      <w:start w:val="1"/>
    </w:lvl>
  </w:abstractNum>
  <w:abstractNum w:abstractNumId="25">
    <w:nsid w:val="7724C67E"/>
    <w:multiLevelType w:val="hybridMultilevel"/>
    <w:lvl w:ilvl="0">
      <w:lvlJc w:val="left"/>
      <w:lvlText w:val="(%1)"/>
      <w:numFmt w:val="lowerLetter"/>
      <w:start w:val="3"/>
    </w:lvl>
  </w:abstractNum>
  <w:abstractNum w:abstractNumId="26">
    <w:nsid w:val="5C482A97"/>
    <w:multiLevelType w:val="hybridMultilevel"/>
    <w:lvl w:ilvl="0">
      <w:lvlJc w:val="left"/>
      <w:lvlText w:val="%1"/>
      <w:numFmt w:val="decimal"/>
      <w:start w:val="1"/>
    </w:lvl>
    <w:lvl w:ilvl="1">
      <w:lvlJc w:val="left"/>
      <w:lvlText w:val="(%2)"/>
      <w:numFmt w:val="lowerLetter"/>
      <w:start w:val="1"/>
    </w:lvl>
  </w:abstractNum>
  <w:abstractNum w:abstractNumId="27">
    <w:nsid w:val="2463B9EA"/>
    <w:multiLevelType w:val="hybridMultilevel"/>
    <w:lvl w:ilvl="0">
      <w:lvlJc w:val="left"/>
      <w:lvlText w:val="%1."/>
      <w:numFmt w:val="decimal"/>
      <w:start w:val="4"/>
    </w:lvl>
    <w:lvl w:ilvl="1">
      <w:lvlJc w:val="left"/>
      <w:lvlText w:val="%2"/>
      <w:numFmt w:val="lowerLetter"/>
      <w:start w:val="1"/>
    </w:lvl>
  </w:abstractNum>
  <w:abstractNum w:abstractNumId="28">
    <w:nsid w:val="5E884ADC"/>
    <w:multiLevelType w:val="hybridMultilevel"/>
    <w:lvl w:ilvl="0">
      <w:lvlJc w:val="left"/>
      <w:lvlText w:val="%1."/>
      <w:numFmt w:val="decimal"/>
      <w:start w:val="5"/>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6"/>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8"/>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7"/>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3"/>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2"/>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9"/>
    </w:lvl>
  </w:abstractNum>
  <w:abstractNum w:abstractNumId="44">
    <w:nsid w:val="6DE91B18"/>
    <w:multiLevelType w:val="hybridMultilevel"/>
    <w:lvl w:ilvl="0">
      <w:lvlJc w:val="left"/>
      <w:lvlText w:val="%1."/>
      <w:numFmt w:val="decimal"/>
      <w:start w:val="10"/>
    </w:lvl>
  </w:abstractNum>
  <w:abstractNum w:abstractNumId="45">
    <w:nsid w:val="38437FDB"/>
    <w:multiLevelType w:val="hybridMultilevel"/>
    <w:lvl w:ilvl="0">
      <w:lvlJc w:val="left"/>
      <w:lvlText w:val="%1"/>
      <w:numFmt w:val="upperLetter"/>
      <w:start w:val="1"/>
    </w:lvl>
    <w:lvl w:ilvl="1">
      <w:lvlJc w:val="left"/>
      <w:lvlText w:val="(%2)"/>
      <w:numFmt w:val="upperLetter"/>
      <w:start w:val="1"/>
    </w:lvl>
  </w:abstractNum>
  <w:abstractNum w:abstractNumId="46">
    <w:nsid w:val="7644A45C"/>
    <w:multiLevelType w:val="hybridMultilevel"/>
    <w:lvl w:ilvl="0">
      <w:lvlJc w:val="left"/>
      <w:lvlText w:val="(%1)"/>
      <w:numFmt w:val="upperLetter"/>
      <w:start w:val="35"/>
    </w:lvl>
    <w:lvl w:ilvl="1">
      <w:lvlJc w:val="left"/>
      <w:lvlText w:val="(%2)"/>
      <w:numFmt w:val="upperLetter"/>
      <w:start w:val="2"/>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2019-12-15T05:45:15Z</dcterms:created>
  <dcterms:modified xsi:type="dcterms:W3CDTF">2019-12-15T05:45:15Z</dcterms:modified>
</cp:coreProperties>
</file>