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7, 2024</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May 7, 2024, Wynn Resorts, Limited (the "Company) issued a press release announcing its results of operations for the quarter ended March 31, 2024.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7, 2024, the Company announced that its Board of Directors declared a quarterly cash dividend of $0.25 per share, payable on May 31, 2024 to stockholders of record as of May 20, 2024. </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0" w:type="dxa"/>
        <w:jc w:val="left"/>
        <w:tblInd w:w="0" w:type="dxa"/>
        <w:tblLayout w:type="fixed"/>
        <w:tblCellMar>
          <w:top w:w="28" w:type="dxa"/>
          <w:left w:w="28" w:type="dxa"/>
          <w:bottom w:w="28" w:type="dxa"/>
          <w:right w:w="28" w:type="dxa"/>
        </w:tblCellMar>
      </w:tblPr>
      <w:tblGrid>
        <w:gridCol w:w="342"/>
        <w:gridCol w:w="301"/>
        <w:gridCol w:w="303"/>
        <w:gridCol w:w="2640"/>
        <w:gridCol w:w="2640"/>
        <w:gridCol w:w="376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q12024pressrelease.htm">
              <w:r>
                <w:rPr>
                  <w:rStyle w:val="InternetLink"/>
                  <w:rFonts w:ascii="Times New Roman;sans-serif" w:hAnsi="Times New Roman;sans-serif"/>
                  <w:b w:val="false"/>
                  <w:color w:val="0000FF"/>
                  <w:sz w:val="20"/>
                  <w:u w:val="single"/>
                </w:rPr>
                <w:t>Press release, dated May 7, 2024,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452"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34"/>
        <w:gridCol w:w="134"/>
        <w:gridCol w:w="136"/>
        <w:gridCol w:w="109"/>
        <w:gridCol w:w="109"/>
        <w:gridCol w:w="109"/>
        <w:gridCol w:w="777"/>
        <w:gridCol w:w="777"/>
        <w:gridCol w:w="110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 Reports First Quarter 2024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May 7, 2024 — Wynn Resorts, Limited (NASDAQ: WYNN) ("Wynn Resorts" or the "Company") today reported financial results for the first quarter ended March 31, 2024.</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Operating revenues were $1.86 billion for the first quarter of 2024, an increase of $439.2 million from $1.42 billion for the first quarter of 2023. Net income attributable to Wynn Resorts, Limited was $144.2 million for the first quarter of 2024, compared to net income attributable to Wynn Resorts, Limited of $12.3 million for the first quarter of 2023. Diluted net income per share was $1.30 for the first quarter of 2024, compared to diluted net loss per share of $0.02 for the first quarter of 2023. Adjusted Property EBITDAR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$646.5 million for the first quarter of 2024, compared to Adjusted Property EBITDAR of $429.7 million for the first quarter of 2023.</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strong momentum we experienced in our business throughout 2023 continued to build during the first quarter with Adjusted Property EBITDAR reaching a new all-time record. The investments we have made in our properties, our team and our unique programming continue to extend our leadership position in each of our markets," said Craig Billings, CEO of Wynn Resorts, Limited. "On the development front, vertical construction on the hotel tower at Wynn Al Marjan Island is well underway, and we are confident the resort will be a 'must see' tourism destination in the UAE. We are excited about the outlook for the Company, and we believe we are well positioned to deliver continued long-term growth."</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were $1.86 billion for the first quarter of 2024, an increase of $439.2 million from $1.42 billion for the first quarter of 2023. For the first quarter of 2024, operating revenues increased $217.5 million, $181.0 million, $49.8 million, and $1.5 million at Wynn Palace, Wynn Macau, our Las Vegas Operations, and Encore Boston Harbor, respectively, from the first quarter of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income attributable to Wynn Resorts, Limited was $144.2 million for the first quarter of 2024, compared to net income attributable to Wynn Resorts, Limited of $12.3 million for the first quarter of 2023. Diluted net income per share was $1.30 for the first quarter of 2024, compared to diluted net loss per share of $0.02 for the first quarter of 2023. Adjusted net income attributable to Wynn Resorts, Limited</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was $176.8 million, or $1.59 per diluted share, for the first quarter of 2024, compared to adjusted net income attributable to Wynn Resorts, Limited of $33.3 million, or $0.29 per diluted share, for the first quarter of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was $646.5 million for the first quarter of 2024, an increase of $216.8 million compared to Adjusted Property EBITDAR of $429.7 million for the first quarter of 2023. For the first quarter of 2024, Adjusted Property EBITDAR increased $91.3 million, $92.4 million, and $14.7 million at Wynn Palace, Wynn Macau, and our Las Vegas Operations, respectively, and decreased $0.3 million at Encore Boston Harbor, from the first quarter of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also announced today that its Board of Directors has declared a cash dividend of $0.25 per share, payable on May 31, 2024 to stockholders of record as of May 20, 2024.</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Property Results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Macau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Palace were $586.9 million for the first quarter of 2024, an increase of $217.5 million from $369.4 million for the first quarter of 2023. Adjusted Property EBITDAR from Wynn Palace was $202.4 million for the first quarter of 2024, compared to $111.1 million for the first quarter of 2023. Table games win percentage in mass market operations was 24.5%, above the 22.1% experienced in the first quarter of 2023. VIP table games win as a percentage of turnover was 3.30%, within the property's expected range of 3.1% to 3.4% and above the 2.72% experienced in the first quarter of 2023.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Wynn Macau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Macau were $411.7 million for the first quarter of 2024, an increase of $181.0 million from $230.7 million for the first quarter of 2023. Adjusted Property EBITDAR from Wynn Macau was $137.2 million for the first quarter of 2024, compared to $44.7 million for the first quarter of 2023. Table games win percentage in mass market operations was 19.4%, above the 17.0% experienced in the first quarter of 2023. VIP table games win as a percentage of turnover was 3.39%, within the property's expected range of 3.1% to 3.4% and above the 2.69% experienced in the first quarter of 2023.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Las Vegas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our Las Vegas Operations were $636.5 million for the first quarter of 2024, an increase of $49.8 million from $586.8 million for the first quarter of 2023. Adjusted Property EBITDAR from our Las Vegas Operations for the first quarter of 2024 was $246.3 million, compared to $231.6 million for the first quarter of 2023. Table games win percentage for the first quarter of 2024 was 25.9%, within the property's expected range of 22% to 26% and above the 24.3% experienced in the first quarter of 2023.</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Encore Boston Harbor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Encore Boston Harbor were $217.8 million for the first quarter of 2024, an increase of $1.5 million from $216.3 million for the first quarter of 2023. Adjusted Property EBITDAR from Encore Boston Harbor for the first quarter of 2024 was $63.1 million, compared to $63.4 million for the first quarter of 2023. Table games win percentage for the first quarter of 2024 was 22.6%, above the property's expected range of 18% to 22% and above the 21.7% experienced in the first quarter of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as of March 31, 2024 totaled $2.42 billion, comprised of $1.30 billion held by Wynn Macau, Limited ("WML") and subsidiaries, $405.5 million held by Wynn Resorts Finance, LLC ("WRF") and subsidiaries excluding WML, and $712.4 million held at Corporate and other. In addition, as of March 31, 2024, we had $699.6 million and $149.1 million in short-term investments held at WML and Corporate and other, respectively. As of March 31, 2024, the available borrowing capacity under the Wynn Resorts Finance Revolver and the WM Cayman II Revolver was $737.2 million and $149.6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and long-term debt outstanding at March 31, 2024 was $11.21 billion, comprised of $6.61 billion of Macau related debt, $1.45 billion of Wynn Las Vegas debt, $2.53 billion of WRF debt, and $614.2 million of debt held by the retail joint venture which we consolidate.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WRF and its subsidiary Wynn Resorts Capital Corp. issued an additional $400.0 million aggregate principal amount of 7.125% Senior Notes due 2031 (the "2031 WRF Add-On Senior Notes") at a price equal to 103.00% of the principal amount plus accrued interest. Net proceeds from the 2031 WRF Add-On Senior Notes, together with cash held by Wynn Resorts, were used to repurchase $681.0 million aggregate principal amount of 5.500% Senior Notes due 2025 issued by Wynn Las Vegas and Wynn Las Vegas Capital Corp. (the "2025 WLV Senior Notes") and to pay the tender premium and related fees and expenses. In March 2024, we repurchased $119.0 million aggregate principal amount of the remaining 2025 WLV Senior Notes using cash held at Wynn Resorts.</w:t>
      </w:r>
    </w:p>
    <w:p>
      <w:pPr>
        <w:pStyle w:val="TextBody"/>
        <w:bidi w:val="0"/>
        <w:spacing w:before="0" w:after="0"/>
        <w:ind w:left="0" w:right="0" w:firstLine="45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Conference Call and Other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hold a conference call to discuss its results, including the results of Wynn Resorts Finance, LLC and Wynn Las Vegas, LLC, on May 7, 2024 at 2:00 p.m. PT (5:00 p.m. ET). Interested parties are invited to join the call by accessing a live audio webcast at http://www.wynnresorts.com. On or before May 15, 2024, the Company will make Wynn Resorts Finance, LLC and Wynn Las Vegas, LLC financial information for the quarter ended March 31, 2024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2023,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"Adjusted Property EBITDAR" is net income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"Adjusted net income attributable to Wynn Resorts, Limited" is net income attributable to Wynn Resorts, Limited before pre-opening expenses, property charges and other, change in derivatives fair value, loss on debt financing transactions, and foreign currency remeasurement and other, net of noncontrolling interests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schedules in the tables that accompany this release that reconcile (i) net income attributable to Wynn Resorts, Limited to adjusted net income attributable to Wynn Resorts, Limited, (ii) operating income (loss) to Adjusted Property EBITDAR, and (iii) net income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center"/>
        <w:rPr/>
      </w:pPr>
      <w:r>
        <w:rPr/>
      </w:r>
    </w:p>
    <w:tbl>
      <w:tblPr>
        <w:tblW w:w="7973" w:type="dxa"/>
        <w:jc w:val="center"/>
        <w:tblInd w:w="0" w:type="dxa"/>
        <w:tblLayout w:type="fixed"/>
        <w:tblCellMar>
          <w:top w:w="28" w:type="dxa"/>
          <w:left w:w="28" w:type="dxa"/>
          <w:bottom w:w="28" w:type="dxa"/>
          <w:right w:w="28" w:type="dxa"/>
        </w:tblCellMar>
      </w:tblPr>
      <w:tblGrid>
        <w:gridCol w:w="1870"/>
        <w:gridCol w:w="1638"/>
        <w:gridCol w:w="1651"/>
        <w:gridCol w:w="211"/>
        <w:gridCol w:w="976"/>
        <w:gridCol w:w="109"/>
        <w:gridCol w:w="109"/>
        <w:gridCol w:w="109"/>
        <w:gridCol w:w="109"/>
        <w:gridCol w:w="211"/>
        <w:gridCol w:w="826"/>
        <w:gridCol w:w="154"/>
      </w:tblGrid>
      <w:tr>
        <w:trPr/>
        <w:tc>
          <w:tcPr>
            <w:tcW w:w="187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1,862,909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1,423,679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1,499,968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1,254,164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362,941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169,515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(166,429)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(167,351)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176,498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12,332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ADJUSTED NET INCOME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9128" w:type="dxa"/>
        <w:jc w:val="center"/>
        <w:tblInd w:w="0" w:type="dxa"/>
        <w:tblLayout w:type="fixed"/>
        <w:tblCellMar>
          <w:top w:w="28" w:type="dxa"/>
          <w:left w:w="28" w:type="dxa"/>
          <w:bottom w:w="28" w:type="dxa"/>
          <w:right w:w="28" w:type="dxa"/>
        </w:tblCellMar>
      </w:tblPr>
      <w:tblGrid>
        <w:gridCol w:w="2368"/>
        <w:gridCol w:w="2079"/>
        <w:gridCol w:w="2092"/>
        <w:gridCol w:w="211"/>
        <w:gridCol w:w="841"/>
        <w:gridCol w:w="109"/>
        <w:gridCol w:w="109"/>
        <w:gridCol w:w="109"/>
        <w:gridCol w:w="109"/>
        <w:gridCol w:w="211"/>
        <w:gridCol w:w="736"/>
        <w:gridCol w:w="154"/>
      </w:tblGrid>
      <w:tr>
        <w:trPr/>
        <w:tc>
          <w:tcPr>
            <w:tcW w:w="236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remeasurement and 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 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impact 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176,801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attributable to Wynn Resorts, Limited per diluted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0.29</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48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205,983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362,941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174,933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11,093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16,948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12,022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39,905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14,369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35,404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202,370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137,186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339,556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246,262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63,135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646,535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413"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169,515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4,478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75,197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168,812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2,458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34,490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14,710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35,283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111,058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44,745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155,803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231,597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63,414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(21,068)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429,746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ATTRIBUTABLE TO WYNN RESORTS, LIMITED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PROPERTY EBITDAR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7418" w:type="dxa"/>
        <w:jc w:val="center"/>
        <w:tblInd w:w="0" w:type="dxa"/>
        <w:tblLayout w:type="fixed"/>
        <w:tblCellMar>
          <w:top w:w="28" w:type="dxa"/>
          <w:left w:w="28" w:type="dxa"/>
          <w:bottom w:w="28" w:type="dxa"/>
          <w:right w:w="28" w:type="dxa"/>
        </w:tblCellMar>
      </w:tblPr>
      <w:tblGrid>
        <w:gridCol w:w="1711"/>
        <w:gridCol w:w="1502"/>
        <w:gridCol w:w="1511"/>
        <w:gridCol w:w="211"/>
        <w:gridCol w:w="841"/>
        <w:gridCol w:w="109"/>
        <w:gridCol w:w="109"/>
        <w:gridCol w:w="109"/>
        <w:gridCol w:w="109"/>
        <w:gridCol w:w="211"/>
        <w:gridCol w:w="841"/>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Property EBITDAR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646,535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429,746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7630" w:type="dxa"/>
        <w:jc w:val="left"/>
        <w:tblInd w:w="0" w:type="dxa"/>
        <w:tblLayout w:type="fixed"/>
        <w:tblCellMar>
          <w:top w:w="28" w:type="dxa"/>
          <w:left w:w="28" w:type="dxa"/>
          <w:bottom w:w="28" w:type="dxa"/>
          <w:right w:w="28" w:type="dxa"/>
        </w:tblCellMar>
      </w:tblPr>
      <w:tblGrid>
        <w:gridCol w:w="1276"/>
        <w:gridCol w:w="1121"/>
        <w:gridCol w:w="1127"/>
        <w:gridCol w:w="217"/>
        <w:gridCol w:w="260"/>
        <w:gridCol w:w="580"/>
        <w:gridCol w:w="120"/>
        <w:gridCol w:w="120"/>
        <w:gridCol w:w="120"/>
        <w:gridCol w:w="217"/>
        <w:gridCol w:w="260"/>
        <w:gridCol w:w="580"/>
        <w:gridCol w:w="109"/>
        <w:gridCol w:w="109"/>
        <w:gridCol w:w="109"/>
        <w:gridCol w:w="381"/>
        <w:gridCol w:w="381"/>
        <w:gridCol w:w="543"/>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Palace Supplemental Information</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473,781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53,936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586,901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369,363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58.9</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3"/>
              </w:rPr>
              <w:t>(6)</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202,370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111,058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82.2</w:t>
            </w: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3,921,085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129,414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 market:</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1,782,184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437,323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595,621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30,970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3"/>
              </w:rPr>
              <w:t>(4)</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7646" w:type="dxa"/>
        <w:jc w:val="center"/>
        <w:tblInd w:w="0" w:type="dxa"/>
        <w:tblLayout w:type="fixed"/>
        <w:tblCellMar>
          <w:top w:w="28" w:type="dxa"/>
          <w:left w:w="28" w:type="dxa"/>
          <w:bottom w:w="28" w:type="dxa"/>
          <w:right w:w="28" w:type="dxa"/>
        </w:tblCellMar>
      </w:tblPr>
      <w:tblGrid>
        <w:gridCol w:w="1282"/>
        <w:gridCol w:w="1126"/>
        <w:gridCol w:w="1132"/>
        <w:gridCol w:w="217"/>
        <w:gridCol w:w="260"/>
        <w:gridCol w:w="580"/>
        <w:gridCol w:w="120"/>
        <w:gridCol w:w="120"/>
        <w:gridCol w:w="120"/>
        <w:gridCol w:w="217"/>
        <w:gridCol w:w="260"/>
        <w:gridCol w:w="580"/>
        <w:gridCol w:w="109"/>
        <w:gridCol w:w="109"/>
        <w:gridCol w:w="109"/>
        <w:gridCol w:w="381"/>
        <w:gridCol w:w="381"/>
        <w:gridCol w:w="543"/>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Macau Supplemental Information</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346,353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411,744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230,726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78.5</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3"/>
              </w:rPr>
              <w:t>(6)</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137,186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44,745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206.6</w:t>
            </w: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VIP: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1,589,685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Mass market: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1,683,151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326,320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730,389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Slot machine win per unit per day </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Poker rake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Room statistics: </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3"/>
              </w:rPr>
              <w:t>(4)</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8357" w:type="dxa"/>
        <w:jc w:val="center"/>
        <w:tblInd w:w="0" w:type="dxa"/>
        <w:tblLayout w:type="fixed"/>
        <w:tblCellMar>
          <w:top w:w="28" w:type="dxa"/>
          <w:left w:w="28" w:type="dxa"/>
          <w:bottom w:w="28" w:type="dxa"/>
          <w:right w:w="28" w:type="dxa"/>
        </w:tblCellMar>
      </w:tblPr>
      <w:tblGrid>
        <w:gridCol w:w="1542"/>
        <w:gridCol w:w="1355"/>
        <w:gridCol w:w="1362"/>
        <w:gridCol w:w="227"/>
        <w:gridCol w:w="272"/>
        <w:gridCol w:w="554"/>
        <w:gridCol w:w="120"/>
        <w:gridCol w:w="120"/>
        <w:gridCol w:w="120"/>
        <w:gridCol w:w="227"/>
        <w:gridCol w:w="272"/>
        <w:gridCol w:w="554"/>
        <w:gridCol w:w="109"/>
        <w:gridCol w:w="109"/>
        <w:gridCol w:w="109"/>
        <w:gridCol w:w="381"/>
        <w:gridCol w:w="381"/>
        <w:gridCol w:w="543"/>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135,163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224,076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193,610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83,699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636,548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586,764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8.5</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246,262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231,597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w:t>
            </w: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604,174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156,611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1,496,078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99,756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REVPAR</w:t>
            </w:r>
            <w:r>
              <w:rPr>
                <w:color w:val="000000"/>
              </w:rPr>
              <w:t xml:space="preserve"> </w:t>
            </w:r>
            <w:r>
              <w:rPr>
                <w:rFonts w:ascii="Times New Roman;sans-serif" w:hAnsi="Times New Roman;sans-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8103" w:type="dxa"/>
        <w:jc w:val="center"/>
        <w:tblInd w:w="0" w:type="dxa"/>
        <w:tblLayout w:type="fixed"/>
        <w:tblCellMar>
          <w:top w:w="28" w:type="dxa"/>
          <w:left w:w="28" w:type="dxa"/>
          <w:bottom w:w="28" w:type="dxa"/>
          <w:right w:w="28" w:type="dxa"/>
        </w:tblCellMar>
      </w:tblPr>
      <w:tblGrid>
        <w:gridCol w:w="1452"/>
        <w:gridCol w:w="1273"/>
        <w:gridCol w:w="1280"/>
        <w:gridCol w:w="227"/>
        <w:gridCol w:w="272"/>
        <w:gridCol w:w="554"/>
        <w:gridCol w:w="120"/>
        <w:gridCol w:w="120"/>
        <w:gridCol w:w="120"/>
        <w:gridCol w:w="227"/>
        <w:gridCol w:w="272"/>
        <w:gridCol w:w="554"/>
        <w:gridCol w:w="109"/>
        <w:gridCol w:w="109"/>
        <w:gridCol w:w="109"/>
        <w:gridCol w:w="381"/>
        <w:gridCol w:w="381"/>
        <w:gridCol w:w="543"/>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Encore Boston Harbor Supplemental Information </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166,169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217,784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216,306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0.7</w:t>
            </w:r>
            <w:r>
              <w:rPr>
                <w:color w:val="000000"/>
              </w:rPr>
              <w:t>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63,135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Table drop</w:t>
            </w:r>
            <w:r>
              <w:rPr>
                <w:color w:val="000000"/>
              </w:rPr>
              <w:t xml:space="preserve"> </w:t>
            </w:r>
            <w:r>
              <w:rPr>
                <w:rFonts w:ascii="Times New Roman;sans-serif" w:hAnsi="Times New Roman;sans-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366,812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1,402,847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104,665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(3)Slot machine win is calculated as gross slot machine win minus progressive accruals and free play.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(6)Refer to accompanying reconciliations of Operating Income (Loss) to Adjusted Property EBITDAR and Net Income Attributable to Wynn Resorts, Limited to Adjusted Property EBITDAR.</w:t>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SOURCE: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Karr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702-770-7555</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4560</Words>
  <Characters>24399</Characters>
  <CharactersWithSpaces>28354</CharactersWithSpaces>
  <Paragraphs>1088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