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September 26, 2024</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1"/>
        <w:gridCol w:w="293"/>
        <w:gridCol w:w="2719"/>
        <w:gridCol w:w="2719"/>
        <w:gridCol w:w="385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5.02</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2024, Ellen Whittemore, Executive Vice President, General Counsel and Secretary, notified Wynn Resorts, Limited (the “Company”) of her retirement, effective as of January 31, 2025. </w:t>
      </w:r>
    </w:p>
    <w:p>
      <w:pPr>
        <w:pStyle w:val="TextBody"/>
        <w:bidi w:val="0"/>
        <w:spacing w:before="0" w:after="0"/>
        <w:ind w:left="0" w:right="0" w:firstLine="450"/>
        <w:jc w:val="both"/>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her retirement, Ms. Whittemore will be entitled to receive certain payments and benefits as provided under the Wynn Resorts, Limited Executive Retirement Plan, a copy of which is filed as Exhibit 10.12 to the Company’s Annual Report on Form 10-K filed with the Securities and Exchange Commission on February 23, 2024. It is also anticipated that Ms. Whittemore will enter into a consulting agreement with the Company to support the continued transition of her duties and responsibilities to her successor and to provide other services, as may be requested by the Company.</w:t>
      </w:r>
    </w:p>
    <w:tbl>
      <w:tblPr>
        <w:tblW w:w="3358" w:type="dxa"/>
        <w:jc w:val="left"/>
        <w:tblInd w:w="0" w:type="dxa"/>
        <w:tblLayout w:type="fixed"/>
        <w:tblCellMar>
          <w:top w:w="28" w:type="dxa"/>
          <w:left w:w="28" w:type="dxa"/>
          <w:bottom w:w="28" w:type="dxa"/>
          <w:right w:w="28" w:type="dxa"/>
        </w:tblCellMar>
      </w:tblPr>
      <w:tblGrid>
        <w:gridCol w:w="347"/>
        <w:gridCol w:w="304"/>
        <w:gridCol w:w="308"/>
        <w:gridCol w:w="701"/>
        <w:gridCol w:w="701"/>
        <w:gridCol w:w="997"/>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7.01 </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Regulation FD Disclosure. </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2024, the Company issued a press release announcing Ms. Whittemore’s retirement, a copy of which is furnished herewith as Exhibit 99.1 and incorporated herein by reference.</w:t>
      </w:r>
    </w:p>
    <w:p>
      <w:pPr>
        <w:pStyle w:val="TextBody"/>
        <w:bidi w:val="0"/>
        <w:spacing w:before="0" w:after="0"/>
        <w:ind w:left="0" w:right="0" w:firstLine="450"/>
        <w:jc w:val="both"/>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furnished pursuant to this Item 7.01, including Exhibit 99.1 hereto, shall not be deemed to be “filed” for purposes of Section 18 of the Securities Exchange Act of 1934, as amended, nor shall it be deemed incorporated by reference in any filing under the Securities Act of 1933, as amended, except as shall be expressly set forth by specific reference in such a filing.</w:t>
      </w:r>
    </w:p>
    <w:tbl>
      <w:tblPr>
        <w:tblW w:w="4079" w:type="dxa"/>
        <w:jc w:val="left"/>
        <w:tblInd w:w="0" w:type="dxa"/>
        <w:tblLayout w:type="fixed"/>
        <w:tblCellMar>
          <w:top w:w="28" w:type="dxa"/>
          <w:left w:w="28" w:type="dxa"/>
          <w:bottom w:w="28" w:type="dxa"/>
          <w:right w:w="28" w:type="dxa"/>
        </w:tblCellMar>
      </w:tblPr>
      <w:tblGrid>
        <w:gridCol w:w="347"/>
        <w:gridCol w:w="304"/>
        <w:gridCol w:w="308"/>
        <w:gridCol w:w="913"/>
        <w:gridCol w:w="913"/>
        <w:gridCol w:w="1294"/>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9.01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Financial Statements and Exhibits. </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9991" w:type="dxa"/>
        <w:jc w:val="left"/>
        <w:tblInd w:w="0" w:type="dxa"/>
        <w:tblLayout w:type="fixed"/>
        <w:tblCellMar>
          <w:top w:w="28" w:type="dxa"/>
          <w:left w:w="28" w:type="dxa"/>
          <w:bottom w:w="28" w:type="dxa"/>
          <w:right w:w="28" w:type="dxa"/>
        </w:tblCellMar>
      </w:tblPr>
      <w:tblGrid>
        <w:gridCol w:w="342"/>
        <w:gridCol w:w="301"/>
        <w:gridCol w:w="303"/>
        <w:gridCol w:w="2634"/>
        <w:gridCol w:w="2634"/>
        <w:gridCol w:w="377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pressreleasedatedsep.htm">
              <w:r>
                <w:rPr>
                  <w:rStyle w:val="InternetLink"/>
                  <w:rFonts w:ascii="Times New Roman;sans-serif" w:hAnsi="Times New Roman;sans-serif"/>
                  <w:b w:val="false"/>
                  <w:color w:val="0000FF"/>
                  <w:sz w:val="20"/>
                  <w:u w:val="single"/>
                </w:rPr>
                <w:t>Press Release, dated September 27, 2024</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037" w:type="dxa"/>
        <w:jc w:val="left"/>
        <w:tblInd w:w="0" w:type="dxa"/>
        <w:tblLayout w:type="fixed"/>
        <w:tblCellMar>
          <w:top w:w="28" w:type="dxa"/>
          <w:left w:w="28" w:type="dxa"/>
          <w:bottom w:w="28" w:type="dxa"/>
          <w:right w:w="28" w:type="dxa"/>
        </w:tblCellMar>
      </w:tblPr>
      <w:tblGrid>
        <w:gridCol w:w="841"/>
        <w:gridCol w:w="738"/>
        <w:gridCol w:w="746"/>
        <w:gridCol w:w="109"/>
        <w:gridCol w:w="109"/>
        <w:gridCol w:w="109"/>
        <w:gridCol w:w="134"/>
        <w:gridCol w:w="134"/>
        <w:gridCol w:w="136"/>
        <w:gridCol w:w="109"/>
        <w:gridCol w:w="109"/>
        <w:gridCol w:w="109"/>
        <w:gridCol w:w="777"/>
        <w:gridCol w:w="777"/>
        <w:gridCol w:w="1100"/>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September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Jacqui Krum to succeed Ellen Whittemore as General Counsel at Wynn Resorts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September 27, 2024 — Wynn Resorts, Limited (NASDAQ: WYNN) ("Wynn Resorts" or the "Company") announced today that Jacqui Krum will succeed Ellen Whittemore as General Counsel and Executive Vice President of Wynn Resorts, following Ms. Whittemore’s retirement in early 2025. Ms. Krum is currently General Counsel and Senior Vice President at Wynn Resorts’ Encore Boston Harbor resort, in Everett, Massachusetts.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Ms. Whittemore, who also serves as Secretary for Wynn Resorts, Ltd., has led the Company’s global legal affairs, philanthropy, community relations, government affairs, and sustainability activities since 2018. She has been instrumental in the Company’s efforts to enhance its workplace culture, corporate ethics and governance. She will continue to serve on the Wynn Macau, Ltd Board of Directors and act as a consultant to the Company.</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Craig S. Billings, CEO of Wynn Resorts, said, “Ellen Whittemore was, in the truest sense, the right person at the right time to help lead Wynn Resorts through a thicket of litigation and corporate governance changes. Ellen’s track record, including her reputation as a person of the highest integrity, was essential in working with regulators, our Board, and employees during a time of transition and change. Recently, Ellen led the successful effort to resolve key remaining legal and litigation matters overhanging the Company, and I appreciate her hard work on those issues. Ellen devoted her efforts to making us a better company; she succeeded, and we are thankful.”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Jacqui Krum originally joined Wynn Resorts in 2013 to assist with the development of gaming projects in the U.S. and abroad and was a member of the team that won the competitive gaming license bid in the Eastern Massachusetts area for Wynn Resorts. In 2015, she moved from Las Vegas to Boston to become the Senior Vice President and General Counsel at Encore Boston Harbor, helping to lead the opening of that resort in 2019.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joining Wynn Resorts, Ms. Krum served as Vice President and General Counsel of the divisions of MGM Resorts International responsible for gaming and nongaming projects globally. She also held a partner position in the Los Angeles office of Glaser, Weil, Fink, Jacobs, Howard &amp; Shapiro, LLP. </w:t>
      </w:r>
    </w:p>
    <w:p>
      <w:pPr>
        <w:pStyle w:val="TextBody"/>
        <w:bidi w:val="0"/>
        <w:spacing w:before="0" w:after="0"/>
        <w:ind w:left="0" w:right="0" w:firstLine="45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Ms. Krum received her Juris Doctor degree from the University of California, Los Angeles, and a Bachelor of Arts degree in political science, international relations, as well as a Bachelor of Arts in cultural anthropology, summa cum laude, from the University of California, Santa Barbara.</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1045</Words>
  <Characters>5674</Characters>
  <CharactersWithSpaces>6712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