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2138680</wp:posOffset>
            </wp:positionH>
            <wp:positionV relativeFrom="paragraph">
              <wp:posOffset>146050</wp:posOffset>
            </wp:positionV>
            <wp:extent cx="29032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3220" cy="7620"/>
                    </a:xfrm>
                    <a:prstGeom prst="rect">
                      <a:avLst/>
                    </a:prstGeom>
                    <a:noFill/>
                  </pic:spPr>
                </pic:pic>
              </a:graphicData>
            </a:graphic>
          </wp:anchor>
        </w:drawing>
      </w:r>
    </w:p>
    <w:p>
      <w:pPr>
        <w:spacing w:after="0" w:line="32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2124075</wp:posOffset>
            </wp:positionH>
            <wp:positionV relativeFrom="paragraph">
              <wp:posOffset>41910</wp:posOffset>
            </wp:positionV>
            <wp:extent cx="29032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3220" cy="7620"/>
                    </a:xfrm>
                    <a:prstGeom prst="rect">
                      <a:avLst/>
                    </a:prstGeom>
                    <a:noFill/>
                  </pic:spPr>
                </pic:pic>
              </a:graphicData>
            </a:graphic>
          </wp:anchor>
        </w:drawing>
      </w:r>
    </w:p>
    <w:p>
      <w:pPr>
        <w:spacing w:after="0" w:line="34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July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2138680</wp:posOffset>
            </wp:positionH>
            <wp:positionV relativeFrom="paragraph">
              <wp:posOffset>69215</wp:posOffset>
            </wp:positionV>
            <wp:extent cx="29032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3220" cy="7620"/>
                    </a:xfrm>
                    <a:prstGeom prst="rect">
                      <a:avLst/>
                    </a:prstGeom>
                    <a:noFill/>
                  </pic:spPr>
                </pic:pic>
              </a:graphicData>
            </a:graphic>
          </wp:anchor>
        </w:drawing>
      </w:r>
    </w:p>
    <w:p>
      <w:pPr>
        <w:spacing w:after="0" w:line="19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47" w:lineRule="exact"/>
        <w:rPr>
          <w:sz w:val="24"/>
          <w:szCs w:val="24"/>
          <w:color w:val="auto"/>
        </w:rPr>
      </w:pPr>
    </w:p>
    <w:tbl>
      <w:tblPr>
        <w:tblLayout w:type="fixed"/>
        <w:tblInd w:w="7"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3020" w:type="dxa"/>
            <w:vAlign w:val="bottom"/>
            <w:gridSpan w:val="3"/>
          </w:tcPr>
          <w:p>
            <w:pPr>
              <w:jc w:val="center"/>
              <w:ind w:right="128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980" w:type="dxa"/>
            <w:vAlign w:val="bottom"/>
            <w:gridSpan w:val="3"/>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140" w:type="dxa"/>
            <w:vAlign w:val="bottom"/>
          </w:tcPr>
          <w:p>
            <w:pPr>
              <w:spacing w:after="0"/>
              <w:rPr>
                <w:sz w:val="16"/>
                <w:szCs w:val="16"/>
                <w:color w:val="auto"/>
              </w:rPr>
            </w:pPr>
          </w:p>
        </w:tc>
      </w:tr>
      <w:tr>
        <w:trPr>
          <w:trHeight w:val="127"/>
        </w:trPr>
        <w:tc>
          <w:tcPr>
            <w:tcW w:w="920" w:type="dxa"/>
            <w:vAlign w:val="bottom"/>
          </w:tcPr>
          <w:p>
            <w:pPr>
              <w:spacing w:after="0"/>
              <w:rPr>
                <w:sz w:val="11"/>
                <w:szCs w:val="11"/>
                <w:color w:val="auto"/>
              </w:rPr>
            </w:pPr>
          </w:p>
        </w:tc>
        <w:tc>
          <w:tcPr>
            <w:tcW w:w="3020" w:type="dxa"/>
            <w:vAlign w:val="bottom"/>
            <w:gridSpan w:val="3"/>
          </w:tcPr>
          <w:p>
            <w:pPr>
              <w:jc w:val="center"/>
              <w:ind w:right="1280"/>
              <w:spacing w:after="0" w:line="128"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3200" w:type="dxa"/>
            <w:vAlign w:val="bottom"/>
            <w:gridSpan w:val="2"/>
          </w:tcPr>
          <w:p>
            <w:pPr>
              <w:ind w:left="1220"/>
              <w:spacing w:after="0" w:line="128"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340" w:type="dxa"/>
            <w:vAlign w:val="bottom"/>
            <w:gridSpan w:val="2"/>
          </w:tcPr>
          <w:p>
            <w:pPr>
              <w:jc w:val="center"/>
              <w:ind w:right="500"/>
              <w:spacing w:after="0" w:line="128"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920" w:type="dxa"/>
            <w:vAlign w:val="bottom"/>
          </w:tcPr>
          <w:p>
            <w:pPr>
              <w:spacing w:after="0"/>
              <w:rPr>
                <w:sz w:val="14"/>
                <w:szCs w:val="14"/>
                <w:color w:val="auto"/>
              </w:rPr>
            </w:pPr>
          </w:p>
        </w:tc>
        <w:tc>
          <w:tcPr>
            <w:tcW w:w="3020" w:type="dxa"/>
            <w:vAlign w:val="bottom"/>
            <w:gridSpan w:val="3"/>
          </w:tcPr>
          <w:p>
            <w:pPr>
              <w:jc w:val="center"/>
              <w:ind w:right="128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3200" w:type="dxa"/>
            <w:vAlign w:val="bottom"/>
            <w:gridSpan w:val="2"/>
          </w:tcPr>
          <w:p>
            <w:pPr>
              <w:ind w:left="12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00"/>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1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4"/>
        </w:trPr>
        <w:tc>
          <w:tcPr>
            <w:tcW w:w="920" w:type="dxa"/>
            <w:vAlign w:val="bottom"/>
          </w:tcPr>
          <w:p>
            <w:pPr>
              <w:spacing w:after="0"/>
              <w:rPr>
                <w:sz w:val="16"/>
                <w:szCs w:val="16"/>
                <w:color w:val="auto"/>
              </w:rPr>
            </w:pPr>
          </w:p>
        </w:tc>
        <w:tc>
          <w:tcPr>
            <w:tcW w:w="302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1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980" w:type="dxa"/>
            <w:vAlign w:val="bottom"/>
            <w:gridSpan w:val="3"/>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140" w:type="dxa"/>
            <w:vAlign w:val="bottom"/>
          </w:tcPr>
          <w:p>
            <w:pPr>
              <w:spacing w:after="0"/>
              <w:rPr>
                <w:sz w:val="16"/>
                <w:szCs w:val="16"/>
                <w:color w:val="auto"/>
              </w:rPr>
            </w:pPr>
          </w:p>
        </w:tc>
      </w:tr>
      <w:tr>
        <w:trPr>
          <w:trHeight w:val="162"/>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590"/>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gridSpan w:val="2"/>
          </w:tcPr>
          <w:p>
            <w:pPr>
              <w:jc w:val="center"/>
              <w:ind w:left="90"/>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0" w:type="dxa"/>
            <w:vAlign w:val="bottom"/>
            <w:gridSpan w:val="2"/>
          </w:tcPr>
          <w:p>
            <w:pPr>
              <w:jc w:val="center"/>
              <w:ind w:left="11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59"/>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gridSpan w:val="2"/>
          </w:tcPr>
          <w:p>
            <w:pPr>
              <w:jc w:val="center"/>
              <w:ind w:left="90"/>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320" w:type="dxa"/>
            <w:vAlign w:val="bottom"/>
            <w:gridSpan w:val="6"/>
          </w:tcPr>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r>
      <w:tr>
        <w:trPr>
          <w:trHeight w:val="22"/>
        </w:trPr>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1"/>
        </w:trPr>
        <w:tc>
          <w:tcPr>
            <w:tcW w:w="3940" w:type="dxa"/>
            <w:vAlign w:val="bottom"/>
            <w:gridSpan w:val="4"/>
          </w:tcPr>
          <w:p>
            <w:pPr>
              <w:jc w:val="center"/>
              <w:ind w:right="4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3020" w:type="dxa"/>
            <w:vAlign w:val="bottom"/>
            <w:gridSpan w:val="3"/>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200" w:type="dxa"/>
            <w:vAlign w:val="bottom"/>
            <w:gridSpan w:val="2"/>
          </w:tcPr>
          <w:p>
            <w:pPr>
              <w:jc w:val="center"/>
              <w:ind w:right="196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20" w:type="dxa"/>
            <w:vAlign w:val="bottom"/>
            <w:gridSpan w:val="4"/>
          </w:tcPr>
          <w:p>
            <w:pPr>
              <w:jc w:val="center"/>
              <w:ind w:right="102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1"/>
        </w:trPr>
        <w:tc>
          <w:tcPr>
            <w:tcW w:w="394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3200" w:type="dxa"/>
            <w:vAlign w:val="bottom"/>
            <w:gridSpan w:val="2"/>
          </w:tcPr>
          <w:p>
            <w:pPr>
              <w:jc w:val="center"/>
              <w:ind w:right="1960"/>
              <w:spacing w:after="0"/>
              <w:rPr>
                <w:sz w:val="20"/>
                <w:szCs w:val="20"/>
                <w:color w:val="auto"/>
              </w:rPr>
            </w:pPr>
            <w:r>
              <w:rPr>
                <w:rFonts w:ascii="Times New Roman" w:cs="Times New Roman" w:eastAsia="Times New Roman" w:hAnsi="Times New Roman"/>
                <w:sz w:val="15"/>
                <w:szCs w:val="15"/>
                <w:color w:val="auto"/>
              </w:rPr>
              <w:t>WYNN</w:t>
            </w:r>
          </w:p>
        </w:tc>
        <w:tc>
          <w:tcPr>
            <w:tcW w:w="120" w:type="dxa"/>
            <w:vAlign w:val="bottom"/>
          </w:tcPr>
          <w:p>
            <w:pPr>
              <w:spacing w:after="0"/>
              <w:rPr>
                <w:sz w:val="18"/>
                <w:szCs w:val="18"/>
                <w:color w:val="auto"/>
              </w:rPr>
            </w:pPr>
          </w:p>
        </w:tc>
        <w:tc>
          <w:tcPr>
            <w:tcW w:w="4000" w:type="dxa"/>
            <w:vAlign w:val="bottom"/>
            <w:gridSpan w:val="3"/>
          </w:tcPr>
          <w:p>
            <w:pPr>
              <w:jc w:val="center"/>
              <w:ind w:right="114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77"/>
        </w:trPr>
        <w:tc>
          <w:tcPr>
            <w:tcW w:w="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bl>
    <w:p>
      <w:pPr>
        <w:spacing w:after="0" w:line="28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9"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2"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4" w:lineRule="exact"/>
        <w:rPr>
          <w:sz w:val="24"/>
          <w:szCs w:val="24"/>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6" w:lineRule="exact"/>
        <w:rPr>
          <w:sz w:val="24"/>
          <w:szCs w:val="24"/>
          <w:color w:val="auto"/>
        </w:rPr>
      </w:pPr>
    </w:p>
    <w:p>
      <w:pPr>
        <w:ind w:left="7"/>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589915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2.03</w:t>
      </w:r>
      <w:r>
        <w:rPr>
          <w:sz w:val="20"/>
          <w:szCs w:val="20"/>
          <w:color w:val="auto"/>
        </w:rPr>
        <w:tab/>
      </w:r>
      <w:r>
        <w:rPr>
          <w:rFonts w:ascii="Times New Roman" w:cs="Times New Roman" w:eastAsia="Times New Roman" w:hAnsi="Times New Roman"/>
          <w:sz w:val="15"/>
          <w:szCs w:val="15"/>
          <w:b w:val="1"/>
          <w:bCs w:val="1"/>
          <w:color w:val="auto"/>
        </w:rPr>
        <w:t>Creation of a Direct Financial Obligation or an Obligation under an Off-Balance Sheet Arrangement of a Registrant.</w:t>
      </w:r>
    </w:p>
    <w:p>
      <w:pPr>
        <w:spacing w:after="0" w:line="98" w:lineRule="exact"/>
        <w:rPr>
          <w:sz w:val="20"/>
          <w:szCs w:val="20"/>
          <w:color w:val="auto"/>
        </w:rPr>
      </w:pPr>
    </w:p>
    <w:p>
      <w:pPr>
        <w:jc w:val="both"/>
        <w:ind w:firstLine="347"/>
        <w:spacing w:after="0" w:line="273" w:lineRule="auto"/>
        <w:rPr>
          <w:sz w:val="20"/>
          <w:szCs w:val="20"/>
          <w:color w:val="auto"/>
        </w:rPr>
      </w:pPr>
      <w:r>
        <w:rPr>
          <w:rFonts w:ascii="Times New Roman" w:cs="Times New Roman" w:eastAsia="Times New Roman" w:hAnsi="Times New Roman"/>
          <w:sz w:val="15"/>
          <w:szCs w:val="15"/>
          <w:color w:val="auto"/>
        </w:rPr>
        <w:t>Reference is made to the Facility Agreement, dated as of September 16, 2021, by and among WM Cayman Holdings Limited II ("WM Cayman II"), an indirect wholly owned subsidiary of WML (as defined herein), as borrower, Wynn Macau, Limited ("WML"), an indirect subsidiary of Wynn Resorts, Limited with its shares listed on The Stock Exchange of Hong Kong Limited (the "HKSE"), as guarantor, and Bank of China Limited, Macau Branch, as Agent, and the syndicate of lenders party thereto (as amended, the "Facility Agreement").</w:t>
      </w:r>
    </w:p>
    <w:p>
      <w:pPr>
        <w:spacing w:after="0" w:line="361"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Effective as of July 31, 2025, WM Cayman II requested, pursuant to Section 2.2 of the Facility Agreement, that the commitments related to the revolving unsecured loan facility (the "Revolver") provided under the Facility Agreement be increased in the amount of US$1.0 billion equivalent. Following delivery to the Agent of the required confirmation notice under the Facility Agreement, and the satisfaction of various conditions, the total commitments available under the Revolver were increased to US$2.5 billion equivalent.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The terms of the Facility Agreement otherwise remain unchanged.</w:t>
      </w:r>
    </w:p>
    <w:p>
      <w:pPr>
        <w:spacing w:after="0" w:line="13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86" w:lineRule="exact"/>
        <w:rPr>
          <w:sz w:val="20"/>
          <w:szCs w:val="20"/>
          <w:color w:val="auto"/>
        </w:rPr>
      </w:pPr>
    </w:p>
    <w:p>
      <w:pPr>
        <w:jc w:val="both"/>
        <w:ind w:right="20" w:firstLine="347"/>
        <w:spacing w:after="0" w:line="295" w:lineRule="auto"/>
        <w:rPr>
          <w:sz w:val="20"/>
          <w:szCs w:val="20"/>
          <w:color w:val="auto"/>
        </w:rPr>
      </w:pPr>
      <w:r>
        <w:rPr>
          <w:rFonts w:ascii="Times New Roman" w:cs="Times New Roman" w:eastAsia="Times New Roman" w:hAnsi="Times New Roman"/>
          <w:sz w:val="15"/>
          <w:szCs w:val="15"/>
          <w:color w:val="auto"/>
        </w:rPr>
        <w:t>On July 31, 2025, WML filed with the HKSE an announcement regarding the US$1.0 billion equivalent increase in commitments available under the Revolver, which announcement is furnished herewith as Exhibit 99.1.</w:t>
      </w:r>
    </w:p>
    <w:p>
      <w:pPr>
        <w:spacing w:after="0" w:line="155"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information furnished pursuant to this Item 7.01, including Exhibit 99.1 hereto, shall not be deemed to be "filed" for purposes of Section 18 of the Securities Exchange Act of 1934, as amended, nor shall it be deemed incorporated by reference in any filing under the Securities Act of 1933, as amended, except as shall be expressly set forth by specific reference in such a filing.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266"/>
        </w:trPr>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6060" w:type="dxa"/>
            <w:vAlign w:val="bottom"/>
          </w:tcPr>
          <w:p>
            <w:pPr>
              <w:spacing w:after="0"/>
              <w:rPr>
                <w:sz w:val="23"/>
                <w:szCs w:val="23"/>
                <w:color w:val="auto"/>
              </w:rPr>
            </w:pPr>
          </w:p>
        </w:tc>
      </w:tr>
      <w:tr>
        <w:trPr>
          <w:trHeight w:val="151"/>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20" w:type="dxa"/>
            <w:vAlign w:val="bottom"/>
          </w:tcPr>
          <w:p>
            <w:pPr>
              <w:spacing w:after="0"/>
              <w:rPr>
                <w:sz w:val="13"/>
                <w:szCs w:val="13"/>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Announcement of Wynn Macau, Limited, dated July 31, 2025.</w:t>
            </w: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045"/>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80"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WYNN RESORTS, LIMITED</w:t>
            </w: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Dated: July 31, 2025</w:t>
            </w:r>
          </w:p>
        </w:tc>
        <w:tc>
          <w:tcPr>
            <w:tcW w:w="3200" w:type="dxa"/>
            <w:vAlign w:val="bottom"/>
          </w:tcPr>
          <w:p>
            <w:pPr>
              <w:ind w:left="2580"/>
              <w:spacing w:after="0"/>
              <w:rPr>
                <w:sz w:val="20"/>
                <w:szCs w:val="20"/>
                <w:color w:val="auto"/>
              </w:rPr>
            </w:pPr>
            <w:r>
              <w:rPr>
                <w:rFonts w:ascii="Times New Roman" w:cs="Times New Roman" w:eastAsia="Times New Roman" w:hAnsi="Times New Roman"/>
                <w:sz w:val="15"/>
                <w:szCs w:val="15"/>
                <w:color w:val="auto"/>
              </w:rPr>
              <w:t>By:</w:t>
            </w:r>
          </w:p>
        </w:tc>
        <w:tc>
          <w:tcPr>
            <w:tcW w:w="3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/s/ Julie Cameron-Doe</w:t>
            </w:r>
          </w:p>
        </w:tc>
      </w:tr>
      <w:tr>
        <w:trPr>
          <w:trHeight w:val="186"/>
        </w:trPr>
        <w:tc>
          <w:tcPr>
            <w:tcW w:w="38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Julie Cameron-Doe</w:t>
            </w:r>
          </w:p>
        </w:tc>
      </w:tr>
      <w:tr>
        <w:trPr>
          <w:trHeight w:val="199"/>
        </w:trPr>
        <w:tc>
          <w:tcPr>
            <w:tcW w:w="38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38" w:orient="portrait"/>
          <w:cols w:equalWidth="0" w:num="1">
            <w:col w:w="11340"/>
          </w:cols>
          <w:pgMar w:left="320" w:top="781"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2025-07-31T15:28:24Z</dcterms:created>
  <dcterms:modified xsi:type="dcterms:W3CDTF">2025-07-31T15:28:24Z</dcterms:modified>
</cp:coreProperties>
</file>