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807720</wp:posOffset>
            </wp:positionH>
            <wp:positionV relativeFrom="paragraph">
              <wp:posOffset>180975</wp:posOffset>
            </wp:positionV>
            <wp:extent cx="55594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UNITED STATES</w:t>
      </w:r>
    </w:p>
    <w:p>
      <w:pPr>
        <w:spacing w:after="0" w:line="13"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1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807720</wp:posOffset>
            </wp:positionH>
            <wp:positionV relativeFrom="paragraph">
              <wp:posOffset>131445</wp:posOffset>
            </wp:positionV>
            <wp:extent cx="55594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pacing w:after="0" w:line="346"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SCHEDULE 14A</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Proxy Statement Pursuant to Section 14(a) of the</w:t>
      </w:r>
    </w:p>
    <w:p>
      <w:pPr>
        <w:spacing w:after="0" w:line="13"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807720</wp:posOffset>
            </wp:positionH>
            <wp:positionV relativeFrom="paragraph">
              <wp:posOffset>128905</wp:posOffset>
            </wp:positionV>
            <wp:extent cx="55594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59425" cy="6985"/>
                    </a:xfrm>
                    <a:prstGeom prst="rect">
                      <a:avLst/>
                    </a:prstGeom>
                    <a:noFill/>
                  </pic:spPr>
                </pic:pic>
              </a:graphicData>
            </a:graphic>
          </wp:anchor>
        </w:drawing>
      </w:r>
    </w:p>
    <w:p>
      <w:pPr>
        <w:spacing w:after="0" w:line="326" w:lineRule="exact"/>
        <w:rPr>
          <w:sz w:val="24"/>
          <w:szCs w:val="24"/>
          <w:color w:val="auto"/>
        </w:rPr>
      </w:pPr>
    </w:p>
    <w:p>
      <w:pPr>
        <w:ind w:left="1260"/>
        <w:spacing w:after="0" w:line="150" w:lineRule="exact"/>
        <w:tabs>
          <w:tab w:leader="none" w:pos="3660" w:val="left"/>
        </w:tabs>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sz w:val="20"/>
          <w:szCs w:val="20"/>
          <w:color w:val="auto"/>
        </w:rPr>
        <w:tab/>
      </w: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212" w:lineRule="exact"/>
        <w:rPr>
          <w:sz w:val="24"/>
          <w:szCs w:val="24"/>
          <w:color w:val="auto"/>
        </w:rPr>
      </w:pPr>
    </w:p>
    <w:p>
      <w:pPr>
        <w:ind w:left="1260"/>
        <w:spacing w:after="0"/>
        <w:rPr>
          <w:sz w:val="20"/>
          <w:szCs w:val="20"/>
          <w:color w:val="auto"/>
        </w:rPr>
      </w:pPr>
      <w:r>
        <w:rPr>
          <w:rFonts w:ascii="Arial" w:cs="Arial" w:eastAsia="Arial" w:hAnsi="Arial"/>
          <w:sz w:val="13"/>
          <w:szCs w:val="13"/>
          <w:color w:val="auto"/>
        </w:rPr>
        <w:t>Check the appropriate box:</w:t>
      </w:r>
    </w:p>
    <w:p>
      <w:pPr>
        <w:spacing w:after="0" w:line="205" w:lineRule="exact"/>
        <w:rPr>
          <w:sz w:val="24"/>
          <w:szCs w:val="24"/>
          <w:color w:val="auto"/>
        </w:rPr>
      </w:pPr>
    </w:p>
    <w:p>
      <w:pPr>
        <w:ind w:left="1800" w:hanging="533"/>
        <w:spacing w:after="0"/>
        <w:tabs>
          <w:tab w:leader="none" w:pos="18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183" w:lineRule="exact"/>
        <w:rPr>
          <w:rFonts w:ascii="MS PGothic" w:cs="MS PGothic" w:eastAsia="MS PGothic" w:hAnsi="MS PGothic"/>
          <w:sz w:val="13"/>
          <w:szCs w:val="13"/>
          <w:color w:val="auto"/>
        </w:rPr>
      </w:pPr>
    </w:p>
    <w:p>
      <w:pPr>
        <w:ind w:left="1800" w:hanging="533"/>
        <w:spacing w:after="0"/>
        <w:tabs>
          <w:tab w:leader="none" w:pos="18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Confidential, For Use of the Commission Only (as permitted by Rule 14a-6(e)(2))</w:t>
      </w:r>
    </w:p>
    <w:p>
      <w:pPr>
        <w:spacing w:after="0" w:line="183" w:lineRule="exact"/>
        <w:rPr>
          <w:sz w:val="24"/>
          <w:szCs w:val="24"/>
          <w:color w:val="auto"/>
        </w:rPr>
      </w:pPr>
    </w:p>
    <w:p>
      <w:pPr>
        <w:ind w:left="1800" w:hanging="533"/>
        <w:spacing w:after="0"/>
        <w:tabs>
          <w:tab w:leader="none" w:pos="180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183" w:lineRule="exact"/>
        <w:rPr>
          <w:sz w:val="24"/>
          <w:szCs w:val="24"/>
          <w:color w:val="auto"/>
        </w:rPr>
      </w:pPr>
    </w:p>
    <w:p>
      <w:pPr>
        <w:ind w:left="1800" w:hanging="533"/>
        <w:spacing w:after="0"/>
        <w:tabs>
          <w:tab w:leader="none" w:pos="180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183" w:lineRule="exact"/>
        <w:rPr>
          <w:rFonts w:ascii="MS PGothic" w:cs="MS PGothic" w:eastAsia="MS PGothic" w:hAnsi="MS PGothic"/>
          <w:sz w:val="13"/>
          <w:szCs w:val="13"/>
          <w:color w:val="auto"/>
        </w:rPr>
      </w:pPr>
    </w:p>
    <w:p>
      <w:pPr>
        <w:ind w:left="1800" w:hanging="533"/>
        <w:spacing w:after="0"/>
        <w:tabs>
          <w:tab w:leader="none" w:pos="180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Soliciting Material under § 240.14a-12</w:t>
      </w:r>
    </w:p>
    <w:p>
      <w:pPr>
        <w:spacing w:after="0" w:line="160"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WYNN RESORTS, LIMITED</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160" w:lineRule="exact"/>
        <w:rPr>
          <w:sz w:val="24"/>
          <w:szCs w:val="24"/>
          <w:color w:val="auto"/>
        </w:rPr>
      </w:pPr>
    </w:p>
    <w:p>
      <w:pPr>
        <w:ind w:left="344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84" w:lineRule="exact"/>
        <w:rPr>
          <w:sz w:val="24"/>
          <w:szCs w:val="24"/>
          <w:color w:val="auto"/>
        </w:rPr>
      </w:pPr>
    </w:p>
    <w:p>
      <w:pPr>
        <w:ind w:left="1260"/>
        <w:spacing w:after="0"/>
        <w:rPr>
          <w:sz w:val="20"/>
          <w:szCs w:val="20"/>
          <w:color w:val="auto"/>
        </w:rPr>
      </w:pPr>
      <w:r>
        <w:rPr>
          <w:rFonts w:ascii="Arial" w:cs="Arial" w:eastAsia="Arial" w:hAnsi="Arial"/>
          <w:sz w:val="13"/>
          <w:szCs w:val="13"/>
          <w:color w:val="auto"/>
        </w:rPr>
        <w:t>Payment of Filing Fee (Check the appropriate box):</w:t>
      </w:r>
    </w:p>
    <w:p>
      <w:pPr>
        <w:spacing w:after="0" w:line="172" w:lineRule="exact"/>
        <w:rPr>
          <w:sz w:val="24"/>
          <w:szCs w:val="24"/>
          <w:color w:val="auto"/>
        </w:rPr>
      </w:pPr>
    </w:p>
    <w:p>
      <w:pPr>
        <w:ind w:left="1800" w:hanging="533"/>
        <w:spacing w:after="0"/>
        <w:tabs>
          <w:tab w:leader="none" w:pos="180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83" w:lineRule="exact"/>
        <w:rPr>
          <w:sz w:val="24"/>
          <w:szCs w:val="24"/>
          <w:color w:val="auto"/>
        </w:rPr>
      </w:pPr>
    </w:p>
    <w:p>
      <w:pPr>
        <w:ind w:left="1800" w:hanging="533"/>
        <w:spacing w:after="0"/>
        <w:tabs>
          <w:tab w:leader="none" w:pos="180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183" w:lineRule="exact"/>
        <w:rPr>
          <w:rFonts w:ascii="MS PGothic" w:cs="MS PGothic" w:eastAsia="MS PGothic" w:hAnsi="MS PGothic"/>
          <w:sz w:val="13"/>
          <w:szCs w:val="13"/>
          <w:color w:val="auto"/>
        </w:rPr>
      </w:pPr>
    </w:p>
    <w:p>
      <w:pPr>
        <w:ind w:left="1800" w:hanging="533"/>
        <w:spacing w:after="0"/>
        <w:tabs>
          <w:tab w:leader="none" w:pos="180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computed on table in exhibit required by Item 25(b) per Exchange Act Rules 14a-6(a)(I) and 0-11.</w:t>
      </w:r>
    </w:p>
    <w:p>
      <w:pPr>
        <w:sectPr>
          <w:pgSz w:w="11900" w:h="16838" w:orient="portrait"/>
          <w:cols w:equalWidth="0" w:num="1">
            <w:col w:w="10159"/>
          </w:cols>
          <w:pgMar w:left="300" w:top="2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722620" cy="7357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22620" cy="7357745"/>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722620" cy="7357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22620" cy="7357745"/>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3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36"/>
          <w:szCs w:val="36"/>
          <w:color w:val="auto"/>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-109220</wp:posOffset>
            </wp:positionV>
            <wp:extent cx="844550" cy="1090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4550" cy="1090295"/>
                    </a:xfrm>
                    <a:prstGeom prst="rect">
                      <a:avLst/>
                    </a:prstGeom>
                    <a:noFill/>
                  </pic:spPr>
                </pic:pic>
              </a:graphicData>
            </a:graphic>
          </wp:anchor>
        </w:drawing>
      </w:r>
    </w:p>
    <w:p>
      <w:pPr>
        <w:spacing w:after="0" w:line="243" w:lineRule="exact"/>
        <w:rPr>
          <w:sz w:val="20"/>
          <w:szCs w:val="20"/>
          <w:color w:val="auto"/>
        </w:rPr>
      </w:pPr>
    </w:p>
    <w:p>
      <w:pPr>
        <w:ind w:left="3900" w:right="199"/>
        <w:spacing w:after="0" w:line="242" w:lineRule="auto"/>
        <w:rPr>
          <w:sz w:val="20"/>
          <w:szCs w:val="20"/>
          <w:color w:val="auto"/>
        </w:rPr>
      </w:pPr>
      <w:r>
        <w:rPr>
          <w:rFonts w:ascii="Arial" w:cs="Arial" w:eastAsia="Arial" w:hAnsi="Arial"/>
          <w:sz w:val="14"/>
          <w:szCs w:val="14"/>
          <w:color w:val="auto"/>
        </w:rPr>
        <w:t>At Wynn Resorts, we have always believed that a robust culture is not a byproduct of success— it is the engine of it. In 2025, that belief was validated once again, as our deeply held</w:t>
      </w:r>
    </w:p>
    <w:p>
      <w:pPr>
        <w:ind w:left="3900" w:right="619"/>
        <w:spacing w:after="0" w:line="261" w:lineRule="auto"/>
        <w:rPr>
          <w:sz w:val="20"/>
          <w:szCs w:val="20"/>
          <w:color w:val="auto"/>
        </w:rPr>
      </w:pPr>
      <w:r>
        <w:rPr>
          <w:rFonts w:ascii="Arial" w:cs="Arial" w:eastAsia="Arial" w:hAnsi="Arial"/>
          <w:sz w:val="14"/>
          <w:szCs w:val="14"/>
          <w:color w:val="auto"/>
        </w:rPr>
        <w:t>commitment to exceptional guest experiences translated directly into financial results that continue to distinguish us from our peers.</w:t>
      </w:r>
    </w:p>
    <w:p>
      <w:pPr>
        <w:spacing w:after="0" w:line="140"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What sets Wynn apart is not simply the elegance of our resorts or the high quality of our</w:t>
      </w:r>
    </w:p>
    <w:p>
      <w:pPr>
        <w:spacing w:after="0" w:line="14" w:lineRule="exact"/>
        <w:rPr>
          <w:sz w:val="20"/>
          <w:szCs w:val="20"/>
          <w:color w:val="auto"/>
        </w:rPr>
      </w:pPr>
    </w:p>
    <w:p>
      <w:pPr>
        <w:ind w:left="3900" w:right="159"/>
        <w:spacing w:after="0" w:line="231" w:lineRule="auto"/>
        <w:rPr>
          <w:sz w:val="20"/>
          <w:szCs w:val="20"/>
          <w:color w:val="auto"/>
        </w:rPr>
      </w:pPr>
      <w:r>
        <w:rPr>
          <w:rFonts w:ascii="Arial" w:cs="Arial" w:eastAsia="Arial" w:hAnsi="Arial"/>
          <w:sz w:val="14"/>
          <w:szCs w:val="14"/>
          <w:color w:val="auto"/>
        </w:rPr>
        <w:t>amenities—it is the relentless, service-driven dedication of our people. From the moment a guest arrives in one of our floral atriums to the time a bellman waves goodbye, every interaction is an</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opportunity to exceed an expectation. That standard is not imposed from above; it is woven into</w:t>
      </w:r>
    </w:p>
    <w:p>
      <w:pPr>
        <w:ind w:left="3900" w:right="479"/>
        <w:spacing w:after="0" w:line="231" w:lineRule="auto"/>
        <w:rPr>
          <w:sz w:val="20"/>
          <w:szCs w:val="20"/>
          <w:color w:val="auto"/>
        </w:rPr>
      </w:pPr>
      <w:r>
        <w:rPr>
          <w:rFonts w:ascii="Arial" w:cs="Arial" w:eastAsia="Arial" w:hAnsi="Arial"/>
          <w:sz w:val="14"/>
          <w:szCs w:val="14"/>
          <w:color w:val="auto"/>
        </w:rPr>
        <w:t>the fabric of who we are. Our team members at every level share a genuine passion for hospitality that no competitor can easily replicate. Culture, in this sense, is our most durable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competitive advantage.</w:t>
      </w:r>
    </w:p>
    <w:p>
      <w:pPr>
        <w:spacing w:after="0" w:line="179" w:lineRule="exact"/>
        <w:rPr>
          <w:sz w:val="20"/>
          <w:szCs w:val="20"/>
          <w:color w:val="auto"/>
        </w:rPr>
      </w:pPr>
    </w:p>
    <w:p>
      <w:pPr>
        <w:ind w:left="3900" w:right="279"/>
        <w:spacing w:after="0" w:line="242" w:lineRule="auto"/>
        <w:rPr>
          <w:sz w:val="20"/>
          <w:szCs w:val="20"/>
          <w:color w:val="auto"/>
        </w:rPr>
      </w:pPr>
      <w:r>
        <w:rPr>
          <w:rFonts w:ascii="Arial" w:cs="Arial" w:eastAsia="Arial" w:hAnsi="Arial"/>
          <w:sz w:val="14"/>
          <w:szCs w:val="14"/>
          <w:color w:val="auto"/>
        </w:rPr>
        <w:t>This commitment to excellence produced remarkable results in 2025. We generated net revenues of $7.1 billion and Adjusted Property EBITDAR of $2.2 billion, resulting in a margin of</w:t>
      </w:r>
    </w:p>
    <w:p>
      <w:pPr>
        <w:ind w:left="3900"/>
        <w:spacing w:after="0"/>
        <w:rPr>
          <w:sz w:val="20"/>
          <w:szCs w:val="20"/>
          <w:color w:val="auto"/>
        </w:rPr>
      </w:pPr>
      <w:r>
        <w:rPr>
          <w:rFonts w:ascii="Arial" w:cs="Arial" w:eastAsia="Arial" w:hAnsi="Arial"/>
          <w:sz w:val="14"/>
          <w:szCs w:val="14"/>
          <w:color w:val="auto"/>
        </w:rPr>
        <w:t>31.2 percent across our portfolio. The market recognized what our guests already know: Forbes</w:t>
      </w:r>
    </w:p>
    <w:p>
      <w:pPr>
        <w:ind w:left="3900" w:right="179"/>
        <w:spacing w:after="0" w:line="245" w:lineRule="auto"/>
        <w:rPr>
          <w:sz w:val="20"/>
          <w:szCs w:val="20"/>
          <w:color w:val="auto"/>
        </w:rPr>
      </w:pPr>
      <w:r>
        <w:rPr>
          <w:rFonts w:ascii="Arial" w:cs="Arial" w:eastAsia="Arial" w:hAnsi="Arial"/>
          <w:sz w:val="14"/>
          <w:szCs w:val="14"/>
          <w:color w:val="auto"/>
        </w:rPr>
        <w:t>Travel Guide awarded us 18 Five-Star Awards and Fortune Magazine once again named us one of its Most Admired Companies.</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We also continued to reward our shareholders, maintaining our quarterly dividend of $0.25 per</w:t>
      </w:r>
    </w:p>
    <w:p>
      <w:pPr>
        <w:spacing w:after="0" w:line="14" w:lineRule="exact"/>
        <w:rPr>
          <w:sz w:val="20"/>
          <w:szCs w:val="20"/>
          <w:color w:val="auto"/>
        </w:rPr>
      </w:pPr>
    </w:p>
    <w:p>
      <w:pPr>
        <w:ind w:left="3900" w:right="539"/>
        <w:spacing w:after="0" w:line="245" w:lineRule="auto"/>
        <w:rPr>
          <w:sz w:val="20"/>
          <w:szCs w:val="20"/>
          <w:color w:val="auto"/>
        </w:rPr>
      </w:pPr>
      <w:r>
        <w:rPr>
          <w:rFonts w:ascii="Arial" w:cs="Arial" w:eastAsia="Arial" w:hAnsi="Arial"/>
          <w:sz w:val="14"/>
          <w:szCs w:val="14"/>
          <w:color w:val="auto"/>
        </w:rPr>
        <w:t>share and repurchasing $358 million of shares, representing approximately 4.2% of shares outstanding.</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These numbers do not happen by accident. They are the direct consequence of a culture that</w:t>
      </w:r>
    </w:p>
    <w:p>
      <w:pPr>
        <w:spacing w:after="0" w:line="14" w:lineRule="exact"/>
        <w:rPr>
          <w:sz w:val="20"/>
          <w:szCs w:val="20"/>
          <w:color w:val="auto"/>
        </w:rPr>
      </w:pPr>
    </w:p>
    <w:p>
      <w:pPr>
        <w:ind w:left="3900" w:right="139"/>
        <w:spacing w:after="0" w:line="231" w:lineRule="auto"/>
        <w:rPr>
          <w:sz w:val="20"/>
          <w:szCs w:val="20"/>
          <w:color w:val="auto"/>
        </w:rPr>
      </w:pPr>
      <w:r>
        <w:rPr>
          <w:rFonts w:ascii="Arial" w:cs="Arial" w:eastAsia="Arial" w:hAnsi="Arial"/>
          <w:sz w:val="14"/>
          <w:szCs w:val="14"/>
          <w:color w:val="auto"/>
        </w:rPr>
        <w:t>asks every employee to take personal ownership of the guest experience and to approach their work with artistry and intention. When our guests feel that difference—and they consistently do—</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they return and they tell others. The financial results, as we often say, speak for themselves.</w:t>
      </w:r>
    </w:p>
    <w:p>
      <w:pPr>
        <w:spacing w:after="0" w:line="179" w:lineRule="exact"/>
        <w:rPr>
          <w:sz w:val="20"/>
          <w:szCs w:val="20"/>
          <w:color w:val="auto"/>
        </w:rPr>
      </w:pPr>
    </w:p>
    <w:p>
      <w:pPr>
        <w:ind w:left="3900" w:right="379"/>
        <w:spacing w:after="0" w:line="242" w:lineRule="auto"/>
        <w:rPr>
          <w:sz w:val="20"/>
          <w:szCs w:val="20"/>
          <w:color w:val="auto"/>
        </w:rPr>
      </w:pPr>
      <w:r>
        <w:rPr>
          <w:rFonts w:ascii="Arial" w:cs="Arial" w:eastAsia="Arial" w:hAnsi="Arial"/>
          <w:sz w:val="14"/>
          <w:szCs w:val="14"/>
          <w:color w:val="auto"/>
        </w:rPr>
        <w:t>The Board and I remain fully committed to our success and believe our future continues to be bright with the right team in place to successfully execute on both the opportunities and</w:t>
      </w:r>
    </w:p>
    <w:p>
      <w:pPr>
        <w:ind w:left="3900"/>
        <w:spacing w:after="0"/>
        <w:rPr>
          <w:sz w:val="20"/>
          <w:szCs w:val="20"/>
          <w:color w:val="auto"/>
        </w:rPr>
      </w:pPr>
      <w:r>
        <w:rPr>
          <w:rFonts w:ascii="Arial" w:cs="Arial" w:eastAsia="Arial" w:hAnsi="Arial"/>
          <w:sz w:val="14"/>
          <w:szCs w:val="14"/>
          <w:color w:val="auto"/>
        </w:rPr>
        <w:t>challenges that lie ahead. On behalf of the entire Board, I want to thank our team members</w:t>
      </w:r>
    </w:p>
    <w:p>
      <w:pPr>
        <w:ind w:left="3900" w:right="279"/>
        <w:spacing w:after="0" w:line="245" w:lineRule="auto"/>
        <w:rPr>
          <w:sz w:val="20"/>
          <w:szCs w:val="20"/>
          <w:color w:val="auto"/>
        </w:rPr>
      </w:pPr>
      <w:r>
        <w:rPr>
          <w:rFonts w:ascii="Arial" w:cs="Arial" w:eastAsia="Arial" w:hAnsi="Arial"/>
          <w:sz w:val="14"/>
          <w:szCs w:val="14"/>
          <w:color w:val="auto"/>
        </w:rPr>
        <w:t>across the globe, whose dedication makes Wynn what it is, and thank you to our shareholders, whose continued trust and confidence in the Board inspires us every day.</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138430</wp:posOffset>
            </wp:positionV>
            <wp:extent cx="1260475" cy="449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0475" cy="44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Philip G. Satre</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Chair of the Board of Directors</w:t>
      </w:r>
    </w:p>
    <w:p>
      <w:pPr>
        <w:sectPr>
          <w:pgSz w:w="11900" w:h="16838" w:orient="portrait"/>
          <w:cols w:equalWidth="0" w:num="1">
            <w:col w:w="10159"/>
          </w:cols>
          <w:pgMar w:left="300" w:top="4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3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36"/>
          <w:szCs w:val="36"/>
          <w:color w:val="auto"/>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-143510</wp:posOffset>
            </wp:positionV>
            <wp:extent cx="878840" cy="1158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78840" cy="1158240"/>
                    </a:xfrm>
                    <a:prstGeom prst="rect">
                      <a:avLst/>
                    </a:prstGeom>
                    <a:noFill/>
                  </pic:spPr>
                </pic:pic>
              </a:graphicData>
            </a:graphic>
          </wp:anchor>
        </w:drawing>
      </w:r>
    </w:p>
    <w:p>
      <w:pPr>
        <w:spacing w:after="0" w:line="125" w:lineRule="exact"/>
        <w:rPr>
          <w:sz w:val="20"/>
          <w:szCs w:val="20"/>
          <w:color w:val="auto"/>
        </w:rPr>
      </w:pPr>
    </w:p>
    <w:p>
      <w:pPr>
        <w:ind w:left="3900" w:right="179"/>
        <w:spacing w:after="0" w:line="248" w:lineRule="auto"/>
        <w:rPr>
          <w:sz w:val="20"/>
          <w:szCs w:val="20"/>
          <w:color w:val="auto"/>
        </w:rPr>
      </w:pPr>
      <w:r>
        <w:rPr>
          <w:rFonts w:ascii="Arial" w:cs="Arial" w:eastAsia="Arial" w:hAnsi="Arial"/>
          <w:sz w:val="14"/>
          <w:szCs w:val="14"/>
          <w:color w:val="auto"/>
        </w:rPr>
        <w:t>Growth is critical to the long-term success of any great company. But how you grow matters every bit as much as the fact that you are growing. At Wynn Resorts, we are pursuing significant growth, in new markets and in our existing properties, with a deep commitment to protecting our culture and our brand. Growing ambitiously while staying true to who we are requires discipline, a relentless focus on our core customer segment and an uncompromising focus on what makes Wynn, Wynn.</w:t>
      </w:r>
    </w:p>
    <w:p>
      <w:pPr>
        <w:spacing w:after="0" w:line="161" w:lineRule="exact"/>
        <w:rPr>
          <w:sz w:val="20"/>
          <w:szCs w:val="20"/>
          <w:color w:val="auto"/>
        </w:rPr>
      </w:pPr>
    </w:p>
    <w:p>
      <w:pPr>
        <w:ind w:left="3900" w:right="179"/>
        <w:spacing w:after="0" w:line="245" w:lineRule="auto"/>
        <w:rPr>
          <w:sz w:val="20"/>
          <w:szCs w:val="20"/>
          <w:color w:val="auto"/>
        </w:rPr>
      </w:pPr>
      <w:r>
        <w:rPr>
          <w:rFonts w:ascii="Arial" w:cs="Arial" w:eastAsia="Arial" w:hAnsi="Arial"/>
          <w:sz w:val="14"/>
          <w:szCs w:val="14"/>
          <w:color w:val="auto"/>
        </w:rPr>
        <w:t>Our ability to execute “on-brand” growth always starts with our people, the single most important element of our business. In operations, delivering the Wynn experience requires individuals who bring not only skill and professionalism, but also a genuine sense of caring for others paired with an entrepreneurial spirit that drives them to exceed expectations. It is that rare combination of empathy and initiative that allows our resorts to create the moments that our guests remember forever. Many of the individuals best positioned to deliver these experiences have been with us for many years. It is therefore important to “seed” new developments with seasoned members of the Wynn team.</w:t>
      </w:r>
    </w:p>
    <w:p>
      <w:pPr>
        <w:spacing w:after="0" w:line="166" w:lineRule="exact"/>
        <w:rPr>
          <w:sz w:val="20"/>
          <w:szCs w:val="20"/>
          <w:color w:val="auto"/>
        </w:rPr>
      </w:pPr>
    </w:p>
    <w:p>
      <w:pPr>
        <w:ind w:left="3900" w:right="179"/>
        <w:spacing w:after="0" w:line="248" w:lineRule="auto"/>
        <w:rPr>
          <w:sz w:val="20"/>
          <w:szCs w:val="20"/>
          <w:color w:val="auto"/>
        </w:rPr>
      </w:pPr>
      <w:r>
        <w:rPr>
          <w:rFonts w:ascii="Arial" w:cs="Arial" w:eastAsia="Arial" w:hAnsi="Arial"/>
          <w:sz w:val="14"/>
          <w:szCs w:val="14"/>
          <w:color w:val="auto"/>
        </w:rPr>
        <w:t>On the design and development side, we are fortunate to have our in-house team at Wynn Design and Development (WDD), a group of more than 200 professionals who deeply understand our DNA. Working closely with me, WDD has the privilege and the pressure of interpreting our legacy and the opportunities for evolution in new developments. Maintaining and nurturing this team is fundamentally different from outsourcing design on a project-by-project basis, and it is a meaningful competitive advantage for Wynn Resorts.</w:t>
      </w:r>
    </w:p>
    <w:p>
      <w:pPr>
        <w:spacing w:after="0" w:line="161" w:lineRule="exact"/>
        <w:rPr>
          <w:sz w:val="20"/>
          <w:szCs w:val="20"/>
          <w:color w:val="auto"/>
        </w:rPr>
      </w:pPr>
    </w:p>
    <w:p>
      <w:pPr>
        <w:ind w:left="3900" w:right="259"/>
        <w:spacing w:after="0" w:line="248" w:lineRule="auto"/>
        <w:rPr>
          <w:sz w:val="20"/>
          <w:szCs w:val="20"/>
          <w:color w:val="auto"/>
        </w:rPr>
      </w:pPr>
      <w:r>
        <w:rPr>
          <w:rFonts w:ascii="Arial" w:cs="Arial" w:eastAsia="Arial" w:hAnsi="Arial"/>
          <w:sz w:val="14"/>
          <w:szCs w:val="14"/>
          <w:color w:val="auto"/>
        </w:rPr>
        <w:t>Nowhere is this strategy of “on-brand” growth more evident than in the planning for Wynn Al Marjan Island, our development in the United Arab Emirates. Each aspect of the property is carefully considered and represents the next iteration of Wynn design. The operations team, some 300 strong now, is a carefully composed group of legacy Wynn leaders and new team members with regional and local experience. Together, they will deliver the Wynn experience to an entirely new market.</w:t>
      </w:r>
    </w:p>
    <w:p>
      <w:pPr>
        <w:spacing w:after="0" w:line="161" w:lineRule="exact"/>
        <w:rPr>
          <w:sz w:val="20"/>
          <w:szCs w:val="20"/>
          <w:color w:val="auto"/>
        </w:rPr>
      </w:pPr>
    </w:p>
    <w:p>
      <w:pPr>
        <w:ind w:left="3900" w:right="159"/>
        <w:spacing w:after="0" w:line="248" w:lineRule="auto"/>
        <w:rPr>
          <w:sz w:val="20"/>
          <w:szCs w:val="20"/>
          <w:color w:val="auto"/>
        </w:rPr>
      </w:pPr>
      <w:r>
        <w:rPr>
          <w:rFonts w:ascii="Arial" w:cs="Arial" w:eastAsia="Arial" w:hAnsi="Arial"/>
          <w:sz w:val="14"/>
          <w:szCs w:val="14"/>
          <w:color w:val="auto"/>
        </w:rPr>
        <w:t>As we expand our global presence, we remain vigilant in protecting and preserving the culture and brand that define Wynn Resorts. Growth will never come at the expense of our standards. Whether a guest walks through the doors of Wynn Las Vegas, Encore Boston Harbor, Wynn Palace, Wynn Macau, or soon Wynn Al Marjan Island, they will encounter the same hallmarks of excellence in design and service that have set us apart from the beginning. That is a promise we take seriously—and one we will keep, without exception.</w:t>
      </w:r>
    </w:p>
    <w:p>
      <w:pPr>
        <w:spacing w:after="0" w:line="161" w:lineRule="exact"/>
        <w:rPr>
          <w:sz w:val="20"/>
          <w:szCs w:val="20"/>
          <w:color w:val="auto"/>
        </w:rPr>
      </w:pPr>
    </w:p>
    <w:p>
      <w:pPr>
        <w:ind w:left="3900" w:right="239"/>
        <w:spacing w:after="0" w:line="282" w:lineRule="auto"/>
        <w:rPr>
          <w:sz w:val="20"/>
          <w:szCs w:val="20"/>
          <w:color w:val="auto"/>
        </w:rPr>
      </w:pPr>
      <w:r>
        <w:rPr>
          <w:rFonts w:ascii="Arial" w:cs="Arial" w:eastAsia="Arial" w:hAnsi="Arial"/>
          <w:sz w:val="14"/>
          <w:szCs w:val="14"/>
          <w:color w:val="auto"/>
        </w:rPr>
        <w:t>I thank you for your continued support of Wynn Resorts, and I encourage you to vote in favor of the items described in this proxy statement.</w:t>
      </w:r>
    </w:p>
    <w:p>
      <w:pPr>
        <w:spacing w:after="0" w:line="137"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132080</wp:posOffset>
            </wp:positionV>
            <wp:extent cx="1457960"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Craig Billings</w:t>
      </w:r>
    </w:p>
    <w:p>
      <w:pPr>
        <w:spacing w:after="0" w:line="14"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0159"/>
          </w:cols>
          <w:pgMar w:left="300" w:top="41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31" w:lineRule="exact"/>
        <w:rPr>
          <w:sz w:val="20"/>
          <w:szCs w:val="20"/>
          <w:color w:val="auto"/>
        </w:rPr>
      </w:pPr>
    </w:p>
    <w:p>
      <w:pPr>
        <w:ind w:left="1260" w:right="159"/>
        <w:spacing w:after="0" w:line="270" w:lineRule="auto"/>
        <w:rPr>
          <w:sz w:val="20"/>
          <w:szCs w:val="20"/>
          <w:color w:val="auto"/>
        </w:rPr>
      </w:pPr>
      <w:r>
        <w:rPr>
          <w:rFonts w:ascii="Times New Roman" w:cs="Times New Roman" w:eastAsia="Times New Roman" w:hAnsi="Times New Roman"/>
          <w:sz w:val="36"/>
          <w:szCs w:val="36"/>
          <w:i w:val="1"/>
          <w:iCs w:val="1"/>
          <w:color w:val="auto"/>
        </w:rPr>
        <w:t xml:space="preserve">Notice of </w:t>
      </w:r>
      <w:r>
        <w:rPr>
          <w:rFonts w:ascii="Times New Roman" w:cs="Times New Roman" w:eastAsia="Times New Roman" w:hAnsi="Times New Roman"/>
          <w:sz w:val="36"/>
          <w:szCs w:val="36"/>
          <w:color w:val="auto"/>
        </w:rPr>
        <w:t>the 2026 Annual Meeting of Shareholders of Wynn</w:t>
      </w:r>
      <w:r>
        <w:rPr>
          <w:rFonts w:ascii="Times New Roman" w:cs="Times New Roman" w:eastAsia="Times New Roman" w:hAnsi="Times New Roman"/>
          <w:sz w:val="36"/>
          <w:szCs w:val="36"/>
          <w:i w:val="1"/>
          <w:iCs w:val="1"/>
          <w:color w:val="auto"/>
        </w:rPr>
        <w:t xml:space="preserve"> </w:t>
      </w:r>
      <w:r>
        <w:rPr>
          <w:rFonts w:ascii="Times New Roman" w:cs="Times New Roman" w:eastAsia="Times New Roman" w:hAnsi="Times New Roman"/>
          <w:sz w:val="36"/>
          <w:szCs w:val="36"/>
          <w:color w:val="auto"/>
        </w:rPr>
        <w:t>Resorts, Limited</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2026 Annual Meeting of Shareholders (“Annual Meeting”) of Wynn Resorts, Limited (the “Company”) will be held as follows:</w:t>
      </w:r>
    </w:p>
    <w:p>
      <w:pPr>
        <w:spacing w:after="0" w:line="129"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2080" w:type="dxa"/>
            <w:vAlign w:val="bottom"/>
            <w:shd w:val="clear" w:color="auto" w:fill="B9AFA0"/>
          </w:tcPr>
          <w:p>
            <w:pPr>
              <w:ind w:left="80"/>
              <w:spacing w:after="0"/>
              <w:rPr>
                <w:sz w:val="20"/>
                <w:szCs w:val="20"/>
                <w:color w:val="auto"/>
              </w:rPr>
            </w:pPr>
            <w:r>
              <w:rPr>
                <w:rFonts w:ascii="Arial" w:cs="Arial" w:eastAsia="Arial" w:hAnsi="Arial"/>
                <w:sz w:val="13"/>
                <w:szCs w:val="13"/>
                <w:color w:val="FFFFFF"/>
              </w:rPr>
              <w:t>  DATE AND TIME:</w:t>
            </w:r>
          </w:p>
        </w:tc>
        <w:tc>
          <w:tcPr>
            <w:tcW w:w="120" w:type="dxa"/>
            <w:vAlign w:val="bottom"/>
          </w:tcPr>
          <w:p>
            <w:pPr>
              <w:spacing w:after="0"/>
              <w:rPr>
                <w:sz w:val="19"/>
                <w:szCs w:val="19"/>
                <w:color w:val="auto"/>
              </w:rPr>
            </w:pPr>
          </w:p>
        </w:tc>
        <w:tc>
          <w:tcPr>
            <w:tcW w:w="6540" w:type="dxa"/>
            <w:vAlign w:val="bottom"/>
            <w:shd w:val="clear" w:color="auto" w:fill="B9AFA0"/>
          </w:tcPr>
          <w:p>
            <w:pPr>
              <w:ind w:left="180"/>
              <w:spacing w:after="0"/>
              <w:rPr>
                <w:sz w:val="20"/>
                <w:szCs w:val="20"/>
                <w:color w:val="auto"/>
              </w:rPr>
            </w:pPr>
            <w:r>
              <w:rPr>
                <w:rFonts w:ascii="Arial" w:cs="Arial" w:eastAsia="Arial" w:hAnsi="Arial"/>
                <w:sz w:val="13"/>
                <w:szCs w:val="13"/>
                <w:color w:val="FFFFFF"/>
              </w:rPr>
              <w:t>PLACE:</w:t>
            </w:r>
          </w:p>
        </w:tc>
      </w:tr>
      <w:tr>
        <w:trPr>
          <w:trHeight w:val="181"/>
        </w:trPr>
        <w:tc>
          <w:tcPr>
            <w:tcW w:w="2080" w:type="dxa"/>
            <w:vAlign w:val="bottom"/>
            <w:shd w:val="clear" w:color="auto" w:fill="B9AFA0"/>
          </w:tcPr>
          <w:p>
            <w:pPr>
              <w:ind w:left="80"/>
              <w:spacing w:after="0"/>
              <w:rPr>
                <w:sz w:val="20"/>
                <w:szCs w:val="20"/>
                <w:color w:val="auto"/>
              </w:rPr>
            </w:pPr>
            <w:r>
              <w:rPr>
                <w:rFonts w:ascii="Arial" w:cs="Arial" w:eastAsia="Arial" w:hAnsi="Arial"/>
                <w:sz w:val="14"/>
                <w:szCs w:val="14"/>
                <w:color w:val="FFFFFF"/>
              </w:rPr>
              <w:t>  May 6, 2026</w:t>
            </w:r>
          </w:p>
        </w:tc>
        <w:tc>
          <w:tcPr>
            <w:tcW w:w="120" w:type="dxa"/>
            <w:vAlign w:val="bottom"/>
          </w:tcPr>
          <w:p>
            <w:pPr>
              <w:spacing w:after="0"/>
              <w:rPr>
                <w:sz w:val="15"/>
                <w:szCs w:val="15"/>
                <w:color w:val="auto"/>
              </w:rPr>
            </w:pPr>
          </w:p>
        </w:tc>
        <w:tc>
          <w:tcPr>
            <w:tcW w:w="6540" w:type="dxa"/>
            <w:vAlign w:val="bottom"/>
            <w:shd w:val="clear" w:color="auto" w:fill="B9AFA0"/>
          </w:tcPr>
          <w:p>
            <w:pPr>
              <w:ind w:left="180"/>
              <w:spacing w:after="0"/>
              <w:rPr>
                <w:sz w:val="20"/>
                <w:szCs w:val="20"/>
                <w:color w:val="auto"/>
              </w:rPr>
            </w:pPr>
            <w:r>
              <w:rPr>
                <w:rFonts w:ascii="Arial" w:cs="Arial" w:eastAsia="Arial" w:hAnsi="Arial"/>
                <w:sz w:val="14"/>
                <w:szCs w:val="14"/>
                <w:color w:val="FFFFFF"/>
              </w:rPr>
              <w:t>Virtual meeting conducted via live webcast accessed at this website:</w:t>
            </w:r>
          </w:p>
        </w:tc>
      </w:tr>
      <w:tr>
        <w:trPr>
          <w:trHeight w:val="189"/>
        </w:trPr>
        <w:tc>
          <w:tcPr>
            <w:tcW w:w="2080" w:type="dxa"/>
            <w:vAlign w:val="bottom"/>
            <w:shd w:val="clear" w:color="auto" w:fill="B9AFA0"/>
          </w:tcPr>
          <w:p>
            <w:pPr>
              <w:ind w:left="80"/>
              <w:spacing w:after="0"/>
              <w:rPr>
                <w:sz w:val="20"/>
                <w:szCs w:val="20"/>
                <w:color w:val="auto"/>
              </w:rPr>
            </w:pPr>
            <w:r>
              <w:rPr>
                <w:rFonts w:ascii="Arial" w:cs="Arial" w:eastAsia="Arial" w:hAnsi="Arial"/>
                <w:sz w:val="14"/>
                <w:szCs w:val="14"/>
                <w:color w:val="FFFFFF"/>
              </w:rPr>
              <w:t>  8:00 am PT</w:t>
            </w:r>
          </w:p>
        </w:tc>
        <w:tc>
          <w:tcPr>
            <w:tcW w:w="120" w:type="dxa"/>
            <w:vAlign w:val="bottom"/>
          </w:tcPr>
          <w:p>
            <w:pPr>
              <w:spacing w:after="0"/>
              <w:rPr>
                <w:sz w:val="16"/>
                <w:szCs w:val="16"/>
                <w:color w:val="auto"/>
              </w:rPr>
            </w:pPr>
          </w:p>
        </w:tc>
        <w:tc>
          <w:tcPr>
            <w:tcW w:w="6540" w:type="dxa"/>
            <w:vAlign w:val="bottom"/>
            <w:shd w:val="clear" w:color="auto" w:fill="B9AFA0"/>
          </w:tcPr>
          <w:p>
            <w:pPr>
              <w:ind w:left="180"/>
              <w:spacing w:after="0"/>
              <w:rPr>
                <w:sz w:val="20"/>
                <w:szCs w:val="20"/>
                <w:color w:val="auto"/>
              </w:rPr>
            </w:pPr>
            <w:r>
              <w:rPr>
                <w:rFonts w:ascii="Arial" w:cs="Arial" w:eastAsia="Arial" w:hAnsi="Arial"/>
                <w:sz w:val="14"/>
                <w:szCs w:val="14"/>
                <w:color w:val="FFFFFF"/>
              </w:rPr>
              <w:t>http://www.virtualshareholdermeeting.com/WYNN2026</w:t>
            </w:r>
          </w:p>
        </w:tc>
      </w:tr>
      <w:tr>
        <w:trPr>
          <w:trHeight w:val="51"/>
        </w:trPr>
        <w:tc>
          <w:tcPr>
            <w:tcW w:w="2080" w:type="dxa"/>
            <w:vAlign w:val="bottom"/>
            <w:shd w:val="clear" w:color="auto" w:fill="B9AFA0"/>
          </w:tcPr>
          <w:p>
            <w:pPr>
              <w:spacing w:after="0"/>
              <w:rPr>
                <w:sz w:val="4"/>
                <w:szCs w:val="4"/>
                <w:color w:val="auto"/>
              </w:rPr>
            </w:pPr>
          </w:p>
        </w:tc>
        <w:tc>
          <w:tcPr>
            <w:tcW w:w="120" w:type="dxa"/>
            <w:vAlign w:val="bottom"/>
          </w:tcPr>
          <w:p>
            <w:pPr>
              <w:spacing w:after="0"/>
              <w:rPr>
                <w:sz w:val="4"/>
                <w:szCs w:val="4"/>
                <w:color w:val="auto"/>
              </w:rPr>
            </w:pPr>
          </w:p>
        </w:tc>
        <w:tc>
          <w:tcPr>
            <w:tcW w:w="6540" w:type="dxa"/>
            <w:vAlign w:val="bottom"/>
            <w:shd w:val="clear" w:color="auto" w:fill="B9AFA0"/>
          </w:tcPr>
          <w:p>
            <w:pPr>
              <w:spacing w:after="0"/>
              <w:rPr>
                <w:sz w:val="4"/>
                <w:szCs w:val="4"/>
                <w:color w:val="auto"/>
              </w:rPr>
            </w:pPr>
          </w:p>
        </w:tc>
      </w:tr>
    </w:tbl>
    <w:p>
      <w:pPr>
        <w:spacing w:after="0" w:line="108" w:lineRule="exact"/>
        <w:rPr>
          <w:sz w:val="20"/>
          <w:szCs w:val="20"/>
          <w:color w:val="auto"/>
        </w:rPr>
      </w:pPr>
    </w:p>
    <w:p>
      <w:pPr>
        <w:ind w:left="1260" w:right="179"/>
        <w:spacing w:after="0" w:line="271" w:lineRule="auto"/>
        <w:rPr>
          <w:sz w:val="20"/>
          <w:szCs w:val="20"/>
          <w:color w:val="auto"/>
        </w:rPr>
      </w:pPr>
      <w:r>
        <w:rPr>
          <w:rFonts w:ascii="Arial" w:cs="Arial" w:eastAsia="Arial" w:hAnsi="Arial"/>
          <w:sz w:val="13"/>
          <w:szCs w:val="13"/>
          <w:color w:val="auto"/>
        </w:rPr>
        <w:t>The Board of Directors unanimously recommends that you vote as follows on each of the following proposals, which are more fully described in the Proxy Statement accompanying this Notice of Annual Meeting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78740</wp:posOffset>
            </wp:positionV>
            <wp:extent cx="5559425" cy="1205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9425" cy="120586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p>
      <w:pPr>
        <w:spacing w:after="0" w:line="306" w:lineRule="exact"/>
        <w:rPr>
          <w:sz w:val="20"/>
          <w:szCs w:val="20"/>
          <w:color w:val="auto"/>
        </w:rPr>
      </w:pPr>
    </w:p>
    <w:p>
      <w:pPr>
        <w:ind w:left="1320"/>
        <w:spacing w:after="0"/>
        <w:rPr>
          <w:sz w:val="20"/>
          <w:szCs w:val="20"/>
          <w:color w:val="auto"/>
        </w:rPr>
      </w:pPr>
      <w:r>
        <w:rPr>
          <w:rFonts w:ascii="Arial" w:cs="Arial" w:eastAsia="Arial" w:hAnsi="Arial"/>
          <w:sz w:val="13"/>
          <w:szCs w:val="13"/>
          <w:color w:val="FFFFFF"/>
        </w:rPr>
        <w:t>THE ANNUAL MEETING WILL BE HELD FOR THE FOLLOWING PURPOSES:</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1.    To elect three Class III directors to serve until the 2029 Annual Meeting of Shareholders</w:t>
      </w:r>
    </w:p>
    <w:p>
      <w:pPr>
        <w:spacing w:after="0" w:line="226" w:lineRule="exact"/>
        <w:rPr>
          <w:sz w:val="20"/>
          <w:szCs w:val="20"/>
          <w:color w:val="auto"/>
        </w:rPr>
      </w:pPr>
    </w:p>
    <w:p>
      <w:pPr>
        <w:ind w:left="1520" w:right="100" w:hanging="192"/>
        <w:spacing w:after="0" w:line="271" w:lineRule="auto"/>
        <w:rPr>
          <w:sz w:val="20"/>
          <w:szCs w:val="20"/>
          <w:color w:val="auto"/>
        </w:rPr>
      </w:pPr>
      <w:r>
        <w:rPr>
          <w:rFonts w:ascii="Arial" w:cs="Arial" w:eastAsia="Arial" w:hAnsi="Arial"/>
          <w:sz w:val="13"/>
          <w:szCs w:val="13"/>
          <w:color w:val="auto"/>
        </w:rPr>
        <w:t>2.   To ratify the appointment of Ernst &amp; Young LLP as our independent registered public accounting firm for the fiscal year ending December 31, 2026</w:t>
      </w:r>
    </w:p>
    <w:p>
      <w:pPr>
        <w:spacing w:after="0" w:line="38" w:lineRule="exact"/>
        <w:rPr>
          <w:sz w:val="20"/>
          <w:szCs w:val="20"/>
          <w:color w:val="auto"/>
        </w:rPr>
      </w:pPr>
    </w:p>
    <w:p>
      <w:pPr>
        <w:ind w:left="1520" w:hanging="192"/>
        <w:spacing w:after="0" w:line="271" w:lineRule="auto"/>
        <w:rPr>
          <w:sz w:val="20"/>
          <w:szCs w:val="20"/>
          <w:color w:val="auto"/>
        </w:rPr>
      </w:pPr>
      <w:r>
        <w:rPr>
          <w:rFonts w:ascii="Arial" w:cs="Arial" w:eastAsia="Arial" w:hAnsi="Arial"/>
          <w:sz w:val="13"/>
          <w:szCs w:val="13"/>
          <w:color w:val="auto"/>
        </w:rPr>
        <w:t>3.   To approve, on a non-binding advisory basis, the compensation of our named executive officers as described in the Proxy Statement</w:t>
      </w:r>
    </w:p>
    <w:p>
      <w:pPr>
        <w:spacing w:after="0" w:line="38" w:lineRule="exact"/>
        <w:rPr>
          <w:sz w:val="20"/>
          <w:szCs w:val="20"/>
          <w:color w:val="auto"/>
        </w:rPr>
      </w:pPr>
    </w:p>
    <w:p>
      <w:pPr>
        <w:ind w:left="1520" w:right="500" w:hanging="192"/>
        <w:spacing w:after="0" w:line="271" w:lineRule="auto"/>
        <w:rPr>
          <w:sz w:val="20"/>
          <w:szCs w:val="20"/>
          <w:color w:val="auto"/>
        </w:rPr>
      </w:pPr>
      <w:r>
        <w:rPr>
          <w:rFonts w:ascii="Arial" w:cs="Arial" w:eastAsia="Arial" w:hAnsi="Arial"/>
          <w:sz w:val="13"/>
          <w:szCs w:val="13"/>
          <w:color w:val="auto"/>
        </w:rPr>
        <w:t>4.   To approve an amendment and restatement of our amended and restated 2014 Omnibus Incentive Plan to increase the authorized shares by 3,000,000 shares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FFFFFF"/>
        </w:rPr>
        <w:t> </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FFFFFF"/>
        </w:rPr>
        <w:t>BOARD RECOMMENDATION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FOR EACH</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DIRECTOR NOMINEE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FOR</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FOR</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FOR</w:t>
      </w:r>
    </w:p>
    <w:p>
      <w:pPr>
        <w:spacing w:after="0" w:line="215" w:lineRule="exact"/>
        <w:rPr>
          <w:sz w:val="20"/>
          <w:szCs w:val="20"/>
          <w:color w:val="auto"/>
        </w:rPr>
      </w:pPr>
    </w:p>
    <w:p>
      <w:pPr>
        <w:sectPr>
          <w:pgSz w:w="11900" w:h="16838" w:orient="portrait"/>
          <w:cols w:equalWidth="0" w:num="2">
            <w:col w:w="8060" w:space="160"/>
            <w:col w:w="1939"/>
          </w:cols>
          <w:pgMar w:left="300" w:top="412" w:right="1440" w:bottom="1440" w:gutter="0" w:footer="0" w:header="0"/>
          <w:type w:val="continuous"/>
        </w:sectPr>
      </w:pPr>
    </w:p>
    <w:p>
      <w:pPr>
        <w:ind w:left="1260"/>
        <w:spacing w:after="0"/>
        <w:rPr>
          <w:sz w:val="20"/>
          <w:szCs w:val="20"/>
          <w:color w:val="auto"/>
        </w:rPr>
      </w:pPr>
      <w:r>
        <w:rPr>
          <w:rFonts w:ascii="Arial" w:cs="Arial" w:eastAsia="Arial" w:hAnsi="Arial"/>
          <w:sz w:val="13"/>
          <w:szCs w:val="13"/>
          <w:color w:val="auto"/>
        </w:rPr>
        <w:t>And to consider and transact such other business as may properly come before the Annual Meeting, or any adjournments or postponements thereof.</w:t>
      </w:r>
    </w:p>
    <w:p>
      <w:pPr>
        <w:spacing w:after="0" w:line="10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WHO CAN VOTE AND PARTICIPATE</w:t>
      </w:r>
    </w:p>
    <w:p>
      <w:pPr>
        <w:spacing w:after="0" w:line="6" w:lineRule="exact"/>
        <w:rPr>
          <w:sz w:val="20"/>
          <w:szCs w:val="20"/>
          <w:color w:val="auto"/>
        </w:rPr>
      </w:pPr>
    </w:p>
    <w:p>
      <w:pPr>
        <w:jc w:val="both"/>
        <w:ind w:left="1260" w:right="319"/>
        <w:spacing w:after="0" w:line="246" w:lineRule="auto"/>
        <w:rPr>
          <w:sz w:val="20"/>
          <w:szCs w:val="20"/>
          <w:color w:val="auto"/>
        </w:rPr>
      </w:pPr>
      <w:r>
        <w:rPr>
          <w:rFonts w:ascii="Arial" w:cs="Arial" w:eastAsia="Arial" w:hAnsi="Arial"/>
          <w:sz w:val="13"/>
          <w:szCs w:val="13"/>
          <w:color w:val="auto"/>
        </w:rPr>
        <w:t>Only the Company’s shareholders of record at the close of business on March 12, 2026, the record date fixed by the Board of Directors, are entitled to notice of, and to vote at, the Annual Meeting, and at any adjournments or postponements thereof. Only such shareholders, their proxy holders, and our invited guests may attend the Annual Meeting.</w:t>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HOW TO PARTICIPATE IN THE VIRTUAL ANNUAL MEETING</w:t>
      </w:r>
    </w:p>
    <w:p>
      <w:pPr>
        <w:spacing w:after="0" w:line="6" w:lineRule="exact"/>
        <w:rPr>
          <w:sz w:val="20"/>
          <w:szCs w:val="20"/>
          <w:color w:val="auto"/>
        </w:rPr>
      </w:pPr>
    </w:p>
    <w:p>
      <w:pPr>
        <w:ind w:left="1260" w:right="499"/>
        <w:spacing w:after="0" w:line="252" w:lineRule="auto"/>
        <w:rPr>
          <w:sz w:val="20"/>
          <w:szCs w:val="20"/>
          <w:color w:val="auto"/>
        </w:rPr>
      </w:pPr>
      <w:r>
        <w:rPr>
          <w:rFonts w:ascii="Arial" w:cs="Arial" w:eastAsia="Arial" w:hAnsi="Arial"/>
          <w:sz w:val="13"/>
          <w:szCs w:val="13"/>
          <w:color w:val="auto"/>
        </w:rPr>
        <w:t>To participate in the virtual Annual Meeting, visit http://www.virtualshareholdermeeting.com/WYNN2026, and log in using the 16-digit control number printed in the box marked by the arrow on your Notice of Internet Availability, proxy card or voter instruction form.</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HOW TO VOTE</w:t>
      </w:r>
    </w:p>
    <w:p>
      <w:pPr>
        <w:spacing w:after="0" w:line="6" w:lineRule="exact"/>
        <w:rPr>
          <w:sz w:val="20"/>
          <w:szCs w:val="20"/>
          <w:color w:val="auto"/>
        </w:rPr>
      </w:pPr>
    </w:p>
    <w:p>
      <w:pPr>
        <w:ind w:left="1260" w:right="239"/>
        <w:spacing w:after="0" w:line="252" w:lineRule="auto"/>
        <w:rPr>
          <w:sz w:val="20"/>
          <w:szCs w:val="20"/>
          <w:color w:val="auto"/>
        </w:rPr>
      </w:pPr>
      <w:r>
        <w:rPr>
          <w:rFonts w:ascii="Arial" w:cs="Arial" w:eastAsia="Arial" w:hAnsi="Arial"/>
          <w:sz w:val="13"/>
          <w:szCs w:val="13"/>
          <w:color w:val="auto"/>
        </w:rPr>
        <w:t>Further information and instructions regarding the Annual Meeting, the voting process, the quorum and the required votes for the approval of each of the proposals can be found in the “General Information” section.</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YOUR VOTE IS IMPORTANT</w:t>
      </w:r>
    </w:p>
    <w:p>
      <w:pPr>
        <w:spacing w:after="0" w:line="6" w:lineRule="exact"/>
        <w:rPr>
          <w:sz w:val="20"/>
          <w:szCs w:val="20"/>
          <w:color w:val="auto"/>
        </w:rPr>
      </w:pPr>
    </w:p>
    <w:p>
      <w:pPr>
        <w:ind w:left="1260" w:right="359"/>
        <w:spacing w:after="0" w:line="252" w:lineRule="auto"/>
        <w:rPr>
          <w:sz w:val="20"/>
          <w:szCs w:val="20"/>
          <w:color w:val="auto"/>
        </w:rPr>
      </w:pPr>
      <w:r>
        <w:rPr>
          <w:rFonts w:ascii="Arial" w:cs="Arial" w:eastAsia="Arial" w:hAnsi="Arial"/>
          <w:sz w:val="13"/>
          <w:szCs w:val="13"/>
          <w:color w:val="auto"/>
        </w:rPr>
        <w:t>Whether or not you plan to attend the Annual Meeting, it is important to read the Proxy Statement in its entirety and then cast your vote as promptly as possible.</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IMPORTANT NOTICE REGARDING THE AVAILABILITY OF PROXY MATERIALS FOR THIS MEETING</w:t>
      </w:r>
    </w:p>
    <w:p>
      <w:pPr>
        <w:spacing w:after="0" w:line="6" w:lineRule="exact"/>
        <w:rPr>
          <w:sz w:val="20"/>
          <w:szCs w:val="20"/>
          <w:color w:val="auto"/>
        </w:rPr>
      </w:pPr>
    </w:p>
    <w:p>
      <w:pPr>
        <w:ind w:left="1260" w:right="799"/>
        <w:spacing w:after="0" w:line="252" w:lineRule="auto"/>
        <w:rPr>
          <w:sz w:val="20"/>
          <w:szCs w:val="20"/>
          <w:color w:val="auto"/>
        </w:rPr>
      </w:pPr>
      <w:r>
        <w:rPr>
          <w:rFonts w:ascii="Arial" w:cs="Arial" w:eastAsia="Arial" w:hAnsi="Arial"/>
          <w:sz w:val="13"/>
          <w:szCs w:val="13"/>
          <w:color w:val="auto"/>
        </w:rPr>
        <w:t>The Proxy Statement and our Annual Report for the fiscal year ended December 31, 2025, are available at http://www.wynnresorts.com on the ”COMPANY INFO” page under the “Annual Meeting” heading.</w:t>
      </w:r>
    </w:p>
    <w:p>
      <w:pPr>
        <w:spacing w:after="0" w:line="82" w:lineRule="exact"/>
        <w:rPr>
          <w:sz w:val="20"/>
          <w:szCs w:val="20"/>
          <w:color w:val="auto"/>
        </w:rPr>
      </w:pPr>
    </w:p>
    <w:p>
      <w:pPr>
        <w:ind w:left="1260" w:right="659"/>
        <w:spacing w:after="0" w:line="271" w:lineRule="auto"/>
        <w:rPr>
          <w:sz w:val="20"/>
          <w:szCs w:val="20"/>
          <w:color w:val="auto"/>
        </w:rPr>
      </w:pPr>
      <w:r>
        <w:rPr>
          <w:rFonts w:ascii="Arial" w:cs="Arial" w:eastAsia="Arial" w:hAnsi="Arial"/>
          <w:sz w:val="13"/>
          <w:szCs w:val="13"/>
          <w:color w:val="auto"/>
        </w:rPr>
        <w:t>Beginning on or about March 25, 2026, we sent to our shareholders either a printed copy of our proxy materials or a Notice of Internet Availability containing instructions on how to access our proxy materials electronically.</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48260</wp:posOffset>
            </wp:positionV>
            <wp:extent cx="742315"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2315" cy="23177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Jacqui Krum</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Secretary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Las Vegas, Nevada</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March 25, 2026</w:t>
      </w:r>
    </w:p>
    <w:p>
      <w:pPr>
        <w:sectPr>
          <w:pgSz w:w="11900" w:h="16838" w:orient="portrait"/>
          <w:cols w:equalWidth="0" w:num="1">
            <w:col w:w="10159"/>
          </w:cols>
          <w:pgMar w:left="300" w:top="412"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 xml:space="preserve">Table </w:t>
      </w:r>
      <w:r>
        <w:rPr>
          <w:rFonts w:ascii="Times New Roman" w:cs="Times New Roman" w:eastAsia="Times New Roman" w:hAnsi="Times New Roman"/>
          <w:sz w:val="36"/>
          <w:szCs w:val="36"/>
          <w:i w:val="1"/>
          <w:iCs w:val="1"/>
          <w:color w:val="auto"/>
        </w:rPr>
        <w:t>of</w:t>
      </w:r>
      <w:r>
        <w:rPr>
          <w:rFonts w:ascii="Times New Roman" w:cs="Times New Roman" w:eastAsia="Times New Roman" w:hAnsi="Times New Roman"/>
          <w:sz w:val="36"/>
          <w:szCs w:val="36"/>
          <w:color w:val="auto"/>
        </w:rPr>
        <w:t xml:space="preserve"> Contents</w:t>
      </w:r>
    </w:p>
    <w:p>
      <w:pPr>
        <w:spacing w:after="0" w:line="155"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3320" w:type="dxa"/>
            <w:vAlign w:val="bottom"/>
            <w:gridSpan w:val="25"/>
          </w:tcPr>
          <w:p>
            <w:pPr>
              <w:spacing w:after="0"/>
              <w:rPr>
                <w:sz w:val="20"/>
                <w:szCs w:val="20"/>
                <w:color w:val="auto"/>
              </w:rPr>
            </w:pPr>
            <w:r>
              <w:rPr>
                <w:rFonts w:ascii="Arial" w:cs="Arial" w:eastAsia="Arial" w:hAnsi="Arial"/>
                <w:sz w:val="13"/>
                <w:szCs w:val="13"/>
                <w:color w:val="0000EE"/>
              </w:rPr>
              <w:t>2025 Highlights</w:t>
            </w:r>
          </w:p>
        </w:tc>
        <w:tc>
          <w:tcPr>
            <w:tcW w:w="1140" w:type="dxa"/>
            <w:vAlign w:val="bottom"/>
          </w:tcPr>
          <w:p>
            <w:pPr>
              <w:jc w:val="right"/>
              <w:ind w:right="262"/>
              <w:spacing w:after="0"/>
              <w:rPr>
                <w:sz w:val="20"/>
                <w:szCs w:val="20"/>
                <w:color w:val="auto"/>
              </w:rPr>
            </w:pPr>
            <w:r>
              <w:rPr>
                <w:rFonts w:ascii="Arial" w:cs="Arial" w:eastAsia="Arial" w:hAnsi="Arial"/>
                <w:sz w:val="13"/>
                <w:szCs w:val="13"/>
                <w:color w:val="auto"/>
              </w:rPr>
              <w:t>1</w:t>
            </w:r>
          </w:p>
        </w:tc>
        <w:tc>
          <w:tcPr>
            <w:tcW w:w="3800" w:type="dxa"/>
            <w:vAlign w:val="bottom"/>
            <w:gridSpan w:val="18"/>
            <w:vMerge w:val="restart"/>
          </w:tcPr>
          <w:p>
            <w:pPr>
              <w:spacing w:after="0"/>
              <w:rPr>
                <w:sz w:val="20"/>
                <w:szCs w:val="20"/>
                <w:color w:val="auto"/>
              </w:rPr>
            </w:pPr>
            <w:r>
              <w:rPr>
                <w:rFonts w:ascii="Arial" w:cs="Arial" w:eastAsia="Arial" w:hAnsi="Arial"/>
                <w:sz w:val="10"/>
                <w:szCs w:val="10"/>
                <w:color w:val="0000EE"/>
              </w:rPr>
              <w:t>PAY RATIO DISCLOSURE</w:t>
            </w: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66</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gridSpan w:val="18"/>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gridSpan w:val="25"/>
            <w:vMerge w:val="restart"/>
          </w:tcPr>
          <w:p>
            <w:pPr>
              <w:spacing w:after="0"/>
              <w:rPr>
                <w:sz w:val="20"/>
                <w:szCs w:val="20"/>
                <w:color w:val="auto"/>
              </w:rPr>
            </w:pPr>
            <w:r>
              <w:rPr>
                <w:rFonts w:ascii="Arial" w:cs="Arial" w:eastAsia="Arial" w:hAnsi="Arial"/>
                <w:sz w:val="10"/>
                <w:szCs w:val="10"/>
                <w:color w:val="0000EE"/>
              </w:rPr>
              <w:t>OUR BOARD AND CORPORATE</w:t>
            </w:r>
          </w:p>
        </w:tc>
        <w:tc>
          <w:tcPr>
            <w:tcW w:w="1140" w:type="dxa"/>
            <w:vAlign w:val="bottom"/>
          </w:tcPr>
          <w:p>
            <w:pPr>
              <w:spacing w:after="0"/>
              <w:rPr>
                <w:sz w:val="9"/>
                <w:szCs w:val="9"/>
                <w:color w:val="auto"/>
              </w:rPr>
            </w:pPr>
          </w:p>
        </w:tc>
        <w:tc>
          <w:tcPr>
            <w:tcW w:w="3800" w:type="dxa"/>
            <w:vAlign w:val="bottom"/>
            <w:gridSpan w:val="18"/>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320" w:type="dxa"/>
            <w:vAlign w:val="bottom"/>
            <w:gridSpan w:val="25"/>
            <w:vMerge w:val="continue"/>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top w:val="single" w:sz="8" w:color="0000EE"/>
            </w:tcBorders>
          </w:tcPr>
          <w:p>
            <w:pPr>
              <w:spacing w:after="0"/>
              <w:rPr>
                <w:sz w:val="9"/>
                <w:szCs w:val="9"/>
                <w:color w:val="auto"/>
              </w:rPr>
            </w:pPr>
          </w:p>
        </w:tc>
        <w:tc>
          <w:tcPr>
            <w:tcW w:w="30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700" w:type="dxa"/>
            <w:vAlign w:val="bottom"/>
            <w:tcBorders>
              <w:top w:val="single" w:sz="8" w:color="0000EE"/>
              <w:bottom w:val="single" w:sz="8" w:color="0000EE"/>
            </w:tcBorders>
          </w:tcPr>
          <w:p>
            <w:pPr>
              <w:spacing w:after="0" w:line="77" w:lineRule="exact"/>
              <w:rPr>
                <w:sz w:val="20"/>
                <w:szCs w:val="20"/>
                <w:color w:val="auto"/>
              </w:rPr>
            </w:pPr>
            <w:r>
              <w:rPr>
                <w:rFonts w:ascii="Arial" w:cs="Arial" w:eastAsia="Arial" w:hAnsi="Arial"/>
                <w:sz w:val="8"/>
                <w:szCs w:val="8"/>
                <w:color w:val="0000EE"/>
              </w:rPr>
              <w:t>GOVERNANCE</w:t>
            </w:r>
          </w:p>
        </w:tc>
        <w:tc>
          <w:tcPr>
            <w:tcW w:w="80" w:type="dxa"/>
            <w:vAlign w:val="bottom"/>
            <w:tcBorders>
              <w:top w:val="single" w:sz="8" w:color="0000EE"/>
              <w:bottom w:val="single" w:sz="8" w:color="0000EE"/>
            </w:tcBorders>
          </w:tcPr>
          <w:p>
            <w:pPr>
              <w:spacing w:after="0"/>
              <w:rPr>
                <w:sz w:val="7"/>
                <w:szCs w:val="7"/>
                <w:color w:val="auto"/>
              </w:rPr>
            </w:pPr>
          </w:p>
        </w:tc>
        <w:tc>
          <w:tcPr>
            <w:tcW w:w="20" w:type="dxa"/>
            <w:vAlign w:val="bottom"/>
            <w:tcBorders>
              <w:top w:val="single" w:sz="8" w:color="0000EE"/>
              <w:bottom w:val="single" w:sz="8" w:color="0000EE"/>
            </w:tcBorders>
          </w:tcPr>
          <w:p>
            <w:pPr>
              <w:spacing w:after="0"/>
              <w:rPr>
                <w:sz w:val="7"/>
                <w:szCs w:val="7"/>
                <w:color w:val="auto"/>
              </w:rPr>
            </w:pPr>
          </w:p>
        </w:tc>
        <w:tc>
          <w:tcPr>
            <w:tcW w:w="280" w:type="dxa"/>
            <w:vAlign w:val="bottom"/>
            <w:tcBorders>
              <w:top w:val="single" w:sz="8" w:color="0000EE"/>
              <w:bottom w:val="single" w:sz="8" w:color="0000EE"/>
            </w:tcBorders>
            <w:gridSpan w:val="2"/>
          </w:tcPr>
          <w:p>
            <w:pPr>
              <w:spacing w:after="0"/>
              <w:rPr>
                <w:sz w:val="7"/>
                <w:szCs w:val="7"/>
                <w:color w:val="auto"/>
              </w:rPr>
            </w:pPr>
          </w:p>
        </w:tc>
        <w:tc>
          <w:tcPr>
            <w:tcW w:w="80" w:type="dxa"/>
            <w:vAlign w:val="bottom"/>
            <w:tcBorders>
              <w:top w:val="single" w:sz="8" w:color="0000EE"/>
              <w:bottom w:val="single" w:sz="8" w:color="0000EE"/>
            </w:tcBorders>
          </w:tcPr>
          <w:p>
            <w:pPr>
              <w:spacing w:after="0"/>
              <w:rPr>
                <w:sz w:val="7"/>
                <w:szCs w:val="7"/>
                <w:color w:val="auto"/>
              </w:rPr>
            </w:pPr>
          </w:p>
        </w:tc>
        <w:tc>
          <w:tcPr>
            <w:tcW w:w="100" w:type="dxa"/>
            <w:vAlign w:val="bottom"/>
            <w:tcBorders>
              <w:top w:val="single" w:sz="8" w:color="0000EE"/>
              <w:bottom w:val="single" w:sz="8" w:color="0000EE"/>
            </w:tcBorders>
          </w:tcPr>
          <w:p>
            <w:pPr>
              <w:spacing w:after="0"/>
              <w:rPr>
                <w:sz w:val="7"/>
                <w:szCs w:val="7"/>
                <w:color w:val="auto"/>
              </w:rPr>
            </w:pPr>
          </w:p>
        </w:tc>
        <w:tc>
          <w:tcPr>
            <w:tcW w:w="20" w:type="dxa"/>
            <w:vAlign w:val="bottom"/>
            <w:tcBorders>
              <w:top w:val="single" w:sz="8" w:color="0000EE"/>
              <w:bottom w:val="single" w:sz="8" w:color="0000EE"/>
            </w:tcBorders>
          </w:tcPr>
          <w:p>
            <w:pPr>
              <w:spacing w:after="0"/>
              <w:rPr>
                <w:sz w:val="7"/>
                <w:szCs w:val="7"/>
                <w:color w:val="auto"/>
              </w:rPr>
            </w:pPr>
          </w:p>
        </w:tc>
        <w:tc>
          <w:tcPr>
            <w:tcW w:w="220" w:type="dxa"/>
            <w:vAlign w:val="bottom"/>
            <w:tcBorders>
              <w:top w:val="single" w:sz="8" w:color="0000EE"/>
              <w:bottom w:val="single" w:sz="8" w:color="0000EE"/>
            </w:tcBorders>
          </w:tcPr>
          <w:p>
            <w:pPr>
              <w:spacing w:after="0"/>
              <w:rPr>
                <w:sz w:val="7"/>
                <w:szCs w:val="7"/>
                <w:color w:val="auto"/>
              </w:rPr>
            </w:pPr>
          </w:p>
        </w:tc>
        <w:tc>
          <w:tcPr>
            <w:tcW w:w="20" w:type="dxa"/>
            <w:vAlign w:val="bottom"/>
            <w:tcBorders>
              <w:top w:val="single" w:sz="8" w:color="0000EE"/>
              <w:bottom w:val="single" w:sz="8" w:color="0000EE"/>
            </w:tcBorders>
          </w:tcPr>
          <w:p>
            <w:pPr>
              <w:spacing w:after="0"/>
              <w:rPr>
                <w:sz w:val="7"/>
                <w:szCs w:val="7"/>
                <w:color w:val="auto"/>
              </w:rPr>
            </w:pPr>
          </w:p>
        </w:tc>
        <w:tc>
          <w:tcPr>
            <w:tcW w:w="20" w:type="dxa"/>
            <w:vAlign w:val="bottom"/>
            <w:tcBorders>
              <w:top w:val="single" w:sz="8" w:color="0000EE"/>
              <w:bottom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0" w:type="dxa"/>
            <w:vAlign w:val="bottom"/>
            <w:gridSpan w:val="18"/>
            <w:vMerge w:val="restart"/>
          </w:tcPr>
          <w:p>
            <w:pPr>
              <w:spacing w:after="0"/>
              <w:rPr>
                <w:sz w:val="20"/>
                <w:szCs w:val="20"/>
                <w:color w:val="auto"/>
              </w:rPr>
            </w:pPr>
            <w:r>
              <w:rPr>
                <w:rFonts w:ascii="Arial" w:cs="Arial" w:eastAsia="Arial" w:hAnsi="Arial"/>
                <w:sz w:val="10"/>
                <w:szCs w:val="10"/>
                <w:color w:val="0000EE"/>
              </w:rPr>
              <w:t>PAY VS. PERFORMANCE</w:t>
            </w: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67</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line="119" w:lineRule="exact"/>
              <w:rPr>
                <w:sz w:val="20"/>
                <w:szCs w:val="20"/>
                <w:color w:val="auto"/>
              </w:rPr>
            </w:pPr>
            <w:r>
              <w:rPr>
                <w:rFonts w:ascii="Arial" w:cs="Arial" w:eastAsia="Arial" w:hAnsi="Arial"/>
                <w:sz w:val="13"/>
                <w:szCs w:val="13"/>
                <w:color w:val="0000EE"/>
                <w:w w:val="96"/>
              </w:rPr>
              <w:t>- Governance</w:t>
            </w:r>
          </w:p>
        </w:tc>
        <w:tc>
          <w:tcPr>
            <w:tcW w:w="2540" w:type="dxa"/>
            <w:vAlign w:val="bottom"/>
            <w:gridSpan w:val="23"/>
            <w:vMerge w:val="restart"/>
          </w:tcPr>
          <w:p>
            <w:pPr>
              <w:spacing w:after="0" w:line="20" w:lineRule="exact"/>
              <w:rPr>
                <w:sz w:val="1"/>
                <w:szCs w:val="1"/>
                <w:color w:val="auto"/>
              </w:rPr>
            </w:pPr>
          </w:p>
        </w:tc>
        <w:tc>
          <w:tcPr>
            <w:tcW w:w="1140" w:type="dxa"/>
            <w:vAlign w:val="bottom"/>
            <w:vMerge w:val="restart"/>
          </w:tcPr>
          <w:p>
            <w:pPr>
              <w:jc w:val="right"/>
              <w:ind w:right="262"/>
              <w:spacing w:after="0" w:line="119" w:lineRule="exact"/>
              <w:rPr>
                <w:sz w:val="20"/>
                <w:szCs w:val="20"/>
                <w:color w:val="auto"/>
              </w:rPr>
            </w:pPr>
            <w:r>
              <w:rPr>
                <w:rFonts w:ascii="Arial" w:cs="Arial" w:eastAsia="Arial" w:hAnsi="Arial"/>
                <w:sz w:val="13"/>
                <w:szCs w:val="13"/>
                <w:color w:val="auto"/>
              </w:rPr>
              <w:t>3</w:t>
            </w:r>
          </w:p>
        </w:tc>
        <w:tc>
          <w:tcPr>
            <w:tcW w:w="3800" w:type="dxa"/>
            <w:vAlign w:val="bottom"/>
            <w:gridSpan w:val="18"/>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780" w:type="dxa"/>
            <w:vAlign w:val="bottom"/>
            <w:tcBorders>
              <w:bottom w:val="single" w:sz="8" w:color="0000EE"/>
            </w:tcBorders>
            <w:gridSpan w:val="2"/>
            <w:vMerge w:val="continue"/>
          </w:tcPr>
          <w:p>
            <w:pPr>
              <w:spacing w:after="0"/>
              <w:rPr>
                <w:sz w:val="6"/>
                <w:szCs w:val="6"/>
                <w:color w:val="auto"/>
              </w:rPr>
            </w:pPr>
          </w:p>
        </w:tc>
        <w:tc>
          <w:tcPr>
            <w:tcW w:w="2540" w:type="dxa"/>
            <w:vAlign w:val="bottom"/>
            <w:gridSpan w:val="2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3320" w:type="dxa"/>
            <w:vAlign w:val="bottom"/>
            <w:gridSpan w:val="25"/>
          </w:tcPr>
          <w:p>
            <w:pPr>
              <w:spacing w:after="0" w:line="109" w:lineRule="exact"/>
              <w:rPr>
                <w:sz w:val="20"/>
                <w:szCs w:val="20"/>
                <w:color w:val="auto"/>
              </w:rPr>
            </w:pPr>
            <w:r>
              <w:rPr>
                <w:rFonts w:ascii="Arial" w:cs="Arial" w:eastAsia="Arial" w:hAnsi="Arial"/>
                <w:sz w:val="12"/>
                <w:szCs w:val="12"/>
                <w:color w:val="0000EE"/>
              </w:rPr>
              <w:t>- Board Composition</w:t>
            </w:r>
          </w:p>
        </w:tc>
        <w:tc>
          <w:tcPr>
            <w:tcW w:w="1140" w:type="dxa"/>
            <w:vAlign w:val="bottom"/>
          </w:tcPr>
          <w:p>
            <w:pPr>
              <w:jc w:val="right"/>
              <w:ind w:right="262"/>
              <w:spacing w:after="0" w:line="100" w:lineRule="exact"/>
              <w:rPr>
                <w:sz w:val="20"/>
                <w:szCs w:val="20"/>
                <w:color w:val="auto"/>
              </w:rPr>
            </w:pPr>
            <w:r>
              <w:rPr>
                <w:rFonts w:ascii="Arial" w:cs="Arial" w:eastAsia="Arial" w:hAnsi="Arial"/>
                <w:sz w:val="11"/>
                <w:szCs w:val="11"/>
                <w:color w:val="auto"/>
              </w:rPr>
              <w:t>4</w:t>
            </w:r>
          </w:p>
        </w:tc>
        <w:tc>
          <w:tcPr>
            <w:tcW w:w="3800" w:type="dxa"/>
            <w:vAlign w:val="bottom"/>
            <w:gridSpan w:val="18"/>
          </w:tcPr>
          <w:p>
            <w:pPr>
              <w:spacing w:after="0" w:line="109" w:lineRule="exact"/>
              <w:rPr>
                <w:sz w:val="20"/>
                <w:szCs w:val="20"/>
                <w:color w:val="auto"/>
              </w:rPr>
            </w:pPr>
            <w:r>
              <w:rPr>
                <w:rFonts w:ascii="Arial" w:cs="Arial" w:eastAsia="Arial" w:hAnsi="Arial"/>
                <w:sz w:val="10"/>
                <w:szCs w:val="10"/>
                <w:color w:val="0000EE"/>
              </w:rPr>
              <w:t>SECURITY OWNERSHIP</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0000EE"/>
            </w:tcBorders>
            <w:vMerge w:val="restart"/>
          </w:tcPr>
          <w:p>
            <w:pPr>
              <w:spacing w:after="0" w:line="20" w:lineRule="exact"/>
              <w:rPr>
                <w:sz w:val="1"/>
                <w:szCs w:val="1"/>
                <w:color w:val="auto"/>
              </w:rPr>
            </w:pPr>
          </w:p>
        </w:tc>
        <w:tc>
          <w:tcPr>
            <w:tcW w:w="1140" w:type="dxa"/>
            <w:vAlign w:val="bottom"/>
            <w:tcBorders>
              <w:top w:val="single" w:sz="8" w:color="0000EE"/>
            </w:tcBorders>
            <w:gridSpan w:val="5"/>
            <w:vMerge w:val="restart"/>
          </w:tcPr>
          <w:p>
            <w:pPr>
              <w:spacing w:after="0" w:line="109" w:lineRule="exact"/>
              <w:rPr>
                <w:sz w:val="20"/>
                <w:szCs w:val="20"/>
                <w:color w:val="auto"/>
              </w:rPr>
            </w:pPr>
            <w:r>
              <w:rPr>
                <w:rFonts w:ascii="Arial" w:cs="Arial" w:eastAsia="Arial" w:hAnsi="Arial"/>
                <w:sz w:val="12"/>
                <w:szCs w:val="12"/>
                <w:color w:val="0000EE"/>
              </w:rPr>
              <w:t>- Certain Beneficial</w:t>
            </w:r>
          </w:p>
        </w:tc>
        <w:tc>
          <w:tcPr>
            <w:tcW w:w="1620" w:type="dxa"/>
            <w:vAlign w:val="bottom"/>
            <w:gridSpan w:val="8"/>
            <w:vMerge w:val="restart"/>
          </w:tcPr>
          <w:p>
            <w:pPr>
              <w:spacing w:after="0" w:line="100" w:lineRule="exact"/>
              <w:rPr>
                <w:sz w:val="20"/>
                <w:szCs w:val="20"/>
                <w:color w:val="auto"/>
              </w:rPr>
            </w:pPr>
            <w:r>
              <w:rPr>
                <w:rFonts w:ascii="Arial" w:cs="Arial" w:eastAsia="Arial" w:hAnsi="Arial"/>
                <w:sz w:val="11"/>
                <w:szCs w:val="11"/>
                <w:color w:val="0000EE"/>
              </w:rPr>
              <w:t>Ownership and Management</w:t>
            </w:r>
          </w:p>
        </w:tc>
        <w:tc>
          <w:tcPr>
            <w:tcW w:w="8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vMerge w:val="restart"/>
          </w:tcPr>
          <w:p>
            <w:pPr>
              <w:jc w:val="right"/>
              <w:spacing w:after="0" w:line="110" w:lineRule="exact"/>
              <w:rPr>
                <w:sz w:val="20"/>
                <w:szCs w:val="20"/>
                <w:color w:val="auto"/>
              </w:rPr>
            </w:pPr>
            <w:r>
              <w:rPr>
                <w:rFonts w:ascii="Arial" w:cs="Arial" w:eastAsia="Arial" w:hAnsi="Arial"/>
                <w:sz w:val="12"/>
                <w:szCs w:val="12"/>
                <w:color w:val="auto"/>
              </w:rPr>
              <w:t>71</w:t>
            </w:r>
          </w:p>
        </w:tc>
        <w:tc>
          <w:tcPr>
            <w:tcW w:w="0" w:type="dxa"/>
            <w:vAlign w:val="bottom"/>
          </w:tcPr>
          <w:p>
            <w:pPr>
              <w:spacing w:after="0" w:line="20" w:lineRule="exact"/>
              <w:rPr>
                <w:sz w:val="1"/>
                <w:szCs w:val="1"/>
                <w:color w:val="auto"/>
              </w:rPr>
            </w:pPr>
          </w:p>
        </w:tc>
      </w:tr>
      <w:tr>
        <w:trPr>
          <w:trHeight w:val="104"/>
        </w:trPr>
        <w:tc>
          <w:tcPr>
            <w:tcW w:w="3320" w:type="dxa"/>
            <w:vAlign w:val="bottom"/>
            <w:gridSpan w:val="25"/>
          </w:tcPr>
          <w:p>
            <w:pPr>
              <w:spacing w:after="0" w:line="100" w:lineRule="exact"/>
              <w:rPr>
                <w:sz w:val="20"/>
                <w:szCs w:val="20"/>
                <w:color w:val="auto"/>
              </w:rPr>
            </w:pPr>
            <w:r>
              <w:rPr>
                <w:rFonts w:ascii="Arial" w:cs="Arial" w:eastAsia="Arial" w:hAnsi="Arial"/>
                <w:sz w:val="11"/>
                <w:szCs w:val="11"/>
                <w:color w:val="0000EE"/>
              </w:rPr>
              <w:t>- Director Biographies</w:t>
            </w:r>
          </w:p>
        </w:tc>
        <w:tc>
          <w:tcPr>
            <w:tcW w:w="1140" w:type="dxa"/>
            <w:vAlign w:val="bottom"/>
          </w:tcPr>
          <w:p>
            <w:pPr>
              <w:jc w:val="right"/>
              <w:ind w:right="262"/>
              <w:spacing w:after="0" w:line="100" w:lineRule="exact"/>
              <w:rPr>
                <w:sz w:val="20"/>
                <w:szCs w:val="20"/>
                <w:color w:val="auto"/>
              </w:rPr>
            </w:pPr>
            <w:r>
              <w:rPr>
                <w:rFonts w:ascii="Arial" w:cs="Arial" w:eastAsia="Arial" w:hAnsi="Arial"/>
                <w:sz w:val="11"/>
                <w:szCs w:val="11"/>
                <w:color w:val="auto"/>
              </w:rPr>
              <w:t>6</w:t>
            </w:r>
          </w:p>
        </w:tc>
        <w:tc>
          <w:tcPr>
            <w:tcW w:w="20" w:type="dxa"/>
            <w:vAlign w:val="bottom"/>
            <w:tcBorders>
              <w:bottom w:val="single" w:sz="8" w:color="0000EE"/>
            </w:tcBorders>
            <w:vMerge w:val="continue"/>
          </w:tcPr>
          <w:p>
            <w:pPr>
              <w:spacing w:after="0"/>
              <w:rPr>
                <w:sz w:val="8"/>
                <w:szCs w:val="8"/>
                <w:color w:val="auto"/>
              </w:rPr>
            </w:pPr>
          </w:p>
        </w:tc>
        <w:tc>
          <w:tcPr>
            <w:tcW w:w="1140" w:type="dxa"/>
            <w:vAlign w:val="bottom"/>
            <w:tcBorders>
              <w:bottom w:val="single" w:sz="8" w:color="0000EE"/>
            </w:tcBorders>
            <w:gridSpan w:val="5"/>
            <w:vMerge w:val="continue"/>
          </w:tcPr>
          <w:p>
            <w:pPr>
              <w:spacing w:after="0"/>
              <w:rPr>
                <w:sz w:val="8"/>
                <w:szCs w:val="8"/>
                <w:color w:val="auto"/>
              </w:rPr>
            </w:pPr>
          </w:p>
        </w:tc>
        <w:tc>
          <w:tcPr>
            <w:tcW w:w="1620" w:type="dxa"/>
            <w:vAlign w:val="bottom"/>
            <w:tcBorders>
              <w:bottom w:val="single" w:sz="8" w:color="0000EE"/>
            </w:tcBorders>
            <w:gridSpan w:val="8"/>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vMerge w:val="restart"/>
          </w:tcPr>
          <w:p>
            <w:pPr>
              <w:jc w:val="right"/>
              <w:ind w:right="262"/>
              <w:spacing w:after="0"/>
              <w:rPr>
                <w:sz w:val="20"/>
                <w:szCs w:val="20"/>
                <w:color w:val="auto"/>
              </w:rPr>
            </w:pPr>
            <w:r>
              <w:rPr>
                <w:rFonts w:ascii="Arial" w:cs="Arial" w:eastAsia="Arial" w:hAnsi="Arial"/>
                <w:sz w:val="13"/>
                <w:szCs w:val="13"/>
                <w:color w:val="auto"/>
              </w:rPr>
              <w:t>15</w:t>
            </w: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320" w:type="dxa"/>
            <w:vAlign w:val="bottom"/>
            <w:gridSpan w:val="25"/>
          </w:tcPr>
          <w:p>
            <w:pPr>
              <w:spacing w:after="0" w:line="112" w:lineRule="exact"/>
              <w:rPr>
                <w:sz w:val="20"/>
                <w:szCs w:val="20"/>
                <w:color w:val="auto"/>
              </w:rPr>
            </w:pPr>
            <w:r>
              <w:rPr>
                <w:rFonts w:ascii="Arial" w:cs="Arial" w:eastAsia="Arial" w:hAnsi="Arial"/>
                <w:sz w:val="12"/>
                <w:szCs w:val="12"/>
                <w:color w:val="0000EE"/>
              </w:rPr>
              <w:t>- Board Independence</w:t>
            </w:r>
          </w:p>
        </w:tc>
        <w:tc>
          <w:tcPr>
            <w:tcW w:w="1140" w:type="dxa"/>
            <w:vAlign w:val="bottom"/>
            <w:vMerge w:val="continue"/>
          </w:tcPr>
          <w:p>
            <w:pPr>
              <w:spacing w:after="0"/>
              <w:rPr>
                <w:sz w:val="9"/>
                <w:szCs w:val="9"/>
                <w:color w:val="auto"/>
              </w:rPr>
            </w:pPr>
          </w:p>
        </w:tc>
        <w:tc>
          <w:tcPr>
            <w:tcW w:w="3800" w:type="dxa"/>
            <w:vAlign w:val="bottom"/>
            <w:gridSpan w:val="18"/>
            <w:vMerge w:val="restart"/>
          </w:tcPr>
          <w:p>
            <w:pPr>
              <w:spacing w:after="0"/>
              <w:rPr>
                <w:sz w:val="20"/>
                <w:szCs w:val="20"/>
                <w:color w:val="auto"/>
              </w:rPr>
            </w:pPr>
            <w:r>
              <w:rPr>
                <w:rFonts w:ascii="Arial" w:cs="Arial" w:eastAsia="Arial" w:hAnsi="Arial"/>
                <w:sz w:val="10"/>
                <w:szCs w:val="10"/>
                <w:color w:val="0000EE"/>
              </w:rPr>
              <w:t>ITEMS TO BE VOTED ON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gridSpan w:val="18"/>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500" w:type="dxa"/>
            <w:vAlign w:val="bottom"/>
            <w:gridSpan w:val="9"/>
            <w:vMerge w:val="restart"/>
          </w:tcPr>
          <w:p>
            <w:pPr>
              <w:spacing w:after="0" w:line="131" w:lineRule="exact"/>
              <w:rPr>
                <w:sz w:val="20"/>
                <w:szCs w:val="20"/>
                <w:color w:val="auto"/>
              </w:rPr>
            </w:pPr>
            <w:r>
              <w:rPr>
                <w:rFonts w:ascii="Arial" w:cs="Arial" w:eastAsia="Arial" w:hAnsi="Arial"/>
                <w:sz w:val="13"/>
                <w:szCs w:val="13"/>
                <w:color w:val="0000EE"/>
                <w:w w:val="97"/>
              </w:rPr>
              <w:t>- Committees of the Board</w:t>
            </w:r>
          </w:p>
        </w:tc>
        <w:tc>
          <w:tcPr>
            <w:tcW w:w="1820" w:type="dxa"/>
            <w:vAlign w:val="bottom"/>
            <w:gridSpan w:val="16"/>
            <w:vMerge w:val="restart"/>
          </w:tcPr>
          <w:p>
            <w:pPr>
              <w:spacing w:after="0"/>
              <w:rPr>
                <w:sz w:val="5"/>
                <w:szCs w:val="5"/>
                <w:color w:val="auto"/>
              </w:rPr>
            </w:pPr>
          </w:p>
        </w:tc>
        <w:tc>
          <w:tcPr>
            <w:tcW w:w="1140" w:type="dxa"/>
            <w:vAlign w:val="bottom"/>
            <w:vMerge w:val="restart"/>
          </w:tcPr>
          <w:p>
            <w:pPr>
              <w:jc w:val="right"/>
              <w:ind w:right="262"/>
              <w:spacing w:after="0" w:line="131" w:lineRule="exact"/>
              <w:rPr>
                <w:sz w:val="20"/>
                <w:szCs w:val="20"/>
                <w:color w:val="auto"/>
              </w:rPr>
            </w:pPr>
            <w:r>
              <w:rPr>
                <w:rFonts w:ascii="Arial" w:cs="Arial" w:eastAsia="Arial" w:hAnsi="Arial"/>
                <w:sz w:val="13"/>
                <w:szCs w:val="13"/>
                <w:color w:val="auto"/>
              </w:rPr>
              <w:t>16</w:t>
            </w:r>
          </w:p>
        </w:tc>
        <w:tc>
          <w:tcPr>
            <w:tcW w:w="3800" w:type="dxa"/>
            <w:vAlign w:val="bottom"/>
            <w:gridSpan w:val="18"/>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00" w:type="dxa"/>
            <w:vAlign w:val="bottom"/>
            <w:gridSpan w:val="9"/>
            <w:vMerge w:val="continue"/>
          </w:tcPr>
          <w:p>
            <w:pPr>
              <w:spacing w:after="0" w:line="20" w:lineRule="exact"/>
              <w:rPr>
                <w:sz w:val="1"/>
                <w:szCs w:val="1"/>
                <w:color w:val="auto"/>
              </w:rPr>
            </w:pPr>
          </w:p>
        </w:tc>
        <w:tc>
          <w:tcPr>
            <w:tcW w:w="1820" w:type="dxa"/>
            <w:vAlign w:val="bottom"/>
            <w:gridSpan w:val="16"/>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500" w:type="dxa"/>
            <w:vAlign w:val="bottom"/>
            <w:tcBorders>
              <w:bottom w:val="single" w:sz="8" w:color="0000EE"/>
            </w:tcBorders>
            <w:gridSpan w:val="9"/>
            <w:vMerge w:val="continue"/>
          </w:tcPr>
          <w:p>
            <w:pPr>
              <w:spacing w:after="0"/>
              <w:rPr>
                <w:sz w:val="3"/>
                <w:szCs w:val="3"/>
                <w:color w:val="auto"/>
              </w:rPr>
            </w:pPr>
          </w:p>
        </w:tc>
        <w:tc>
          <w:tcPr>
            <w:tcW w:w="1820" w:type="dxa"/>
            <w:vAlign w:val="bottom"/>
            <w:gridSpan w:val="16"/>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3800" w:type="dxa"/>
            <w:vAlign w:val="bottom"/>
            <w:gridSpan w:val="18"/>
            <w:vMerge w:val="restart"/>
          </w:tcPr>
          <w:p>
            <w:pPr>
              <w:spacing w:after="0" w:line="119" w:lineRule="exact"/>
              <w:rPr>
                <w:sz w:val="20"/>
                <w:szCs w:val="20"/>
                <w:color w:val="auto"/>
              </w:rPr>
            </w:pPr>
            <w:r>
              <w:rPr>
                <w:rFonts w:ascii="Arial" w:cs="Arial" w:eastAsia="Arial" w:hAnsi="Arial"/>
                <w:sz w:val="13"/>
                <w:szCs w:val="13"/>
                <w:color w:val="0000EE"/>
              </w:rPr>
              <w:t>Proposal 1: Election of Directors</w:t>
            </w:r>
          </w:p>
        </w:tc>
        <w:tc>
          <w:tcPr>
            <w:tcW w:w="440" w:type="dxa"/>
            <w:vAlign w:val="bottom"/>
            <w:vMerge w:val="restart"/>
          </w:tcPr>
          <w:p>
            <w:pPr>
              <w:jc w:val="right"/>
              <w:spacing w:after="0" w:line="119"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55"/>
        </w:trPr>
        <w:tc>
          <w:tcPr>
            <w:tcW w:w="3320" w:type="dxa"/>
            <w:vAlign w:val="bottom"/>
            <w:gridSpan w:val="25"/>
            <w:vMerge w:val="restart"/>
          </w:tcPr>
          <w:p>
            <w:pPr>
              <w:spacing w:after="0" w:line="131" w:lineRule="exact"/>
              <w:rPr>
                <w:sz w:val="20"/>
                <w:szCs w:val="20"/>
                <w:color w:val="auto"/>
              </w:rPr>
            </w:pPr>
            <w:r>
              <w:rPr>
                <w:rFonts w:ascii="Arial" w:cs="Arial" w:eastAsia="Arial" w:hAnsi="Arial"/>
                <w:sz w:val="13"/>
                <w:szCs w:val="13"/>
                <w:color w:val="0000EE"/>
              </w:rPr>
              <w:t>- Board Leadership</w:t>
            </w:r>
          </w:p>
        </w:tc>
        <w:tc>
          <w:tcPr>
            <w:tcW w:w="1140" w:type="dxa"/>
            <w:vAlign w:val="bottom"/>
            <w:vMerge w:val="restart"/>
          </w:tcPr>
          <w:p>
            <w:pPr>
              <w:jc w:val="right"/>
              <w:ind w:right="262"/>
              <w:spacing w:after="0" w:line="131" w:lineRule="exact"/>
              <w:rPr>
                <w:sz w:val="20"/>
                <w:szCs w:val="20"/>
                <w:color w:val="auto"/>
              </w:rPr>
            </w:pPr>
            <w:r>
              <w:rPr>
                <w:rFonts w:ascii="Arial" w:cs="Arial" w:eastAsia="Arial" w:hAnsi="Arial"/>
                <w:sz w:val="13"/>
                <w:szCs w:val="13"/>
                <w:color w:val="auto"/>
              </w:rPr>
              <w:t>19</w:t>
            </w:r>
          </w:p>
        </w:tc>
        <w:tc>
          <w:tcPr>
            <w:tcW w:w="3800" w:type="dxa"/>
            <w:vAlign w:val="bottom"/>
            <w:gridSpan w:val="18"/>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gridSpan w:val="25"/>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320" w:type="dxa"/>
            <w:vAlign w:val="bottom"/>
            <w:gridSpan w:val="25"/>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800" w:type="dxa"/>
            <w:vAlign w:val="bottom"/>
            <w:gridSpan w:val="18"/>
            <w:vMerge w:val="restart"/>
          </w:tcPr>
          <w:p>
            <w:pPr>
              <w:spacing w:after="0" w:line="131" w:lineRule="exact"/>
              <w:rPr>
                <w:sz w:val="20"/>
                <w:szCs w:val="20"/>
                <w:color w:val="auto"/>
              </w:rPr>
            </w:pPr>
            <w:r>
              <w:rPr>
                <w:rFonts w:ascii="Arial" w:cs="Arial" w:eastAsia="Arial" w:hAnsi="Arial"/>
                <w:sz w:val="13"/>
                <w:szCs w:val="13"/>
                <w:color w:val="0000EE"/>
              </w:rPr>
              <w:t>Proposal 2: Ratification of Appointment of Independent Auditors</w:t>
            </w:r>
          </w:p>
        </w:tc>
        <w:tc>
          <w:tcPr>
            <w:tcW w:w="440" w:type="dxa"/>
            <w:vAlign w:val="bottom"/>
            <w:vMerge w:val="restart"/>
          </w:tcPr>
          <w:p>
            <w:pPr>
              <w:jc w:val="right"/>
              <w:spacing w:after="0" w:line="131"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gridSpan w:val="18"/>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320" w:type="dxa"/>
            <w:vAlign w:val="bottom"/>
            <w:gridSpan w:val="25"/>
            <w:vMerge w:val="restart"/>
          </w:tcPr>
          <w:p>
            <w:pPr>
              <w:spacing w:after="0" w:line="131" w:lineRule="exact"/>
              <w:rPr>
                <w:sz w:val="20"/>
                <w:szCs w:val="20"/>
                <w:color w:val="auto"/>
              </w:rPr>
            </w:pPr>
            <w:r>
              <w:rPr>
                <w:rFonts w:ascii="Arial" w:cs="Arial" w:eastAsia="Arial" w:hAnsi="Arial"/>
                <w:sz w:val="13"/>
                <w:szCs w:val="13"/>
                <w:color w:val="0000EE"/>
              </w:rPr>
              <w:t>- Board Role in Risk Oversight</w:t>
            </w:r>
          </w:p>
        </w:tc>
        <w:tc>
          <w:tcPr>
            <w:tcW w:w="1140" w:type="dxa"/>
            <w:vAlign w:val="bottom"/>
            <w:vMerge w:val="restart"/>
          </w:tcPr>
          <w:p>
            <w:pPr>
              <w:jc w:val="right"/>
              <w:ind w:right="262"/>
              <w:spacing w:after="0" w:line="131" w:lineRule="exact"/>
              <w:rPr>
                <w:sz w:val="20"/>
                <w:szCs w:val="20"/>
                <w:color w:val="auto"/>
              </w:rPr>
            </w:pPr>
            <w:r>
              <w:rPr>
                <w:rFonts w:ascii="Arial" w:cs="Arial" w:eastAsia="Arial" w:hAnsi="Arial"/>
                <w:sz w:val="13"/>
                <w:szCs w:val="13"/>
                <w:color w:val="auto"/>
              </w:rPr>
              <w:t>21</w:t>
            </w:r>
          </w:p>
        </w:tc>
        <w:tc>
          <w:tcPr>
            <w:tcW w:w="3800" w:type="dxa"/>
            <w:vAlign w:val="bottom"/>
            <w:gridSpan w:val="18"/>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gridSpan w:val="25"/>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320" w:type="dxa"/>
            <w:vAlign w:val="bottom"/>
            <w:gridSpan w:val="25"/>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800" w:type="dxa"/>
            <w:vAlign w:val="bottom"/>
            <w:gridSpan w:val="18"/>
            <w:vMerge w:val="restart"/>
          </w:tcPr>
          <w:p>
            <w:pPr>
              <w:spacing w:after="0" w:line="131" w:lineRule="exact"/>
              <w:rPr>
                <w:sz w:val="20"/>
                <w:szCs w:val="20"/>
                <w:color w:val="auto"/>
              </w:rPr>
            </w:pPr>
            <w:r>
              <w:rPr>
                <w:rFonts w:ascii="Arial" w:cs="Arial" w:eastAsia="Arial" w:hAnsi="Arial"/>
                <w:sz w:val="13"/>
                <w:szCs w:val="13"/>
                <w:color w:val="0000EE"/>
              </w:rPr>
              <w:t>- Audit and Other Fees</w:t>
            </w:r>
          </w:p>
        </w:tc>
        <w:tc>
          <w:tcPr>
            <w:tcW w:w="440" w:type="dxa"/>
            <w:vAlign w:val="bottom"/>
            <w:vMerge w:val="restart"/>
          </w:tcPr>
          <w:p>
            <w:pPr>
              <w:jc w:val="right"/>
              <w:spacing w:after="0" w:line="131"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gridSpan w:val="18"/>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320" w:type="dxa"/>
            <w:vAlign w:val="bottom"/>
            <w:gridSpan w:val="25"/>
            <w:vMerge w:val="restart"/>
          </w:tcPr>
          <w:p>
            <w:pPr>
              <w:spacing w:after="0" w:line="131" w:lineRule="exact"/>
              <w:rPr>
                <w:sz w:val="20"/>
                <w:szCs w:val="20"/>
                <w:color w:val="auto"/>
              </w:rPr>
            </w:pPr>
            <w:r>
              <w:rPr>
                <w:rFonts w:ascii="Arial" w:cs="Arial" w:eastAsia="Arial" w:hAnsi="Arial"/>
                <w:sz w:val="13"/>
                <w:szCs w:val="13"/>
                <w:color w:val="0000EE"/>
              </w:rPr>
              <w:t>- Non-Employee Director Compensation Table</w:t>
            </w:r>
          </w:p>
        </w:tc>
        <w:tc>
          <w:tcPr>
            <w:tcW w:w="1140" w:type="dxa"/>
            <w:vAlign w:val="bottom"/>
            <w:vMerge w:val="restart"/>
          </w:tcPr>
          <w:p>
            <w:pPr>
              <w:jc w:val="right"/>
              <w:ind w:right="262"/>
              <w:spacing w:after="0" w:line="131" w:lineRule="exact"/>
              <w:rPr>
                <w:sz w:val="20"/>
                <w:szCs w:val="20"/>
                <w:color w:val="auto"/>
              </w:rPr>
            </w:pPr>
            <w:r>
              <w:rPr>
                <w:rFonts w:ascii="Arial" w:cs="Arial" w:eastAsia="Arial" w:hAnsi="Arial"/>
                <w:sz w:val="13"/>
                <w:szCs w:val="13"/>
                <w:color w:val="auto"/>
              </w:rPr>
              <w:t>26</w:t>
            </w:r>
          </w:p>
        </w:tc>
        <w:tc>
          <w:tcPr>
            <w:tcW w:w="3800" w:type="dxa"/>
            <w:vAlign w:val="bottom"/>
            <w:gridSpan w:val="18"/>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gridSpan w:val="25"/>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320" w:type="dxa"/>
            <w:vAlign w:val="bottom"/>
            <w:gridSpan w:val="25"/>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3800" w:type="dxa"/>
            <w:vAlign w:val="bottom"/>
            <w:gridSpan w:val="18"/>
            <w:vMerge w:val="restart"/>
          </w:tcPr>
          <w:p>
            <w:pPr>
              <w:spacing w:after="0" w:line="131" w:lineRule="exact"/>
              <w:rPr>
                <w:sz w:val="20"/>
                <w:szCs w:val="20"/>
                <w:color w:val="auto"/>
              </w:rPr>
            </w:pPr>
            <w:r>
              <w:rPr>
                <w:rFonts w:ascii="Arial" w:cs="Arial" w:eastAsia="Arial" w:hAnsi="Arial"/>
                <w:sz w:val="13"/>
                <w:szCs w:val="13"/>
                <w:color w:val="0000EE"/>
              </w:rPr>
              <w:t>- Report of the Audit Committee</w:t>
            </w:r>
          </w:p>
        </w:tc>
        <w:tc>
          <w:tcPr>
            <w:tcW w:w="440" w:type="dxa"/>
            <w:vAlign w:val="bottom"/>
            <w:vMerge w:val="restart"/>
          </w:tcPr>
          <w:p>
            <w:pPr>
              <w:jc w:val="right"/>
              <w:spacing w:after="0" w:line="131"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55"/>
        </w:trPr>
        <w:tc>
          <w:tcPr>
            <w:tcW w:w="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0" w:type="dxa"/>
            <w:vAlign w:val="bottom"/>
            <w:gridSpan w:val="18"/>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gridSpan w:val="2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320" w:type="dxa"/>
            <w:vAlign w:val="bottom"/>
            <w:gridSpan w:val="25"/>
            <w:vMerge w:val="restart"/>
          </w:tcPr>
          <w:p>
            <w:pPr>
              <w:spacing w:after="0"/>
              <w:rPr>
                <w:sz w:val="20"/>
                <w:szCs w:val="20"/>
                <w:color w:val="auto"/>
              </w:rPr>
            </w:pPr>
            <w:r>
              <w:rPr>
                <w:rFonts w:ascii="Arial" w:cs="Arial" w:eastAsia="Arial" w:hAnsi="Arial"/>
                <w:sz w:val="10"/>
                <w:szCs w:val="10"/>
                <w:color w:val="0000EE"/>
              </w:rPr>
              <w:t>OUR PEOPLE AND OUR STEWARDSHIP</w:t>
            </w:r>
          </w:p>
        </w:tc>
        <w:tc>
          <w:tcPr>
            <w:tcW w:w="1140" w:type="dxa"/>
            <w:vAlign w:val="bottom"/>
          </w:tcPr>
          <w:p>
            <w:pPr>
              <w:spacing w:after="0"/>
              <w:rPr>
                <w:sz w:val="11"/>
                <w:szCs w:val="11"/>
                <w:color w:val="auto"/>
              </w:rPr>
            </w:pPr>
          </w:p>
        </w:tc>
        <w:tc>
          <w:tcPr>
            <w:tcW w:w="3800" w:type="dxa"/>
            <w:vAlign w:val="bottom"/>
            <w:tcBorders>
              <w:bottom w:val="single" w:sz="8" w:color="0000EE"/>
            </w:tcBorders>
            <w:gridSpan w:val="18"/>
          </w:tcPr>
          <w:p>
            <w:pPr>
              <w:spacing w:after="0" w:line="119" w:lineRule="exact"/>
              <w:rPr>
                <w:sz w:val="20"/>
                <w:szCs w:val="20"/>
                <w:color w:val="auto"/>
              </w:rPr>
            </w:pPr>
            <w:r>
              <w:rPr>
                <w:rFonts w:ascii="Arial" w:cs="Arial" w:eastAsia="Arial" w:hAnsi="Arial"/>
                <w:sz w:val="13"/>
                <w:szCs w:val="13"/>
                <w:color w:val="0000EE"/>
                <w:w w:val="98"/>
              </w:rPr>
              <w:t>Proposal 3: Advisory Vote to Approve the Compensation of Named</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0"/>
        </w:trPr>
        <w:tc>
          <w:tcPr>
            <w:tcW w:w="3320" w:type="dxa"/>
            <w:vAlign w:val="bottom"/>
            <w:gridSpan w:val="25"/>
            <w:vMerge w:val="continue"/>
          </w:tcPr>
          <w:p>
            <w:pPr>
              <w:spacing w:after="0" w:line="20" w:lineRule="exact"/>
              <w:rPr>
                <w:sz w:val="1"/>
                <w:szCs w:val="1"/>
                <w:color w:val="auto"/>
              </w:rPr>
            </w:pPr>
          </w:p>
        </w:tc>
        <w:tc>
          <w:tcPr>
            <w:tcW w:w="1140" w:type="dxa"/>
            <w:vAlign w:val="bottom"/>
            <w:vMerge w:val="restart"/>
          </w:tcPr>
          <w:p>
            <w:pPr>
              <w:jc w:val="right"/>
              <w:ind w:right="262"/>
              <w:spacing w:after="0" w:line="121" w:lineRule="exact"/>
              <w:rPr>
                <w:sz w:val="20"/>
                <w:szCs w:val="20"/>
                <w:color w:val="auto"/>
              </w:rPr>
            </w:pPr>
            <w:r>
              <w:rPr>
                <w:rFonts w:ascii="Arial" w:cs="Arial" w:eastAsia="Arial" w:hAnsi="Arial"/>
                <w:sz w:val="13"/>
                <w:szCs w:val="13"/>
                <w:color w:val="auto"/>
              </w:rPr>
              <w:t>29</w:t>
            </w: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900" w:type="dxa"/>
            <w:vAlign w:val="bottom"/>
            <w:tcBorders>
              <w:top w:val="single" w:sz="8" w:color="0000EE"/>
              <w:bottom w:val="single" w:sz="8" w:color="0000EE"/>
            </w:tcBorders>
            <w:gridSpan w:val="16"/>
          </w:tcPr>
          <w:p>
            <w:pPr>
              <w:spacing w:after="0" w:line="91" w:lineRule="exact"/>
              <w:rPr>
                <w:sz w:val="20"/>
                <w:szCs w:val="20"/>
                <w:color w:val="auto"/>
              </w:rPr>
            </w:pPr>
            <w:r>
              <w:rPr>
                <w:rFonts w:ascii="Arial" w:cs="Arial" w:eastAsia="Arial" w:hAnsi="Arial"/>
                <w:sz w:val="10"/>
                <w:szCs w:val="10"/>
                <w:color w:val="0000EE"/>
              </w:rPr>
              <w:t>- Who We Are</w:t>
            </w: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tcPr>
          <w:p>
            <w:pPr>
              <w:spacing w:after="0"/>
              <w:rPr>
                <w:sz w:val="7"/>
                <w:szCs w:val="7"/>
                <w:color w:val="auto"/>
              </w:rPr>
            </w:pPr>
          </w:p>
        </w:tc>
        <w:tc>
          <w:tcPr>
            <w:tcW w:w="1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0000EE"/>
            </w:tcBorders>
            <w:gridSpan w:val="4"/>
          </w:tcPr>
          <w:p>
            <w:pPr>
              <w:spacing w:after="0" w:line="89" w:lineRule="exact"/>
              <w:rPr>
                <w:sz w:val="20"/>
                <w:szCs w:val="20"/>
                <w:color w:val="auto"/>
              </w:rPr>
            </w:pPr>
            <w:r>
              <w:rPr>
                <w:rFonts w:ascii="Arial" w:cs="Arial" w:eastAsia="Arial" w:hAnsi="Arial"/>
                <w:sz w:val="10"/>
                <w:szCs w:val="10"/>
                <w:color w:val="0000EE"/>
              </w:rPr>
              <w:t>Executive Officers</w:t>
            </w:r>
          </w:p>
        </w:tc>
        <w:tc>
          <w:tcPr>
            <w:tcW w:w="160" w:type="dxa"/>
            <w:vAlign w:val="bottom"/>
            <w:gridSpan w:val="2"/>
          </w:tcPr>
          <w:p>
            <w:pPr>
              <w:spacing w:after="0"/>
              <w:rPr>
                <w:sz w:val="7"/>
                <w:szCs w:val="7"/>
                <w:color w:val="auto"/>
              </w:rPr>
            </w:pPr>
          </w:p>
        </w:tc>
        <w:tc>
          <w:tcPr>
            <w:tcW w:w="480" w:type="dxa"/>
            <w:vAlign w:val="bottom"/>
            <w:gridSpan w:val="2"/>
          </w:tcPr>
          <w:p>
            <w:pPr>
              <w:spacing w:after="0"/>
              <w:rPr>
                <w:sz w:val="7"/>
                <w:szCs w:val="7"/>
                <w:color w:val="auto"/>
              </w:rPr>
            </w:pPr>
          </w:p>
        </w:tc>
        <w:tc>
          <w:tcPr>
            <w:tcW w:w="7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14"/>
            <w:vMerge w:val="restart"/>
          </w:tcPr>
          <w:p>
            <w:pPr>
              <w:spacing w:after="0" w:line="119" w:lineRule="exact"/>
              <w:rPr>
                <w:sz w:val="20"/>
                <w:szCs w:val="20"/>
                <w:color w:val="auto"/>
              </w:rPr>
            </w:pPr>
            <w:r>
              <w:rPr>
                <w:rFonts w:ascii="Arial" w:cs="Arial" w:eastAsia="Arial" w:hAnsi="Arial"/>
                <w:sz w:val="13"/>
                <w:szCs w:val="13"/>
                <w:color w:val="0000EE"/>
                <w:w w:val="97"/>
              </w:rPr>
              <w:t>Proposal 4: Approval of an Amendment and Restatement of the</w:t>
            </w: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320" w:type="dxa"/>
            <w:vAlign w:val="bottom"/>
            <w:gridSpan w:val="25"/>
          </w:tcPr>
          <w:p>
            <w:pPr>
              <w:spacing w:after="0" w:line="91" w:lineRule="exact"/>
              <w:rPr>
                <w:sz w:val="20"/>
                <w:szCs w:val="20"/>
                <w:color w:val="auto"/>
              </w:rPr>
            </w:pPr>
            <w:r>
              <w:rPr>
                <w:rFonts w:ascii="Arial" w:cs="Arial" w:eastAsia="Arial" w:hAnsi="Arial"/>
                <w:sz w:val="10"/>
                <w:szCs w:val="10"/>
                <w:color w:val="0000EE"/>
              </w:rPr>
              <w:t>- Our People and Our Properties</w:t>
            </w:r>
          </w:p>
        </w:tc>
        <w:tc>
          <w:tcPr>
            <w:tcW w:w="1140" w:type="dxa"/>
            <w:vAlign w:val="bottom"/>
          </w:tcPr>
          <w:p>
            <w:pPr>
              <w:jc w:val="right"/>
              <w:ind w:right="262"/>
              <w:spacing w:after="0" w:line="91" w:lineRule="exact"/>
              <w:rPr>
                <w:sz w:val="20"/>
                <w:szCs w:val="20"/>
                <w:color w:val="auto"/>
              </w:rPr>
            </w:pPr>
            <w:r>
              <w:rPr>
                <w:rFonts w:ascii="Arial" w:cs="Arial" w:eastAsia="Arial" w:hAnsi="Arial"/>
                <w:sz w:val="10"/>
                <w:szCs w:val="10"/>
                <w:color w:val="auto"/>
              </w:rPr>
              <w:t>29</w:t>
            </w:r>
          </w:p>
        </w:tc>
        <w:tc>
          <w:tcPr>
            <w:tcW w:w="20" w:type="dxa"/>
            <w:vAlign w:val="bottom"/>
            <w:vMerge w:val="continue"/>
          </w:tcPr>
          <w:p>
            <w:pPr>
              <w:spacing w:after="0"/>
              <w:rPr>
                <w:sz w:val="7"/>
                <w:szCs w:val="7"/>
                <w:color w:val="auto"/>
              </w:rPr>
            </w:pPr>
          </w:p>
        </w:tc>
        <w:tc>
          <w:tcPr>
            <w:tcW w:w="3620" w:type="dxa"/>
            <w:vAlign w:val="bottom"/>
            <w:tcBorders>
              <w:bottom w:val="single" w:sz="8" w:color="0000EE"/>
            </w:tcBorders>
            <w:gridSpan w:val="1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EE"/>
            </w:tcBorders>
            <w:gridSpan w:val="2"/>
          </w:tcPr>
          <w:p>
            <w:pPr>
              <w:spacing w:after="0" w:line="20" w:lineRule="exact"/>
              <w:rPr>
                <w:sz w:val="1"/>
                <w:szCs w:val="1"/>
                <w:color w:val="auto"/>
              </w:rPr>
            </w:pPr>
          </w:p>
        </w:tc>
        <w:tc>
          <w:tcPr>
            <w:tcW w:w="380" w:type="dxa"/>
            <w:vAlign w:val="bottom"/>
            <w:tcBorders>
              <w:bottom w:val="single" w:sz="8" w:color="0000EE"/>
            </w:tcBorders>
            <w:gridSpan w:val="4"/>
          </w:tcPr>
          <w:p>
            <w:pPr>
              <w:spacing w:after="0" w:line="20" w:lineRule="exact"/>
              <w:rPr>
                <w:sz w:val="1"/>
                <w:szCs w:val="1"/>
                <w:color w:val="auto"/>
              </w:rPr>
            </w:pPr>
          </w:p>
        </w:tc>
        <w:tc>
          <w:tcPr>
            <w:tcW w:w="120" w:type="dxa"/>
            <w:vAlign w:val="bottom"/>
            <w:tcBorders>
              <w:bottom w:val="single" w:sz="8" w:color="0000EE"/>
            </w:tcBorders>
            <w:gridSpan w:val="2"/>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80" w:type="dxa"/>
            <w:vAlign w:val="bottom"/>
            <w:tcBorders>
              <w:bottom w:val="single" w:sz="8" w:color="0000EE"/>
            </w:tcBorders>
            <w:gridSpan w:val="3"/>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740" w:type="dxa"/>
            <w:vAlign w:val="bottom"/>
            <w:gridSpan w:val="16"/>
            <w:vMerge w:val="restart"/>
          </w:tcPr>
          <w:p>
            <w:pPr>
              <w:spacing w:after="0" w:line="119" w:lineRule="exact"/>
              <w:rPr>
                <w:sz w:val="20"/>
                <w:szCs w:val="20"/>
                <w:color w:val="auto"/>
              </w:rPr>
            </w:pPr>
            <w:r>
              <w:rPr>
                <w:rFonts w:ascii="Arial" w:cs="Arial" w:eastAsia="Arial" w:hAnsi="Arial"/>
                <w:sz w:val="13"/>
                <w:szCs w:val="13"/>
                <w:color w:val="0000EE"/>
                <w:w w:val="98"/>
              </w:rPr>
              <w:t>2014 Amended and Restated Omnibus Incentive Plan to Increase</w:t>
            </w:r>
          </w:p>
        </w:tc>
        <w:tc>
          <w:tcPr>
            <w:tcW w:w="4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320" w:type="dxa"/>
            <w:vAlign w:val="bottom"/>
            <w:gridSpan w:val="25"/>
          </w:tcPr>
          <w:p>
            <w:pPr>
              <w:spacing w:after="0" w:line="91" w:lineRule="exact"/>
              <w:rPr>
                <w:sz w:val="20"/>
                <w:szCs w:val="20"/>
                <w:color w:val="auto"/>
              </w:rPr>
            </w:pPr>
            <w:r>
              <w:rPr>
                <w:rFonts w:ascii="Arial" w:cs="Arial" w:eastAsia="Arial" w:hAnsi="Arial"/>
                <w:sz w:val="10"/>
                <w:szCs w:val="10"/>
                <w:color w:val="0000EE"/>
              </w:rPr>
              <w:t>- Executive Officers</w:t>
            </w:r>
          </w:p>
        </w:tc>
        <w:tc>
          <w:tcPr>
            <w:tcW w:w="1140" w:type="dxa"/>
            <w:vAlign w:val="bottom"/>
          </w:tcPr>
          <w:p>
            <w:pPr>
              <w:jc w:val="right"/>
              <w:ind w:right="262"/>
              <w:spacing w:after="0" w:line="91" w:lineRule="exact"/>
              <w:rPr>
                <w:sz w:val="20"/>
                <w:szCs w:val="20"/>
                <w:color w:val="auto"/>
              </w:rPr>
            </w:pPr>
            <w:r>
              <w:rPr>
                <w:rFonts w:ascii="Arial" w:cs="Arial" w:eastAsia="Arial" w:hAnsi="Arial"/>
                <w:sz w:val="10"/>
                <w:szCs w:val="10"/>
                <w:color w:val="auto"/>
              </w:rPr>
              <w:t>30</w:t>
            </w:r>
          </w:p>
        </w:tc>
        <w:tc>
          <w:tcPr>
            <w:tcW w:w="20" w:type="dxa"/>
            <w:vAlign w:val="bottom"/>
            <w:vMerge w:val="continue"/>
          </w:tcPr>
          <w:p>
            <w:pPr>
              <w:spacing w:after="0"/>
              <w:rPr>
                <w:sz w:val="7"/>
                <w:szCs w:val="7"/>
                <w:color w:val="auto"/>
              </w:rPr>
            </w:pPr>
          </w:p>
        </w:tc>
        <w:tc>
          <w:tcPr>
            <w:tcW w:w="3740" w:type="dxa"/>
            <w:vAlign w:val="bottom"/>
            <w:tcBorders>
              <w:bottom w:val="single" w:sz="8" w:color="0000EE"/>
            </w:tcBorders>
            <w:gridSpan w:val="16"/>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gridSpan w:val="18"/>
            <w:vMerge w:val="restart"/>
          </w:tcPr>
          <w:p>
            <w:pPr>
              <w:spacing w:after="0" w:line="131" w:lineRule="exact"/>
              <w:rPr>
                <w:sz w:val="20"/>
                <w:szCs w:val="20"/>
                <w:color w:val="auto"/>
              </w:rPr>
            </w:pPr>
            <w:r>
              <w:rPr>
                <w:rFonts w:ascii="Arial" w:cs="Arial" w:eastAsia="Arial" w:hAnsi="Arial"/>
                <w:sz w:val="13"/>
                <w:szCs w:val="13"/>
                <w:color w:val="0000EE"/>
              </w:rPr>
              <w:t>the Authorized Shares By 3,000,000 Shares</w:t>
            </w:r>
          </w:p>
        </w:tc>
        <w:tc>
          <w:tcPr>
            <w:tcW w:w="440" w:type="dxa"/>
            <w:vAlign w:val="bottom"/>
            <w:vMerge w:val="restart"/>
          </w:tcPr>
          <w:p>
            <w:pPr>
              <w:jc w:val="right"/>
              <w:spacing w:after="0" w:line="131" w:lineRule="exact"/>
              <w:rPr>
                <w:sz w:val="20"/>
                <w:szCs w:val="20"/>
                <w:color w:val="auto"/>
              </w:rPr>
            </w:pPr>
            <w:r>
              <w:rPr>
                <w:rFonts w:ascii="Arial" w:cs="Arial" w:eastAsia="Arial" w:hAnsi="Arial"/>
                <w:sz w:val="13"/>
                <w:szCs w:val="13"/>
                <w:color w:val="auto"/>
              </w:rPr>
              <w:t>80</w:t>
            </w:r>
          </w:p>
        </w:tc>
        <w:tc>
          <w:tcPr>
            <w:tcW w:w="0" w:type="dxa"/>
            <w:vAlign w:val="bottom"/>
          </w:tcPr>
          <w:p>
            <w:pPr>
              <w:spacing w:after="0" w:line="20" w:lineRule="exact"/>
              <w:rPr>
                <w:sz w:val="1"/>
                <w:szCs w:val="1"/>
                <w:color w:val="auto"/>
              </w:rPr>
            </w:pPr>
          </w:p>
        </w:tc>
      </w:tr>
      <w:tr>
        <w:trPr>
          <w:trHeight w:val="90"/>
        </w:trPr>
        <w:tc>
          <w:tcPr>
            <w:tcW w:w="2200" w:type="dxa"/>
            <w:vAlign w:val="bottom"/>
            <w:gridSpan w:val="18"/>
            <w:vMerge w:val="restart"/>
          </w:tcPr>
          <w:p>
            <w:pPr>
              <w:spacing w:after="0"/>
              <w:rPr>
                <w:sz w:val="20"/>
                <w:szCs w:val="20"/>
                <w:color w:val="auto"/>
              </w:rPr>
            </w:pPr>
            <w:r>
              <w:rPr>
                <w:rFonts w:ascii="Arial" w:cs="Arial" w:eastAsia="Arial" w:hAnsi="Arial"/>
                <w:sz w:val="10"/>
                <w:szCs w:val="10"/>
                <w:color w:val="0000EE"/>
                <w:w w:val="98"/>
              </w:rPr>
              <w:t>COMPENSATION DISCUSSION AND ANALYSIS</w:t>
            </w:r>
          </w:p>
        </w:tc>
        <w:tc>
          <w:tcPr>
            <w:tcW w:w="1120" w:type="dxa"/>
            <w:vAlign w:val="bottom"/>
            <w:gridSpan w:val="7"/>
            <w:vMerge w:val="restart"/>
          </w:tcPr>
          <w:p>
            <w:pPr>
              <w:spacing w:after="0"/>
              <w:rPr>
                <w:sz w:val="7"/>
                <w:szCs w:val="7"/>
                <w:color w:val="auto"/>
              </w:rPr>
            </w:pPr>
          </w:p>
        </w:tc>
        <w:tc>
          <w:tcPr>
            <w:tcW w:w="1140" w:type="dxa"/>
            <w:vAlign w:val="bottom"/>
            <w:vMerge w:val="restart"/>
          </w:tcPr>
          <w:p>
            <w:pPr>
              <w:jc w:val="right"/>
              <w:ind w:right="262"/>
              <w:spacing w:after="0"/>
              <w:rPr>
                <w:sz w:val="20"/>
                <w:szCs w:val="20"/>
                <w:color w:val="auto"/>
              </w:rPr>
            </w:pPr>
            <w:r>
              <w:rPr>
                <w:rFonts w:ascii="Arial" w:cs="Arial" w:eastAsia="Arial" w:hAnsi="Arial"/>
                <w:sz w:val="13"/>
                <w:szCs w:val="13"/>
                <w:color w:val="auto"/>
              </w:rPr>
              <w:t>34</w:t>
            </w:r>
          </w:p>
        </w:tc>
        <w:tc>
          <w:tcPr>
            <w:tcW w:w="3800" w:type="dxa"/>
            <w:vAlign w:val="bottom"/>
            <w:gridSpan w:val="18"/>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00" w:type="dxa"/>
            <w:vAlign w:val="bottom"/>
            <w:tcBorders>
              <w:bottom w:val="single" w:sz="8" w:color="0000EE"/>
            </w:tcBorders>
            <w:gridSpan w:val="18"/>
            <w:vMerge w:val="continue"/>
          </w:tcPr>
          <w:p>
            <w:pPr>
              <w:spacing w:after="0"/>
              <w:rPr>
                <w:sz w:val="9"/>
                <w:szCs w:val="9"/>
                <w:color w:val="auto"/>
              </w:rPr>
            </w:pPr>
          </w:p>
        </w:tc>
        <w:tc>
          <w:tcPr>
            <w:tcW w:w="1120" w:type="dxa"/>
            <w:vAlign w:val="bottom"/>
            <w:gridSpan w:val="7"/>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top w:val="single" w:sz="8" w:color="0000EE"/>
            </w:tcBorders>
          </w:tcPr>
          <w:p>
            <w:pPr>
              <w:spacing w:after="0"/>
              <w:rPr>
                <w:sz w:val="9"/>
                <w:szCs w:val="9"/>
                <w:color w:val="auto"/>
              </w:rPr>
            </w:pPr>
          </w:p>
        </w:tc>
        <w:tc>
          <w:tcPr>
            <w:tcW w:w="30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38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5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20" w:type="dxa"/>
            <w:vAlign w:val="bottom"/>
            <w:gridSpan w:val="25"/>
          </w:tcPr>
          <w:p>
            <w:pPr>
              <w:spacing w:after="0" w:line="98" w:lineRule="exact"/>
              <w:rPr>
                <w:sz w:val="20"/>
                <w:szCs w:val="20"/>
                <w:color w:val="auto"/>
              </w:rPr>
            </w:pPr>
            <w:r>
              <w:rPr>
                <w:rFonts w:ascii="Arial" w:cs="Arial" w:eastAsia="Arial" w:hAnsi="Arial"/>
                <w:sz w:val="11"/>
                <w:szCs w:val="11"/>
                <w:color w:val="0000EE"/>
              </w:rPr>
              <w:t>- How We Approach Executive Compensation</w:t>
            </w:r>
          </w:p>
        </w:tc>
        <w:tc>
          <w:tcPr>
            <w:tcW w:w="1140" w:type="dxa"/>
            <w:vAlign w:val="bottom"/>
            <w:vMerge w:val="continue"/>
          </w:tcPr>
          <w:p>
            <w:pPr>
              <w:spacing w:after="0"/>
              <w:rPr>
                <w:sz w:val="11"/>
                <w:szCs w:val="11"/>
                <w:color w:val="auto"/>
              </w:rPr>
            </w:pPr>
          </w:p>
        </w:tc>
        <w:tc>
          <w:tcPr>
            <w:tcW w:w="1200" w:type="dxa"/>
            <w:vAlign w:val="bottom"/>
            <w:tcBorders>
              <w:bottom w:val="single" w:sz="8" w:color="0000EE"/>
            </w:tcBorders>
            <w:gridSpan w:val="7"/>
          </w:tcPr>
          <w:p>
            <w:pPr>
              <w:spacing w:after="0" w:line="98" w:lineRule="exact"/>
              <w:rPr>
                <w:sz w:val="20"/>
                <w:szCs w:val="20"/>
                <w:color w:val="auto"/>
              </w:rPr>
            </w:pPr>
            <w:r>
              <w:rPr>
                <w:rFonts w:ascii="Arial" w:cs="Arial" w:eastAsia="Arial" w:hAnsi="Arial"/>
                <w:sz w:val="10"/>
                <w:szCs w:val="10"/>
                <w:color w:val="0000EE"/>
                <w:w w:val="96"/>
              </w:rPr>
              <w:t>GENERAL INFORMATION</w:t>
            </w:r>
          </w:p>
        </w:tc>
        <w:tc>
          <w:tcPr>
            <w:tcW w:w="2600" w:type="dxa"/>
            <w:vAlign w:val="bottom"/>
            <w:gridSpan w:val="11"/>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99"/>
        </w:trPr>
        <w:tc>
          <w:tcPr>
            <w:tcW w:w="2600" w:type="dxa"/>
            <w:vAlign w:val="bottom"/>
            <w:tcBorders>
              <w:top w:val="single" w:sz="8" w:color="0000EE"/>
              <w:bottom w:val="single" w:sz="8" w:color="0000EE"/>
            </w:tcBorders>
            <w:gridSpan w:val="23"/>
          </w:tcPr>
          <w:p>
            <w:pPr>
              <w:spacing w:after="0" w:line="100" w:lineRule="exact"/>
              <w:rPr>
                <w:sz w:val="20"/>
                <w:szCs w:val="20"/>
                <w:color w:val="auto"/>
              </w:rPr>
            </w:pPr>
            <w:r>
              <w:rPr>
                <w:rFonts w:ascii="Arial" w:cs="Arial" w:eastAsia="Arial" w:hAnsi="Arial"/>
                <w:sz w:val="11"/>
                <w:szCs w:val="11"/>
                <w:color w:val="0000EE"/>
              </w:rPr>
              <w:t>- How We Designed Incentives in 2025</w:t>
            </w:r>
          </w:p>
        </w:tc>
        <w:tc>
          <w:tcPr>
            <w:tcW w:w="720" w:type="dxa"/>
            <w:vAlign w:val="bottom"/>
            <w:gridSpan w:val="2"/>
          </w:tcPr>
          <w:p>
            <w:pPr>
              <w:spacing w:after="0"/>
              <w:rPr>
                <w:sz w:val="8"/>
                <w:szCs w:val="8"/>
                <w:color w:val="auto"/>
              </w:rPr>
            </w:pPr>
          </w:p>
        </w:tc>
        <w:tc>
          <w:tcPr>
            <w:tcW w:w="1140" w:type="dxa"/>
            <w:vAlign w:val="bottom"/>
          </w:tcPr>
          <w:p>
            <w:pPr>
              <w:jc w:val="right"/>
              <w:ind w:right="262"/>
              <w:spacing w:after="0" w:line="100" w:lineRule="exact"/>
              <w:rPr>
                <w:sz w:val="20"/>
                <w:szCs w:val="20"/>
                <w:color w:val="auto"/>
              </w:rPr>
            </w:pPr>
            <w:r>
              <w:rPr>
                <w:rFonts w:ascii="Arial" w:cs="Arial" w:eastAsia="Arial" w:hAnsi="Arial"/>
                <w:sz w:val="11"/>
                <w:szCs w:val="11"/>
                <w:color w:val="auto"/>
              </w:rPr>
              <w:t>35</w:t>
            </w:r>
          </w:p>
        </w:tc>
        <w:tc>
          <w:tcPr>
            <w:tcW w:w="20" w:type="dxa"/>
            <w:vAlign w:val="bottom"/>
          </w:tcPr>
          <w:p>
            <w:pPr>
              <w:spacing w:after="0"/>
              <w:rPr>
                <w:sz w:val="8"/>
                <w:szCs w:val="8"/>
                <w:color w:val="auto"/>
              </w:rPr>
            </w:pPr>
          </w:p>
        </w:tc>
        <w:tc>
          <w:tcPr>
            <w:tcW w:w="2400" w:type="dxa"/>
            <w:vAlign w:val="bottom"/>
            <w:tcBorders>
              <w:bottom w:val="single" w:sz="8" w:color="0000EE"/>
            </w:tcBorders>
            <w:gridSpan w:val="11"/>
          </w:tcPr>
          <w:p>
            <w:pPr>
              <w:spacing w:after="0" w:line="89" w:lineRule="exact"/>
              <w:rPr>
                <w:sz w:val="20"/>
                <w:szCs w:val="20"/>
                <w:color w:val="auto"/>
              </w:rPr>
            </w:pPr>
            <w:r>
              <w:rPr>
                <w:rFonts w:ascii="Arial" w:cs="Arial" w:eastAsia="Arial" w:hAnsi="Arial"/>
                <w:sz w:val="10"/>
                <w:szCs w:val="10"/>
                <w:color w:val="0000EE"/>
              </w:rPr>
              <w:t>Our 2026 Annual Meeting of Shareholders</w:t>
            </w:r>
          </w:p>
        </w:tc>
        <w:tc>
          <w:tcPr>
            <w:tcW w:w="1320" w:type="dxa"/>
            <w:vAlign w:val="bottom"/>
            <w:gridSpan w:val="4"/>
          </w:tcPr>
          <w:p>
            <w:pPr>
              <w:spacing w:after="0"/>
              <w:rPr>
                <w:sz w:val="8"/>
                <w:szCs w:val="8"/>
                <w:color w:val="auto"/>
              </w:rPr>
            </w:pPr>
          </w:p>
        </w:tc>
        <w:tc>
          <w:tcPr>
            <w:tcW w:w="60" w:type="dxa"/>
            <w:vAlign w:val="bottom"/>
            <w:gridSpan w:val="2"/>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EE"/>
            </w:tcBorders>
            <w:gridSpan w:val="2"/>
          </w:tcPr>
          <w:p>
            <w:pPr>
              <w:spacing w:after="0" w:line="20" w:lineRule="exact"/>
              <w:rPr>
                <w:sz w:val="1"/>
                <w:szCs w:val="1"/>
                <w:color w:val="auto"/>
              </w:rPr>
            </w:pPr>
          </w:p>
        </w:tc>
        <w:tc>
          <w:tcPr>
            <w:tcW w:w="500" w:type="dxa"/>
            <w:vAlign w:val="bottom"/>
            <w:tcBorders>
              <w:bottom w:val="single" w:sz="8" w:color="0000EE"/>
            </w:tcBorders>
            <w:gridSpan w:val="6"/>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80" w:type="dxa"/>
            <w:vAlign w:val="bottom"/>
            <w:tcBorders>
              <w:bottom w:val="single" w:sz="8" w:color="0000EE"/>
            </w:tcBorders>
            <w:gridSpan w:val="3"/>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gridSpan w:val="3"/>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gridSpan w:val="6"/>
            <w:vMerge w:val="restart"/>
          </w:tcPr>
          <w:p>
            <w:pPr>
              <w:spacing w:after="0" w:line="119" w:lineRule="exact"/>
              <w:rPr>
                <w:sz w:val="20"/>
                <w:szCs w:val="20"/>
                <w:color w:val="auto"/>
              </w:rPr>
            </w:pPr>
            <w:r>
              <w:rPr>
                <w:rFonts w:ascii="Arial" w:cs="Arial" w:eastAsia="Arial" w:hAnsi="Arial"/>
                <w:sz w:val="13"/>
                <w:szCs w:val="13"/>
                <w:color w:val="0000EE"/>
                <w:w w:val="96"/>
              </w:rPr>
              <w:t>- How You Can Vote</w:t>
            </w:r>
          </w:p>
        </w:tc>
        <w:tc>
          <w:tcPr>
            <w:tcW w:w="480" w:type="dxa"/>
            <w:vAlign w:val="bottom"/>
            <w:gridSpan w:val="2"/>
            <w:vMerge w:val="restart"/>
          </w:tcPr>
          <w:p>
            <w:pPr>
              <w:spacing w:after="0" w:line="20" w:lineRule="exact"/>
              <w:rPr>
                <w:sz w:val="1"/>
                <w:szCs w:val="1"/>
                <w:color w:val="auto"/>
              </w:rPr>
            </w:pPr>
          </w:p>
        </w:tc>
        <w:tc>
          <w:tcPr>
            <w:tcW w:w="720" w:type="dxa"/>
            <w:vAlign w:val="bottom"/>
            <w:gridSpan w:val="2"/>
            <w:vMerge w:val="restart"/>
          </w:tcPr>
          <w:p>
            <w:pPr>
              <w:spacing w:after="0" w:line="20" w:lineRule="exact"/>
              <w:rPr>
                <w:sz w:val="1"/>
                <w:szCs w:val="1"/>
                <w:color w:val="auto"/>
              </w:rPr>
            </w:pPr>
          </w:p>
        </w:tc>
        <w:tc>
          <w:tcPr>
            <w:tcW w:w="1340" w:type="dxa"/>
            <w:vAlign w:val="bottom"/>
            <w:gridSpan w:val="5"/>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40" w:type="dxa"/>
            <w:vAlign w:val="bottom"/>
            <w:vMerge w:val="restart"/>
          </w:tcPr>
          <w:p>
            <w:pPr>
              <w:jc w:val="right"/>
              <w:spacing w:after="0" w:line="131" w:lineRule="exact"/>
              <w:rPr>
                <w:sz w:val="20"/>
                <w:szCs w:val="20"/>
                <w:color w:val="auto"/>
              </w:rPr>
            </w:pPr>
            <w:r>
              <w:rPr>
                <w:rFonts w:ascii="Arial" w:cs="Arial" w:eastAsia="Arial" w:hAnsi="Arial"/>
                <w:sz w:val="13"/>
                <w:szCs w:val="13"/>
                <w:color w:val="auto"/>
              </w:rPr>
              <w:t>94</w:t>
            </w:r>
          </w:p>
        </w:tc>
        <w:tc>
          <w:tcPr>
            <w:tcW w:w="0" w:type="dxa"/>
            <w:vAlign w:val="bottom"/>
          </w:tcPr>
          <w:p>
            <w:pPr>
              <w:spacing w:after="0" w:line="20" w:lineRule="exact"/>
              <w:rPr>
                <w:sz w:val="1"/>
                <w:szCs w:val="1"/>
                <w:color w:val="auto"/>
              </w:rPr>
            </w:pPr>
          </w:p>
        </w:tc>
      </w:tr>
      <w:tr>
        <w:trPr>
          <w:trHeight w:val="95"/>
        </w:trPr>
        <w:tc>
          <w:tcPr>
            <w:tcW w:w="3320" w:type="dxa"/>
            <w:vAlign w:val="bottom"/>
            <w:gridSpan w:val="25"/>
          </w:tcPr>
          <w:p>
            <w:pPr>
              <w:spacing w:after="0" w:line="91" w:lineRule="exact"/>
              <w:rPr>
                <w:sz w:val="20"/>
                <w:szCs w:val="20"/>
                <w:color w:val="auto"/>
              </w:rPr>
            </w:pPr>
            <w:r>
              <w:rPr>
                <w:rFonts w:ascii="Arial" w:cs="Arial" w:eastAsia="Arial" w:hAnsi="Arial"/>
                <w:sz w:val="10"/>
                <w:szCs w:val="10"/>
                <w:color w:val="0000EE"/>
              </w:rPr>
              <w:t>- Executive compensation components</w:t>
            </w:r>
          </w:p>
        </w:tc>
        <w:tc>
          <w:tcPr>
            <w:tcW w:w="1140" w:type="dxa"/>
            <w:vAlign w:val="bottom"/>
          </w:tcPr>
          <w:p>
            <w:pPr>
              <w:jc w:val="right"/>
              <w:ind w:right="262"/>
              <w:spacing w:after="0" w:line="91" w:lineRule="exact"/>
              <w:rPr>
                <w:sz w:val="20"/>
                <w:szCs w:val="20"/>
                <w:color w:val="auto"/>
              </w:rPr>
            </w:pPr>
            <w:r>
              <w:rPr>
                <w:rFonts w:ascii="Arial" w:cs="Arial" w:eastAsia="Arial" w:hAnsi="Arial"/>
                <w:sz w:val="10"/>
                <w:szCs w:val="10"/>
                <w:color w:val="auto"/>
              </w:rPr>
              <w:t>36</w:t>
            </w:r>
          </w:p>
        </w:tc>
        <w:tc>
          <w:tcPr>
            <w:tcW w:w="20" w:type="dxa"/>
            <w:vAlign w:val="bottom"/>
            <w:vMerge w:val="continue"/>
          </w:tcPr>
          <w:p>
            <w:pPr>
              <w:spacing w:after="0"/>
              <w:rPr>
                <w:sz w:val="7"/>
                <w:szCs w:val="7"/>
                <w:color w:val="auto"/>
              </w:rPr>
            </w:pPr>
          </w:p>
        </w:tc>
        <w:tc>
          <w:tcPr>
            <w:tcW w:w="1180" w:type="dxa"/>
            <w:vAlign w:val="bottom"/>
            <w:tcBorders>
              <w:bottom w:val="single" w:sz="8" w:color="0000EE"/>
            </w:tcBorders>
            <w:gridSpan w:val="6"/>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EE"/>
            </w:tcBorders>
            <w:gridSpan w:val="2"/>
          </w:tcPr>
          <w:p>
            <w:pPr>
              <w:spacing w:after="0" w:line="20" w:lineRule="exact"/>
              <w:rPr>
                <w:sz w:val="1"/>
                <w:szCs w:val="1"/>
                <w:color w:val="auto"/>
              </w:rPr>
            </w:pPr>
          </w:p>
        </w:tc>
        <w:tc>
          <w:tcPr>
            <w:tcW w:w="500" w:type="dxa"/>
            <w:vAlign w:val="bottom"/>
            <w:tcBorders>
              <w:bottom w:val="single" w:sz="8" w:color="0000EE"/>
            </w:tcBorders>
            <w:gridSpan w:val="6"/>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80" w:type="dxa"/>
            <w:vAlign w:val="bottom"/>
            <w:tcBorders>
              <w:bottom w:val="single" w:sz="8" w:color="0000EE"/>
            </w:tcBorders>
            <w:gridSpan w:val="3"/>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gridSpan w:val="3"/>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80" w:type="dxa"/>
            <w:vAlign w:val="bottom"/>
            <w:gridSpan w:val="10"/>
            <w:vMerge w:val="restart"/>
          </w:tcPr>
          <w:p>
            <w:pPr>
              <w:spacing w:after="0" w:line="119" w:lineRule="exact"/>
              <w:rPr>
                <w:sz w:val="20"/>
                <w:szCs w:val="20"/>
                <w:color w:val="auto"/>
              </w:rPr>
            </w:pPr>
            <w:r>
              <w:rPr>
                <w:rFonts w:ascii="Arial" w:cs="Arial" w:eastAsia="Arial" w:hAnsi="Arial"/>
                <w:sz w:val="13"/>
                <w:szCs w:val="13"/>
                <w:color w:val="0000EE"/>
                <w:w w:val="97"/>
              </w:rPr>
              <w:t>- Shareholder Nominations and Proposals</w:t>
            </w:r>
          </w:p>
        </w:tc>
        <w:tc>
          <w:tcPr>
            <w:tcW w:w="1340" w:type="dxa"/>
            <w:vAlign w:val="bottom"/>
            <w:gridSpan w:val="5"/>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40" w:type="dxa"/>
            <w:vAlign w:val="bottom"/>
            <w:vMerge w:val="restart"/>
          </w:tcPr>
          <w:p>
            <w:pPr>
              <w:jc w:val="right"/>
              <w:spacing w:after="0" w:line="131" w:lineRule="exact"/>
              <w:rPr>
                <w:sz w:val="20"/>
                <w:szCs w:val="20"/>
                <w:color w:val="auto"/>
              </w:rPr>
            </w:pPr>
            <w:r>
              <w:rPr>
                <w:rFonts w:ascii="Arial" w:cs="Arial" w:eastAsia="Arial" w:hAnsi="Arial"/>
                <w:sz w:val="13"/>
                <w:szCs w:val="13"/>
                <w:color w:val="auto"/>
              </w:rPr>
              <w:t>96</w:t>
            </w:r>
          </w:p>
        </w:tc>
        <w:tc>
          <w:tcPr>
            <w:tcW w:w="0" w:type="dxa"/>
            <w:vAlign w:val="bottom"/>
          </w:tcPr>
          <w:p>
            <w:pPr>
              <w:spacing w:after="0" w:line="20" w:lineRule="exact"/>
              <w:rPr>
                <w:sz w:val="1"/>
                <w:szCs w:val="1"/>
                <w:color w:val="auto"/>
              </w:rPr>
            </w:pPr>
          </w:p>
        </w:tc>
      </w:tr>
      <w:tr>
        <w:trPr>
          <w:trHeight w:val="95"/>
        </w:trPr>
        <w:tc>
          <w:tcPr>
            <w:tcW w:w="3320" w:type="dxa"/>
            <w:vAlign w:val="bottom"/>
            <w:gridSpan w:val="25"/>
          </w:tcPr>
          <w:p>
            <w:pPr>
              <w:spacing w:after="0" w:line="91" w:lineRule="exact"/>
              <w:rPr>
                <w:sz w:val="20"/>
                <w:szCs w:val="20"/>
                <w:color w:val="auto"/>
              </w:rPr>
            </w:pPr>
            <w:r>
              <w:rPr>
                <w:rFonts w:ascii="Arial" w:cs="Arial" w:eastAsia="Arial" w:hAnsi="Arial"/>
                <w:sz w:val="10"/>
                <w:szCs w:val="10"/>
                <w:color w:val="0000EE"/>
              </w:rPr>
              <w:t>- 2025 Compensation Design &amp; Decisions</w:t>
            </w:r>
          </w:p>
        </w:tc>
        <w:tc>
          <w:tcPr>
            <w:tcW w:w="1140" w:type="dxa"/>
            <w:vAlign w:val="bottom"/>
          </w:tcPr>
          <w:p>
            <w:pPr>
              <w:jc w:val="right"/>
              <w:ind w:right="262"/>
              <w:spacing w:after="0" w:line="91" w:lineRule="exact"/>
              <w:rPr>
                <w:sz w:val="20"/>
                <w:szCs w:val="20"/>
                <w:color w:val="auto"/>
              </w:rPr>
            </w:pPr>
            <w:r>
              <w:rPr>
                <w:rFonts w:ascii="Arial" w:cs="Arial" w:eastAsia="Arial" w:hAnsi="Arial"/>
                <w:sz w:val="10"/>
                <w:szCs w:val="10"/>
                <w:color w:val="auto"/>
              </w:rPr>
              <w:t>40</w:t>
            </w:r>
          </w:p>
        </w:tc>
        <w:tc>
          <w:tcPr>
            <w:tcW w:w="20" w:type="dxa"/>
            <w:vAlign w:val="bottom"/>
            <w:vMerge w:val="continue"/>
          </w:tcPr>
          <w:p>
            <w:pPr>
              <w:spacing w:after="0"/>
              <w:rPr>
                <w:sz w:val="7"/>
                <w:szCs w:val="7"/>
                <w:color w:val="auto"/>
              </w:rPr>
            </w:pPr>
          </w:p>
        </w:tc>
        <w:tc>
          <w:tcPr>
            <w:tcW w:w="2380" w:type="dxa"/>
            <w:vAlign w:val="bottom"/>
            <w:tcBorders>
              <w:bottom w:val="single" w:sz="8" w:color="0000EE"/>
            </w:tcBorders>
            <w:gridSpan w:val="10"/>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gridSpan w:val="18"/>
            <w:vMerge w:val="restart"/>
          </w:tcPr>
          <w:p>
            <w:pPr>
              <w:spacing w:after="0" w:line="131" w:lineRule="exact"/>
              <w:rPr>
                <w:sz w:val="20"/>
                <w:szCs w:val="20"/>
                <w:color w:val="auto"/>
              </w:rPr>
            </w:pPr>
            <w:r>
              <w:rPr>
                <w:rFonts w:ascii="Arial" w:cs="Arial" w:eastAsia="Arial" w:hAnsi="Arial"/>
                <w:sz w:val="13"/>
                <w:szCs w:val="13"/>
                <w:color w:val="0000EE"/>
              </w:rPr>
              <w:t>- Annual Report</w:t>
            </w:r>
          </w:p>
        </w:tc>
        <w:tc>
          <w:tcPr>
            <w:tcW w:w="440" w:type="dxa"/>
            <w:vAlign w:val="bottom"/>
            <w:vMerge w:val="restart"/>
          </w:tcPr>
          <w:p>
            <w:pPr>
              <w:jc w:val="right"/>
              <w:spacing w:after="0" w:line="131" w:lineRule="exact"/>
              <w:rPr>
                <w:sz w:val="20"/>
                <w:szCs w:val="20"/>
                <w:color w:val="auto"/>
              </w:rPr>
            </w:pPr>
            <w:r>
              <w:rPr>
                <w:rFonts w:ascii="Arial" w:cs="Arial" w:eastAsia="Arial" w:hAnsi="Arial"/>
                <w:sz w:val="13"/>
                <w:szCs w:val="13"/>
                <w:color w:val="auto"/>
              </w:rPr>
              <w:t>97</w:t>
            </w:r>
          </w:p>
        </w:tc>
        <w:tc>
          <w:tcPr>
            <w:tcW w:w="0" w:type="dxa"/>
            <w:vAlign w:val="bottom"/>
          </w:tcPr>
          <w:p>
            <w:pPr>
              <w:spacing w:after="0" w:line="20" w:lineRule="exact"/>
              <w:rPr>
                <w:sz w:val="1"/>
                <w:szCs w:val="1"/>
                <w:color w:val="auto"/>
              </w:rPr>
            </w:pPr>
          </w:p>
        </w:tc>
      </w:tr>
      <w:tr>
        <w:trPr>
          <w:trHeight w:val="90"/>
        </w:trPr>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0" w:type="dxa"/>
            <w:vAlign w:val="bottom"/>
            <w:gridSpan w:val="18"/>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800" w:type="dxa"/>
            <w:vAlign w:val="bottom"/>
            <w:tcBorders>
              <w:bottom w:val="single" w:sz="8" w:color="0000EE"/>
            </w:tcBorders>
            <w:gridSpan w:val="13"/>
          </w:tcPr>
          <w:p>
            <w:pPr>
              <w:spacing w:after="0" w:line="98" w:lineRule="exact"/>
              <w:rPr>
                <w:sz w:val="20"/>
                <w:szCs w:val="20"/>
                <w:color w:val="auto"/>
              </w:rPr>
            </w:pPr>
            <w:r>
              <w:rPr>
                <w:rFonts w:ascii="Arial" w:cs="Arial" w:eastAsia="Arial" w:hAnsi="Arial"/>
                <w:sz w:val="10"/>
                <w:szCs w:val="10"/>
                <w:color w:val="0000EE"/>
                <w:w w:val="97"/>
              </w:rPr>
              <w:t>EXECUTIVE COMPENSATION TABLES</w:t>
            </w:r>
          </w:p>
        </w:tc>
        <w:tc>
          <w:tcPr>
            <w:tcW w:w="40" w:type="dxa"/>
            <w:vAlign w:val="bottom"/>
          </w:tcPr>
          <w:p>
            <w:pPr>
              <w:spacing w:after="0"/>
              <w:rPr>
                <w:sz w:val="9"/>
                <w:szCs w:val="9"/>
                <w:color w:val="auto"/>
              </w:rPr>
            </w:pPr>
          </w:p>
        </w:tc>
        <w:tc>
          <w:tcPr>
            <w:tcW w:w="80" w:type="dxa"/>
            <w:vAlign w:val="bottom"/>
            <w:gridSpan w:val="3"/>
          </w:tcPr>
          <w:p>
            <w:pPr>
              <w:spacing w:after="0"/>
              <w:rPr>
                <w:sz w:val="9"/>
                <w:szCs w:val="9"/>
                <w:color w:val="auto"/>
              </w:rPr>
            </w:pPr>
          </w:p>
        </w:tc>
        <w:tc>
          <w:tcPr>
            <w:tcW w:w="340" w:type="dxa"/>
            <w:vAlign w:val="bottom"/>
            <w:gridSpan w:val="3"/>
          </w:tcPr>
          <w:p>
            <w:pPr>
              <w:spacing w:after="0"/>
              <w:rPr>
                <w:sz w:val="9"/>
                <w:szCs w:val="9"/>
                <w:color w:val="auto"/>
              </w:rPr>
            </w:pPr>
          </w:p>
        </w:tc>
        <w:tc>
          <w:tcPr>
            <w:tcW w:w="180" w:type="dxa"/>
            <w:vAlign w:val="bottom"/>
            <w:gridSpan w:val="2"/>
          </w:tcPr>
          <w:p>
            <w:pPr>
              <w:spacing w:after="0"/>
              <w:rPr>
                <w:sz w:val="9"/>
                <w:szCs w:val="9"/>
                <w:color w:val="auto"/>
              </w:rPr>
            </w:pPr>
          </w:p>
        </w:tc>
        <w:tc>
          <w:tcPr>
            <w:tcW w:w="880" w:type="dxa"/>
            <w:vAlign w:val="bottom"/>
            <w:gridSpan w:val="3"/>
          </w:tcPr>
          <w:p>
            <w:pPr>
              <w:spacing w:after="0"/>
              <w:rPr>
                <w:sz w:val="9"/>
                <w:szCs w:val="9"/>
                <w:color w:val="auto"/>
              </w:rPr>
            </w:pPr>
          </w:p>
        </w:tc>
        <w:tc>
          <w:tcPr>
            <w:tcW w:w="1140" w:type="dxa"/>
            <w:vAlign w:val="bottom"/>
          </w:tcPr>
          <w:p>
            <w:pPr>
              <w:spacing w:after="0"/>
              <w:rPr>
                <w:sz w:val="9"/>
                <w:szCs w:val="9"/>
                <w:color w:val="auto"/>
              </w:rPr>
            </w:pPr>
          </w:p>
        </w:tc>
        <w:tc>
          <w:tcPr>
            <w:tcW w:w="3800" w:type="dxa"/>
            <w:vAlign w:val="bottom"/>
            <w:gridSpan w:val="18"/>
          </w:tcPr>
          <w:p>
            <w:pPr>
              <w:spacing w:after="0" w:line="109" w:lineRule="exact"/>
              <w:rPr>
                <w:sz w:val="20"/>
                <w:szCs w:val="20"/>
                <w:color w:val="auto"/>
              </w:rPr>
            </w:pPr>
            <w:r>
              <w:rPr>
                <w:rFonts w:ascii="Arial" w:cs="Arial" w:eastAsia="Arial" w:hAnsi="Arial"/>
                <w:sz w:val="12"/>
                <w:szCs w:val="12"/>
                <w:color w:val="0000EE"/>
              </w:rPr>
              <w:t>- Other Business</w:t>
            </w:r>
          </w:p>
        </w:tc>
        <w:tc>
          <w:tcPr>
            <w:tcW w:w="440" w:type="dxa"/>
            <w:vAlign w:val="bottom"/>
          </w:tcPr>
          <w:p>
            <w:pPr>
              <w:jc w:val="right"/>
              <w:spacing w:after="0" w:line="109" w:lineRule="exact"/>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20"/>
        </w:trPr>
        <w:tc>
          <w:tcPr>
            <w:tcW w:w="1840" w:type="dxa"/>
            <w:vAlign w:val="bottom"/>
            <w:gridSpan w:val="14"/>
            <w:vMerge w:val="restart"/>
          </w:tcPr>
          <w:p>
            <w:pPr>
              <w:spacing w:after="0" w:line="119" w:lineRule="exact"/>
              <w:rPr>
                <w:sz w:val="20"/>
                <w:szCs w:val="20"/>
                <w:color w:val="auto"/>
              </w:rPr>
            </w:pPr>
            <w:r>
              <w:rPr>
                <w:rFonts w:ascii="Arial" w:cs="Arial" w:eastAsia="Arial" w:hAnsi="Arial"/>
                <w:sz w:val="13"/>
                <w:szCs w:val="13"/>
                <w:color w:val="0000EE"/>
                <w:w w:val="97"/>
              </w:rPr>
              <w:t>- Summary Compensation Table</w:t>
            </w:r>
          </w:p>
        </w:tc>
        <w:tc>
          <w:tcPr>
            <w:tcW w:w="1480" w:type="dxa"/>
            <w:vAlign w:val="bottom"/>
            <w:gridSpan w:val="11"/>
            <w:vMerge w:val="restart"/>
          </w:tcPr>
          <w:p>
            <w:pPr>
              <w:spacing w:after="0" w:line="20" w:lineRule="exact"/>
              <w:rPr>
                <w:sz w:val="1"/>
                <w:szCs w:val="1"/>
                <w:color w:val="auto"/>
              </w:rPr>
            </w:pPr>
          </w:p>
        </w:tc>
        <w:tc>
          <w:tcPr>
            <w:tcW w:w="1140" w:type="dxa"/>
            <w:vAlign w:val="bottom"/>
            <w:vMerge w:val="restart"/>
          </w:tcPr>
          <w:p>
            <w:pPr>
              <w:jc w:val="right"/>
              <w:ind w:right="262"/>
              <w:spacing w:after="0" w:line="119" w:lineRule="exact"/>
              <w:rPr>
                <w:sz w:val="20"/>
                <w:szCs w:val="20"/>
                <w:color w:val="auto"/>
              </w:rPr>
            </w:pPr>
            <w:r>
              <w:rPr>
                <w:rFonts w:ascii="Arial" w:cs="Arial" w:eastAsia="Arial" w:hAnsi="Arial"/>
                <w:sz w:val="13"/>
                <w:szCs w:val="13"/>
                <w:color w:val="auto"/>
              </w:rPr>
              <w:t>53</w:t>
            </w:r>
          </w:p>
        </w:tc>
        <w:tc>
          <w:tcPr>
            <w:tcW w:w="2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840" w:type="dxa"/>
            <w:vAlign w:val="bottom"/>
            <w:tcBorders>
              <w:bottom w:val="single" w:sz="8" w:color="0000EE"/>
            </w:tcBorders>
            <w:gridSpan w:val="14"/>
            <w:vMerge w:val="continue"/>
          </w:tcPr>
          <w:p>
            <w:pPr>
              <w:spacing w:after="0"/>
              <w:rPr>
                <w:sz w:val="6"/>
                <w:szCs w:val="6"/>
                <w:color w:val="auto"/>
              </w:rPr>
            </w:pPr>
          </w:p>
        </w:tc>
        <w:tc>
          <w:tcPr>
            <w:tcW w:w="1480" w:type="dxa"/>
            <w:vAlign w:val="bottom"/>
            <w:gridSpan w:val="11"/>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440" w:type="dxa"/>
            <w:vAlign w:val="bottom"/>
            <w:gridSpan w:val="22"/>
          </w:tcPr>
          <w:p>
            <w:pPr>
              <w:spacing w:after="0" w:line="109" w:lineRule="exact"/>
              <w:rPr>
                <w:sz w:val="20"/>
                <w:szCs w:val="20"/>
                <w:color w:val="auto"/>
              </w:rPr>
            </w:pPr>
            <w:r>
              <w:rPr>
                <w:rFonts w:ascii="Arial" w:cs="Arial" w:eastAsia="Arial" w:hAnsi="Arial"/>
                <w:sz w:val="12"/>
                <w:szCs w:val="12"/>
                <w:color w:val="0000EE"/>
              </w:rPr>
              <w:t>- 2025 Grants of Plan-Based Awards Table</w:t>
            </w:r>
          </w:p>
        </w:tc>
        <w:tc>
          <w:tcPr>
            <w:tcW w:w="880" w:type="dxa"/>
            <w:vAlign w:val="bottom"/>
            <w:gridSpan w:val="3"/>
          </w:tcPr>
          <w:p>
            <w:pPr>
              <w:spacing w:after="0"/>
              <w:rPr>
                <w:sz w:val="12"/>
                <w:szCs w:val="12"/>
                <w:color w:val="auto"/>
              </w:rPr>
            </w:pPr>
          </w:p>
        </w:tc>
        <w:tc>
          <w:tcPr>
            <w:tcW w:w="1140" w:type="dxa"/>
            <w:vAlign w:val="bottom"/>
          </w:tcPr>
          <w:p>
            <w:pPr>
              <w:jc w:val="right"/>
              <w:ind w:right="262"/>
              <w:spacing w:after="0" w:line="100" w:lineRule="exact"/>
              <w:rPr>
                <w:sz w:val="20"/>
                <w:szCs w:val="20"/>
                <w:color w:val="auto"/>
              </w:rPr>
            </w:pPr>
            <w:r>
              <w:rPr>
                <w:rFonts w:ascii="Arial" w:cs="Arial" w:eastAsia="Arial" w:hAnsi="Arial"/>
                <w:sz w:val="11"/>
                <w:szCs w:val="11"/>
                <w:color w:val="auto"/>
              </w:rPr>
              <w:t>56</w:t>
            </w:r>
          </w:p>
        </w:tc>
        <w:tc>
          <w:tcPr>
            <w:tcW w:w="3800" w:type="dxa"/>
            <w:vAlign w:val="bottom"/>
            <w:gridSpan w:val="18"/>
          </w:tcPr>
          <w:p>
            <w:pPr>
              <w:spacing w:after="0" w:line="109" w:lineRule="exact"/>
              <w:rPr>
                <w:sz w:val="20"/>
                <w:szCs w:val="20"/>
                <w:color w:val="auto"/>
              </w:rPr>
            </w:pPr>
            <w:r>
              <w:rPr>
                <w:rFonts w:ascii="Arial" w:cs="Arial" w:eastAsia="Arial" w:hAnsi="Arial"/>
                <w:sz w:val="10"/>
                <w:szCs w:val="10"/>
                <w:color w:val="0000EE"/>
              </w:rPr>
              <w:t>APPENDIX A</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440" w:type="dxa"/>
            <w:vAlign w:val="bottom"/>
            <w:tcBorders>
              <w:top w:val="single" w:sz="8" w:color="0000EE"/>
              <w:bottom w:val="single" w:sz="8" w:color="0000EE"/>
            </w:tcBorders>
            <w:gridSpan w:val="22"/>
          </w:tcPr>
          <w:p>
            <w:pPr>
              <w:spacing w:after="0" w:line="100" w:lineRule="exact"/>
              <w:rPr>
                <w:sz w:val="20"/>
                <w:szCs w:val="20"/>
                <w:color w:val="auto"/>
              </w:rPr>
            </w:pPr>
            <w:r>
              <w:rPr>
                <w:rFonts w:ascii="Arial" w:cs="Arial" w:eastAsia="Arial" w:hAnsi="Arial"/>
                <w:sz w:val="11"/>
                <w:szCs w:val="11"/>
                <w:color w:val="0000EE"/>
              </w:rPr>
              <w:t>- Stock Vested in 2025</w:t>
            </w:r>
          </w:p>
        </w:tc>
        <w:tc>
          <w:tcPr>
            <w:tcW w:w="880" w:type="dxa"/>
            <w:vAlign w:val="bottom"/>
            <w:gridSpan w:val="3"/>
          </w:tcPr>
          <w:p>
            <w:pPr>
              <w:spacing w:after="0"/>
              <w:rPr>
                <w:sz w:val="8"/>
                <w:szCs w:val="8"/>
                <w:color w:val="auto"/>
              </w:rPr>
            </w:pPr>
          </w:p>
        </w:tc>
        <w:tc>
          <w:tcPr>
            <w:tcW w:w="1140" w:type="dxa"/>
            <w:vAlign w:val="bottom"/>
          </w:tcPr>
          <w:p>
            <w:pPr>
              <w:jc w:val="right"/>
              <w:ind w:right="262"/>
              <w:spacing w:after="0" w:line="100" w:lineRule="exact"/>
              <w:rPr>
                <w:sz w:val="20"/>
                <w:szCs w:val="20"/>
                <w:color w:val="auto"/>
              </w:rPr>
            </w:pPr>
            <w:r>
              <w:rPr>
                <w:rFonts w:ascii="Arial" w:cs="Arial" w:eastAsia="Arial" w:hAnsi="Arial"/>
                <w:sz w:val="11"/>
                <w:szCs w:val="11"/>
                <w:color w:val="auto"/>
              </w:rPr>
              <w:t>58</w:t>
            </w:r>
          </w:p>
        </w:tc>
        <w:tc>
          <w:tcPr>
            <w:tcW w:w="20" w:type="dxa"/>
            <w:vAlign w:val="bottom"/>
            <w:tcBorders>
              <w:top w:val="single" w:sz="8" w:color="0000EE"/>
              <w:bottom w:val="single" w:sz="8" w:color="0000EE"/>
            </w:tcBorders>
          </w:tcPr>
          <w:p>
            <w:pPr>
              <w:spacing w:after="0"/>
              <w:rPr>
                <w:sz w:val="8"/>
                <w:szCs w:val="8"/>
                <w:color w:val="auto"/>
              </w:rPr>
            </w:pPr>
          </w:p>
        </w:tc>
        <w:tc>
          <w:tcPr>
            <w:tcW w:w="580" w:type="dxa"/>
            <w:vAlign w:val="bottom"/>
            <w:tcBorders>
              <w:top w:val="single" w:sz="8" w:color="0000EE"/>
              <w:bottom w:val="single" w:sz="8" w:color="0000EE"/>
            </w:tcBorders>
          </w:tcPr>
          <w:p>
            <w:pPr>
              <w:spacing w:after="0" w:line="89" w:lineRule="exact"/>
              <w:rPr>
                <w:sz w:val="20"/>
                <w:szCs w:val="20"/>
                <w:color w:val="auto"/>
              </w:rPr>
            </w:pPr>
            <w:r>
              <w:rPr>
                <w:rFonts w:ascii="Arial" w:cs="Arial" w:eastAsia="Arial" w:hAnsi="Arial"/>
                <w:sz w:val="10"/>
                <w:szCs w:val="10"/>
                <w:color w:val="0000EE"/>
              </w:rPr>
              <w:t>Appendix</w:t>
            </w:r>
          </w:p>
        </w:tc>
        <w:tc>
          <w:tcPr>
            <w:tcW w:w="3140" w:type="dxa"/>
            <w:vAlign w:val="bottom"/>
            <w:tcBorders>
              <w:bottom w:val="single" w:sz="8" w:color="0000EE"/>
            </w:tcBorders>
            <w:gridSpan w:val="14"/>
          </w:tcPr>
          <w:p>
            <w:pPr>
              <w:spacing w:after="0" w:line="80" w:lineRule="exact"/>
              <w:rPr>
                <w:sz w:val="20"/>
                <w:szCs w:val="20"/>
                <w:color w:val="auto"/>
              </w:rPr>
            </w:pPr>
            <w:r>
              <w:rPr>
                <w:rFonts w:ascii="Arial" w:cs="Arial" w:eastAsia="Arial" w:hAnsi="Arial"/>
                <w:sz w:val="9"/>
                <w:szCs w:val="9"/>
                <w:color w:val="0000EE"/>
              </w:rPr>
              <w:t>A: Wynn Resorts, Limited Third Amended and Restated</w:t>
            </w:r>
          </w:p>
        </w:tc>
        <w:tc>
          <w:tcPr>
            <w:tcW w:w="6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EE"/>
            </w:tcBorders>
            <w:gridSpan w:val="2"/>
          </w:tcPr>
          <w:p>
            <w:pPr>
              <w:spacing w:after="0" w:line="20" w:lineRule="exact"/>
              <w:rPr>
                <w:sz w:val="1"/>
                <w:szCs w:val="1"/>
                <w:color w:val="auto"/>
              </w:rPr>
            </w:pPr>
          </w:p>
        </w:tc>
        <w:tc>
          <w:tcPr>
            <w:tcW w:w="500" w:type="dxa"/>
            <w:vAlign w:val="bottom"/>
            <w:tcBorders>
              <w:bottom w:val="single" w:sz="8" w:color="0000EE"/>
            </w:tcBorders>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60" w:type="dxa"/>
            <w:vAlign w:val="bottom"/>
            <w:gridSpan w:val="8"/>
            <w:vMerge w:val="restart"/>
          </w:tcPr>
          <w:p>
            <w:pPr>
              <w:spacing w:after="0" w:line="119" w:lineRule="exact"/>
              <w:rPr>
                <w:sz w:val="20"/>
                <w:szCs w:val="20"/>
                <w:color w:val="auto"/>
              </w:rPr>
            </w:pPr>
            <w:r>
              <w:rPr>
                <w:rFonts w:ascii="Arial" w:cs="Arial" w:eastAsia="Arial" w:hAnsi="Arial"/>
                <w:sz w:val="13"/>
                <w:szCs w:val="13"/>
                <w:color w:val="0000EE"/>
                <w:w w:val="96"/>
              </w:rPr>
              <w:t>2014 Omnibus Incentive Plan</w:t>
            </w:r>
          </w:p>
        </w:tc>
        <w:tc>
          <w:tcPr>
            <w:tcW w:w="2120" w:type="dxa"/>
            <w:vAlign w:val="bottom"/>
            <w:gridSpan w:val="9"/>
            <w:vMerge w:val="restart"/>
          </w:tcPr>
          <w:p>
            <w:pPr>
              <w:spacing w:after="0" w:line="20" w:lineRule="exact"/>
              <w:rPr>
                <w:sz w:val="1"/>
                <w:szCs w:val="1"/>
                <w:color w:val="auto"/>
              </w:rPr>
            </w:pPr>
          </w:p>
        </w:tc>
        <w:tc>
          <w:tcPr>
            <w:tcW w:w="440" w:type="dxa"/>
            <w:vAlign w:val="bottom"/>
            <w:vMerge w:val="restart"/>
          </w:tcPr>
          <w:p>
            <w:pPr>
              <w:jc w:val="right"/>
              <w:spacing w:after="0" w:line="131" w:lineRule="exact"/>
              <w:rPr>
                <w:sz w:val="20"/>
                <w:szCs w:val="20"/>
                <w:color w:val="auto"/>
              </w:rPr>
            </w:pPr>
            <w:r>
              <w:rPr>
                <w:rFonts w:ascii="Arial" w:cs="Arial" w:eastAsia="Arial" w:hAnsi="Arial"/>
                <w:sz w:val="13"/>
                <w:szCs w:val="13"/>
                <w:color w:val="auto"/>
              </w:rPr>
              <w:t>A-1</w:t>
            </w:r>
          </w:p>
        </w:tc>
        <w:tc>
          <w:tcPr>
            <w:tcW w:w="0" w:type="dxa"/>
            <w:vAlign w:val="bottom"/>
          </w:tcPr>
          <w:p>
            <w:pPr>
              <w:spacing w:after="0" w:line="20" w:lineRule="exact"/>
              <w:rPr>
                <w:sz w:val="1"/>
                <w:szCs w:val="1"/>
                <w:color w:val="auto"/>
              </w:rPr>
            </w:pPr>
          </w:p>
        </w:tc>
      </w:tr>
      <w:tr>
        <w:trPr>
          <w:trHeight w:val="95"/>
        </w:trPr>
        <w:tc>
          <w:tcPr>
            <w:tcW w:w="3320" w:type="dxa"/>
            <w:vAlign w:val="bottom"/>
            <w:gridSpan w:val="25"/>
          </w:tcPr>
          <w:p>
            <w:pPr>
              <w:spacing w:after="0" w:line="91" w:lineRule="exact"/>
              <w:rPr>
                <w:sz w:val="20"/>
                <w:szCs w:val="20"/>
                <w:color w:val="auto"/>
              </w:rPr>
            </w:pPr>
            <w:r>
              <w:rPr>
                <w:rFonts w:ascii="Arial" w:cs="Arial" w:eastAsia="Arial" w:hAnsi="Arial"/>
                <w:sz w:val="10"/>
                <w:szCs w:val="10"/>
                <w:color w:val="0000EE"/>
              </w:rPr>
              <w:t>- Potential Payments Upon Termination,</w:t>
            </w:r>
          </w:p>
        </w:tc>
        <w:tc>
          <w:tcPr>
            <w:tcW w:w="1140" w:type="dxa"/>
            <w:vAlign w:val="bottom"/>
            <w:vMerge w:val="restart"/>
          </w:tcPr>
          <w:p>
            <w:pPr>
              <w:jc w:val="right"/>
              <w:ind w:right="262"/>
              <w:spacing w:after="0"/>
              <w:rPr>
                <w:sz w:val="20"/>
                <w:szCs w:val="20"/>
                <w:color w:val="auto"/>
              </w:rPr>
            </w:pPr>
            <w:r>
              <w:rPr>
                <w:rFonts w:ascii="Arial" w:cs="Arial" w:eastAsia="Arial" w:hAnsi="Arial"/>
                <w:sz w:val="13"/>
                <w:szCs w:val="13"/>
                <w:color w:val="auto"/>
              </w:rPr>
              <w:t>59</w:t>
            </w:r>
          </w:p>
        </w:tc>
        <w:tc>
          <w:tcPr>
            <w:tcW w:w="20" w:type="dxa"/>
            <w:vAlign w:val="bottom"/>
            <w:vMerge w:val="continue"/>
          </w:tcPr>
          <w:p>
            <w:pPr>
              <w:spacing w:after="0"/>
              <w:rPr>
                <w:sz w:val="7"/>
                <w:szCs w:val="7"/>
                <w:color w:val="auto"/>
              </w:rPr>
            </w:pPr>
          </w:p>
        </w:tc>
        <w:tc>
          <w:tcPr>
            <w:tcW w:w="1660" w:type="dxa"/>
            <w:vAlign w:val="bottom"/>
            <w:tcBorders>
              <w:bottom w:val="single" w:sz="8" w:color="0000EE"/>
            </w:tcBorders>
            <w:gridSpan w:val="8"/>
            <w:vMerge w:val="continue"/>
          </w:tcPr>
          <w:p>
            <w:pPr>
              <w:spacing w:after="0"/>
              <w:rPr>
                <w:sz w:val="7"/>
                <w:szCs w:val="7"/>
                <w:color w:val="auto"/>
              </w:rPr>
            </w:pPr>
          </w:p>
        </w:tc>
        <w:tc>
          <w:tcPr>
            <w:tcW w:w="2120" w:type="dxa"/>
            <w:vAlign w:val="bottom"/>
            <w:gridSpan w:val="9"/>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0000EE"/>
            </w:tcBorders>
            <w:gridSpan w:val="2"/>
          </w:tcPr>
          <w:p>
            <w:pPr>
              <w:spacing w:after="0" w:line="20" w:lineRule="exact"/>
              <w:rPr>
                <w:sz w:val="1"/>
                <w:szCs w:val="1"/>
                <w:color w:val="auto"/>
              </w:rPr>
            </w:pPr>
          </w:p>
        </w:tc>
        <w:tc>
          <w:tcPr>
            <w:tcW w:w="740" w:type="dxa"/>
            <w:vAlign w:val="bottom"/>
            <w:tcBorders>
              <w:bottom w:val="single" w:sz="8" w:color="0000EE"/>
            </w:tcBorders>
            <w:gridSpan w:val="8"/>
          </w:tcPr>
          <w:p>
            <w:pPr>
              <w:spacing w:after="0" w:line="20" w:lineRule="exact"/>
              <w:rPr>
                <w:sz w:val="1"/>
                <w:szCs w:val="1"/>
                <w:color w:val="auto"/>
              </w:rPr>
            </w:pPr>
          </w:p>
        </w:tc>
        <w:tc>
          <w:tcPr>
            <w:tcW w:w="400" w:type="dxa"/>
            <w:vAlign w:val="bottom"/>
            <w:tcBorders>
              <w:bottom w:val="single" w:sz="8" w:color="0000EE"/>
            </w:tcBorders>
            <w:gridSpan w:val="7"/>
          </w:tcPr>
          <w:p>
            <w:pPr>
              <w:spacing w:after="0" w:line="20" w:lineRule="exact"/>
              <w:rPr>
                <w:sz w:val="1"/>
                <w:szCs w:val="1"/>
                <w:color w:val="auto"/>
              </w:rPr>
            </w:pPr>
          </w:p>
        </w:tc>
        <w:tc>
          <w:tcPr>
            <w:tcW w:w="340" w:type="dxa"/>
            <w:vAlign w:val="bottom"/>
            <w:tcBorders>
              <w:bottom w:val="single" w:sz="8" w:color="0000EE"/>
            </w:tcBorders>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920" w:type="dxa"/>
            <w:vAlign w:val="bottom"/>
            <w:tcBorders>
              <w:bottom w:val="single" w:sz="8" w:color="0000EE"/>
            </w:tcBorders>
            <w:gridSpan w:val="17"/>
          </w:tcPr>
          <w:p>
            <w:pPr>
              <w:spacing w:after="0" w:line="112" w:lineRule="exact"/>
              <w:rPr>
                <w:sz w:val="20"/>
                <w:szCs w:val="20"/>
                <w:color w:val="auto"/>
              </w:rPr>
            </w:pPr>
            <w:r>
              <w:rPr>
                <w:rFonts w:ascii="Arial" w:cs="Arial" w:eastAsia="Arial" w:hAnsi="Arial"/>
                <w:sz w:val="12"/>
                <w:szCs w:val="12"/>
                <w:color w:val="0000EE"/>
              </w:rPr>
              <w:t>  Retirement or Change in Control</w:t>
            </w:r>
          </w:p>
        </w:tc>
        <w:tc>
          <w:tcPr>
            <w:tcW w:w="1400" w:type="dxa"/>
            <w:vAlign w:val="bottom"/>
            <w:gridSpan w:val="8"/>
          </w:tcPr>
          <w:p>
            <w:pPr>
              <w:spacing w:after="0"/>
              <w:rPr>
                <w:sz w:val="9"/>
                <w:szCs w:val="9"/>
                <w:color w:val="auto"/>
              </w:rPr>
            </w:pPr>
          </w:p>
        </w:tc>
        <w:tc>
          <w:tcPr>
            <w:tcW w:w="11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3320" w:type="dxa"/>
            <w:vAlign w:val="bottom"/>
            <w:gridSpan w:val="25"/>
          </w:tcPr>
          <w:p>
            <w:pPr>
              <w:spacing w:after="0"/>
              <w:rPr>
                <w:sz w:val="20"/>
                <w:szCs w:val="20"/>
                <w:color w:val="auto"/>
              </w:rPr>
            </w:pPr>
            <w:r>
              <w:rPr>
                <w:rFonts w:ascii="Arial" w:cs="Arial" w:eastAsia="Arial" w:hAnsi="Arial"/>
                <w:sz w:val="10"/>
                <w:szCs w:val="10"/>
                <w:color w:val="0000EE"/>
              </w:rPr>
              <w:t>CERTAIN RELATIONSHIPS AND</w:t>
            </w:r>
          </w:p>
        </w:tc>
        <w:tc>
          <w:tcPr>
            <w:tcW w:w="1140" w:type="dxa"/>
            <w:vAlign w:val="bottom"/>
            <w:vMerge w:val="restart"/>
          </w:tcPr>
          <w:p>
            <w:pPr>
              <w:jc w:val="right"/>
              <w:ind w:right="262"/>
              <w:spacing w:after="0"/>
              <w:rPr>
                <w:sz w:val="20"/>
                <w:szCs w:val="20"/>
                <w:color w:val="auto"/>
              </w:rPr>
            </w:pPr>
            <w:r>
              <w:rPr>
                <w:rFonts w:ascii="Arial" w:cs="Arial" w:eastAsia="Arial" w:hAnsi="Arial"/>
                <w:sz w:val="11"/>
                <w:szCs w:val="11"/>
                <w:b w:val="1"/>
                <w:bCs w:val="1"/>
                <w:color w:val="auto"/>
              </w:rPr>
              <w:t>64</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780" w:type="dxa"/>
            <w:vAlign w:val="bottom"/>
            <w:tcBorders>
              <w:top w:val="single" w:sz="8" w:color="0000EE"/>
              <w:bottom w:val="single" w:sz="8" w:color="0000EE"/>
            </w:tcBorders>
            <w:gridSpan w:val="2"/>
          </w:tcPr>
          <w:p>
            <w:pPr>
              <w:spacing w:after="0" w:line="88" w:lineRule="exact"/>
              <w:rPr>
                <w:sz w:val="20"/>
                <w:szCs w:val="20"/>
                <w:color w:val="auto"/>
              </w:rPr>
            </w:pPr>
            <w:r>
              <w:rPr>
                <w:rFonts w:ascii="Arial" w:cs="Arial" w:eastAsia="Arial" w:hAnsi="Arial"/>
                <w:sz w:val="10"/>
                <w:szCs w:val="10"/>
                <w:color w:val="0000EE"/>
                <w:w w:val="96"/>
              </w:rPr>
              <w:t>TRANSACTIONS</w:t>
            </w:r>
          </w:p>
        </w:tc>
        <w:tc>
          <w:tcPr>
            <w:tcW w:w="740" w:type="dxa"/>
            <w:vAlign w:val="bottom"/>
            <w:tcBorders>
              <w:top w:val="single" w:sz="8" w:color="0000EE"/>
            </w:tcBorders>
            <w:gridSpan w:val="8"/>
          </w:tcPr>
          <w:p>
            <w:pPr>
              <w:spacing w:after="0"/>
              <w:rPr>
                <w:sz w:val="7"/>
                <w:szCs w:val="7"/>
                <w:color w:val="auto"/>
              </w:rPr>
            </w:pPr>
          </w:p>
        </w:tc>
        <w:tc>
          <w:tcPr>
            <w:tcW w:w="1800" w:type="dxa"/>
            <w:vAlign w:val="bottom"/>
            <w:gridSpan w:val="15"/>
          </w:tcPr>
          <w:p>
            <w:pPr>
              <w:spacing w:after="0"/>
              <w:rPr>
                <w:sz w:val="7"/>
                <w:szCs w:val="7"/>
                <w:color w:val="auto"/>
              </w:rPr>
            </w:pPr>
          </w:p>
        </w:tc>
        <w:tc>
          <w:tcPr>
            <w:tcW w:w="1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4" w:lineRule="exact"/>
        <w:rPr>
          <w:sz w:val="20"/>
          <w:szCs w:val="20"/>
          <w:color w:val="auto"/>
        </w:rPr>
      </w:pPr>
    </w:p>
    <w:p>
      <w:pPr>
        <w:ind w:left="7540"/>
        <w:spacing w:after="0"/>
        <w:rPr>
          <w:sz w:val="20"/>
          <w:szCs w:val="20"/>
          <w:color w:val="auto"/>
        </w:rPr>
      </w:pP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0</w:t>
      </w:r>
      <w:r>
        <w:rPr>
          <w:rFonts w:ascii="Arial" w:cs="Arial" w:eastAsia="Arial" w:hAnsi="Arial"/>
          <w:sz w:val="7"/>
          <w:szCs w:val="7"/>
          <w:color w:val="B9AFA0"/>
        </w:rPr>
        <w:t xml:space="preserve"> </w:t>
      </w: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2025 Highlights</w:t>
      </w:r>
    </w:p>
    <w:p>
      <w:pPr>
        <w:spacing w:after="0" w:line="34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220" w:type="dxa"/>
            <w:vAlign w:val="bottom"/>
          </w:tcPr>
          <w:p>
            <w:pPr>
              <w:jc w:val="center"/>
              <w:ind w:right="17"/>
              <w:spacing w:after="0"/>
              <w:rPr>
                <w:sz w:val="20"/>
                <w:szCs w:val="20"/>
                <w:color w:val="auto"/>
              </w:rPr>
            </w:pPr>
            <w:r>
              <w:rPr>
                <w:rFonts w:ascii="Arial" w:cs="Arial" w:eastAsia="Arial" w:hAnsi="Arial"/>
                <w:sz w:val="17"/>
                <w:szCs w:val="17"/>
                <w:color w:val="auto"/>
              </w:rPr>
              <w:t>LAS VEGAS OPERATIONS</w:t>
            </w:r>
          </w:p>
        </w:tc>
        <w:tc>
          <w:tcPr>
            <w:tcW w:w="3880" w:type="dxa"/>
            <w:vAlign w:val="bottom"/>
            <w:gridSpan w:val="3"/>
          </w:tcPr>
          <w:p>
            <w:pPr>
              <w:jc w:val="center"/>
              <w:spacing w:after="0"/>
              <w:rPr>
                <w:sz w:val="20"/>
                <w:szCs w:val="20"/>
                <w:color w:val="auto"/>
              </w:rPr>
            </w:pPr>
            <w:r>
              <w:rPr>
                <w:rFonts w:ascii="Arial" w:cs="Arial" w:eastAsia="Arial" w:hAnsi="Arial"/>
                <w:sz w:val="17"/>
                <w:szCs w:val="17"/>
                <w:color w:val="auto"/>
              </w:rPr>
              <w:t>ENCORE BOSTON HARBOR</w:t>
            </w:r>
          </w:p>
        </w:tc>
        <w:tc>
          <w:tcPr>
            <w:tcW w:w="1780" w:type="dxa"/>
            <w:vAlign w:val="bottom"/>
          </w:tcPr>
          <w:p>
            <w:pPr>
              <w:jc w:val="center"/>
              <w:spacing w:after="0"/>
              <w:rPr>
                <w:sz w:val="20"/>
                <w:szCs w:val="20"/>
                <w:color w:val="auto"/>
              </w:rPr>
            </w:pPr>
            <w:r>
              <w:rPr>
                <w:rFonts w:ascii="Arial" w:cs="Arial" w:eastAsia="Arial" w:hAnsi="Arial"/>
                <w:sz w:val="17"/>
                <w:szCs w:val="17"/>
                <w:color w:val="auto"/>
              </w:rPr>
              <w:t>MACAU OPERATIONS</w:t>
            </w:r>
          </w:p>
        </w:tc>
      </w:tr>
      <w:tr>
        <w:trPr>
          <w:trHeight w:val="431"/>
        </w:trPr>
        <w:tc>
          <w:tcPr>
            <w:tcW w:w="2220" w:type="dxa"/>
            <w:vAlign w:val="bottom"/>
          </w:tcPr>
          <w:p>
            <w:pPr>
              <w:jc w:val="center"/>
              <w:ind w:right="17"/>
              <w:spacing w:after="0"/>
              <w:rPr>
                <w:sz w:val="20"/>
                <w:szCs w:val="20"/>
                <w:color w:val="auto"/>
              </w:rPr>
            </w:pPr>
            <w:r>
              <w:rPr>
                <w:rFonts w:ascii="Times New Roman" w:cs="Times New Roman" w:eastAsia="Times New Roman" w:hAnsi="Times New Roman"/>
                <w:sz w:val="33"/>
                <w:szCs w:val="33"/>
                <w:color w:val="auto"/>
                <w:w w:val="99"/>
              </w:rPr>
              <w:t>$902.4M</w:t>
            </w: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33"/>
                <w:szCs w:val="33"/>
                <w:color w:val="auto"/>
                <w:w w:val="99"/>
              </w:rPr>
              <w:t>$236.7M</w:t>
            </w:r>
          </w:p>
        </w:tc>
        <w:tc>
          <w:tcPr>
            <w:tcW w:w="1780" w:type="dxa"/>
            <w:vAlign w:val="bottom"/>
          </w:tcPr>
          <w:p>
            <w:pPr>
              <w:jc w:val="center"/>
              <w:spacing w:after="0"/>
              <w:rPr>
                <w:sz w:val="20"/>
                <w:szCs w:val="20"/>
                <w:color w:val="auto"/>
              </w:rPr>
            </w:pPr>
            <w:r>
              <w:rPr>
                <w:rFonts w:ascii="Times New Roman" w:cs="Times New Roman" w:eastAsia="Times New Roman" w:hAnsi="Times New Roman"/>
                <w:sz w:val="33"/>
                <w:szCs w:val="33"/>
                <w:color w:val="auto"/>
                <w:w w:val="99"/>
              </w:rPr>
              <w:t>$1,085.0M</w:t>
            </w:r>
          </w:p>
        </w:tc>
      </w:tr>
      <w:tr>
        <w:trPr>
          <w:trHeight w:val="383"/>
        </w:trPr>
        <w:tc>
          <w:tcPr>
            <w:tcW w:w="2220" w:type="dxa"/>
            <w:vAlign w:val="bottom"/>
          </w:tcPr>
          <w:p>
            <w:pPr>
              <w:jc w:val="center"/>
              <w:spacing w:after="0"/>
              <w:rPr>
                <w:sz w:val="20"/>
                <w:szCs w:val="20"/>
                <w:color w:val="auto"/>
              </w:rPr>
            </w:pPr>
            <w:r>
              <w:rPr>
                <w:rFonts w:ascii="Arial" w:cs="Arial" w:eastAsia="Arial" w:hAnsi="Arial"/>
                <w:sz w:val="13"/>
                <w:szCs w:val="13"/>
                <w:color w:val="auto"/>
                <w:w w:val="97"/>
              </w:rPr>
              <w:t>Adjusted Property EBITDAR</w:t>
            </w:r>
            <w:r>
              <w:rPr>
                <w:rFonts w:ascii="Arial" w:cs="Arial" w:eastAsia="Arial" w:hAnsi="Arial"/>
                <w:sz w:val="19"/>
                <w:szCs w:val="19"/>
                <w:color w:val="auto"/>
                <w:w w:val="97"/>
                <w:vertAlign w:val="superscript"/>
              </w:rPr>
              <w:t>(1)</w:t>
            </w:r>
          </w:p>
        </w:tc>
        <w:tc>
          <w:tcPr>
            <w:tcW w:w="3880" w:type="dxa"/>
            <w:vAlign w:val="bottom"/>
            <w:gridSpan w:val="3"/>
          </w:tcPr>
          <w:p>
            <w:pPr>
              <w:jc w:val="center"/>
              <w:ind w:right="15"/>
              <w:spacing w:after="0"/>
              <w:rPr>
                <w:sz w:val="20"/>
                <w:szCs w:val="20"/>
                <w:color w:val="auto"/>
              </w:rPr>
            </w:pPr>
            <w:r>
              <w:rPr>
                <w:rFonts w:ascii="Arial" w:cs="Arial" w:eastAsia="Arial" w:hAnsi="Arial"/>
                <w:sz w:val="13"/>
                <w:szCs w:val="13"/>
                <w:color w:val="auto"/>
                <w:w w:val="97"/>
              </w:rPr>
              <w:t>Adjusted Property EBITDAR</w:t>
            </w:r>
            <w:r>
              <w:rPr>
                <w:rFonts w:ascii="Arial" w:cs="Arial" w:eastAsia="Arial" w:hAnsi="Arial"/>
                <w:sz w:val="19"/>
                <w:szCs w:val="19"/>
                <w:color w:val="auto"/>
                <w:w w:val="97"/>
                <w:vertAlign w:val="superscript"/>
              </w:rPr>
              <w:t>(1)</w:t>
            </w:r>
          </w:p>
        </w:tc>
        <w:tc>
          <w:tcPr>
            <w:tcW w:w="1780" w:type="dxa"/>
            <w:vAlign w:val="bottom"/>
          </w:tcPr>
          <w:p>
            <w:pPr>
              <w:jc w:val="center"/>
              <w:spacing w:after="0"/>
              <w:rPr>
                <w:sz w:val="20"/>
                <w:szCs w:val="20"/>
                <w:color w:val="auto"/>
              </w:rPr>
            </w:pPr>
            <w:r>
              <w:rPr>
                <w:rFonts w:ascii="Arial" w:cs="Arial" w:eastAsia="Arial" w:hAnsi="Arial"/>
                <w:sz w:val="13"/>
                <w:szCs w:val="13"/>
                <w:color w:val="auto"/>
                <w:w w:val="97"/>
              </w:rPr>
              <w:t>Adjusted Property EBITDAR</w:t>
            </w:r>
            <w:r>
              <w:rPr>
                <w:rFonts w:ascii="Arial" w:cs="Arial" w:eastAsia="Arial" w:hAnsi="Arial"/>
                <w:sz w:val="19"/>
                <w:szCs w:val="19"/>
                <w:color w:val="auto"/>
                <w:w w:val="97"/>
                <w:vertAlign w:val="superscript"/>
              </w:rPr>
              <w:t>(1)</w:t>
            </w:r>
          </w:p>
        </w:tc>
      </w:tr>
      <w:tr>
        <w:trPr>
          <w:trHeight w:val="590"/>
        </w:trPr>
        <w:tc>
          <w:tcPr>
            <w:tcW w:w="2220" w:type="dxa"/>
            <w:vAlign w:val="bottom"/>
          </w:tcPr>
          <w:p>
            <w:pPr>
              <w:spacing w:after="0"/>
              <w:rPr>
                <w:sz w:val="24"/>
                <w:szCs w:val="24"/>
                <w:color w:val="auto"/>
              </w:rPr>
            </w:pPr>
          </w:p>
        </w:tc>
        <w:tc>
          <w:tcPr>
            <w:tcW w:w="1560" w:type="dxa"/>
            <w:vAlign w:val="bottom"/>
          </w:tcPr>
          <w:p>
            <w:pPr>
              <w:jc w:val="right"/>
              <w:ind w:right="850"/>
              <w:spacing w:after="0"/>
              <w:rPr>
                <w:sz w:val="20"/>
                <w:szCs w:val="20"/>
                <w:color w:val="auto"/>
              </w:rPr>
            </w:pPr>
            <w:r>
              <w:rPr>
                <w:rFonts w:ascii="Arial" w:cs="Arial" w:eastAsia="Arial" w:hAnsi="Arial"/>
                <w:sz w:val="33"/>
                <w:szCs w:val="33"/>
                <w:color w:val="auto"/>
              </w:rPr>
              <w:t>18</w:t>
            </w:r>
          </w:p>
        </w:tc>
        <w:tc>
          <w:tcPr>
            <w:tcW w:w="480" w:type="dxa"/>
            <w:vAlign w:val="bottom"/>
          </w:tcPr>
          <w:p>
            <w:pPr>
              <w:spacing w:after="0"/>
              <w:rPr>
                <w:sz w:val="24"/>
                <w:szCs w:val="24"/>
                <w:color w:val="auto"/>
              </w:rPr>
            </w:pPr>
          </w:p>
        </w:tc>
        <w:tc>
          <w:tcPr>
            <w:tcW w:w="1840" w:type="dxa"/>
            <w:vAlign w:val="bottom"/>
          </w:tcPr>
          <w:p>
            <w:pPr>
              <w:jc w:val="center"/>
              <w:ind w:left="415"/>
              <w:spacing w:after="0"/>
              <w:rPr>
                <w:sz w:val="20"/>
                <w:szCs w:val="20"/>
                <w:color w:val="auto"/>
              </w:rPr>
            </w:pPr>
            <w:r>
              <w:rPr>
                <w:rFonts w:ascii="Arial" w:cs="Arial" w:eastAsia="Arial" w:hAnsi="Arial"/>
                <w:sz w:val="33"/>
                <w:szCs w:val="33"/>
                <w:color w:val="auto"/>
                <w:w w:val="90"/>
              </w:rPr>
              <w:t>18</w:t>
            </w:r>
            <w:r>
              <w:rPr>
                <w:rFonts w:ascii="Arial" w:cs="Arial" w:eastAsia="Arial" w:hAnsi="Arial"/>
                <w:sz w:val="49"/>
                <w:szCs w:val="49"/>
                <w:color w:val="auto"/>
                <w:w w:val="90"/>
                <w:vertAlign w:val="superscript"/>
              </w:rPr>
              <w:t>th</w:t>
            </w:r>
            <w:r>
              <w:rPr>
                <w:rFonts w:ascii="Arial" w:cs="Arial" w:eastAsia="Arial" w:hAnsi="Arial"/>
                <w:sz w:val="33"/>
                <w:szCs w:val="33"/>
                <w:color w:val="auto"/>
                <w:w w:val="90"/>
              </w:rPr>
              <w:t xml:space="preserve"> Year</w:t>
            </w:r>
          </w:p>
        </w:tc>
        <w:tc>
          <w:tcPr>
            <w:tcW w:w="1780" w:type="dxa"/>
            <w:vAlign w:val="bottom"/>
          </w:tcPr>
          <w:p>
            <w:pPr>
              <w:spacing w:after="0"/>
              <w:rPr>
                <w:sz w:val="24"/>
                <w:szCs w:val="24"/>
                <w:color w:val="auto"/>
              </w:rPr>
            </w:pPr>
          </w:p>
        </w:tc>
      </w:tr>
      <w:tr>
        <w:trPr>
          <w:trHeight w:val="146"/>
        </w:trPr>
        <w:tc>
          <w:tcPr>
            <w:tcW w:w="2220" w:type="dxa"/>
            <w:vAlign w:val="bottom"/>
          </w:tcPr>
          <w:p>
            <w:pPr>
              <w:spacing w:after="0"/>
              <w:rPr>
                <w:sz w:val="12"/>
                <w:szCs w:val="12"/>
                <w:color w:val="auto"/>
              </w:rPr>
            </w:pPr>
          </w:p>
        </w:tc>
        <w:tc>
          <w:tcPr>
            <w:tcW w:w="1560" w:type="dxa"/>
            <w:vAlign w:val="bottom"/>
          </w:tcPr>
          <w:p>
            <w:pPr>
              <w:jc w:val="right"/>
              <w:ind w:right="710"/>
              <w:spacing w:after="0" w:line="146" w:lineRule="exact"/>
              <w:rPr>
                <w:sz w:val="20"/>
                <w:szCs w:val="20"/>
                <w:color w:val="auto"/>
              </w:rPr>
            </w:pPr>
            <w:r>
              <w:rPr>
                <w:rFonts w:ascii="Wingdings" w:cs="Wingdings" w:eastAsia="Wingdings" w:hAnsi="Wingdings"/>
                <w:sz w:val="14"/>
                <w:szCs w:val="14"/>
                <w:b w:val="1"/>
                <w:bCs w:val="1"/>
                <w:color w:val="auto"/>
                <w:w w:val="98"/>
              </w:rPr>
              <w:t>«««««</w:t>
            </w:r>
          </w:p>
        </w:tc>
        <w:tc>
          <w:tcPr>
            <w:tcW w:w="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65"/>
        </w:trPr>
        <w:tc>
          <w:tcPr>
            <w:tcW w:w="3780" w:type="dxa"/>
            <w:vAlign w:val="bottom"/>
            <w:gridSpan w:val="2"/>
          </w:tcPr>
          <w:p>
            <w:pPr>
              <w:jc w:val="center"/>
              <w:ind w:left="1417"/>
              <w:spacing w:after="0"/>
              <w:rPr>
                <w:sz w:val="20"/>
                <w:szCs w:val="20"/>
                <w:color w:val="auto"/>
              </w:rPr>
            </w:pPr>
            <w:r>
              <w:rPr>
                <w:rFonts w:ascii="Arial" w:cs="Arial" w:eastAsia="Arial" w:hAnsi="Arial"/>
                <w:sz w:val="14"/>
                <w:szCs w:val="14"/>
                <w:color w:val="auto"/>
                <w:w w:val="99"/>
              </w:rPr>
              <w:t>5-STAR AWARDS FROM</w:t>
            </w:r>
          </w:p>
        </w:tc>
        <w:tc>
          <w:tcPr>
            <w:tcW w:w="480" w:type="dxa"/>
            <w:vAlign w:val="bottom"/>
          </w:tcPr>
          <w:p>
            <w:pPr>
              <w:spacing w:after="0"/>
              <w:rPr>
                <w:sz w:val="14"/>
                <w:szCs w:val="14"/>
                <w:color w:val="auto"/>
              </w:rPr>
            </w:pPr>
          </w:p>
        </w:tc>
        <w:tc>
          <w:tcPr>
            <w:tcW w:w="3620" w:type="dxa"/>
            <w:vAlign w:val="bottom"/>
            <w:gridSpan w:val="2"/>
          </w:tcPr>
          <w:p>
            <w:pPr>
              <w:jc w:val="center"/>
              <w:ind w:right="1155"/>
              <w:spacing w:after="0"/>
              <w:rPr>
                <w:sz w:val="20"/>
                <w:szCs w:val="20"/>
                <w:color w:val="auto"/>
              </w:rPr>
            </w:pPr>
            <w:r>
              <w:rPr>
                <w:rFonts w:ascii="Arial" w:cs="Arial" w:eastAsia="Arial" w:hAnsi="Arial"/>
                <w:sz w:val="14"/>
                <w:szCs w:val="14"/>
                <w:color w:val="auto"/>
              </w:rPr>
              <w:t>INCLUDED IN FORTUNE</w:t>
            </w:r>
          </w:p>
        </w:tc>
      </w:tr>
      <w:tr>
        <w:trPr>
          <w:trHeight w:val="171"/>
        </w:trPr>
        <w:tc>
          <w:tcPr>
            <w:tcW w:w="3780" w:type="dxa"/>
            <w:vAlign w:val="bottom"/>
            <w:gridSpan w:val="2"/>
          </w:tcPr>
          <w:p>
            <w:pPr>
              <w:jc w:val="center"/>
              <w:ind w:left="1437"/>
              <w:spacing w:after="0"/>
              <w:rPr>
                <w:sz w:val="20"/>
                <w:szCs w:val="20"/>
                <w:color w:val="auto"/>
              </w:rPr>
            </w:pPr>
            <w:r>
              <w:rPr>
                <w:rFonts w:ascii="Arial" w:cs="Arial" w:eastAsia="Arial" w:hAnsi="Arial"/>
                <w:sz w:val="14"/>
                <w:szCs w:val="14"/>
                <w:color w:val="auto"/>
              </w:rPr>
              <w:t>FORBES TRAVEL GUIDE</w:t>
            </w:r>
          </w:p>
        </w:tc>
        <w:tc>
          <w:tcPr>
            <w:tcW w:w="480" w:type="dxa"/>
            <w:vAlign w:val="bottom"/>
          </w:tcPr>
          <w:p>
            <w:pPr>
              <w:ind w:left="120"/>
              <w:spacing w:after="0"/>
              <w:rPr>
                <w:sz w:val="20"/>
                <w:szCs w:val="20"/>
                <w:color w:val="auto"/>
              </w:rPr>
            </w:pPr>
            <w:r>
              <w:rPr>
                <w:rFonts w:ascii="Arial" w:cs="Arial" w:eastAsia="Arial" w:hAnsi="Arial"/>
                <w:sz w:val="14"/>
                <w:szCs w:val="14"/>
                <w:color w:val="auto"/>
              </w:rPr>
              <w:t xml:space="preserve">    </w:t>
            </w:r>
          </w:p>
        </w:tc>
        <w:tc>
          <w:tcPr>
            <w:tcW w:w="3620" w:type="dxa"/>
            <w:vAlign w:val="bottom"/>
            <w:gridSpan w:val="2"/>
          </w:tcPr>
          <w:p>
            <w:pPr>
              <w:jc w:val="center"/>
              <w:ind w:right="1175"/>
              <w:spacing w:after="0"/>
              <w:rPr>
                <w:sz w:val="20"/>
                <w:szCs w:val="20"/>
                <w:color w:val="auto"/>
              </w:rPr>
            </w:pPr>
            <w:r>
              <w:rPr>
                <w:rFonts w:ascii="Arial" w:cs="Arial" w:eastAsia="Arial" w:hAnsi="Arial"/>
                <w:sz w:val="14"/>
                <w:szCs w:val="14"/>
                <w:color w:val="auto"/>
              </w:rPr>
              <w:t>MAGAZINE’S MOST ADMIRED</w:t>
            </w:r>
          </w:p>
        </w:tc>
      </w:tr>
      <w:tr>
        <w:trPr>
          <w:trHeight w:val="151"/>
        </w:trPr>
        <w:tc>
          <w:tcPr>
            <w:tcW w:w="3780" w:type="dxa"/>
            <w:vAlign w:val="bottom"/>
            <w:gridSpan w:val="2"/>
          </w:tcPr>
          <w:p>
            <w:pPr>
              <w:jc w:val="center"/>
              <w:ind w:left="1437"/>
              <w:spacing w:after="0" w:line="151" w:lineRule="exact"/>
              <w:rPr>
                <w:sz w:val="20"/>
                <w:szCs w:val="20"/>
                <w:color w:val="auto"/>
              </w:rPr>
            </w:pPr>
            <w:r>
              <w:rPr>
                <w:rFonts w:ascii="Arial" w:cs="Arial" w:eastAsia="Arial" w:hAnsi="Arial"/>
                <w:sz w:val="14"/>
                <w:szCs w:val="14"/>
                <w:color w:val="auto"/>
              </w:rPr>
              <w:t>–More Forbes Five-Star awards</w:t>
            </w:r>
          </w:p>
        </w:tc>
        <w:tc>
          <w:tcPr>
            <w:tcW w:w="480" w:type="dxa"/>
            <w:vAlign w:val="bottom"/>
          </w:tcPr>
          <w:p>
            <w:pPr>
              <w:spacing w:after="0"/>
              <w:rPr>
                <w:sz w:val="13"/>
                <w:szCs w:val="13"/>
                <w:color w:val="auto"/>
              </w:rPr>
            </w:pPr>
          </w:p>
        </w:tc>
        <w:tc>
          <w:tcPr>
            <w:tcW w:w="3620" w:type="dxa"/>
            <w:vAlign w:val="bottom"/>
            <w:gridSpan w:val="2"/>
          </w:tcPr>
          <w:p>
            <w:pPr>
              <w:jc w:val="center"/>
              <w:ind w:right="1175"/>
              <w:spacing w:after="0" w:line="151" w:lineRule="exact"/>
              <w:rPr>
                <w:sz w:val="20"/>
                <w:szCs w:val="20"/>
                <w:color w:val="auto"/>
              </w:rPr>
            </w:pPr>
            <w:r>
              <w:rPr>
                <w:rFonts w:ascii="Arial" w:cs="Arial" w:eastAsia="Arial" w:hAnsi="Arial"/>
                <w:sz w:val="14"/>
                <w:szCs w:val="14"/>
                <w:color w:val="auto"/>
              </w:rPr>
              <w:t>COMPANIES AND RANKED</w:t>
            </w:r>
          </w:p>
        </w:tc>
      </w:tr>
      <w:tr>
        <w:trPr>
          <w:trHeight w:val="161"/>
        </w:trPr>
        <w:tc>
          <w:tcPr>
            <w:tcW w:w="3780" w:type="dxa"/>
            <w:vAlign w:val="bottom"/>
            <w:gridSpan w:val="2"/>
          </w:tcPr>
          <w:p>
            <w:pPr>
              <w:jc w:val="center"/>
              <w:ind w:left="1437"/>
              <w:spacing w:after="0"/>
              <w:rPr>
                <w:sz w:val="20"/>
                <w:szCs w:val="20"/>
                <w:color w:val="auto"/>
              </w:rPr>
            </w:pPr>
            <w:r>
              <w:rPr>
                <w:rFonts w:ascii="Arial" w:cs="Arial" w:eastAsia="Arial" w:hAnsi="Arial"/>
                <w:sz w:val="14"/>
                <w:szCs w:val="14"/>
                <w:color w:val="auto"/>
              </w:rPr>
              <w:t>across more destinations than</w:t>
            </w:r>
          </w:p>
        </w:tc>
        <w:tc>
          <w:tcPr>
            <w:tcW w:w="480" w:type="dxa"/>
            <w:vAlign w:val="bottom"/>
          </w:tcPr>
          <w:p>
            <w:pPr>
              <w:spacing w:after="0"/>
              <w:rPr>
                <w:sz w:val="13"/>
                <w:szCs w:val="13"/>
                <w:color w:val="auto"/>
              </w:rPr>
            </w:pPr>
          </w:p>
        </w:tc>
        <w:tc>
          <w:tcPr>
            <w:tcW w:w="3620" w:type="dxa"/>
            <w:vAlign w:val="bottom"/>
            <w:gridSpan w:val="2"/>
          </w:tcPr>
          <w:p>
            <w:pPr>
              <w:jc w:val="center"/>
              <w:ind w:right="1155"/>
              <w:spacing w:after="0"/>
              <w:rPr>
                <w:sz w:val="20"/>
                <w:szCs w:val="20"/>
                <w:color w:val="auto"/>
              </w:rPr>
            </w:pPr>
            <w:r>
              <w:rPr>
                <w:rFonts w:ascii="Arial" w:cs="Arial" w:eastAsia="Arial" w:hAnsi="Arial"/>
                <w:sz w:val="14"/>
                <w:szCs w:val="14"/>
                <w:color w:val="auto"/>
              </w:rPr>
              <w:t>THIRD OVERALL IN THE</w:t>
            </w:r>
          </w:p>
        </w:tc>
      </w:tr>
      <w:tr>
        <w:trPr>
          <w:trHeight w:val="161"/>
        </w:trPr>
        <w:tc>
          <w:tcPr>
            <w:tcW w:w="3780" w:type="dxa"/>
            <w:vAlign w:val="bottom"/>
            <w:gridSpan w:val="2"/>
          </w:tcPr>
          <w:p>
            <w:pPr>
              <w:jc w:val="center"/>
              <w:ind w:left="1437"/>
              <w:spacing w:after="0"/>
              <w:rPr>
                <w:sz w:val="20"/>
                <w:szCs w:val="20"/>
                <w:color w:val="auto"/>
              </w:rPr>
            </w:pPr>
            <w:r>
              <w:rPr>
                <w:rFonts w:ascii="Arial" w:cs="Arial" w:eastAsia="Arial" w:hAnsi="Arial"/>
                <w:sz w:val="14"/>
                <w:szCs w:val="14"/>
                <w:color w:val="auto"/>
              </w:rPr>
              <w:t>any other independent hotel</w:t>
            </w:r>
          </w:p>
        </w:tc>
        <w:tc>
          <w:tcPr>
            <w:tcW w:w="480" w:type="dxa"/>
            <w:vAlign w:val="bottom"/>
          </w:tcPr>
          <w:p>
            <w:pPr>
              <w:spacing w:after="0"/>
              <w:rPr>
                <w:sz w:val="13"/>
                <w:szCs w:val="13"/>
                <w:color w:val="auto"/>
              </w:rPr>
            </w:pPr>
          </w:p>
        </w:tc>
        <w:tc>
          <w:tcPr>
            <w:tcW w:w="3620" w:type="dxa"/>
            <w:vAlign w:val="bottom"/>
            <w:gridSpan w:val="2"/>
          </w:tcPr>
          <w:p>
            <w:pPr>
              <w:jc w:val="center"/>
              <w:ind w:right="1155"/>
              <w:spacing w:after="0"/>
              <w:rPr>
                <w:sz w:val="20"/>
                <w:szCs w:val="20"/>
                <w:color w:val="auto"/>
              </w:rPr>
            </w:pPr>
            <w:r>
              <w:rPr>
                <w:rFonts w:ascii="Arial" w:cs="Arial" w:eastAsia="Arial" w:hAnsi="Arial"/>
                <w:sz w:val="14"/>
                <w:szCs w:val="14"/>
                <w:color w:val="auto"/>
              </w:rPr>
              <w:t>HOTELS, CASINOS &amp;</w:t>
            </w:r>
          </w:p>
        </w:tc>
      </w:tr>
      <w:tr>
        <w:trPr>
          <w:trHeight w:val="207"/>
        </w:trPr>
        <w:tc>
          <w:tcPr>
            <w:tcW w:w="3780" w:type="dxa"/>
            <w:vAlign w:val="bottom"/>
            <w:gridSpan w:val="2"/>
          </w:tcPr>
          <w:p>
            <w:pPr>
              <w:jc w:val="center"/>
              <w:ind w:left="1437"/>
              <w:spacing w:after="0"/>
              <w:rPr>
                <w:sz w:val="20"/>
                <w:szCs w:val="20"/>
                <w:color w:val="auto"/>
              </w:rPr>
            </w:pPr>
            <w:r>
              <w:rPr>
                <w:rFonts w:ascii="Arial" w:cs="Arial" w:eastAsia="Arial" w:hAnsi="Arial"/>
                <w:sz w:val="14"/>
                <w:szCs w:val="14"/>
                <w:color w:val="auto"/>
              </w:rPr>
              <w:t>company in the world</w:t>
            </w:r>
          </w:p>
        </w:tc>
        <w:tc>
          <w:tcPr>
            <w:tcW w:w="480" w:type="dxa"/>
            <w:vAlign w:val="bottom"/>
          </w:tcPr>
          <w:p>
            <w:pPr>
              <w:spacing w:after="0"/>
              <w:rPr>
                <w:sz w:val="17"/>
                <w:szCs w:val="17"/>
                <w:color w:val="auto"/>
              </w:rPr>
            </w:pPr>
          </w:p>
        </w:tc>
        <w:tc>
          <w:tcPr>
            <w:tcW w:w="3620" w:type="dxa"/>
            <w:vAlign w:val="bottom"/>
            <w:gridSpan w:val="2"/>
          </w:tcPr>
          <w:p>
            <w:pPr>
              <w:jc w:val="center"/>
              <w:ind w:right="1155"/>
              <w:spacing w:after="0"/>
              <w:rPr>
                <w:sz w:val="20"/>
                <w:szCs w:val="20"/>
                <w:color w:val="auto"/>
              </w:rPr>
            </w:pPr>
            <w:r>
              <w:rPr>
                <w:rFonts w:ascii="Arial" w:cs="Arial" w:eastAsia="Arial" w:hAnsi="Arial"/>
                <w:sz w:val="14"/>
                <w:szCs w:val="14"/>
                <w:color w:val="auto"/>
              </w:rPr>
              <w:t>RESORTS CATEGORY</w:t>
            </w:r>
          </w:p>
        </w:tc>
      </w:tr>
    </w:tbl>
    <w:p>
      <w:pPr>
        <w:spacing w:after="0" w:line="17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PURSUING GROWTH OPPORTUNITIES</w:t>
      </w:r>
    </w:p>
    <w:p>
      <w:pPr>
        <w:spacing w:after="0" w:line="91" w:lineRule="exact"/>
        <w:rPr>
          <w:sz w:val="20"/>
          <w:szCs w:val="20"/>
          <w:color w:val="auto"/>
        </w:rPr>
      </w:pPr>
    </w:p>
    <w:p>
      <w:pPr>
        <w:ind w:left="3760" w:right="359" w:hanging="144"/>
        <w:spacing w:after="0" w:line="314" w:lineRule="auto"/>
        <w:tabs>
          <w:tab w:leader="none" w:pos="3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Significantly advanced construction of Wynn Al Marjan Island, our 40%-owned planned integrated resort in the UAE, where we topped out the hotel tower in December 2025 at 283 meters in height across 70 floors</w:t>
      </w:r>
    </w:p>
    <w:p>
      <w:pPr>
        <w:spacing w:after="0" w:line="3" w:lineRule="exact"/>
        <w:rPr>
          <w:rFonts w:ascii="Arial" w:cs="Arial" w:eastAsia="Arial" w:hAnsi="Arial"/>
          <w:sz w:val="12"/>
          <w:szCs w:val="12"/>
          <w:color w:val="auto"/>
        </w:rPr>
      </w:pPr>
    </w:p>
    <w:p>
      <w:pPr>
        <w:ind w:left="3760" w:right="259" w:hanging="144"/>
        <w:spacing w:after="0" w:line="314" w:lineRule="auto"/>
        <w:tabs>
          <w:tab w:leader="none" w:pos="3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Acquired and integrated Wynn Mayfair into our global portfolio, representing our first foray into the European market and creating a conduit for Wynn guests to visit our resorts, particularly Wynn Al Marjan Island</w:t>
      </w:r>
    </w:p>
    <w:p>
      <w:pPr>
        <w:spacing w:after="0" w:line="3" w:lineRule="exact"/>
        <w:rPr>
          <w:rFonts w:ascii="Arial" w:cs="Arial" w:eastAsia="Arial" w:hAnsi="Arial"/>
          <w:sz w:val="12"/>
          <w:szCs w:val="12"/>
          <w:color w:val="auto"/>
        </w:rPr>
      </w:pPr>
    </w:p>
    <w:p>
      <w:pPr>
        <w:ind w:left="3760" w:right="279" w:hanging="144"/>
        <w:spacing w:after="0" w:line="271" w:lineRule="auto"/>
        <w:tabs>
          <w:tab w:leader="none" w:pos="3760" w:val="left"/>
        </w:tabs>
        <w:numPr>
          <w:ilvl w:val="0"/>
          <w:numId w:val="6"/>
        </w:numPr>
        <w:rPr>
          <w:rFonts w:ascii="Arial" w:cs="Arial" w:eastAsia="Arial" w:hAnsi="Arial"/>
          <w:sz w:val="13"/>
          <w:szCs w:val="13"/>
          <w:color w:val="auto"/>
        </w:rPr>
      </w:pPr>
      <w:r>
        <w:rPr>
          <w:rFonts w:ascii="Arial" w:cs="Arial" w:eastAsia="Arial" w:hAnsi="Arial"/>
          <w:sz w:val="13"/>
          <w:szCs w:val="13"/>
          <w:color w:val="auto"/>
        </w:rPr>
        <w:t>Launched multiple new and reimagined spaces across the portfolio including the Gourmet Pavillion at Wynn Palace and PISCES Bar &amp; Seafare at Wynn Las Vegas</w:t>
      </w:r>
    </w:p>
    <w:p>
      <w:pPr>
        <w:spacing w:after="0" w:line="27" w:lineRule="exact"/>
        <w:rPr>
          <w:rFonts w:ascii="Arial" w:cs="Arial" w:eastAsia="Arial" w:hAnsi="Arial"/>
          <w:sz w:val="13"/>
          <w:szCs w:val="13"/>
          <w:color w:val="auto"/>
        </w:rPr>
      </w:pPr>
    </w:p>
    <w:p>
      <w:pPr>
        <w:ind w:left="3760" w:right="179" w:hanging="144"/>
        <w:spacing w:after="0" w:line="271" w:lineRule="auto"/>
        <w:tabs>
          <w:tab w:leader="none" w:pos="376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Continued to advance design and planning efforts for non-gaming capital expenditure commitments related to the 10-year concession agreement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-881380</wp:posOffset>
            </wp:positionV>
            <wp:extent cx="1362710" cy="885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2710" cy="885825"/>
                    </a:xfrm>
                    <a:prstGeom prst="rect">
                      <a:avLst/>
                    </a:prstGeom>
                    <a:noFill/>
                  </pic:spPr>
                </pic:pic>
              </a:graphicData>
            </a:graphic>
          </wp:anchor>
        </w:drawing>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STRENGTHENED BALANCE SHEET &amp; INCREASED SHAREHOLDER ENGAGEMENT</w:t>
      </w:r>
    </w:p>
    <w:p>
      <w:pPr>
        <w:spacing w:after="0" w:line="187" w:lineRule="exact"/>
        <w:rPr>
          <w:sz w:val="20"/>
          <w:szCs w:val="20"/>
          <w:color w:val="auto"/>
        </w:rPr>
      </w:pPr>
    </w:p>
    <w:p>
      <w:pPr>
        <w:ind w:left="3740" w:right="259" w:hanging="135"/>
        <w:spacing w:after="0" w:line="278" w:lineRule="auto"/>
        <w:tabs>
          <w:tab w:leader="none" w:pos="3740" w:val="left"/>
        </w:tabs>
        <w:numPr>
          <w:ilvl w:val="1"/>
          <w:numId w:val="7"/>
        </w:numPr>
        <w:rPr>
          <w:rFonts w:ascii="Arial" w:cs="Arial" w:eastAsia="Arial" w:hAnsi="Arial"/>
          <w:sz w:val="12"/>
          <w:szCs w:val="12"/>
          <w:color w:val="auto"/>
        </w:rPr>
      </w:pPr>
      <w:r>
        <w:rPr>
          <w:rFonts w:ascii="Arial" w:cs="Arial" w:eastAsia="Arial" w:hAnsi="Arial"/>
          <w:sz w:val="12"/>
          <w:szCs w:val="12"/>
          <w:color w:val="auto"/>
        </w:rPr>
        <w:t>Strengthened the balance sheet and enhanced our liquidity position through several strategic debt finance transactions which included upsizing our borrowing capacity under the Wynn Resorts Finance Credit Facility by $500 million and extending its maturity by three years, upsizing our borrowing capacity under the Wynn Macau Cayman II Credit Facility by $1 billion, and refinancing all of our remaining 2026 debt maturities.</w:t>
      </w:r>
    </w:p>
    <w:p>
      <w:pPr>
        <w:spacing w:after="0" w:line="25" w:lineRule="exact"/>
        <w:rPr>
          <w:rFonts w:ascii="Arial" w:cs="Arial" w:eastAsia="Arial" w:hAnsi="Arial"/>
          <w:sz w:val="12"/>
          <w:szCs w:val="12"/>
          <w:color w:val="auto"/>
        </w:rPr>
      </w:pPr>
    </w:p>
    <w:p>
      <w:pPr>
        <w:ind w:left="3740" w:right="159" w:hanging="135"/>
        <w:spacing w:after="0" w:line="271" w:lineRule="auto"/>
        <w:tabs>
          <w:tab w:leader="none" w:pos="3740" w:val="left"/>
        </w:tabs>
        <w:numPr>
          <w:ilvl w:val="1"/>
          <w:numId w:val="7"/>
        </w:numPr>
        <w:rPr>
          <w:rFonts w:ascii="Arial" w:cs="Arial" w:eastAsia="Arial" w:hAnsi="Arial"/>
          <w:sz w:val="13"/>
          <w:szCs w:val="13"/>
          <w:color w:val="auto"/>
        </w:rPr>
      </w:pPr>
      <w:r>
        <w:rPr>
          <w:rFonts w:ascii="Arial" w:cs="Arial" w:eastAsia="Arial" w:hAnsi="Arial"/>
          <w:sz w:val="13"/>
          <w:szCs w:val="13"/>
          <w:color w:val="auto"/>
        </w:rPr>
        <w:t>Continued Wynn Resorts quarterly dividend of $0.25 per share and opportunistically repurchased $358 million of shares, representing approximately 4.2% of shares outstanding as of December 31, 2025</w:t>
      </w:r>
    </w:p>
    <w:p>
      <w:pPr>
        <w:spacing w:after="0" w:line="27" w:lineRule="exact"/>
        <w:rPr>
          <w:rFonts w:ascii="Arial" w:cs="Arial" w:eastAsia="Arial" w:hAnsi="Arial"/>
          <w:sz w:val="13"/>
          <w:szCs w:val="13"/>
          <w:color w:val="auto"/>
        </w:rPr>
      </w:pPr>
    </w:p>
    <w:p>
      <w:pPr>
        <w:ind w:left="3740" w:right="159" w:hanging="135"/>
        <w:spacing w:after="0" w:line="256" w:lineRule="auto"/>
        <w:tabs>
          <w:tab w:leader="none" w:pos="3740" w:val="left"/>
        </w:tabs>
        <w:numPr>
          <w:ilvl w:val="1"/>
          <w:numId w:val="7"/>
        </w:numPr>
        <w:rPr>
          <w:rFonts w:ascii="Arial" w:cs="Arial" w:eastAsia="Arial" w:hAnsi="Arial"/>
          <w:sz w:val="13"/>
          <w:szCs w:val="13"/>
          <w:color w:val="auto"/>
        </w:rPr>
      </w:pPr>
      <w:r>
        <w:rPr>
          <w:rFonts w:ascii="Arial" w:cs="Arial" w:eastAsia="Arial" w:hAnsi="Arial"/>
          <w:sz w:val="13"/>
          <w:szCs w:val="13"/>
          <w:color w:val="auto"/>
        </w:rPr>
        <w:t>Hosted our first in-market Investor Day in the UAE showcasing Wynn Al Marjan Island, which was attended by investors and nearly all of our sell-side research analysts, representing some of the world’s largest asset managers</w:t>
      </w:r>
    </w:p>
    <w:p>
      <w:pPr>
        <w:spacing w:after="0" w:line="311" w:lineRule="exact"/>
        <w:rPr>
          <w:rFonts w:ascii="Arial" w:cs="Arial" w:eastAsia="Arial" w:hAnsi="Arial"/>
          <w:sz w:val="13"/>
          <w:szCs w:val="13"/>
          <w:color w:val="auto"/>
        </w:rPr>
      </w:pPr>
    </w:p>
    <w:p>
      <w:pPr>
        <w:ind w:left="1260" w:right="159" w:firstLine="7"/>
        <w:spacing w:after="0" w:line="234" w:lineRule="auto"/>
        <w:tabs>
          <w:tab w:leader="none" w:pos="1410" w:val="left"/>
        </w:tabs>
        <w:numPr>
          <w:ilvl w:val="0"/>
          <w:numId w:val="7"/>
        </w:numPr>
        <w:rPr>
          <w:rFonts w:ascii="Arial" w:cs="Arial" w:eastAsia="Arial" w:hAnsi="Arial"/>
          <w:sz w:val="10"/>
          <w:szCs w:val="10"/>
          <w:color w:val="auto"/>
        </w:rPr>
      </w:pPr>
      <w:r>
        <w:rPr>
          <w:rFonts w:ascii="Arial" w:cs="Arial" w:eastAsia="Arial" w:hAnsi="Arial"/>
          <w:sz w:val="10"/>
          <w:szCs w:val="10"/>
          <w:color w:val="auto"/>
        </w:rPr>
        <w:t>Adjusted Property EBITDAR is net income before interest, income taxes, depreciation and amortization, pre-opening expenses,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See our Annual Report on Form 10-K for the fiscal year ended December 31, 2025 (Item 8, Note 20—“Segment Information” to our Consolidated Financial Statements) for the definition of “Adjusted Property EBITDAR” and a reconciliation of Adjusted Property EBITDAR to net income attributable to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-1483995</wp:posOffset>
            </wp:positionV>
            <wp:extent cx="1355725" cy="1069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5725" cy="1069340"/>
                    </a:xfrm>
                    <a:prstGeom prst="rect">
                      <a:avLst/>
                    </a:prstGeom>
                    <a:noFill/>
                  </pic:spPr>
                </pic:pic>
              </a:graphicData>
            </a:graphic>
          </wp:anchor>
        </w:drawing>
      </w:r>
    </w:p>
    <w:p>
      <w:pPr>
        <w:spacing w:after="0" w:line="78"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159"/>
          </w:cols>
          <w:pgMar w:left="300" w:top="41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722620" cy="7357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22620" cy="735774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4" w:lineRule="exact"/>
        <w:rPr>
          <w:sz w:val="20"/>
          <w:szCs w:val="20"/>
          <w:color w:val="auto"/>
        </w:rPr>
      </w:pPr>
    </w:p>
    <w:p>
      <w:pPr>
        <w:ind w:left="7540"/>
        <w:spacing w:after="0"/>
        <w:rPr>
          <w:sz w:val="20"/>
          <w:szCs w:val="20"/>
          <w:color w:val="auto"/>
        </w:rPr>
      </w:pP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0</w:t>
      </w:r>
      <w:r>
        <w:rPr>
          <w:rFonts w:ascii="Arial" w:cs="Arial" w:eastAsia="Arial" w:hAnsi="Arial"/>
          <w:sz w:val="7"/>
          <w:szCs w:val="7"/>
          <w:color w:val="B9AFA0"/>
        </w:rPr>
        <w:t xml:space="preserve"> </w:t>
      </w: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6 PROXY STATEMENT</w:t>
      </w:r>
    </w:p>
    <w:p>
      <w:pPr>
        <w:spacing w:after="0" w:line="3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Governance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WHO WE ARE</w:t>
      </w:r>
    </w:p>
    <w:p>
      <w:pPr>
        <w:spacing w:after="0" w:line="284" w:lineRule="exact"/>
        <w:rPr>
          <w:sz w:val="20"/>
          <w:szCs w:val="20"/>
          <w:color w:val="auto"/>
        </w:rPr>
      </w:pPr>
    </w:p>
    <w:p>
      <w:pPr>
        <w:ind w:left="1260" w:right="199"/>
        <w:spacing w:after="0" w:line="271" w:lineRule="auto"/>
        <w:rPr>
          <w:sz w:val="20"/>
          <w:szCs w:val="20"/>
          <w:color w:val="auto"/>
        </w:rPr>
      </w:pPr>
      <w:r>
        <w:rPr>
          <w:rFonts w:ascii="Arial" w:cs="Arial" w:eastAsia="Arial" w:hAnsi="Arial"/>
          <w:sz w:val="13"/>
          <w:szCs w:val="13"/>
          <w:color w:val="auto"/>
        </w:rPr>
        <w:t>Our corporate governance practices reflect our commitment to accountability, effective risk oversight, and decision-making aligned with our shareholders’ interests and designed to enhance long-term shareholder value and are grounded in sound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44450</wp:posOffset>
            </wp:positionV>
            <wp:extent cx="5559425" cy="2398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59425" cy="239839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p>
      <w:pPr>
        <w:spacing w:after="0" w:line="113" w:lineRule="exact"/>
        <w:rPr>
          <w:sz w:val="20"/>
          <w:szCs w:val="20"/>
          <w:color w:val="auto"/>
        </w:rPr>
      </w:pPr>
    </w:p>
    <w:p>
      <w:pPr>
        <w:ind w:left="1320"/>
        <w:spacing w:after="0"/>
        <w:rPr>
          <w:sz w:val="20"/>
          <w:szCs w:val="20"/>
          <w:color w:val="auto"/>
        </w:rPr>
      </w:pPr>
      <w:r>
        <w:rPr>
          <w:rFonts w:ascii="Arial" w:cs="Arial" w:eastAsia="Arial" w:hAnsi="Arial"/>
          <w:sz w:val="13"/>
          <w:szCs w:val="13"/>
          <w:color w:val="FFFFFF"/>
        </w:rPr>
        <w:t>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41275</wp:posOffset>
            </wp:positionV>
            <wp:extent cx="1301115" cy="347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1115" cy="347345"/>
                    </a:xfrm>
                    <a:prstGeom prst="rect">
                      <a:avLst/>
                    </a:prstGeom>
                    <a:noFill/>
                  </pic:spPr>
                </pic:pic>
              </a:graphicData>
            </a:graphic>
          </wp:anchor>
        </w:drawing>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ACCOUNTABILITY TO</w:t>
      </w:r>
    </w:p>
    <w:p>
      <w:pPr>
        <w:spacing w:after="0" w:line="54"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EFFECTIVE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409575</wp:posOffset>
            </wp:positionV>
            <wp:extent cx="1301115" cy="1008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1115" cy="100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RISK MITIGATION AND</w:t>
      </w:r>
    </w:p>
    <w:p>
      <w:pPr>
        <w:spacing w:after="0" w:line="54"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ALIGNMENT OF INTERESTS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213"/>
        <w:spacing w:after="0"/>
        <w:rPr>
          <w:sz w:val="20"/>
          <w:szCs w:val="20"/>
          <w:color w:val="auto"/>
        </w:rPr>
      </w:pPr>
      <w:r>
        <w:rPr>
          <w:rFonts w:ascii="Arial" w:cs="Arial" w:eastAsia="Arial" w:hAnsi="Arial"/>
          <w:sz w:val="13"/>
          <w:szCs w:val="13"/>
          <w:color w:val="FFFFFF"/>
        </w:rPr>
        <w:t>CORPORATE GOVERNANCE PRACTICE</w:t>
      </w:r>
    </w:p>
    <w:p>
      <w:pPr>
        <w:spacing w:after="0" w:line="129" w:lineRule="exact"/>
        <w:rPr>
          <w:sz w:val="20"/>
          <w:szCs w:val="20"/>
          <w:color w:val="auto"/>
        </w:rPr>
      </w:pPr>
    </w:p>
    <w:p>
      <w:pPr>
        <w:ind w:left="146" w:hanging="146"/>
        <w:spacing w:after="0"/>
        <w:tabs>
          <w:tab w:leader="none" w:pos="146" w:val="left"/>
        </w:tabs>
        <w:numPr>
          <w:ilvl w:val="0"/>
          <w:numId w:val="8"/>
        </w:numPr>
        <w:rPr>
          <w:rFonts w:ascii="MS PGothic" w:cs="MS PGothic" w:eastAsia="MS PGothic" w:hAnsi="MS PGothic"/>
          <w:sz w:val="13"/>
          <w:szCs w:val="13"/>
          <w:color w:val="auto"/>
        </w:rPr>
      </w:pPr>
      <w:r>
        <w:rPr>
          <w:rFonts w:ascii="Arial" w:cs="Arial" w:eastAsia="Arial" w:hAnsi="Arial"/>
          <w:sz w:val="13"/>
          <w:szCs w:val="13"/>
          <w:color w:val="auto"/>
        </w:rPr>
        <w:t>Our common stock is our only outstanding class of stock, with one vote per share</w:t>
      </w:r>
    </w:p>
    <w:p>
      <w:pPr>
        <w:spacing w:after="0" w:line="97" w:lineRule="exact"/>
        <w:rPr>
          <w:rFonts w:ascii="MS PGothic" w:cs="MS PGothic" w:eastAsia="MS PGothic" w:hAnsi="MS PGothic"/>
          <w:sz w:val="13"/>
          <w:szCs w:val="13"/>
          <w:color w:val="auto"/>
        </w:rPr>
      </w:pPr>
    </w:p>
    <w:p>
      <w:pPr>
        <w:ind w:left="146" w:hanging="146"/>
        <w:spacing w:after="0"/>
        <w:tabs>
          <w:tab w:leader="none" w:pos="146" w:val="left"/>
        </w:tabs>
        <w:numPr>
          <w:ilvl w:val="0"/>
          <w:numId w:val="8"/>
        </w:numPr>
        <w:rPr>
          <w:rFonts w:ascii="MS PGothic" w:cs="MS PGothic" w:eastAsia="MS PGothic" w:hAnsi="MS PGothic"/>
          <w:sz w:val="13"/>
          <w:szCs w:val="13"/>
          <w:color w:val="auto"/>
        </w:rPr>
      </w:pPr>
      <w:r>
        <w:rPr>
          <w:rFonts w:ascii="Arial" w:cs="Arial" w:eastAsia="Arial" w:hAnsi="Arial"/>
          <w:sz w:val="13"/>
          <w:szCs w:val="13"/>
          <w:color w:val="auto"/>
        </w:rPr>
        <w:t>Our directors are elected by a majority vote standard in uncontested elections</w:t>
      </w:r>
    </w:p>
    <w:p>
      <w:pPr>
        <w:spacing w:after="0" w:line="150" w:lineRule="exact"/>
        <w:rPr>
          <w:rFonts w:ascii="MS PGothic" w:cs="MS PGothic" w:eastAsia="MS PGothic" w:hAnsi="MS PGothic"/>
          <w:sz w:val="13"/>
          <w:szCs w:val="13"/>
          <w:color w:val="auto"/>
        </w:rPr>
      </w:pPr>
    </w:p>
    <w:p>
      <w:pPr>
        <w:ind w:left="126" w:right="299" w:hanging="126"/>
        <w:spacing w:after="0" w:line="329" w:lineRule="auto"/>
        <w:tabs>
          <w:tab w:leader="none" w:pos="141" w:val="left"/>
        </w:tabs>
        <w:numPr>
          <w:ilvl w:val="0"/>
          <w:numId w:val="8"/>
        </w:numPr>
        <w:rPr>
          <w:rFonts w:ascii="MS PGothic" w:cs="MS PGothic" w:eastAsia="MS PGothic" w:hAnsi="MS PGothic"/>
          <w:sz w:val="13"/>
          <w:szCs w:val="13"/>
          <w:color w:val="auto"/>
        </w:rPr>
      </w:pPr>
      <w:r>
        <w:rPr>
          <w:rFonts w:ascii="Arial" w:cs="Arial" w:eastAsia="Arial" w:hAnsi="Arial"/>
          <w:sz w:val="13"/>
          <w:szCs w:val="13"/>
          <w:color w:val="auto"/>
        </w:rPr>
        <w:t>Our full Board assesses risks to the Company’s long-term strategic objectives, including development projects and growth initiatives</w:t>
      </w:r>
    </w:p>
    <w:p>
      <w:pPr>
        <w:spacing w:after="0" w:line="30" w:lineRule="exact"/>
        <w:rPr>
          <w:rFonts w:ascii="MS PGothic" w:cs="MS PGothic" w:eastAsia="MS PGothic" w:hAnsi="MS PGothic"/>
          <w:sz w:val="13"/>
          <w:szCs w:val="13"/>
          <w:color w:val="auto"/>
        </w:rPr>
      </w:pPr>
    </w:p>
    <w:p>
      <w:pPr>
        <w:ind w:left="146" w:hanging="146"/>
        <w:spacing w:after="0"/>
        <w:tabs>
          <w:tab w:leader="none" w:pos="146" w:val="left"/>
        </w:tabs>
        <w:numPr>
          <w:ilvl w:val="0"/>
          <w:numId w:val="8"/>
        </w:numPr>
        <w:rPr>
          <w:rFonts w:ascii="MS PGothic" w:cs="MS PGothic" w:eastAsia="MS PGothic" w:hAnsi="MS PGothic"/>
          <w:sz w:val="13"/>
          <w:szCs w:val="13"/>
          <w:color w:val="auto"/>
        </w:rPr>
      </w:pPr>
      <w:r>
        <w:rPr>
          <w:rFonts w:ascii="Arial" w:cs="Arial" w:eastAsia="Arial" w:hAnsi="Arial"/>
          <w:sz w:val="13"/>
          <w:szCs w:val="13"/>
          <w:color w:val="auto"/>
        </w:rPr>
        <w:t>Our full Board oversees cybersecurity risk and information security</w:t>
      </w:r>
    </w:p>
    <w:p>
      <w:pPr>
        <w:spacing w:after="0" w:line="97" w:lineRule="exact"/>
        <w:rPr>
          <w:rFonts w:ascii="MS PGothic" w:cs="MS PGothic" w:eastAsia="MS PGothic" w:hAnsi="MS PGothic"/>
          <w:sz w:val="13"/>
          <w:szCs w:val="13"/>
          <w:color w:val="auto"/>
        </w:rPr>
      </w:pPr>
    </w:p>
    <w:p>
      <w:pPr>
        <w:ind w:left="126" w:right="239" w:hanging="126"/>
        <w:spacing w:after="0" w:line="333" w:lineRule="auto"/>
        <w:tabs>
          <w:tab w:leader="none" w:pos="141" w:val="left"/>
        </w:tabs>
        <w:numPr>
          <w:ilvl w:val="0"/>
          <w:numId w:val="8"/>
        </w:numPr>
        <w:rPr>
          <w:rFonts w:ascii="MS PGothic" w:cs="MS PGothic" w:eastAsia="MS PGothic" w:hAnsi="MS PGothic"/>
          <w:sz w:val="13"/>
          <w:szCs w:val="13"/>
          <w:color w:val="auto"/>
        </w:rPr>
      </w:pPr>
      <w:r>
        <w:rPr>
          <w:rFonts w:ascii="Arial" w:cs="Arial" w:eastAsia="Arial" w:hAnsi="Arial"/>
          <w:sz w:val="13"/>
          <w:szCs w:val="13"/>
          <w:color w:val="auto"/>
        </w:rPr>
        <w:t>An independent Compliance Committee comprised of three individuals who are not otherwise affiliated with the Board and the Company oversees and promotes compliance and ensures that the Company meets its strict policy to conduct business at the highest levels of honesty and integrity</w:t>
      </w:r>
    </w:p>
    <w:p>
      <w:pPr>
        <w:spacing w:after="0" w:line="75" w:lineRule="exact"/>
        <w:rPr>
          <w:rFonts w:ascii="MS PGothic" w:cs="MS PGothic" w:eastAsia="MS PGothic" w:hAnsi="MS PGothic"/>
          <w:sz w:val="13"/>
          <w:szCs w:val="13"/>
          <w:color w:val="auto"/>
        </w:rPr>
      </w:pPr>
    </w:p>
    <w:p>
      <w:pPr>
        <w:ind w:left="146" w:hanging="146"/>
        <w:spacing w:after="0"/>
        <w:tabs>
          <w:tab w:leader="none" w:pos="146" w:val="left"/>
        </w:tabs>
        <w:numPr>
          <w:ilvl w:val="0"/>
          <w:numId w:val="8"/>
        </w:numPr>
        <w:rPr>
          <w:rFonts w:ascii="MS PGothic" w:cs="MS PGothic" w:eastAsia="MS PGothic" w:hAnsi="MS PGothic"/>
          <w:sz w:val="13"/>
          <w:szCs w:val="13"/>
          <w:color w:val="auto"/>
        </w:rPr>
      </w:pPr>
      <w:r>
        <w:rPr>
          <w:rFonts w:ascii="Arial" w:cs="Arial" w:eastAsia="Arial" w:hAnsi="Arial"/>
          <w:sz w:val="13"/>
          <w:szCs w:val="13"/>
          <w:color w:val="auto"/>
        </w:rPr>
        <w:t>Our stock ownership requirements for non-employee directors were increased in 2025</w:t>
      </w:r>
    </w:p>
    <w:p>
      <w:pPr>
        <w:spacing w:after="0" w:line="97" w:lineRule="exact"/>
        <w:rPr>
          <w:rFonts w:ascii="MS PGothic" w:cs="MS PGothic" w:eastAsia="MS PGothic" w:hAnsi="MS PGothic"/>
          <w:sz w:val="13"/>
          <w:szCs w:val="13"/>
          <w:color w:val="auto"/>
        </w:rPr>
      </w:pPr>
    </w:p>
    <w:p>
      <w:pPr>
        <w:ind w:left="126" w:right="159" w:hanging="126"/>
        <w:spacing w:after="0" w:line="328" w:lineRule="auto"/>
        <w:tabs>
          <w:tab w:leader="none" w:pos="141" w:val="left"/>
        </w:tabs>
        <w:numPr>
          <w:ilvl w:val="0"/>
          <w:numId w:val="8"/>
        </w:numPr>
        <w:rPr>
          <w:rFonts w:ascii="MS PGothic" w:cs="MS PGothic" w:eastAsia="MS PGothic" w:hAnsi="MS PGothic"/>
          <w:sz w:val="13"/>
          <w:szCs w:val="13"/>
          <w:color w:val="auto"/>
        </w:rPr>
      </w:pPr>
      <w:r>
        <w:rPr>
          <w:rFonts w:ascii="Arial" w:cs="Arial" w:eastAsia="Arial" w:hAnsi="Arial"/>
          <w:sz w:val="13"/>
          <w:szCs w:val="13"/>
          <w:color w:val="auto"/>
        </w:rPr>
        <w:t>Our clawback policy provides for the recoupment of certain incentive-based compensation received by our current and former executive officers in the event the Company is required to prepare an accounting restatement due to material noncompliance with its financial reporting requirements</w:t>
      </w:r>
    </w:p>
    <w:p>
      <w:pPr>
        <w:spacing w:after="0" w:line="30" w:lineRule="exact"/>
        <w:rPr>
          <w:rFonts w:ascii="MS PGothic" w:cs="MS PGothic" w:eastAsia="MS PGothic" w:hAnsi="MS PGothic"/>
          <w:sz w:val="13"/>
          <w:szCs w:val="13"/>
          <w:color w:val="auto"/>
        </w:rPr>
      </w:pPr>
    </w:p>
    <w:p>
      <w:pPr>
        <w:ind w:left="126" w:right="179" w:hanging="126"/>
        <w:spacing w:after="0" w:line="333" w:lineRule="auto"/>
        <w:tabs>
          <w:tab w:leader="none" w:pos="141" w:val="left"/>
        </w:tabs>
        <w:numPr>
          <w:ilvl w:val="0"/>
          <w:numId w:val="8"/>
        </w:numPr>
        <w:rPr>
          <w:rFonts w:ascii="MS PGothic" w:cs="MS PGothic" w:eastAsia="MS PGothic" w:hAnsi="MS PGothic"/>
          <w:sz w:val="13"/>
          <w:szCs w:val="13"/>
          <w:color w:val="auto"/>
        </w:rPr>
      </w:pPr>
      <w:r>
        <w:rPr>
          <w:rFonts w:ascii="Arial" w:cs="Arial" w:eastAsia="Arial" w:hAnsi="Arial"/>
          <w:sz w:val="13"/>
          <w:szCs w:val="13"/>
          <w:color w:val="auto"/>
        </w:rPr>
        <w:t>Our Insider Trading Policy prohibits directors and executive officers from engaging in speculative transactions in the Company’s securities, such as trading in puts and calls, or selling securities short, and from all hedging and prospective pledging of Company securities as collateral for any loan</w:t>
      </w:r>
    </w:p>
    <w:p>
      <w:pPr>
        <w:spacing w:after="0" w:line="118"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3</w:t>
      </w:r>
    </w:p>
    <w:p>
      <w:pPr>
        <w:sectPr>
          <w:pgSz w:w="11900" w:h="16838" w:orient="portrait"/>
          <w:cols w:equalWidth="0" w:num="2">
            <w:col w:w="3160" w:space="314"/>
            <w:col w:w="6686"/>
          </w:cols>
          <w:pgMar w:left="300" w:top="412"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BOARD COMPOSITION</w:t>
      </w:r>
    </w:p>
    <w:p>
      <w:pPr>
        <w:spacing w:after="0" w:line="200" w:lineRule="exact"/>
        <w:rPr>
          <w:sz w:val="20"/>
          <w:szCs w:val="20"/>
          <w:color w:val="auto"/>
        </w:rPr>
      </w:pPr>
    </w:p>
    <w:p>
      <w:pPr>
        <w:spacing w:after="0" w:line="230" w:lineRule="exact"/>
        <w:rPr>
          <w:sz w:val="20"/>
          <w:szCs w:val="20"/>
          <w:color w:val="auto"/>
        </w:rPr>
      </w:pPr>
    </w:p>
    <w:tbl>
      <w:tblPr>
        <w:tblLayout w:type="fixed"/>
        <w:tblInd w:w="1740" w:type="dxa"/>
        <w:tblCellMar>
          <w:top w:w="0" w:type="dxa"/>
          <w:left w:w="0" w:type="dxa"/>
          <w:bottom w:w="0" w:type="dxa"/>
          <w:right w:w="0" w:type="dxa"/>
        </w:tblCellMar>
      </w:tblPr>
      <w:tr>
        <w:trPr>
          <w:trHeight w:val="225"/>
        </w:trPr>
        <w:tc>
          <w:tcPr>
            <w:tcW w:w="4140" w:type="dxa"/>
            <w:vAlign w:val="bottom"/>
          </w:tcPr>
          <w:p>
            <w:pPr>
              <w:jc w:val="center"/>
              <w:ind w:right="746"/>
              <w:spacing w:after="0"/>
              <w:rPr>
                <w:sz w:val="20"/>
                <w:szCs w:val="20"/>
                <w:color w:val="auto"/>
              </w:rPr>
            </w:pPr>
            <w:r>
              <w:rPr>
                <w:rFonts w:ascii="Arial" w:cs="Arial" w:eastAsia="Arial" w:hAnsi="Arial"/>
                <w:sz w:val="19"/>
                <w:szCs w:val="19"/>
                <w:color w:val="auto"/>
                <w:w w:val="97"/>
              </w:rPr>
              <w:t>INDEPENDENT CHAIR</w:t>
            </w:r>
          </w:p>
        </w:tc>
        <w:tc>
          <w:tcPr>
            <w:tcW w:w="3260" w:type="dxa"/>
            <w:vAlign w:val="bottom"/>
          </w:tcPr>
          <w:p>
            <w:pPr>
              <w:jc w:val="center"/>
              <w:ind w:left="737"/>
              <w:spacing w:after="0"/>
              <w:rPr>
                <w:sz w:val="20"/>
                <w:szCs w:val="20"/>
                <w:color w:val="auto"/>
              </w:rPr>
            </w:pPr>
            <w:r>
              <w:rPr>
                <w:rFonts w:ascii="Arial" w:cs="Arial" w:eastAsia="Arial" w:hAnsi="Arial"/>
                <w:sz w:val="19"/>
                <w:szCs w:val="19"/>
                <w:color w:val="auto"/>
                <w:w w:val="94"/>
              </w:rPr>
              <w:t>89%</w:t>
            </w:r>
          </w:p>
        </w:tc>
        <w:tc>
          <w:tcPr>
            <w:tcW w:w="0" w:type="dxa"/>
            <w:vAlign w:val="bottom"/>
          </w:tcPr>
          <w:p>
            <w:pPr>
              <w:spacing w:after="0"/>
              <w:rPr>
                <w:sz w:val="1"/>
                <w:szCs w:val="1"/>
                <w:color w:val="auto"/>
              </w:rPr>
            </w:pPr>
          </w:p>
        </w:tc>
      </w:tr>
      <w:tr>
        <w:trPr>
          <w:trHeight w:val="246"/>
        </w:trPr>
        <w:tc>
          <w:tcPr>
            <w:tcW w:w="4140" w:type="dxa"/>
            <w:vAlign w:val="bottom"/>
            <w:vMerge w:val="restart"/>
          </w:tcPr>
          <w:p>
            <w:pPr>
              <w:jc w:val="center"/>
              <w:ind w:right="746"/>
              <w:spacing w:after="0"/>
              <w:rPr>
                <w:sz w:val="20"/>
                <w:szCs w:val="20"/>
                <w:color w:val="auto"/>
              </w:rPr>
            </w:pPr>
            <w:r>
              <w:rPr>
                <w:rFonts w:ascii="Arial" w:cs="Arial" w:eastAsia="Arial" w:hAnsi="Arial"/>
                <w:sz w:val="13"/>
                <w:szCs w:val="13"/>
                <w:color w:val="auto"/>
                <w:w w:val="99"/>
              </w:rPr>
              <w:t>The separation of the roles of Chair of the Board and CEO</w:t>
            </w:r>
          </w:p>
        </w:tc>
        <w:tc>
          <w:tcPr>
            <w:tcW w:w="3260" w:type="dxa"/>
            <w:vAlign w:val="bottom"/>
          </w:tcPr>
          <w:p>
            <w:pPr>
              <w:jc w:val="center"/>
              <w:ind w:left="737"/>
              <w:spacing w:after="0"/>
              <w:rPr>
                <w:sz w:val="20"/>
                <w:szCs w:val="20"/>
                <w:color w:val="auto"/>
              </w:rPr>
            </w:pPr>
            <w:r>
              <w:rPr>
                <w:rFonts w:ascii="Arial" w:cs="Arial" w:eastAsia="Arial" w:hAnsi="Arial"/>
                <w:sz w:val="19"/>
                <w:szCs w:val="19"/>
                <w:color w:val="auto"/>
                <w:w w:val="98"/>
              </w:rPr>
              <w:t>BOARD INDEPENDENCE</w:t>
            </w:r>
          </w:p>
        </w:tc>
        <w:tc>
          <w:tcPr>
            <w:tcW w:w="0" w:type="dxa"/>
            <w:vAlign w:val="bottom"/>
          </w:tcPr>
          <w:p>
            <w:pPr>
              <w:spacing w:after="0"/>
              <w:rPr>
                <w:sz w:val="1"/>
                <w:szCs w:val="1"/>
                <w:color w:val="auto"/>
              </w:rPr>
            </w:pPr>
          </w:p>
        </w:tc>
      </w:tr>
      <w:tr>
        <w:trPr>
          <w:trHeight w:val="101"/>
        </w:trPr>
        <w:tc>
          <w:tcPr>
            <w:tcW w:w="4140" w:type="dxa"/>
            <w:vAlign w:val="bottom"/>
            <w:vMerge w:val="continue"/>
          </w:tcPr>
          <w:p>
            <w:pPr>
              <w:spacing w:after="0"/>
              <w:rPr>
                <w:sz w:val="8"/>
                <w:szCs w:val="8"/>
                <w:color w:val="auto"/>
              </w:rPr>
            </w:pPr>
          </w:p>
        </w:tc>
        <w:tc>
          <w:tcPr>
            <w:tcW w:w="3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140" w:type="dxa"/>
            <w:vAlign w:val="bottom"/>
          </w:tcPr>
          <w:p>
            <w:pPr>
              <w:jc w:val="center"/>
              <w:ind w:right="726"/>
              <w:spacing w:after="0"/>
              <w:rPr>
                <w:sz w:val="20"/>
                <w:szCs w:val="20"/>
                <w:color w:val="auto"/>
              </w:rPr>
            </w:pPr>
            <w:r>
              <w:rPr>
                <w:rFonts w:ascii="Arial" w:cs="Arial" w:eastAsia="Arial" w:hAnsi="Arial"/>
                <w:sz w:val="13"/>
                <w:szCs w:val="13"/>
                <w:color w:val="auto"/>
                <w:w w:val="98"/>
              </w:rPr>
              <w:t>are enshrined in our Bylaws</w:t>
            </w:r>
          </w:p>
        </w:tc>
        <w:tc>
          <w:tcPr>
            <w:tcW w:w="3260" w:type="dxa"/>
            <w:vAlign w:val="bottom"/>
            <w:vMerge w:val="restart"/>
          </w:tcPr>
          <w:p>
            <w:pPr>
              <w:jc w:val="center"/>
              <w:ind w:left="737"/>
              <w:spacing w:after="0"/>
              <w:rPr>
                <w:sz w:val="20"/>
                <w:szCs w:val="20"/>
                <w:color w:val="auto"/>
              </w:rPr>
            </w:pPr>
            <w:r>
              <w:rPr>
                <w:rFonts w:ascii="Arial" w:cs="Arial" w:eastAsia="Arial" w:hAnsi="Arial"/>
                <w:sz w:val="13"/>
                <w:szCs w:val="13"/>
                <w:color w:val="auto"/>
                <w:w w:val="99"/>
              </w:rPr>
              <w:t>Eight of our nine directors are independent</w:t>
            </w:r>
          </w:p>
        </w:tc>
        <w:tc>
          <w:tcPr>
            <w:tcW w:w="0" w:type="dxa"/>
            <w:vAlign w:val="bottom"/>
          </w:tcPr>
          <w:p>
            <w:pPr>
              <w:spacing w:after="0"/>
              <w:rPr>
                <w:sz w:val="1"/>
                <w:szCs w:val="1"/>
                <w:color w:val="auto"/>
              </w:rPr>
            </w:pPr>
          </w:p>
        </w:tc>
      </w:tr>
      <w:tr>
        <w:trPr>
          <w:trHeight w:val="75"/>
        </w:trPr>
        <w:tc>
          <w:tcPr>
            <w:tcW w:w="414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25"/>
        </w:trPr>
        <w:tc>
          <w:tcPr>
            <w:tcW w:w="3900" w:type="dxa"/>
            <w:vAlign w:val="bottom"/>
          </w:tcPr>
          <w:p>
            <w:pPr>
              <w:jc w:val="center"/>
              <w:ind w:right="721"/>
              <w:spacing w:after="0"/>
              <w:rPr>
                <w:sz w:val="20"/>
                <w:szCs w:val="20"/>
                <w:color w:val="auto"/>
              </w:rPr>
            </w:pPr>
            <w:r>
              <w:rPr>
                <w:rFonts w:ascii="Arial" w:cs="Arial" w:eastAsia="Arial" w:hAnsi="Arial"/>
                <w:sz w:val="19"/>
                <w:szCs w:val="19"/>
                <w:color w:val="auto"/>
                <w:w w:val="99"/>
              </w:rPr>
              <w:t>67%</w:t>
            </w:r>
          </w:p>
        </w:tc>
        <w:tc>
          <w:tcPr>
            <w:tcW w:w="3520" w:type="dxa"/>
            <w:vAlign w:val="bottom"/>
          </w:tcPr>
          <w:p>
            <w:pPr>
              <w:jc w:val="center"/>
              <w:ind w:left="721"/>
              <w:spacing w:after="0"/>
              <w:rPr>
                <w:sz w:val="20"/>
                <w:szCs w:val="20"/>
                <w:color w:val="auto"/>
              </w:rPr>
            </w:pPr>
            <w:r>
              <w:rPr>
                <w:rFonts w:ascii="Arial" w:cs="Arial" w:eastAsia="Arial" w:hAnsi="Arial"/>
                <w:sz w:val="19"/>
                <w:szCs w:val="19"/>
                <w:color w:val="auto"/>
                <w:w w:val="99"/>
              </w:rPr>
              <w:t>6 YEARS</w:t>
            </w:r>
          </w:p>
        </w:tc>
      </w:tr>
      <w:tr>
        <w:trPr>
          <w:trHeight w:val="246"/>
        </w:trPr>
        <w:tc>
          <w:tcPr>
            <w:tcW w:w="3900" w:type="dxa"/>
            <w:vAlign w:val="bottom"/>
          </w:tcPr>
          <w:p>
            <w:pPr>
              <w:jc w:val="center"/>
              <w:ind w:right="721"/>
              <w:spacing w:after="0"/>
              <w:rPr>
                <w:sz w:val="20"/>
                <w:szCs w:val="20"/>
                <w:color w:val="auto"/>
              </w:rPr>
            </w:pPr>
            <w:r>
              <w:rPr>
                <w:rFonts w:ascii="Arial" w:cs="Arial" w:eastAsia="Arial" w:hAnsi="Arial"/>
                <w:sz w:val="19"/>
                <w:szCs w:val="19"/>
                <w:color w:val="auto"/>
                <w:w w:val="98"/>
              </w:rPr>
              <w:t>CEO EXPERIENCE</w:t>
            </w:r>
          </w:p>
        </w:tc>
        <w:tc>
          <w:tcPr>
            <w:tcW w:w="3520" w:type="dxa"/>
            <w:vAlign w:val="bottom"/>
          </w:tcPr>
          <w:p>
            <w:pPr>
              <w:jc w:val="center"/>
              <w:ind w:left="721"/>
              <w:spacing w:after="0"/>
              <w:rPr>
                <w:sz w:val="20"/>
                <w:szCs w:val="20"/>
                <w:color w:val="auto"/>
              </w:rPr>
            </w:pPr>
            <w:r>
              <w:rPr>
                <w:rFonts w:ascii="Arial" w:cs="Arial" w:eastAsia="Arial" w:hAnsi="Arial"/>
                <w:sz w:val="19"/>
                <w:szCs w:val="19"/>
                <w:color w:val="auto"/>
                <w:w w:val="97"/>
              </w:rPr>
              <w:t>AVERAGE DIRECTOR TENURE</w:t>
            </w:r>
          </w:p>
        </w:tc>
      </w:tr>
      <w:tr>
        <w:trPr>
          <w:trHeight w:val="326"/>
        </w:trPr>
        <w:tc>
          <w:tcPr>
            <w:tcW w:w="3900" w:type="dxa"/>
            <w:vAlign w:val="bottom"/>
          </w:tcPr>
          <w:p>
            <w:pPr>
              <w:jc w:val="center"/>
              <w:ind w:right="721"/>
              <w:spacing w:after="0"/>
              <w:rPr>
                <w:sz w:val="20"/>
                <w:szCs w:val="20"/>
                <w:color w:val="auto"/>
              </w:rPr>
            </w:pPr>
            <w:r>
              <w:rPr>
                <w:rFonts w:ascii="Arial" w:cs="Arial" w:eastAsia="Arial" w:hAnsi="Arial"/>
                <w:sz w:val="13"/>
                <w:szCs w:val="13"/>
                <w:color w:val="auto"/>
                <w:w w:val="97"/>
              </w:rPr>
              <w:t>6 of our 9 directors</w:t>
            </w:r>
          </w:p>
        </w:tc>
        <w:tc>
          <w:tcPr>
            <w:tcW w:w="3520" w:type="dxa"/>
            <w:vAlign w:val="bottom"/>
          </w:tcPr>
          <w:p>
            <w:pPr>
              <w:jc w:val="center"/>
              <w:ind w:left="721"/>
              <w:spacing w:after="0"/>
              <w:rPr>
                <w:sz w:val="20"/>
                <w:szCs w:val="20"/>
                <w:color w:val="auto"/>
              </w:rPr>
            </w:pPr>
            <w:r>
              <w:rPr>
                <w:rFonts w:ascii="Arial" w:cs="Arial" w:eastAsia="Arial" w:hAnsi="Arial"/>
                <w:sz w:val="13"/>
                <w:szCs w:val="13"/>
                <w:color w:val="auto"/>
                <w:w w:val="99"/>
              </w:rPr>
              <w:t>Seven of our eight independent directors</w:t>
            </w:r>
          </w:p>
        </w:tc>
      </w:tr>
      <w:tr>
        <w:trPr>
          <w:trHeight w:val="169"/>
        </w:trPr>
        <w:tc>
          <w:tcPr>
            <w:tcW w:w="3900" w:type="dxa"/>
            <w:vAlign w:val="bottom"/>
          </w:tcPr>
          <w:p>
            <w:pPr>
              <w:jc w:val="center"/>
              <w:ind w:right="741"/>
              <w:spacing w:after="0"/>
              <w:rPr>
                <w:sz w:val="20"/>
                <w:szCs w:val="20"/>
                <w:color w:val="auto"/>
              </w:rPr>
            </w:pPr>
            <w:r>
              <w:rPr>
                <w:rFonts w:ascii="Arial" w:cs="Arial" w:eastAsia="Arial" w:hAnsi="Arial"/>
                <w:sz w:val="13"/>
                <w:szCs w:val="13"/>
                <w:color w:val="auto"/>
                <w:w w:val="98"/>
              </w:rPr>
              <w:t>have performed or are currently performing CEO roles</w:t>
            </w:r>
          </w:p>
        </w:tc>
        <w:tc>
          <w:tcPr>
            <w:tcW w:w="3520" w:type="dxa"/>
            <w:vAlign w:val="bottom"/>
          </w:tcPr>
          <w:p>
            <w:pPr>
              <w:jc w:val="center"/>
              <w:ind w:left="701"/>
              <w:spacing w:after="0"/>
              <w:rPr>
                <w:sz w:val="20"/>
                <w:szCs w:val="20"/>
                <w:color w:val="auto"/>
              </w:rPr>
            </w:pPr>
            <w:r>
              <w:rPr>
                <w:rFonts w:ascii="Arial" w:cs="Arial" w:eastAsia="Arial" w:hAnsi="Arial"/>
                <w:sz w:val="13"/>
                <w:szCs w:val="13"/>
                <w:color w:val="auto"/>
                <w:w w:val="99"/>
              </w:rPr>
              <w:t>were appointed since 2018</w:t>
            </w:r>
          </w:p>
        </w:tc>
      </w:tr>
    </w:tbl>
    <w:p>
      <w:pPr>
        <w:spacing w:after="0" w:line="271" w:lineRule="exact"/>
        <w:rPr>
          <w:sz w:val="20"/>
          <w:szCs w:val="20"/>
          <w:color w:val="auto"/>
        </w:rPr>
      </w:pPr>
    </w:p>
    <w:p>
      <w:pPr>
        <w:ind w:left="1260" w:right="439"/>
        <w:spacing w:after="0" w:line="271" w:lineRule="auto"/>
        <w:rPr>
          <w:sz w:val="20"/>
          <w:szCs w:val="20"/>
          <w:color w:val="auto"/>
        </w:rPr>
      </w:pPr>
      <w:r>
        <w:rPr>
          <w:rFonts w:ascii="Arial" w:cs="Arial" w:eastAsia="Arial" w:hAnsi="Arial"/>
          <w:sz w:val="13"/>
          <w:szCs w:val="13"/>
          <w:color w:val="auto"/>
        </w:rPr>
        <w:t>Our Board currently has nine members: Philip Satre, who serves as independent Chair of the Board, Betsy Atkins, Craig Billings, our Chief Executive Officer, Richard Byrne, Paul Liu, Patricia Mulroy, Anthony Sanfilippo, Darnell Strom, and Winifred Webb.</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Mr. Byrne, Ms. Mulroy and Mr. Satre have been nominated for re-election at the 2026 Annual Meeting as Class III directors at the Annual Meeting.</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DIRECTOR SKILLS AND EXPERIENCE</w:t>
      </w:r>
    </w:p>
    <w:p>
      <w:pPr>
        <w:spacing w:after="0" w:line="284" w:lineRule="exact"/>
        <w:rPr>
          <w:sz w:val="20"/>
          <w:szCs w:val="20"/>
          <w:color w:val="auto"/>
        </w:rPr>
      </w:pPr>
    </w:p>
    <w:p>
      <w:pPr>
        <w:ind w:left="1260" w:right="219"/>
        <w:spacing w:after="0" w:line="251" w:lineRule="auto"/>
        <w:rPr>
          <w:sz w:val="20"/>
          <w:szCs w:val="20"/>
          <w:color w:val="auto"/>
        </w:rPr>
      </w:pPr>
      <w:r>
        <w:rPr>
          <w:rFonts w:ascii="Arial" w:cs="Arial" w:eastAsia="Arial" w:hAnsi="Arial"/>
          <w:sz w:val="13"/>
          <w:szCs w:val="13"/>
          <w:color w:val="auto"/>
        </w:rPr>
        <w:t>The table and biographies below highlight the key skills and experiences that our directors have developed through education, direct experience and oversight responsibilities. The details of how such expertise was gained are included in each individual’s biography. We believe these collective qualities, skills, experiences and attributes are essential to the Board’s ability to provide independent oversight, exercise its risk oversight function and guide the Company to long-term, sustainable shareholder value.</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159"/>
          </w:cols>
          <w:pgMar w:left="300" w:top="41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If an individual director is not listed as having a particular attribute, it does not signify that individual’s lack of ability to contribute in that specific area.</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Rather, it is intended to depict notable areas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5985510</wp:posOffset>
            </wp:positionH>
            <wp:positionV relativeFrom="paragraph">
              <wp:posOffset>60960</wp:posOffset>
            </wp:positionV>
            <wp:extent cx="6985" cy="5893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5" cy="589343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60960</wp:posOffset>
            </wp:positionV>
            <wp:extent cx="6985" cy="5893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85" cy="5893435"/>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60960</wp:posOffset>
            </wp:positionV>
            <wp:extent cx="6985" cy="5893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85" cy="589343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60960</wp:posOffset>
            </wp:positionV>
            <wp:extent cx="6985" cy="5893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5" cy="5893435"/>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60960</wp:posOffset>
            </wp:positionV>
            <wp:extent cx="6985" cy="5893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5" cy="589343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60960</wp:posOffset>
            </wp:positionV>
            <wp:extent cx="6985" cy="5893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85" cy="5893435"/>
                    </a:xfrm>
                    <a:prstGeom prst="rect">
                      <a:avLst/>
                    </a:prstGeom>
                    <a:noFill/>
                  </pic:spPr>
                </pic:pic>
              </a:graphicData>
            </a:graphic>
          </wp:anchor>
        </w:drawing>
        <w:drawing>
          <wp:anchor simplePos="0" relativeHeight="251657728" behindDoc="1" locked="0" layoutInCell="0" allowOverlap="1">
            <wp:simplePos x="0" y="0"/>
            <wp:positionH relativeFrom="column">
              <wp:posOffset>3362325</wp:posOffset>
            </wp:positionH>
            <wp:positionV relativeFrom="paragraph">
              <wp:posOffset>60960</wp:posOffset>
            </wp:positionV>
            <wp:extent cx="6985" cy="6465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5" cy="646557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60960</wp:posOffset>
            </wp:positionV>
            <wp:extent cx="6985" cy="64655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85" cy="6465570"/>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60960</wp:posOffset>
            </wp:positionV>
            <wp:extent cx="6985" cy="6275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85" cy="6275070"/>
                    </a:xfrm>
                    <a:prstGeom prst="rect">
                      <a:avLst/>
                    </a:prstGeom>
                    <a:noFill/>
                  </pic:spPr>
                </pic:pic>
              </a:graphicData>
            </a:graphic>
          </wp:anchor>
        </w:drawing>
      </w:r>
    </w:p>
    <w:p>
      <w:pPr>
        <w:spacing w:after="0" w:line="76" w:lineRule="exact"/>
        <w:rPr>
          <w:sz w:val="20"/>
          <w:szCs w:val="20"/>
          <w:color w:val="auto"/>
        </w:rPr>
      </w:pPr>
    </w:p>
    <w:tbl>
      <w:tblPr>
        <w:tblLayout w:type="fixed"/>
        <w:tblInd w:w="1280" w:type="dxa"/>
        <w:tblCellMar>
          <w:top w:w="0" w:type="dxa"/>
          <w:left w:w="0" w:type="dxa"/>
          <w:bottom w:w="0" w:type="dxa"/>
          <w:right w:w="0" w:type="dxa"/>
        </w:tblCellMar>
      </w:tblPr>
      <w:tr>
        <w:trPr>
          <w:trHeight w:val="237"/>
        </w:trPr>
        <w:tc>
          <w:tcPr>
            <w:tcW w:w="2520" w:type="dxa"/>
            <w:vAlign w:val="bottom"/>
            <w:tcBorders>
              <w:bottom w:val="single" w:sz="8" w:color="B9AFA0"/>
            </w:tcBorders>
            <w:shd w:val="clear" w:color="auto" w:fill="B9AFA0"/>
          </w:tcPr>
          <w:p>
            <w:pPr>
              <w:spacing w:after="0"/>
              <w:rPr>
                <w:sz w:val="20"/>
                <w:szCs w:val="20"/>
                <w:color w:val="auto"/>
              </w:rPr>
            </w:pPr>
          </w:p>
        </w:tc>
        <w:tc>
          <w:tcPr>
            <w:tcW w:w="700" w:type="dxa"/>
            <w:vAlign w:val="bottom"/>
            <w:tcBorders>
              <w:bottom w:val="single" w:sz="8" w:color="B9AFA0"/>
            </w:tcBorders>
            <w:shd w:val="clear" w:color="auto" w:fill="B9AFA0"/>
          </w:tcPr>
          <w:p>
            <w:pPr>
              <w:ind w:left="100"/>
              <w:spacing w:after="0"/>
              <w:rPr>
                <w:sz w:val="20"/>
                <w:szCs w:val="20"/>
                <w:color w:val="auto"/>
              </w:rPr>
            </w:pPr>
            <w:r>
              <w:rPr>
                <w:rFonts w:ascii="Arial" w:cs="Arial" w:eastAsia="Arial" w:hAnsi="Arial"/>
                <w:sz w:val="13"/>
                <w:szCs w:val="13"/>
                <w:color w:val="FFFFFF"/>
              </w:rPr>
              <w:t> ATKINS </w:t>
            </w:r>
          </w:p>
        </w:tc>
        <w:tc>
          <w:tcPr>
            <w:tcW w:w="800" w:type="dxa"/>
            <w:vAlign w:val="bottom"/>
            <w:tcBorders>
              <w:bottom w:val="single" w:sz="8" w:color="B9AFA0"/>
            </w:tcBorders>
            <w:shd w:val="clear" w:color="auto" w:fill="B9AFA0"/>
          </w:tcPr>
          <w:p>
            <w:pPr>
              <w:ind w:left="80"/>
              <w:spacing w:after="0"/>
              <w:rPr>
                <w:sz w:val="20"/>
                <w:szCs w:val="20"/>
                <w:color w:val="auto"/>
              </w:rPr>
            </w:pPr>
            <w:r>
              <w:rPr>
                <w:rFonts w:ascii="Arial" w:cs="Arial" w:eastAsia="Arial" w:hAnsi="Arial"/>
                <w:sz w:val="13"/>
                <w:szCs w:val="13"/>
                <w:color w:val="FFFFFF"/>
                <w:w w:val="99"/>
              </w:rPr>
              <w:t> BILLINGS  </w:t>
            </w:r>
          </w:p>
        </w:tc>
        <w:tc>
          <w:tcPr>
            <w:tcW w:w="660" w:type="dxa"/>
            <w:vAlign w:val="bottom"/>
            <w:tcBorders>
              <w:bottom w:val="single" w:sz="8" w:color="B9AFA0"/>
            </w:tcBorders>
            <w:shd w:val="clear" w:color="auto" w:fill="B9AFA0"/>
          </w:tcPr>
          <w:p>
            <w:pPr>
              <w:ind w:left="80"/>
              <w:spacing w:after="0"/>
              <w:rPr>
                <w:sz w:val="20"/>
                <w:szCs w:val="20"/>
                <w:color w:val="auto"/>
              </w:rPr>
            </w:pPr>
            <w:r>
              <w:rPr>
                <w:rFonts w:ascii="Arial" w:cs="Arial" w:eastAsia="Arial" w:hAnsi="Arial"/>
                <w:sz w:val="13"/>
                <w:szCs w:val="13"/>
                <w:color w:val="FFFFFF"/>
                <w:w w:val="99"/>
              </w:rPr>
              <w:t> BYRNE  </w:t>
            </w:r>
          </w:p>
        </w:tc>
        <w:tc>
          <w:tcPr>
            <w:tcW w:w="42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3"/>
                <w:szCs w:val="13"/>
                <w:color w:val="FFFFFF"/>
              </w:rPr>
              <w:t> LIU  </w:t>
            </w:r>
          </w:p>
        </w:tc>
        <w:tc>
          <w:tcPr>
            <w:tcW w:w="76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3"/>
                <w:szCs w:val="13"/>
                <w:color w:val="FFFFFF"/>
              </w:rPr>
              <w:t> MULROY  </w:t>
            </w:r>
          </w:p>
        </w:tc>
        <w:tc>
          <w:tcPr>
            <w:tcW w:w="96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3"/>
                <w:szCs w:val="13"/>
                <w:color w:val="FFFFFF"/>
                <w:w w:val="99"/>
              </w:rPr>
              <w:t> SANFILIPPO  </w:t>
            </w:r>
          </w:p>
        </w:tc>
        <w:tc>
          <w:tcPr>
            <w:tcW w:w="64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3"/>
                <w:szCs w:val="13"/>
                <w:color w:val="FFFFFF"/>
              </w:rPr>
              <w:t> SATRE  </w:t>
            </w:r>
          </w:p>
        </w:tc>
        <w:tc>
          <w:tcPr>
            <w:tcW w:w="700" w:type="dxa"/>
            <w:vAlign w:val="bottom"/>
            <w:tcBorders>
              <w:bottom w:val="single" w:sz="8" w:color="B9AFA0"/>
            </w:tcBorders>
            <w:shd w:val="clear" w:color="auto" w:fill="B9AFA0"/>
          </w:tcPr>
          <w:p>
            <w:pPr>
              <w:ind w:left="80"/>
              <w:spacing w:after="0"/>
              <w:rPr>
                <w:sz w:val="20"/>
                <w:szCs w:val="20"/>
                <w:color w:val="auto"/>
              </w:rPr>
            </w:pPr>
            <w:r>
              <w:rPr>
                <w:rFonts w:ascii="Arial" w:cs="Arial" w:eastAsia="Arial" w:hAnsi="Arial"/>
                <w:sz w:val="13"/>
                <w:szCs w:val="13"/>
                <w:color w:val="FFFFFF"/>
              </w:rPr>
              <w:t> STROM  </w:t>
            </w:r>
          </w:p>
        </w:tc>
        <w:tc>
          <w:tcPr>
            <w:tcW w:w="58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3"/>
                <w:szCs w:val="13"/>
                <w:color w:val="FFFFFF"/>
                <w:w w:val="99"/>
              </w:rPr>
              <w:t> WEBB  </w:t>
            </w:r>
          </w:p>
        </w:tc>
      </w:tr>
      <w:tr>
        <w:trPr>
          <w:trHeight w:val="229"/>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GAMING OR OTHER REGULATED INDUSTRY</w:t>
            </w:r>
          </w:p>
        </w:tc>
        <w:tc>
          <w:tcPr>
            <w:tcW w:w="700" w:type="dxa"/>
            <w:vAlign w:val="bottom"/>
            <w:shd w:val="clear" w:color="auto" w:fill="F1EFEC"/>
          </w:tcPr>
          <w:p>
            <w:pPr>
              <w:ind w:left="320"/>
              <w:spacing w:after="0"/>
              <w:rPr>
                <w:sz w:val="20"/>
                <w:szCs w:val="20"/>
                <w:color w:val="auto"/>
              </w:rPr>
            </w:pPr>
            <w:r>
              <w:rPr>
                <w:rFonts w:ascii="Arial" w:cs="Arial" w:eastAsia="Arial" w:hAnsi="Arial"/>
                <w:sz w:val="11"/>
                <w:szCs w:val="11"/>
                <w:color w:val="auto"/>
              </w:rPr>
              <w:t>X</w:t>
            </w:r>
          </w:p>
        </w:tc>
        <w:tc>
          <w:tcPr>
            <w:tcW w:w="800" w:type="dxa"/>
            <w:vAlign w:val="bottom"/>
            <w:shd w:val="clear" w:color="auto" w:fill="F1EFEC"/>
          </w:tcPr>
          <w:p>
            <w:pPr>
              <w:ind w:left="380"/>
              <w:spacing w:after="0"/>
              <w:rPr>
                <w:sz w:val="20"/>
                <w:szCs w:val="20"/>
                <w:color w:val="auto"/>
              </w:rPr>
            </w:pPr>
            <w:r>
              <w:rPr>
                <w:rFonts w:ascii="Arial" w:cs="Arial" w:eastAsia="Arial" w:hAnsi="Arial"/>
                <w:sz w:val="11"/>
                <w:szCs w:val="11"/>
                <w:color w:val="auto"/>
              </w:rPr>
              <w:t>X</w:t>
            </w:r>
          </w:p>
        </w:tc>
        <w:tc>
          <w:tcPr>
            <w:tcW w:w="660" w:type="dxa"/>
            <w:vAlign w:val="bottom"/>
            <w:shd w:val="clear" w:color="auto" w:fill="F1EFEC"/>
          </w:tcPr>
          <w:p>
            <w:pPr>
              <w:ind w:left="300"/>
              <w:spacing w:after="0"/>
              <w:rPr>
                <w:sz w:val="20"/>
                <w:szCs w:val="20"/>
                <w:color w:val="auto"/>
              </w:rPr>
            </w:pPr>
            <w:r>
              <w:rPr>
                <w:rFonts w:ascii="Arial" w:cs="Arial" w:eastAsia="Arial" w:hAnsi="Arial"/>
                <w:sz w:val="11"/>
                <w:szCs w:val="11"/>
                <w:color w:val="auto"/>
              </w:rPr>
              <w:t>X</w:t>
            </w:r>
          </w:p>
        </w:tc>
        <w:tc>
          <w:tcPr>
            <w:tcW w:w="420" w:type="dxa"/>
            <w:vAlign w:val="bottom"/>
            <w:shd w:val="clear" w:color="auto" w:fill="F1EFEC"/>
          </w:tcPr>
          <w:p>
            <w:pPr>
              <w:spacing w:after="0"/>
              <w:rPr>
                <w:sz w:val="19"/>
                <w:szCs w:val="19"/>
                <w:color w:val="auto"/>
              </w:rPr>
            </w:pPr>
          </w:p>
        </w:tc>
        <w:tc>
          <w:tcPr>
            <w:tcW w:w="760" w:type="dxa"/>
            <w:vAlign w:val="bottom"/>
            <w:shd w:val="clear" w:color="auto" w:fill="F1EFEC"/>
          </w:tcPr>
          <w:p>
            <w:pPr>
              <w:ind w:left="340"/>
              <w:spacing w:after="0"/>
              <w:rPr>
                <w:sz w:val="20"/>
                <w:szCs w:val="20"/>
                <w:color w:val="auto"/>
              </w:rPr>
            </w:pPr>
            <w:r>
              <w:rPr>
                <w:rFonts w:ascii="Arial" w:cs="Arial" w:eastAsia="Arial" w:hAnsi="Arial"/>
                <w:sz w:val="11"/>
                <w:szCs w:val="11"/>
                <w:color w:val="auto"/>
              </w:rPr>
              <w:t>X</w:t>
            </w:r>
          </w:p>
        </w:tc>
        <w:tc>
          <w:tcPr>
            <w:tcW w:w="960" w:type="dxa"/>
            <w:vAlign w:val="bottom"/>
            <w:shd w:val="clear" w:color="auto" w:fill="F1EFEC"/>
          </w:tcPr>
          <w:p>
            <w:pPr>
              <w:ind w:left="440"/>
              <w:spacing w:after="0"/>
              <w:rPr>
                <w:sz w:val="20"/>
                <w:szCs w:val="20"/>
                <w:color w:val="auto"/>
              </w:rPr>
            </w:pPr>
            <w:r>
              <w:rPr>
                <w:rFonts w:ascii="Arial" w:cs="Arial" w:eastAsia="Arial" w:hAnsi="Arial"/>
                <w:sz w:val="11"/>
                <w:szCs w:val="11"/>
                <w:color w:val="auto"/>
              </w:rPr>
              <w:t>X</w:t>
            </w:r>
          </w:p>
        </w:tc>
        <w:tc>
          <w:tcPr>
            <w:tcW w:w="640" w:type="dxa"/>
            <w:vAlign w:val="bottom"/>
            <w:shd w:val="clear" w:color="auto" w:fill="F1EFEC"/>
          </w:tcPr>
          <w:p>
            <w:pPr>
              <w:ind w:left="280"/>
              <w:spacing w:after="0"/>
              <w:rPr>
                <w:sz w:val="20"/>
                <w:szCs w:val="20"/>
                <w:color w:val="auto"/>
              </w:rPr>
            </w:pPr>
            <w:r>
              <w:rPr>
                <w:rFonts w:ascii="Arial" w:cs="Arial" w:eastAsia="Arial" w:hAnsi="Arial"/>
                <w:sz w:val="11"/>
                <w:szCs w:val="11"/>
                <w:color w:val="auto"/>
              </w:rPr>
              <w:t>X</w:t>
            </w:r>
          </w:p>
        </w:tc>
        <w:tc>
          <w:tcPr>
            <w:tcW w:w="700" w:type="dxa"/>
            <w:vAlign w:val="bottom"/>
            <w:shd w:val="clear" w:color="auto" w:fill="F1EFEC"/>
          </w:tcPr>
          <w:p>
            <w:pPr>
              <w:spacing w:after="0"/>
              <w:rPr>
                <w:sz w:val="19"/>
                <w:szCs w:val="19"/>
                <w:color w:val="auto"/>
              </w:rPr>
            </w:pPr>
          </w:p>
        </w:tc>
        <w:tc>
          <w:tcPr>
            <w:tcW w:w="580" w:type="dxa"/>
            <w:vAlign w:val="bottom"/>
            <w:shd w:val="clear" w:color="auto" w:fill="F1EFEC"/>
          </w:tcPr>
          <w:p>
            <w:pPr>
              <w:spacing w:after="0"/>
              <w:rPr>
                <w:sz w:val="19"/>
                <w:szCs w:val="19"/>
                <w:color w:val="auto"/>
              </w:rPr>
            </w:pP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Government, regulatory and public policy</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193"/>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experience enhances the Board’s risk oversight</w:t>
            </w:r>
          </w:p>
        </w:tc>
        <w:tc>
          <w:tcPr>
            <w:tcW w:w="700" w:type="dxa"/>
            <w:vAlign w:val="bottom"/>
            <w:shd w:val="clear" w:color="auto" w:fill="F1EFEC"/>
          </w:tcPr>
          <w:p>
            <w:pPr>
              <w:spacing w:after="0"/>
              <w:rPr>
                <w:sz w:val="16"/>
                <w:szCs w:val="16"/>
                <w:color w:val="auto"/>
              </w:rPr>
            </w:pPr>
          </w:p>
        </w:tc>
        <w:tc>
          <w:tcPr>
            <w:tcW w:w="800" w:type="dxa"/>
            <w:vAlign w:val="bottom"/>
            <w:shd w:val="clear" w:color="auto" w:fill="F1EFEC"/>
          </w:tcPr>
          <w:p>
            <w:pPr>
              <w:spacing w:after="0"/>
              <w:rPr>
                <w:sz w:val="16"/>
                <w:szCs w:val="16"/>
                <w:color w:val="auto"/>
              </w:rPr>
            </w:pPr>
          </w:p>
        </w:tc>
        <w:tc>
          <w:tcPr>
            <w:tcW w:w="660" w:type="dxa"/>
            <w:vAlign w:val="bottom"/>
            <w:shd w:val="clear" w:color="auto" w:fill="F1EFEC"/>
          </w:tcPr>
          <w:p>
            <w:pPr>
              <w:spacing w:after="0"/>
              <w:rPr>
                <w:sz w:val="16"/>
                <w:szCs w:val="16"/>
                <w:color w:val="auto"/>
              </w:rPr>
            </w:pPr>
          </w:p>
        </w:tc>
        <w:tc>
          <w:tcPr>
            <w:tcW w:w="420" w:type="dxa"/>
            <w:vAlign w:val="bottom"/>
            <w:shd w:val="clear" w:color="auto" w:fill="F1EFEC"/>
          </w:tcPr>
          <w:p>
            <w:pPr>
              <w:spacing w:after="0"/>
              <w:rPr>
                <w:sz w:val="16"/>
                <w:szCs w:val="16"/>
                <w:color w:val="auto"/>
              </w:rPr>
            </w:pPr>
          </w:p>
        </w:tc>
        <w:tc>
          <w:tcPr>
            <w:tcW w:w="760" w:type="dxa"/>
            <w:vAlign w:val="bottom"/>
            <w:shd w:val="clear" w:color="auto" w:fill="F1EFEC"/>
          </w:tcPr>
          <w:p>
            <w:pPr>
              <w:spacing w:after="0"/>
              <w:rPr>
                <w:sz w:val="16"/>
                <w:szCs w:val="16"/>
                <w:color w:val="auto"/>
              </w:rPr>
            </w:pPr>
          </w:p>
        </w:tc>
        <w:tc>
          <w:tcPr>
            <w:tcW w:w="960" w:type="dxa"/>
            <w:vAlign w:val="bottom"/>
            <w:shd w:val="clear" w:color="auto" w:fill="F1EFEC"/>
          </w:tcPr>
          <w:p>
            <w:pPr>
              <w:spacing w:after="0"/>
              <w:rPr>
                <w:sz w:val="16"/>
                <w:szCs w:val="16"/>
                <w:color w:val="auto"/>
              </w:rPr>
            </w:pPr>
          </w:p>
        </w:tc>
        <w:tc>
          <w:tcPr>
            <w:tcW w:w="640" w:type="dxa"/>
            <w:vAlign w:val="bottom"/>
            <w:shd w:val="clear" w:color="auto" w:fill="F1EFEC"/>
          </w:tcPr>
          <w:p>
            <w:pPr>
              <w:spacing w:after="0"/>
              <w:rPr>
                <w:sz w:val="16"/>
                <w:szCs w:val="16"/>
                <w:color w:val="auto"/>
              </w:rPr>
            </w:pPr>
          </w:p>
        </w:tc>
        <w:tc>
          <w:tcPr>
            <w:tcW w:w="700" w:type="dxa"/>
            <w:vAlign w:val="bottom"/>
            <w:shd w:val="clear" w:color="auto" w:fill="F1EFEC"/>
          </w:tcPr>
          <w:p>
            <w:pPr>
              <w:spacing w:after="0"/>
              <w:rPr>
                <w:sz w:val="16"/>
                <w:szCs w:val="16"/>
                <w:color w:val="auto"/>
              </w:rPr>
            </w:pPr>
          </w:p>
        </w:tc>
        <w:tc>
          <w:tcPr>
            <w:tcW w:w="580" w:type="dxa"/>
            <w:vAlign w:val="bottom"/>
            <w:shd w:val="clear" w:color="auto" w:fill="F1EFEC"/>
          </w:tcPr>
          <w:p>
            <w:pPr>
              <w:spacing w:after="0"/>
              <w:rPr>
                <w:sz w:val="16"/>
                <w:szCs w:val="16"/>
                <w:color w:val="auto"/>
              </w:rPr>
            </w:pP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of our business which operates within a highly</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193"/>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regulated industry</w:t>
            </w:r>
          </w:p>
        </w:tc>
        <w:tc>
          <w:tcPr>
            <w:tcW w:w="700" w:type="dxa"/>
            <w:vAlign w:val="bottom"/>
            <w:shd w:val="clear" w:color="auto" w:fill="F1EFEC"/>
          </w:tcPr>
          <w:p>
            <w:pPr>
              <w:spacing w:after="0"/>
              <w:rPr>
                <w:sz w:val="16"/>
                <w:szCs w:val="16"/>
                <w:color w:val="auto"/>
              </w:rPr>
            </w:pPr>
          </w:p>
        </w:tc>
        <w:tc>
          <w:tcPr>
            <w:tcW w:w="800" w:type="dxa"/>
            <w:vAlign w:val="bottom"/>
            <w:shd w:val="clear" w:color="auto" w:fill="F1EFEC"/>
          </w:tcPr>
          <w:p>
            <w:pPr>
              <w:spacing w:after="0"/>
              <w:rPr>
                <w:sz w:val="16"/>
                <w:szCs w:val="16"/>
                <w:color w:val="auto"/>
              </w:rPr>
            </w:pPr>
          </w:p>
        </w:tc>
        <w:tc>
          <w:tcPr>
            <w:tcW w:w="660" w:type="dxa"/>
            <w:vAlign w:val="bottom"/>
            <w:shd w:val="clear" w:color="auto" w:fill="F1EFEC"/>
          </w:tcPr>
          <w:p>
            <w:pPr>
              <w:spacing w:after="0"/>
              <w:rPr>
                <w:sz w:val="16"/>
                <w:szCs w:val="16"/>
                <w:color w:val="auto"/>
              </w:rPr>
            </w:pPr>
          </w:p>
        </w:tc>
        <w:tc>
          <w:tcPr>
            <w:tcW w:w="420" w:type="dxa"/>
            <w:vAlign w:val="bottom"/>
            <w:shd w:val="clear" w:color="auto" w:fill="F1EFEC"/>
          </w:tcPr>
          <w:p>
            <w:pPr>
              <w:spacing w:after="0"/>
              <w:rPr>
                <w:sz w:val="16"/>
                <w:szCs w:val="16"/>
                <w:color w:val="auto"/>
              </w:rPr>
            </w:pPr>
          </w:p>
        </w:tc>
        <w:tc>
          <w:tcPr>
            <w:tcW w:w="760" w:type="dxa"/>
            <w:vAlign w:val="bottom"/>
            <w:shd w:val="clear" w:color="auto" w:fill="F1EFEC"/>
          </w:tcPr>
          <w:p>
            <w:pPr>
              <w:spacing w:after="0"/>
              <w:rPr>
                <w:sz w:val="16"/>
                <w:szCs w:val="16"/>
                <w:color w:val="auto"/>
              </w:rPr>
            </w:pPr>
          </w:p>
        </w:tc>
        <w:tc>
          <w:tcPr>
            <w:tcW w:w="960" w:type="dxa"/>
            <w:vAlign w:val="bottom"/>
            <w:shd w:val="clear" w:color="auto" w:fill="F1EFEC"/>
          </w:tcPr>
          <w:p>
            <w:pPr>
              <w:spacing w:after="0"/>
              <w:rPr>
                <w:sz w:val="16"/>
                <w:szCs w:val="16"/>
                <w:color w:val="auto"/>
              </w:rPr>
            </w:pPr>
          </w:p>
        </w:tc>
        <w:tc>
          <w:tcPr>
            <w:tcW w:w="640" w:type="dxa"/>
            <w:vAlign w:val="bottom"/>
            <w:shd w:val="clear" w:color="auto" w:fill="F1EFEC"/>
          </w:tcPr>
          <w:p>
            <w:pPr>
              <w:spacing w:after="0"/>
              <w:rPr>
                <w:sz w:val="16"/>
                <w:szCs w:val="16"/>
                <w:color w:val="auto"/>
              </w:rPr>
            </w:pPr>
          </w:p>
        </w:tc>
        <w:tc>
          <w:tcPr>
            <w:tcW w:w="700" w:type="dxa"/>
            <w:vAlign w:val="bottom"/>
            <w:shd w:val="clear" w:color="auto" w:fill="F1EFEC"/>
          </w:tcPr>
          <w:p>
            <w:pPr>
              <w:spacing w:after="0"/>
              <w:rPr>
                <w:sz w:val="16"/>
                <w:szCs w:val="16"/>
                <w:color w:val="auto"/>
              </w:rPr>
            </w:pPr>
          </w:p>
        </w:tc>
        <w:tc>
          <w:tcPr>
            <w:tcW w:w="580" w:type="dxa"/>
            <w:vAlign w:val="bottom"/>
            <w:shd w:val="clear" w:color="auto" w:fill="F1EFEC"/>
          </w:tcPr>
          <w:p>
            <w:pPr>
              <w:spacing w:after="0"/>
              <w:rPr>
                <w:sz w:val="16"/>
                <w:szCs w:val="16"/>
                <w:color w:val="auto"/>
              </w:rPr>
            </w:pPr>
          </w:p>
        </w:tc>
      </w:tr>
      <w:tr>
        <w:trPr>
          <w:trHeight w:val="93"/>
        </w:trPr>
        <w:tc>
          <w:tcPr>
            <w:tcW w:w="2520" w:type="dxa"/>
            <w:vAlign w:val="bottom"/>
            <w:shd w:val="clear" w:color="auto" w:fill="F1EFEC"/>
          </w:tcPr>
          <w:p>
            <w:pPr>
              <w:spacing w:after="0"/>
              <w:rPr>
                <w:sz w:val="8"/>
                <w:szCs w:val="8"/>
                <w:color w:val="auto"/>
              </w:rPr>
            </w:pPr>
          </w:p>
        </w:tc>
        <w:tc>
          <w:tcPr>
            <w:tcW w:w="700" w:type="dxa"/>
            <w:vAlign w:val="bottom"/>
            <w:shd w:val="clear" w:color="auto" w:fill="F1EFEC"/>
          </w:tcPr>
          <w:p>
            <w:pPr>
              <w:spacing w:after="0"/>
              <w:rPr>
                <w:sz w:val="8"/>
                <w:szCs w:val="8"/>
                <w:color w:val="auto"/>
              </w:rPr>
            </w:pPr>
          </w:p>
        </w:tc>
        <w:tc>
          <w:tcPr>
            <w:tcW w:w="800" w:type="dxa"/>
            <w:vAlign w:val="bottom"/>
            <w:shd w:val="clear" w:color="auto" w:fill="F1EFEC"/>
          </w:tcPr>
          <w:p>
            <w:pPr>
              <w:spacing w:after="0"/>
              <w:rPr>
                <w:sz w:val="8"/>
                <w:szCs w:val="8"/>
                <w:color w:val="auto"/>
              </w:rPr>
            </w:pPr>
          </w:p>
        </w:tc>
        <w:tc>
          <w:tcPr>
            <w:tcW w:w="660" w:type="dxa"/>
            <w:vAlign w:val="bottom"/>
            <w:shd w:val="clear" w:color="auto" w:fill="F1EFEC"/>
          </w:tcPr>
          <w:p>
            <w:pPr>
              <w:spacing w:after="0"/>
              <w:rPr>
                <w:sz w:val="8"/>
                <w:szCs w:val="8"/>
                <w:color w:val="auto"/>
              </w:rPr>
            </w:pPr>
          </w:p>
        </w:tc>
        <w:tc>
          <w:tcPr>
            <w:tcW w:w="420" w:type="dxa"/>
            <w:vAlign w:val="bottom"/>
            <w:shd w:val="clear" w:color="auto" w:fill="F1EFEC"/>
          </w:tcPr>
          <w:p>
            <w:pPr>
              <w:spacing w:after="0"/>
              <w:rPr>
                <w:sz w:val="8"/>
                <w:szCs w:val="8"/>
                <w:color w:val="auto"/>
              </w:rPr>
            </w:pPr>
          </w:p>
        </w:tc>
        <w:tc>
          <w:tcPr>
            <w:tcW w:w="760" w:type="dxa"/>
            <w:vAlign w:val="bottom"/>
            <w:shd w:val="clear" w:color="auto" w:fill="F1EFEC"/>
          </w:tcPr>
          <w:p>
            <w:pPr>
              <w:spacing w:after="0"/>
              <w:rPr>
                <w:sz w:val="8"/>
                <w:szCs w:val="8"/>
                <w:color w:val="auto"/>
              </w:rPr>
            </w:pPr>
          </w:p>
        </w:tc>
        <w:tc>
          <w:tcPr>
            <w:tcW w:w="960" w:type="dxa"/>
            <w:vAlign w:val="bottom"/>
            <w:shd w:val="clear" w:color="auto" w:fill="F1EFEC"/>
          </w:tcPr>
          <w:p>
            <w:pPr>
              <w:spacing w:after="0"/>
              <w:rPr>
                <w:sz w:val="8"/>
                <w:szCs w:val="8"/>
                <w:color w:val="auto"/>
              </w:rPr>
            </w:pPr>
          </w:p>
        </w:tc>
        <w:tc>
          <w:tcPr>
            <w:tcW w:w="640" w:type="dxa"/>
            <w:vAlign w:val="bottom"/>
            <w:shd w:val="clear" w:color="auto" w:fill="F1EFEC"/>
          </w:tcPr>
          <w:p>
            <w:pPr>
              <w:spacing w:after="0"/>
              <w:rPr>
                <w:sz w:val="8"/>
                <w:szCs w:val="8"/>
                <w:color w:val="auto"/>
              </w:rPr>
            </w:pPr>
          </w:p>
        </w:tc>
        <w:tc>
          <w:tcPr>
            <w:tcW w:w="700" w:type="dxa"/>
            <w:vAlign w:val="bottom"/>
            <w:shd w:val="clear" w:color="auto" w:fill="F1EFEC"/>
          </w:tcPr>
          <w:p>
            <w:pPr>
              <w:spacing w:after="0"/>
              <w:rPr>
                <w:sz w:val="8"/>
                <w:szCs w:val="8"/>
                <w:color w:val="auto"/>
              </w:rPr>
            </w:pPr>
          </w:p>
        </w:tc>
        <w:tc>
          <w:tcPr>
            <w:tcW w:w="580" w:type="dxa"/>
            <w:vAlign w:val="bottom"/>
            <w:shd w:val="clear" w:color="auto" w:fill="F1EFEC"/>
          </w:tcPr>
          <w:p>
            <w:pPr>
              <w:spacing w:after="0"/>
              <w:rPr>
                <w:sz w:val="8"/>
                <w:szCs w:val="8"/>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1"/>
                <w:szCs w:val="11"/>
                <w:color w:val="auto"/>
              </w:rPr>
              <w:t>TRAVEL, LEISURE, HOSPITALITY &amp;</w:t>
            </w:r>
          </w:p>
        </w:tc>
        <w:tc>
          <w:tcPr>
            <w:tcW w:w="700" w:type="dxa"/>
            <w:vAlign w:val="bottom"/>
          </w:tcPr>
          <w:p>
            <w:pPr>
              <w:ind w:left="320"/>
              <w:spacing w:after="0"/>
              <w:rPr>
                <w:sz w:val="20"/>
                <w:szCs w:val="20"/>
                <w:color w:val="auto"/>
              </w:rPr>
            </w:pPr>
            <w:r>
              <w:rPr>
                <w:rFonts w:ascii="Arial" w:cs="Arial" w:eastAsia="Arial" w:hAnsi="Arial"/>
                <w:sz w:val="11"/>
                <w:szCs w:val="11"/>
                <w:color w:val="auto"/>
              </w:rPr>
              <w:t>X</w:t>
            </w:r>
          </w:p>
        </w:tc>
        <w:tc>
          <w:tcPr>
            <w:tcW w:w="800" w:type="dxa"/>
            <w:vAlign w:val="bottom"/>
          </w:tcPr>
          <w:p>
            <w:pPr>
              <w:ind w:left="380"/>
              <w:spacing w:after="0"/>
              <w:rPr>
                <w:sz w:val="20"/>
                <w:szCs w:val="20"/>
                <w:color w:val="auto"/>
              </w:rPr>
            </w:pPr>
            <w:r>
              <w:rPr>
                <w:rFonts w:ascii="Arial" w:cs="Arial" w:eastAsia="Arial" w:hAnsi="Arial"/>
                <w:sz w:val="11"/>
                <w:szCs w:val="11"/>
                <w:color w:val="auto"/>
              </w:rPr>
              <w:t>X</w:t>
            </w:r>
          </w:p>
        </w:tc>
        <w:tc>
          <w:tcPr>
            <w:tcW w:w="660" w:type="dxa"/>
            <w:vAlign w:val="bottom"/>
          </w:tcPr>
          <w:p>
            <w:pPr>
              <w:spacing w:after="0"/>
              <w:rPr>
                <w:sz w:val="19"/>
                <w:szCs w:val="19"/>
                <w:color w:val="auto"/>
              </w:rPr>
            </w:pPr>
          </w:p>
        </w:tc>
        <w:tc>
          <w:tcPr>
            <w:tcW w:w="420" w:type="dxa"/>
            <w:vAlign w:val="bottom"/>
          </w:tcPr>
          <w:p>
            <w:pPr>
              <w:ind w:left="200"/>
              <w:spacing w:after="0"/>
              <w:rPr>
                <w:sz w:val="20"/>
                <w:szCs w:val="20"/>
                <w:color w:val="auto"/>
              </w:rPr>
            </w:pPr>
            <w:r>
              <w:rPr>
                <w:rFonts w:ascii="Arial" w:cs="Arial" w:eastAsia="Arial" w:hAnsi="Arial"/>
                <w:sz w:val="11"/>
                <w:szCs w:val="11"/>
                <w:color w:val="auto"/>
              </w:rPr>
              <w:t>X</w:t>
            </w:r>
          </w:p>
        </w:tc>
        <w:tc>
          <w:tcPr>
            <w:tcW w:w="760" w:type="dxa"/>
            <w:vAlign w:val="bottom"/>
          </w:tcPr>
          <w:p>
            <w:pPr>
              <w:spacing w:after="0"/>
              <w:rPr>
                <w:sz w:val="19"/>
                <w:szCs w:val="19"/>
                <w:color w:val="auto"/>
              </w:rPr>
            </w:pPr>
          </w:p>
        </w:tc>
        <w:tc>
          <w:tcPr>
            <w:tcW w:w="960" w:type="dxa"/>
            <w:vAlign w:val="bottom"/>
          </w:tcPr>
          <w:p>
            <w:pPr>
              <w:ind w:left="440"/>
              <w:spacing w:after="0"/>
              <w:rPr>
                <w:sz w:val="20"/>
                <w:szCs w:val="20"/>
                <w:color w:val="auto"/>
              </w:rPr>
            </w:pPr>
            <w:r>
              <w:rPr>
                <w:rFonts w:ascii="Arial" w:cs="Arial" w:eastAsia="Arial" w:hAnsi="Arial"/>
                <w:sz w:val="11"/>
                <w:szCs w:val="11"/>
                <w:color w:val="auto"/>
              </w:rPr>
              <w:t>X</w:t>
            </w:r>
          </w:p>
        </w:tc>
        <w:tc>
          <w:tcPr>
            <w:tcW w:w="640" w:type="dxa"/>
            <w:vAlign w:val="bottom"/>
          </w:tcPr>
          <w:p>
            <w:pPr>
              <w:ind w:left="280"/>
              <w:spacing w:after="0"/>
              <w:rPr>
                <w:sz w:val="20"/>
                <w:szCs w:val="20"/>
                <w:color w:val="auto"/>
              </w:rPr>
            </w:pPr>
            <w:r>
              <w:rPr>
                <w:rFonts w:ascii="Arial" w:cs="Arial" w:eastAsia="Arial" w:hAnsi="Arial"/>
                <w:sz w:val="11"/>
                <w:szCs w:val="11"/>
                <w:color w:val="auto"/>
              </w:rPr>
              <w:t>X</w:t>
            </w:r>
          </w:p>
        </w:tc>
        <w:tc>
          <w:tcPr>
            <w:tcW w:w="700" w:type="dxa"/>
            <w:vAlign w:val="bottom"/>
          </w:tcPr>
          <w:p>
            <w:pPr>
              <w:ind w:left="320"/>
              <w:spacing w:after="0"/>
              <w:rPr>
                <w:sz w:val="20"/>
                <w:szCs w:val="20"/>
                <w:color w:val="auto"/>
              </w:rPr>
            </w:pPr>
            <w:r>
              <w:rPr>
                <w:rFonts w:ascii="Arial" w:cs="Arial" w:eastAsia="Arial" w:hAnsi="Arial"/>
                <w:sz w:val="11"/>
                <w:szCs w:val="11"/>
                <w:color w:val="auto"/>
              </w:rPr>
              <w:t>X</w:t>
            </w:r>
          </w:p>
        </w:tc>
        <w:tc>
          <w:tcPr>
            <w:tcW w:w="580" w:type="dxa"/>
            <w:vAlign w:val="bottom"/>
          </w:tcPr>
          <w:p>
            <w:pPr>
              <w:ind w:left="260"/>
              <w:spacing w:after="0"/>
              <w:rPr>
                <w:sz w:val="20"/>
                <w:szCs w:val="20"/>
                <w:color w:val="auto"/>
              </w:rPr>
            </w:pPr>
            <w:r>
              <w:rPr>
                <w:rFonts w:ascii="Arial" w:cs="Arial" w:eastAsia="Arial" w:hAnsi="Arial"/>
                <w:sz w:val="11"/>
                <w:szCs w:val="11"/>
                <w:color w:val="auto"/>
              </w:rPr>
              <w:t>X</w:t>
            </w:r>
          </w:p>
        </w:tc>
      </w:tr>
      <w:tr>
        <w:trPr>
          <w:trHeight w:val="204"/>
        </w:trPr>
        <w:tc>
          <w:tcPr>
            <w:tcW w:w="2520" w:type="dxa"/>
            <w:vAlign w:val="bottom"/>
          </w:tcPr>
          <w:p>
            <w:pPr>
              <w:ind w:left="40"/>
              <w:spacing w:after="0"/>
              <w:rPr>
                <w:sz w:val="20"/>
                <w:szCs w:val="20"/>
                <w:color w:val="auto"/>
              </w:rPr>
            </w:pPr>
            <w:r>
              <w:rPr>
                <w:rFonts w:ascii="Arial" w:cs="Arial" w:eastAsia="Arial" w:hAnsi="Arial"/>
                <w:sz w:val="11"/>
                <w:szCs w:val="11"/>
                <w:color w:val="auto"/>
              </w:rPr>
              <w:t>ENTERTAINMENT</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3"/>
        </w:trPr>
        <w:tc>
          <w:tcPr>
            <w:tcW w:w="2520" w:type="dxa"/>
            <w:vAlign w:val="bottom"/>
          </w:tcPr>
          <w:p>
            <w:pPr>
              <w:ind w:left="40"/>
              <w:spacing w:after="0"/>
              <w:rPr>
                <w:sz w:val="20"/>
                <w:szCs w:val="20"/>
                <w:color w:val="auto"/>
              </w:rPr>
            </w:pPr>
            <w:r>
              <w:rPr>
                <w:rFonts w:ascii="Arial" w:cs="Arial" w:eastAsia="Arial" w:hAnsi="Arial"/>
                <w:sz w:val="11"/>
                <w:szCs w:val="11"/>
                <w:color w:val="auto"/>
              </w:rPr>
              <w:t>Experience in a customer-centric industry is key</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4"/>
        </w:trPr>
        <w:tc>
          <w:tcPr>
            <w:tcW w:w="2520" w:type="dxa"/>
            <w:vAlign w:val="bottom"/>
          </w:tcPr>
          <w:p>
            <w:pPr>
              <w:ind w:left="40"/>
              <w:spacing w:after="0"/>
              <w:rPr>
                <w:sz w:val="20"/>
                <w:szCs w:val="20"/>
                <w:color w:val="auto"/>
              </w:rPr>
            </w:pPr>
            <w:r>
              <w:rPr>
                <w:rFonts w:ascii="Arial" w:cs="Arial" w:eastAsia="Arial" w:hAnsi="Arial"/>
                <w:sz w:val="11"/>
                <w:szCs w:val="11"/>
                <w:color w:val="auto"/>
              </w:rPr>
              <w:t>to the Board’s ability to understand consumer</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3"/>
        </w:trPr>
        <w:tc>
          <w:tcPr>
            <w:tcW w:w="2520" w:type="dxa"/>
            <w:vAlign w:val="bottom"/>
          </w:tcPr>
          <w:p>
            <w:pPr>
              <w:ind w:left="40"/>
              <w:spacing w:after="0"/>
              <w:rPr>
                <w:sz w:val="20"/>
                <w:szCs w:val="20"/>
                <w:color w:val="auto"/>
              </w:rPr>
            </w:pPr>
            <w:r>
              <w:rPr>
                <w:rFonts w:ascii="Arial" w:cs="Arial" w:eastAsia="Arial" w:hAnsi="Arial"/>
                <w:sz w:val="11"/>
                <w:szCs w:val="11"/>
                <w:color w:val="auto"/>
              </w:rPr>
              <w:t>needs and identify changes in consumer trends</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93"/>
        </w:trPr>
        <w:tc>
          <w:tcPr>
            <w:tcW w:w="2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29"/>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EXECUTIVE LEADERSHIP</w:t>
            </w:r>
          </w:p>
        </w:tc>
        <w:tc>
          <w:tcPr>
            <w:tcW w:w="700" w:type="dxa"/>
            <w:vAlign w:val="bottom"/>
            <w:shd w:val="clear" w:color="auto" w:fill="F1EFEC"/>
          </w:tcPr>
          <w:p>
            <w:pPr>
              <w:ind w:left="320"/>
              <w:spacing w:after="0"/>
              <w:rPr>
                <w:sz w:val="20"/>
                <w:szCs w:val="20"/>
                <w:color w:val="auto"/>
              </w:rPr>
            </w:pPr>
            <w:r>
              <w:rPr>
                <w:rFonts w:ascii="Arial" w:cs="Arial" w:eastAsia="Arial" w:hAnsi="Arial"/>
                <w:sz w:val="11"/>
                <w:szCs w:val="11"/>
                <w:color w:val="auto"/>
              </w:rPr>
              <w:t>X</w:t>
            </w:r>
          </w:p>
        </w:tc>
        <w:tc>
          <w:tcPr>
            <w:tcW w:w="800" w:type="dxa"/>
            <w:vAlign w:val="bottom"/>
            <w:shd w:val="clear" w:color="auto" w:fill="F1EFEC"/>
          </w:tcPr>
          <w:p>
            <w:pPr>
              <w:ind w:left="380"/>
              <w:spacing w:after="0"/>
              <w:rPr>
                <w:sz w:val="20"/>
                <w:szCs w:val="20"/>
                <w:color w:val="auto"/>
              </w:rPr>
            </w:pPr>
            <w:r>
              <w:rPr>
                <w:rFonts w:ascii="Arial" w:cs="Arial" w:eastAsia="Arial" w:hAnsi="Arial"/>
                <w:sz w:val="11"/>
                <w:szCs w:val="11"/>
                <w:color w:val="auto"/>
              </w:rPr>
              <w:t>X</w:t>
            </w:r>
          </w:p>
        </w:tc>
        <w:tc>
          <w:tcPr>
            <w:tcW w:w="660" w:type="dxa"/>
            <w:vAlign w:val="bottom"/>
            <w:shd w:val="clear" w:color="auto" w:fill="F1EFEC"/>
          </w:tcPr>
          <w:p>
            <w:pPr>
              <w:ind w:left="300"/>
              <w:spacing w:after="0"/>
              <w:rPr>
                <w:sz w:val="20"/>
                <w:szCs w:val="20"/>
                <w:color w:val="auto"/>
              </w:rPr>
            </w:pPr>
            <w:r>
              <w:rPr>
                <w:rFonts w:ascii="Arial" w:cs="Arial" w:eastAsia="Arial" w:hAnsi="Arial"/>
                <w:sz w:val="11"/>
                <w:szCs w:val="11"/>
                <w:color w:val="auto"/>
              </w:rPr>
              <w:t>X</w:t>
            </w:r>
          </w:p>
        </w:tc>
        <w:tc>
          <w:tcPr>
            <w:tcW w:w="420" w:type="dxa"/>
            <w:vAlign w:val="bottom"/>
            <w:shd w:val="clear" w:color="auto" w:fill="F1EFEC"/>
          </w:tcPr>
          <w:p>
            <w:pPr>
              <w:spacing w:after="0"/>
              <w:rPr>
                <w:sz w:val="19"/>
                <w:szCs w:val="19"/>
                <w:color w:val="auto"/>
              </w:rPr>
            </w:pPr>
          </w:p>
        </w:tc>
        <w:tc>
          <w:tcPr>
            <w:tcW w:w="760" w:type="dxa"/>
            <w:vAlign w:val="bottom"/>
            <w:shd w:val="clear" w:color="auto" w:fill="F1EFEC"/>
          </w:tcPr>
          <w:p>
            <w:pPr>
              <w:spacing w:after="0"/>
              <w:rPr>
                <w:sz w:val="19"/>
                <w:szCs w:val="19"/>
                <w:color w:val="auto"/>
              </w:rPr>
            </w:pPr>
          </w:p>
        </w:tc>
        <w:tc>
          <w:tcPr>
            <w:tcW w:w="960" w:type="dxa"/>
            <w:vAlign w:val="bottom"/>
            <w:shd w:val="clear" w:color="auto" w:fill="F1EFEC"/>
          </w:tcPr>
          <w:p>
            <w:pPr>
              <w:ind w:left="440"/>
              <w:spacing w:after="0"/>
              <w:rPr>
                <w:sz w:val="20"/>
                <w:szCs w:val="20"/>
                <w:color w:val="auto"/>
              </w:rPr>
            </w:pPr>
            <w:r>
              <w:rPr>
                <w:rFonts w:ascii="Arial" w:cs="Arial" w:eastAsia="Arial" w:hAnsi="Arial"/>
                <w:sz w:val="11"/>
                <w:szCs w:val="11"/>
                <w:color w:val="auto"/>
              </w:rPr>
              <w:t>X</w:t>
            </w:r>
          </w:p>
        </w:tc>
        <w:tc>
          <w:tcPr>
            <w:tcW w:w="640" w:type="dxa"/>
            <w:vAlign w:val="bottom"/>
            <w:shd w:val="clear" w:color="auto" w:fill="F1EFEC"/>
          </w:tcPr>
          <w:p>
            <w:pPr>
              <w:ind w:left="280"/>
              <w:spacing w:after="0"/>
              <w:rPr>
                <w:sz w:val="20"/>
                <w:szCs w:val="20"/>
                <w:color w:val="auto"/>
              </w:rPr>
            </w:pPr>
            <w:r>
              <w:rPr>
                <w:rFonts w:ascii="Arial" w:cs="Arial" w:eastAsia="Arial" w:hAnsi="Arial"/>
                <w:sz w:val="11"/>
                <w:szCs w:val="11"/>
                <w:color w:val="auto"/>
              </w:rPr>
              <w:t>X</w:t>
            </w:r>
          </w:p>
        </w:tc>
        <w:tc>
          <w:tcPr>
            <w:tcW w:w="700" w:type="dxa"/>
            <w:vAlign w:val="bottom"/>
            <w:shd w:val="clear" w:color="auto" w:fill="F1EFEC"/>
          </w:tcPr>
          <w:p>
            <w:pPr>
              <w:spacing w:after="0"/>
              <w:rPr>
                <w:sz w:val="19"/>
                <w:szCs w:val="19"/>
                <w:color w:val="auto"/>
              </w:rPr>
            </w:pPr>
          </w:p>
        </w:tc>
        <w:tc>
          <w:tcPr>
            <w:tcW w:w="580" w:type="dxa"/>
            <w:vAlign w:val="bottom"/>
            <w:shd w:val="clear" w:color="auto" w:fill="F1EFEC"/>
          </w:tcPr>
          <w:p>
            <w:pPr>
              <w:ind w:left="260"/>
              <w:spacing w:after="0"/>
              <w:rPr>
                <w:sz w:val="20"/>
                <w:szCs w:val="20"/>
                <w:color w:val="auto"/>
              </w:rPr>
            </w:pPr>
            <w:r>
              <w:rPr>
                <w:rFonts w:ascii="Arial" w:cs="Arial" w:eastAsia="Arial" w:hAnsi="Arial"/>
                <w:sz w:val="11"/>
                <w:szCs w:val="11"/>
                <w:color w:val="auto"/>
              </w:rPr>
              <w:t>X</w:t>
            </w: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Experience as a public company executive</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193"/>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empowers the Board’s oversight of our growth</w:t>
            </w:r>
          </w:p>
        </w:tc>
        <w:tc>
          <w:tcPr>
            <w:tcW w:w="700" w:type="dxa"/>
            <w:vAlign w:val="bottom"/>
            <w:shd w:val="clear" w:color="auto" w:fill="F1EFEC"/>
          </w:tcPr>
          <w:p>
            <w:pPr>
              <w:spacing w:after="0"/>
              <w:rPr>
                <w:sz w:val="16"/>
                <w:szCs w:val="16"/>
                <w:color w:val="auto"/>
              </w:rPr>
            </w:pPr>
          </w:p>
        </w:tc>
        <w:tc>
          <w:tcPr>
            <w:tcW w:w="800" w:type="dxa"/>
            <w:vAlign w:val="bottom"/>
            <w:shd w:val="clear" w:color="auto" w:fill="F1EFEC"/>
          </w:tcPr>
          <w:p>
            <w:pPr>
              <w:spacing w:after="0"/>
              <w:rPr>
                <w:sz w:val="16"/>
                <w:szCs w:val="16"/>
                <w:color w:val="auto"/>
              </w:rPr>
            </w:pPr>
          </w:p>
        </w:tc>
        <w:tc>
          <w:tcPr>
            <w:tcW w:w="660" w:type="dxa"/>
            <w:vAlign w:val="bottom"/>
            <w:shd w:val="clear" w:color="auto" w:fill="F1EFEC"/>
          </w:tcPr>
          <w:p>
            <w:pPr>
              <w:spacing w:after="0"/>
              <w:rPr>
                <w:sz w:val="16"/>
                <w:szCs w:val="16"/>
                <w:color w:val="auto"/>
              </w:rPr>
            </w:pPr>
          </w:p>
        </w:tc>
        <w:tc>
          <w:tcPr>
            <w:tcW w:w="420" w:type="dxa"/>
            <w:vAlign w:val="bottom"/>
            <w:shd w:val="clear" w:color="auto" w:fill="F1EFEC"/>
          </w:tcPr>
          <w:p>
            <w:pPr>
              <w:spacing w:after="0"/>
              <w:rPr>
                <w:sz w:val="16"/>
                <w:szCs w:val="16"/>
                <w:color w:val="auto"/>
              </w:rPr>
            </w:pPr>
          </w:p>
        </w:tc>
        <w:tc>
          <w:tcPr>
            <w:tcW w:w="760" w:type="dxa"/>
            <w:vAlign w:val="bottom"/>
            <w:shd w:val="clear" w:color="auto" w:fill="F1EFEC"/>
          </w:tcPr>
          <w:p>
            <w:pPr>
              <w:spacing w:after="0"/>
              <w:rPr>
                <w:sz w:val="16"/>
                <w:szCs w:val="16"/>
                <w:color w:val="auto"/>
              </w:rPr>
            </w:pPr>
          </w:p>
        </w:tc>
        <w:tc>
          <w:tcPr>
            <w:tcW w:w="960" w:type="dxa"/>
            <w:vAlign w:val="bottom"/>
            <w:shd w:val="clear" w:color="auto" w:fill="F1EFEC"/>
          </w:tcPr>
          <w:p>
            <w:pPr>
              <w:spacing w:after="0"/>
              <w:rPr>
                <w:sz w:val="16"/>
                <w:szCs w:val="16"/>
                <w:color w:val="auto"/>
              </w:rPr>
            </w:pPr>
          </w:p>
        </w:tc>
        <w:tc>
          <w:tcPr>
            <w:tcW w:w="640" w:type="dxa"/>
            <w:vAlign w:val="bottom"/>
            <w:shd w:val="clear" w:color="auto" w:fill="F1EFEC"/>
          </w:tcPr>
          <w:p>
            <w:pPr>
              <w:spacing w:after="0"/>
              <w:rPr>
                <w:sz w:val="16"/>
                <w:szCs w:val="16"/>
                <w:color w:val="auto"/>
              </w:rPr>
            </w:pPr>
          </w:p>
        </w:tc>
        <w:tc>
          <w:tcPr>
            <w:tcW w:w="700" w:type="dxa"/>
            <w:vAlign w:val="bottom"/>
            <w:shd w:val="clear" w:color="auto" w:fill="F1EFEC"/>
          </w:tcPr>
          <w:p>
            <w:pPr>
              <w:spacing w:after="0"/>
              <w:rPr>
                <w:sz w:val="16"/>
                <w:szCs w:val="16"/>
                <w:color w:val="auto"/>
              </w:rPr>
            </w:pPr>
          </w:p>
        </w:tc>
        <w:tc>
          <w:tcPr>
            <w:tcW w:w="580" w:type="dxa"/>
            <w:vAlign w:val="bottom"/>
            <w:shd w:val="clear" w:color="auto" w:fill="F1EFEC"/>
          </w:tcPr>
          <w:p>
            <w:pPr>
              <w:spacing w:after="0"/>
              <w:rPr>
                <w:sz w:val="16"/>
                <w:szCs w:val="16"/>
                <w:color w:val="auto"/>
              </w:rPr>
            </w:pP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strategies and operating plans</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82"/>
        </w:trPr>
        <w:tc>
          <w:tcPr>
            <w:tcW w:w="2520" w:type="dxa"/>
            <w:vAlign w:val="bottom"/>
            <w:shd w:val="clear" w:color="auto" w:fill="F1EFEC"/>
          </w:tcPr>
          <w:p>
            <w:pPr>
              <w:spacing w:after="0"/>
              <w:rPr>
                <w:sz w:val="7"/>
                <w:szCs w:val="7"/>
                <w:color w:val="auto"/>
              </w:rPr>
            </w:pPr>
          </w:p>
        </w:tc>
        <w:tc>
          <w:tcPr>
            <w:tcW w:w="700" w:type="dxa"/>
            <w:vAlign w:val="bottom"/>
            <w:shd w:val="clear" w:color="auto" w:fill="F1EFEC"/>
          </w:tcPr>
          <w:p>
            <w:pPr>
              <w:spacing w:after="0"/>
              <w:rPr>
                <w:sz w:val="7"/>
                <w:szCs w:val="7"/>
                <w:color w:val="auto"/>
              </w:rPr>
            </w:pPr>
          </w:p>
        </w:tc>
        <w:tc>
          <w:tcPr>
            <w:tcW w:w="800" w:type="dxa"/>
            <w:vAlign w:val="bottom"/>
            <w:shd w:val="clear" w:color="auto" w:fill="F1EFEC"/>
          </w:tcPr>
          <w:p>
            <w:pPr>
              <w:spacing w:after="0"/>
              <w:rPr>
                <w:sz w:val="7"/>
                <w:szCs w:val="7"/>
                <w:color w:val="auto"/>
              </w:rPr>
            </w:pPr>
          </w:p>
        </w:tc>
        <w:tc>
          <w:tcPr>
            <w:tcW w:w="660" w:type="dxa"/>
            <w:vAlign w:val="bottom"/>
            <w:shd w:val="clear" w:color="auto" w:fill="F1EFEC"/>
          </w:tcPr>
          <w:p>
            <w:pPr>
              <w:spacing w:after="0"/>
              <w:rPr>
                <w:sz w:val="7"/>
                <w:szCs w:val="7"/>
                <w:color w:val="auto"/>
              </w:rPr>
            </w:pPr>
          </w:p>
        </w:tc>
        <w:tc>
          <w:tcPr>
            <w:tcW w:w="420" w:type="dxa"/>
            <w:vAlign w:val="bottom"/>
            <w:shd w:val="clear" w:color="auto" w:fill="F1EFEC"/>
          </w:tcPr>
          <w:p>
            <w:pPr>
              <w:spacing w:after="0"/>
              <w:rPr>
                <w:sz w:val="7"/>
                <w:szCs w:val="7"/>
                <w:color w:val="auto"/>
              </w:rPr>
            </w:pPr>
          </w:p>
        </w:tc>
        <w:tc>
          <w:tcPr>
            <w:tcW w:w="760" w:type="dxa"/>
            <w:vAlign w:val="bottom"/>
            <w:shd w:val="clear" w:color="auto" w:fill="F1EFEC"/>
          </w:tcPr>
          <w:p>
            <w:pPr>
              <w:spacing w:after="0"/>
              <w:rPr>
                <w:sz w:val="7"/>
                <w:szCs w:val="7"/>
                <w:color w:val="auto"/>
              </w:rPr>
            </w:pPr>
          </w:p>
        </w:tc>
        <w:tc>
          <w:tcPr>
            <w:tcW w:w="960" w:type="dxa"/>
            <w:vAlign w:val="bottom"/>
            <w:shd w:val="clear" w:color="auto" w:fill="F1EFEC"/>
          </w:tcPr>
          <w:p>
            <w:pPr>
              <w:spacing w:after="0"/>
              <w:rPr>
                <w:sz w:val="7"/>
                <w:szCs w:val="7"/>
                <w:color w:val="auto"/>
              </w:rPr>
            </w:pPr>
          </w:p>
        </w:tc>
        <w:tc>
          <w:tcPr>
            <w:tcW w:w="640" w:type="dxa"/>
            <w:vAlign w:val="bottom"/>
            <w:shd w:val="clear" w:color="auto" w:fill="F1EFEC"/>
          </w:tcPr>
          <w:p>
            <w:pPr>
              <w:spacing w:after="0"/>
              <w:rPr>
                <w:sz w:val="7"/>
                <w:szCs w:val="7"/>
                <w:color w:val="auto"/>
              </w:rPr>
            </w:pPr>
          </w:p>
        </w:tc>
        <w:tc>
          <w:tcPr>
            <w:tcW w:w="700" w:type="dxa"/>
            <w:vAlign w:val="bottom"/>
            <w:shd w:val="clear" w:color="auto" w:fill="F1EFEC"/>
          </w:tcPr>
          <w:p>
            <w:pPr>
              <w:spacing w:after="0"/>
              <w:rPr>
                <w:sz w:val="7"/>
                <w:szCs w:val="7"/>
                <w:color w:val="auto"/>
              </w:rPr>
            </w:pPr>
          </w:p>
        </w:tc>
        <w:tc>
          <w:tcPr>
            <w:tcW w:w="580" w:type="dxa"/>
            <w:vAlign w:val="bottom"/>
            <w:shd w:val="clear" w:color="auto" w:fill="F1EFEC"/>
          </w:tcPr>
          <w:p>
            <w:pPr>
              <w:spacing w:after="0"/>
              <w:rPr>
                <w:sz w:val="7"/>
                <w:szCs w:val="7"/>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1"/>
                <w:szCs w:val="11"/>
                <w:color w:val="auto"/>
              </w:rPr>
              <w:t>OUTSIDE PUBLIC BOARDS</w:t>
            </w:r>
          </w:p>
        </w:tc>
        <w:tc>
          <w:tcPr>
            <w:tcW w:w="700" w:type="dxa"/>
            <w:vAlign w:val="bottom"/>
          </w:tcPr>
          <w:p>
            <w:pPr>
              <w:ind w:left="320"/>
              <w:spacing w:after="0"/>
              <w:rPr>
                <w:sz w:val="20"/>
                <w:szCs w:val="20"/>
                <w:color w:val="auto"/>
              </w:rPr>
            </w:pPr>
            <w:r>
              <w:rPr>
                <w:rFonts w:ascii="Arial" w:cs="Arial" w:eastAsia="Arial" w:hAnsi="Arial"/>
                <w:sz w:val="11"/>
                <w:szCs w:val="11"/>
                <w:color w:val="auto"/>
              </w:rPr>
              <w:t>X</w:t>
            </w:r>
          </w:p>
        </w:tc>
        <w:tc>
          <w:tcPr>
            <w:tcW w:w="800" w:type="dxa"/>
            <w:vAlign w:val="bottom"/>
          </w:tcPr>
          <w:p>
            <w:pPr>
              <w:ind w:left="380"/>
              <w:spacing w:after="0"/>
              <w:rPr>
                <w:sz w:val="20"/>
                <w:szCs w:val="20"/>
                <w:color w:val="auto"/>
              </w:rPr>
            </w:pPr>
            <w:r>
              <w:rPr>
                <w:rFonts w:ascii="Arial" w:cs="Arial" w:eastAsia="Arial" w:hAnsi="Arial"/>
                <w:sz w:val="11"/>
                <w:szCs w:val="11"/>
                <w:color w:val="auto"/>
              </w:rPr>
              <w:t>X</w:t>
            </w:r>
          </w:p>
        </w:tc>
        <w:tc>
          <w:tcPr>
            <w:tcW w:w="660" w:type="dxa"/>
            <w:vAlign w:val="bottom"/>
          </w:tcPr>
          <w:p>
            <w:pPr>
              <w:ind w:left="300"/>
              <w:spacing w:after="0"/>
              <w:rPr>
                <w:sz w:val="20"/>
                <w:szCs w:val="20"/>
                <w:color w:val="auto"/>
              </w:rPr>
            </w:pPr>
            <w:r>
              <w:rPr>
                <w:rFonts w:ascii="Arial" w:cs="Arial" w:eastAsia="Arial" w:hAnsi="Arial"/>
                <w:sz w:val="11"/>
                <w:szCs w:val="11"/>
                <w:color w:val="auto"/>
              </w:rPr>
              <w:t>X</w:t>
            </w:r>
          </w:p>
        </w:tc>
        <w:tc>
          <w:tcPr>
            <w:tcW w:w="420" w:type="dxa"/>
            <w:vAlign w:val="bottom"/>
          </w:tcPr>
          <w:p>
            <w:pPr>
              <w:spacing w:after="0"/>
              <w:rPr>
                <w:sz w:val="19"/>
                <w:szCs w:val="19"/>
                <w:color w:val="auto"/>
              </w:rPr>
            </w:pPr>
          </w:p>
        </w:tc>
        <w:tc>
          <w:tcPr>
            <w:tcW w:w="760" w:type="dxa"/>
            <w:vAlign w:val="bottom"/>
          </w:tcPr>
          <w:p>
            <w:pPr>
              <w:ind w:left="340"/>
              <w:spacing w:after="0"/>
              <w:rPr>
                <w:sz w:val="20"/>
                <w:szCs w:val="20"/>
                <w:color w:val="auto"/>
              </w:rPr>
            </w:pPr>
            <w:r>
              <w:rPr>
                <w:rFonts w:ascii="Arial" w:cs="Arial" w:eastAsia="Arial" w:hAnsi="Arial"/>
                <w:sz w:val="11"/>
                <w:szCs w:val="11"/>
                <w:color w:val="auto"/>
              </w:rPr>
              <w:t>X</w:t>
            </w:r>
          </w:p>
        </w:tc>
        <w:tc>
          <w:tcPr>
            <w:tcW w:w="960" w:type="dxa"/>
            <w:vAlign w:val="bottom"/>
          </w:tcPr>
          <w:p>
            <w:pPr>
              <w:ind w:left="440"/>
              <w:spacing w:after="0"/>
              <w:rPr>
                <w:sz w:val="20"/>
                <w:szCs w:val="20"/>
                <w:color w:val="auto"/>
              </w:rPr>
            </w:pPr>
            <w:r>
              <w:rPr>
                <w:rFonts w:ascii="Arial" w:cs="Arial" w:eastAsia="Arial" w:hAnsi="Arial"/>
                <w:sz w:val="11"/>
                <w:szCs w:val="11"/>
                <w:color w:val="auto"/>
              </w:rPr>
              <w:t>X</w:t>
            </w:r>
          </w:p>
        </w:tc>
        <w:tc>
          <w:tcPr>
            <w:tcW w:w="640" w:type="dxa"/>
            <w:vAlign w:val="bottom"/>
          </w:tcPr>
          <w:p>
            <w:pPr>
              <w:ind w:left="280"/>
              <w:spacing w:after="0"/>
              <w:rPr>
                <w:sz w:val="20"/>
                <w:szCs w:val="20"/>
                <w:color w:val="auto"/>
              </w:rPr>
            </w:pPr>
            <w:r>
              <w:rPr>
                <w:rFonts w:ascii="Arial" w:cs="Arial" w:eastAsia="Arial" w:hAnsi="Arial"/>
                <w:sz w:val="11"/>
                <w:szCs w:val="11"/>
                <w:color w:val="auto"/>
              </w:rPr>
              <w:t>X</w:t>
            </w:r>
          </w:p>
        </w:tc>
        <w:tc>
          <w:tcPr>
            <w:tcW w:w="70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1"/>
                <w:szCs w:val="11"/>
                <w:color w:val="auto"/>
              </w:rPr>
              <w:t>X</w:t>
            </w:r>
          </w:p>
        </w:tc>
      </w:tr>
      <w:tr>
        <w:trPr>
          <w:trHeight w:val="204"/>
        </w:trPr>
        <w:tc>
          <w:tcPr>
            <w:tcW w:w="2520" w:type="dxa"/>
            <w:vAlign w:val="bottom"/>
          </w:tcPr>
          <w:p>
            <w:pPr>
              <w:ind w:left="40"/>
              <w:spacing w:after="0"/>
              <w:rPr>
                <w:sz w:val="20"/>
                <w:szCs w:val="20"/>
                <w:color w:val="auto"/>
              </w:rPr>
            </w:pPr>
            <w:r>
              <w:rPr>
                <w:rFonts w:ascii="Arial" w:cs="Arial" w:eastAsia="Arial" w:hAnsi="Arial"/>
                <w:sz w:val="11"/>
                <w:szCs w:val="11"/>
                <w:color w:val="auto"/>
              </w:rPr>
              <w:t>Corporate governance fluency provides</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3"/>
        </w:trPr>
        <w:tc>
          <w:tcPr>
            <w:tcW w:w="2520" w:type="dxa"/>
            <w:vAlign w:val="bottom"/>
          </w:tcPr>
          <w:p>
            <w:pPr>
              <w:ind w:left="40"/>
              <w:spacing w:after="0"/>
              <w:rPr>
                <w:sz w:val="20"/>
                <w:szCs w:val="20"/>
                <w:color w:val="auto"/>
              </w:rPr>
            </w:pPr>
            <w:r>
              <w:rPr>
                <w:rFonts w:ascii="Arial" w:cs="Arial" w:eastAsia="Arial" w:hAnsi="Arial"/>
                <w:sz w:val="11"/>
                <w:szCs w:val="11"/>
                <w:color w:val="auto"/>
              </w:rPr>
              <w:t>additional shareholder and stakeholder</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4"/>
        </w:trPr>
        <w:tc>
          <w:tcPr>
            <w:tcW w:w="2520" w:type="dxa"/>
            <w:vAlign w:val="bottom"/>
          </w:tcPr>
          <w:p>
            <w:pPr>
              <w:ind w:left="40"/>
              <w:spacing w:after="0"/>
              <w:rPr>
                <w:sz w:val="20"/>
                <w:szCs w:val="20"/>
                <w:color w:val="auto"/>
              </w:rPr>
            </w:pPr>
            <w:r>
              <w:rPr>
                <w:rFonts w:ascii="Arial" w:cs="Arial" w:eastAsia="Arial" w:hAnsi="Arial"/>
                <w:sz w:val="11"/>
                <w:szCs w:val="11"/>
                <w:color w:val="auto"/>
              </w:rPr>
              <w:t>perspectives</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2"/>
        </w:trPr>
        <w:tc>
          <w:tcPr>
            <w:tcW w:w="2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29"/>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FINANCE &amp; ACCOUNTING</w:t>
            </w:r>
          </w:p>
        </w:tc>
        <w:tc>
          <w:tcPr>
            <w:tcW w:w="700" w:type="dxa"/>
            <w:vAlign w:val="bottom"/>
            <w:shd w:val="clear" w:color="auto" w:fill="F1EFEC"/>
          </w:tcPr>
          <w:p>
            <w:pPr>
              <w:spacing w:after="0"/>
              <w:rPr>
                <w:sz w:val="19"/>
                <w:szCs w:val="19"/>
                <w:color w:val="auto"/>
              </w:rPr>
            </w:pPr>
          </w:p>
        </w:tc>
        <w:tc>
          <w:tcPr>
            <w:tcW w:w="800" w:type="dxa"/>
            <w:vAlign w:val="bottom"/>
            <w:shd w:val="clear" w:color="auto" w:fill="F1EFEC"/>
          </w:tcPr>
          <w:p>
            <w:pPr>
              <w:ind w:left="380"/>
              <w:spacing w:after="0"/>
              <w:rPr>
                <w:sz w:val="20"/>
                <w:szCs w:val="20"/>
                <w:color w:val="auto"/>
              </w:rPr>
            </w:pPr>
            <w:r>
              <w:rPr>
                <w:rFonts w:ascii="Arial" w:cs="Arial" w:eastAsia="Arial" w:hAnsi="Arial"/>
                <w:sz w:val="11"/>
                <w:szCs w:val="11"/>
                <w:color w:val="auto"/>
              </w:rPr>
              <w:t>X</w:t>
            </w:r>
          </w:p>
        </w:tc>
        <w:tc>
          <w:tcPr>
            <w:tcW w:w="660" w:type="dxa"/>
            <w:vAlign w:val="bottom"/>
            <w:shd w:val="clear" w:color="auto" w:fill="F1EFEC"/>
          </w:tcPr>
          <w:p>
            <w:pPr>
              <w:ind w:left="320"/>
              <w:spacing w:after="0"/>
              <w:rPr>
                <w:sz w:val="20"/>
                <w:szCs w:val="20"/>
                <w:color w:val="auto"/>
              </w:rPr>
            </w:pPr>
            <w:r>
              <w:rPr>
                <w:rFonts w:ascii="Arial" w:cs="Arial" w:eastAsia="Arial" w:hAnsi="Arial"/>
                <w:sz w:val="11"/>
                <w:szCs w:val="11"/>
                <w:color w:val="auto"/>
              </w:rPr>
              <w:t>X*</w:t>
            </w:r>
          </w:p>
        </w:tc>
        <w:tc>
          <w:tcPr>
            <w:tcW w:w="420" w:type="dxa"/>
            <w:vAlign w:val="bottom"/>
            <w:shd w:val="clear" w:color="auto" w:fill="F1EFEC"/>
          </w:tcPr>
          <w:p>
            <w:pPr>
              <w:ind w:left="200"/>
              <w:spacing w:after="0"/>
              <w:rPr>
                <w:sz w:val="20"/>
                <w:szCs w:val="20"/>
                <w:color w:val="auto"/>
              </w:rPr>
            </w:pPr>
            <w:r>
              <w:rPr>
                <w:rFonts w:ascii="Arial" w:cs="Arial" w:eastAsia="Arial" w:hAnsi="Arial"/>
                <w:sz w:val="11"/>
                <w:szCs w:val="11"/>
                <w:color w:val="auto"/>
              </w:rPr>
              <w:t>X</w:t>
            </w:r>
          </w:p>
        </w:tc>
        <w:tc>
          <w:tcPr>
            <w:tcW w:w="760" w:type="dxa"/>
            <w:vAlign w:val="bottom"/>
            <w:shd w:val="clear" w:color="auto" w:fill="F1EFEC"/>
          </w:tcPr>
          <w:p>
            <w:pPr>
              <w:spacing w:after="0"/>
              <w:rPr>
                <w:sz w:val="19"/>
                <w:szCs w:val="19"/>
                <w:color w:val="auto"/>
              </w:rPr>
            </w:pPr>
          </w:p>
        </w:tc>
        <w:tc>
          <w:tcPr>
            <w:tcW w:w="960" w:type="dxa"/>
            <w:vAlign w:val="bottom"/>
            <w:shd w:val="clear" w:color="auto" w:fill="F1EFEC"/>
          </w:tcPr>
          <w:p>
            <w:pPr>
              <w:ind w:left="460"/>
              <w:spacing w:after="0"/>
              <w:rPr>
                <w:sz w:val="20"/>
                <w:szCs w:val="20"/>
                <w:color w:val="auto"/>
              </w:rPr>
            </w:pPr>
            <w:r>
              <w:rPr>
                <w:rFonts w:ascii="Arial" w:cs="Arial" w:eastAsia="Arial" w:hAnsi="Arial"/>
                <w:sz w:val="11"/>
                <w:szCs w:val="11"/>
                <w:color w:val="auto"/>
              </w:rPr>
              <w:t>X*</w:t>
            </w:r>
          </w:p>
        </w:tc>
        <w:tc>
          <w:tcPr>
            <w:tcW w:w="640" w:type="dxa"/>
            <w:vAlign w:val="bottom"/>
            <w:shd w:val="clear" w:color="auto" w:fill="F1EFEC"/>
          </w:tcPr>
          <w:p>
            <w:pPr>
              <w:ind w:left="280"/>
              <w:spacing w:after="0"/>
              <w:rPr>
                <w:sz w:val="20"/>
                <w:szCs w:val="20"/>
                <w:color w:val="auto"/>
              </w:rPr>
            </w:pPr>
            <w:r>
              <w:rPr>
                <w:rFonts w:ascii="Arial" w:cs="Arial" w:eastAsia="Arial" w:hAnsi="Arial"/>
                <w:sz w:val="11"/>
                <w:szCs w:val="11"/>
                <w:color w:val="auto"/>
              </w:rPr>
              <w:t>X</w:t>
            </w:r>
          </w:p>
        </w:tc>
        <w:tc>
          <w:tcPr>
            <w:tcW w:w="700" w:type="dxa"/>
            <w:vAlign w:val="bottom"/>
            <w:shd w:val="clear" w:color="auto" w:fill="F1EFEC"/>
          </w:tcPr>
          <w:p>
            <w:pPr>
              <w:spacing w:after="0"/>
              <w:rPr>
                <w:sz w:val="19"/>
                <w:szCs w:val="19"/>
                <w:color w:val="auto"/>
              </w:rPr>
            </w:pPr>
          </w:p>
        </w:tc>
        <w:tc>
          <w:tcPr>
            <w:tcW w:w="580" w:type="dxa"/>
            <w:vAlign w:val="bottom"/>
            <w:shd w:val="clear" w:color="auto" w:fill="F1EFEC"/>
          </w:tcPr>
          <w:p>
            <w:pPr>
              <w:ind w:left="280"/>
              <w:spacing w:after="0"/>
              <w:rPr>
                <w:sz w:val="20"/>
                <w:szCs w:val="20"/>
                <w:color w:val="auto"/>
              </w:rPr>
            </w:pPr>
            <w:r>
              <w:rPr>
                <w:rFonts w:ascii="Arial" w:cs="Arial" w:eastAsia="Arial" w:hAnsi="Arial"/>
                <w:sz w:val="11"/>
                <w:szCs w:val="11"/>
                <w:color w:val="auto"/>
              </w:rPr>
              <w:t>X*</w:t>
            </w: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Financial expertise provides greater</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193"/>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understanding of internal controls over financial</w:t>
            </w:r>
          </w:p>
        </w:tc>
        <w:tc>
          <w:tcPr>
            <w:tcW w:w="700" w:type="dxa"/>
            <w:vAlign w:val="bottom"/>
            <w:shd w:val="clear" w:color="auto" w:fill="F1EFEC"/>
          </w:tcPr>
          <w:p>
            <w:pPr>
              <w:spacing w:after="0"/>
              <w:rPr>
                <w:sz w:val="16"/>
                <w:szCs w:val="16"/>
                <w:color w:val="auto"/>
              </w:rPr>
            </w:pPr>
          </w:p>
        </w:tc>
        <w:tc>
          <w:tcPr>
            <w:tcW w:w="800" w:type="dxa"/>
            <w:vAlign w:val="bottom"/>
            <w:shd w:val="clear" w:color="auto" w:fill="F1EFEC"/>
          </w:tcPr>
          <w:p>
            <w:pPr>
              <w:spacing w:after="0"/>
              <w:rPr>
                <w:sz w:val="16"/>
                <w:szCs w:val="16"/>
                <w:color w:val="auto"/>
              </w:rPr>
            </w:pPr>
          </w:p>
        </w:tc>
        <w:tc>
          <w:tcPr>
            <w:tcW w:w="660" w:type="dxa"/>
            <w:vAlign w:val="bottom"/>
            <w:shd w:val="clear" w:color="auto" w:fill="F1EFEC"/>
          </w:tcPr>
          <w:p>
            <w:pPr>
              <w:spacing w:after="0"/>
              <w:rPr>
                <w:sz w:val="16"/>
                <w:szCs w:val="16"/>
                <w:color w:val="auto"/>
              </w:rPr>
            </w:pPr>
          </w:p>
        </w:tc>
        <w:tc>
          <w:tcPr>
            <w:tcW w:w="420" w:type="dxa"/>
            <w:vAlign w:val="bottom"/>
            <w:shd w:val="clear" w:color="auto" w:fill="F1EFEC"/>
          </w:tcPr>
          <w:p>
            <w:pPr>
              <w:spacing w:after="0"/>
              <w:rPr>
                <w:sz w:val="16"/>
                <w:szCs w:val="16"/>
                <w:color w:val="auto"/>
              </w:rPr>
            </w:pPr>
          </w:p>
        </w:tc>
        <w:tc>
          <w:tcPr>
            <w:tcW w:w="760" w:type="dxa"/>
            <w:vAlign w:val="bottom"/>
            <w:shd w:val="clear" w:color="auto" w:fill="F1EFEC"/>
          </w:tcPr>
          <w:p>
            <w:pPr>
              <w:spacing w:after="0"/>
              <w:rPr>
                <w:sz w:val="16"/>
                <w:szCs w:val="16"/>
                <w:color w:val="auto"/>
              </w:rPr>
            </w:pPr>
          </w:p>
        </w:tc>
        <w:tc>
          <w:tcPr>
            <w:tcW w:w="960" w:type="dxa"/>
            <w:vAlign w:val="bottom"/>
            <w:shd w:val="clear" w:color="auto" w:fill="F1EFEC"/>
          </w:tcPr>
          <w:p>
            <w:pPr>
              <w:spacing w:after="0"/>
              <w:rPr>
                <w:sz w:val="16"/>
                <w:szCs w:val="16"/>
                <w:color w:val="auto"/>
              </w:rPr>
            </w:pPr>
          </w:p>
        </w:tc>
        <w:tc>
          <w:tcPr>
            <w:tcW w:w="640" w:type="dxa"/>
            <w:vAlign w:val="bottom"/>
            <w:shd w:val="clear" w:color="auto" w:fill="F1EFEC"/>
          </w:tcPr>
          <w:p>
            <w:pPr>
              <w:spacing w:after="0"/>
              <w:rPr>
                <w:sz w:val="16"/>
                <w:szCs w:val="16"/>
                <w:color w:val="auto"/>
              </w:rPr>
            </w:pPr>
          </w:p>
        </w:tc>
        <w:tc>
          <w:tcPr>
            <w:tcW w:w="700" w:type="dxa"/>
            <w:vAlign w:val="bottom"/>
            <w:shd w:val="clear" w:color="auto" w:fill="F1EFEC"/>
          </w:tcPr>
          <w:p>
            <w:pPr>
              <w:spacing w:after="0"/>
              <w:rPr>
                <w:sz w:val="16"/>
                <w:szCs w:val="16"/>
                <w:color w:val="auto"/>
              </w:rPr>
            </w:pPr>
          </w:p>
        </w:tc>
        <w:tc>
          <w:tcPr>
            <w:tcW w:w="580" w:type="dxa"/>
            <w:vAlign w:val="bottom"/>
            <w:shd w:val="clear" w:color="auto" w:fill="F1EFEC"/>
          </w:tcPr>
          <w:p>
            <w:pPr>
              <w:spacing w:after="0"/>
              <w:rPr>
                <w:sz w:val="16"/>
                <w:szCs w:val="16"/>
                <w:color w:val="auto"/>
              </w:rPr>
            </w:pP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reporting, disclosures, and capital allocation</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193"/>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strategy</w:t>
            </w:r>
          </w:p>
        </w:tc>
        <w:tc>
          <w:tcPr>
            <w:tcW w:w="700" w:type="dxa"/>
            <w:vAlign w:val="bottom"/>
            <w:shd w:val="clear" w:color="auto" w:fill="F1EFEC"/>
          </w:tcPr>
          <w:p>
            <w:pPr>
              <w:spacing w:after="0"/>
              <w:rPr>
                <w:sz w:val="16"/>
                <w:szCs w:val="16"/>
                <w:color w:val="auto"/>
              </w:rPr>
            </w:pPr>
          </w:p>
        </w:tc>
        <w:tc>
          <w:tcPr>
            <w:tcW w:w="800" w:type="dxa"/>
            <w:vAlign w:val="bottom"/>
            <w:shd w:val="clear" w:color="auto" w:fill="F1EFEC"/>
          </w:tcPr>
          <w:p>
            <w:pPr>
              <w:spacing w:after="0"/>
              <w:rPr>
                <w:sz w:val="16"/>
                <w:szCs w:val="16"/>
                <w:color w:val="auto"/>
              </w:rPr>
            </w:pPr>
          </w:p>
        </w:tc>
        <w:tc>
          <w:tcPr>
            <w:tcW w:w="660" w:type="dxa"/>
            <w:vAlign w:val="bottom"/>
            <w:shd w:val="clear" w:color="auto" w:fill="F1EFEC"/>
          </w:tcPr>
          <w:p>
            <w:pPr>
              <w:spacing w:after="0"/>
              <w:rPr>
                <w:sz w:val="16"/>
                <w:szCs w:val="16"/>
                <w:color w:val="auto"/>
              </w:rPr>
            </w:pPr>
          </w:p>
        </w:tc>
        <w:tc>
          <w:tcPr>
            <w:tcW w:w="420" w:type="dxa"/>
            <w:vAlign w:val="bottom"/>
            <w:shd w:val="clear" w:color="auto" w:fill="F1EFEC"/>
          </w:tcPr>
          <w:p>
            <w:pPr>
              <w:spacing w:after="0"/>
              <w:rPr>
                <w:sz w:val="16"/>
                <w:szCs w:val="16"/>
                <w:color w:val="auto"/>
              </w:rPr>
            </w:pPr>
          </w:p>
        </w:tc>
        <w:tc>
          <w:tcPr>
            <w:tcW w:w="760" w:type="dxa"/>
            <w:vAlign w:val="bottom"/>
            <w:shd w:val="clear" w:color="auto" w:fill="F1EFEC"/>
          </w:tcPr>
          <w:p>
            <w:pPr>
              <w:spacing w:after="0"/>
              <w:rPr>
                <w:sz w:val="16"/>
                <w:szCs w:val="16"/>
                <w:color w:val="auto"/>
              </w:rPr>
            </w:pPr>
          </w:p>
        </w:tc>
        <w:tc>
          <w:tcPr>
            <w:tcW w:w="960" w:type="dxa"/>
            <w:vAlign w:val="bottom"/>
            <w:shd w:val="clear" w:color="auto" w:fill="F1EFEC"/>
          </w:tcPr>
          <w:p>
            <w:pPr>
              <w:spacing w:after="0"/>
              <w:rPr>
                <w:sz w:val="16"/>
                <w:szCs w:val="16"/>
                <w:color w:val="auto"/>
              </w:rPr>
            </w:pPr>
          </w:p>
        </w:tc>
        <w:tc>
          <w:tcPr>
            <w:tcW w:w="640" w:type="dxa"/>
            <w:vAlign w:val="bottom"/>
            <w:shd w:val="clear" w:color="auto" w:fill="F1EFEC"/>
          </w:tcPr>
          <w:p>
            <w:pPr>
              <w:spacing w:after="0"/>
              <w:rPr>
                <w:sz w:val="16"/>
                <w:szCs w:val="16"/>
                <w:color w:val="auto"/>
              </w:rPr>
            </w:pPr>
          </w:p>
        </w:tc>
        <w:tc>
          <w:tcPr>
            <w:tcW w:w="700" w:type="dxa"/>
            <w:vAlign w:val="bottom"/>
            <w:shd w:val="clear" w:color="auto" w:fill="F1EFEC"/>
          </w:tcPr>
          <w:p>
            <w:pPr>
              <w:spacing w:after="0"/>
              <w:rPr>
                <w:sz w:val="16"/>
                <w:szCs w:val="16"/>
                <w:color w:val="auto"/>
              </w:rPr>
            </w:pPr>
          </w:p>
        </w:tc>
        <w:tc>
          <w:tcPr>
            <w:tcW w:w="580" w:type="dxa"/>
            <w:vAlign w:val="bottom"/>
            <w:shd w:val="clear" w:color="auto" w:fill="F1EFEC"/>
          </w:tcPr>
          <w:p>
            <w:pPr>
              <w:spacing w:after="0"/>
              <w:rPr>
                <w:sz w:val="16"/>
                <w:szCs w:val="16"/>
                <w:color w:val="auto"/>
              </w:rPr>
            </w:pPr>
          </w:p>
        </w:tc>
      </w:tr>
      <w:tr>
        <w:trPr>
          <w:trHeight w:val="93"/>
        </w:trPr>
        <w:tc>
          <w:tcPr>
            <w:tcW w:w="2520" w:type="dxa"/>
            <w:vAlign w:val="bottom"/>
            <w:shd w:val="clear" w:color="auto" w:fill="F1EFEC"/>
          </w:tcPr>
          <w:p>
            <w:pPr>
              <w:spacing w:after="0"/>
              <w:rPr>
                <w:sz w:val="8"/>
                <w:szCs w:val="8"/>
                <w:color w:val="auto"/>
              </w:rPr>
            </w:pPr>
          </w:p>
        </w:tc>
        <w:tc>
          <w:tcPr>
            <w:tcW w:w="700" w:type="dxa"/>
            <w:vAlign w:val="bottom"/>
            <w:shd w:val="clear" w:color="auto" w:fill="F1EFEC"/>
          </w:tcPr>
          <w:p>
            <w:pPr>
              <w:spacing w:after="0"/>
              <w:rPr>
                <w:sz w:val="8"/>
                <w:szCs w:val="8"/>
                <w:color w:val="auto"/>
              </w:rPr>
            </w:pPr>
          </w:p>
        </w:tc>
        <w:tc>
          <w:tcPr>
            <w:tcW w:w="800" w:type="dxa"/>
            <w:vAlign w:val="bottom"/>
            <w:shd w:val="clear" w:color="auto" w:fill="F1EFEC"/>
          </w:tcPr>
          <w:p>
            <w:pPr>
              <w:spacing w:after="0"/>
              <w:rPr>
                <w:sz w:val="8"/>
                <w:szCs w:val="8"/>
                <w:color w:val="auto"/>
              </w:rPr>
            </w:pPr>
          </w:p>
        </w:tc>
        <w:tc>
          <w:tcPr>
            <w:tcW w:w="660" w:type="dxa"/>
            <w:vAlign w:val="bottom"/>
            <w:shd w:val="clear" w:color="auto" w:fill="F1EFEC"/>
          </w:tcPr>
          <w:p>
            <w:pPr>
              <w:spacing w:after="0"/>
              <w:rPr>
                <w:sz w:val="8"/>
                <w:szCs w:val="8"/>
                <w:color w:val="auto"/>
              </w:rPr>
            </w:pPr>
          </w:p>
        </w:tc>
        <w:tc>
          <w:tcPr>
            <w:tcW w:w="420" w:type="dxa"/>
            <w:vAlign w:val="bottom"/>
            <w:shd w:val="clear" w:color="auto" w:fill="F1EFEC"/>
          </w:tcPr>
          <w:p>
            <w:pPr>
              <w:spacing w:after="0"/>
              <w:rPr>
                <w:sz w:val="8"/>
                <w:szCs w:val="8"/>
                <w:color w:val="auto"/>
              </w:rPr>
            </w:pPr>
          </w:p>
        </w:tc>
        <w:tc>
          <w:tcPr>
            <w:tcW w:w="760" w:type="dxa"/>
            <w:vAlign w:val="bottom"/>
            <w:shd w:val="clear" w:color="auto" w:fill="F1EFEC"/>
          </w:tcPr>
          <w:p>
            <w:pPr>
              <w:spacing w:after="0"/>
              <w:rPr>
                <w:sz w:val="8"/>
                <w:szCs w:val="8"/>
                <w:color w:val="auto"/>
              </w:rPr>
            </w:pPr>
          </w:p>
        </w:tc>
        <w:tc>
          <w:tcPr>
            <w:tcW w:w="960" w:type="dxa"/>
            <w:vAlign w:val="bottom"/>
            <w:shd w:val="clear" w:color="auto" w:fill="F1EFEC"/>
          </w:tcPr>
          <w:p>
            <w:pPr>
              <w:spacing w:after="0"/>
              <w:rPr>
                <w:sz w:val="8"/>
                <w:szCs w:val="8"/>
                <w:color w:val="auto"/>
              </w:rPr>
            </w:pPr>
          </w:p>
        </w:tc>
        <w:tc>
          <w:tcPr>
            <w:tcW w:w="640" w:type="dxa"/>
            <w:vAlign w:val="bottom"/>
            <w:shd w:val="clear" w:color="auto" w:fill="F1EFEC"/>
          </w:tcPr>
          <w:p>
            <w:pPr>
              <w:spacing w:after="0"/>
              <w:rPr>
                <w:sz w:val="8"/>
                <w:szCs w:val="8"/>
                <w:color w:val="auto"/>
              </w:rPr>
            </w:pPr>
          </w:p>
        </w:tc>
        <w:tc>
          <w:tcPr>
            <w:tcW w:w="700" w:type="dxa"/>
            <w:vAlign w:val="bottom"/>
            <w:shd w:val="clear" w:color="auto" w:fill="F1EFEC"/>
          </w:tcPr>
          <w:p>
            <w:pPr>
              <w:spacing w:after="0"/>
              <w:rPr>
                <w:sz w:val="8"/>
                <w:szCs w:val="8"/>
                <w:color w:val="auto"/>
              </w:rPr>
            </w:pPr>
          </w:p>
        </w:tc>
        <w:tc>
          <w:tcPr>
            <w:tcW w:w="580" w:type="dxa"/>
            <w:vAlign w:val="bottom"/>
            <w:shd w:val="clear" w:color="auto" w:fill="F1EFEC"/>
          </w:tcPr>
          <w:p>
            <w:pPr>
              <w:spacing w:after="0"/>
              <w:rPr>
                <w:sz w:val="8"/>
                <w:szCs w:val="8"/>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1"/>
                <w:szCs w:val="11"/>
                <w:color w:val="auto"/>
              </w:rPr>
              <w:t>CYBERSECURITY &amp; DATA PRIVACY</w:t>
            </w:r>
          </w:p>
        </w:tc>
        <w:tc>
          <w:tcPr>
            <w:tcW w:w="700" w:type="dxa"/>
            <w:vAlign w:val="bottom"/>
          </w:tcPr>
          <w:p>
            <w:pPr>
              <w:ind w:left="320"/>
              <w:spacing w:after="0"/>
              <w:rPr>
                <w:sz w:val="20"/>
                <w:szCs w:val="20"/>
                <w:color w:val="auto"/>
              </w:rPr>
            </w:pPr>
            <w:r>
              <w:rPr>
                <w:rFonts w:ascii="Arial" w:cs="Arial" w:eastAsia="Arial" w:hAnsi="Arial"/>
                <w:sz w:val="11"/>
                <w:szCs w:val="11"/>
                <w:color w:val="auto"/>
              </w:rPr>
              <w:t>X</w:t>
            </w:r>
          </w:p>
        </w:tc>
        <w:tc>
          <w:tcPr>
            <w:tcW w:w="800" w:type="dxa"/>
            <w:vAlign w:val="bottom"/>
          </w:tcPr>
          <w:p>
            <w:pPr>
              <w:ind w:left="380"/>
              <w:spacing w:after="0"/>
              <w:rPr>
                <w:sz w:val="20"/>
                <w:szCs w:val="20"/>
                <w:color w:val="auto"/>
              </w:rPr>
            </w:pPr>
            <w:r>
              <w:rPr>
                <w:rFonts w:ascii="Arial" w:cs="Arial" w:eastAsia="Arial" w:hAnsi="Arial"/>
                <w:sz w:val="11"/>
                <w:szCs w:val="11"/>
                <w:color w:val="auto"/>
              </w:rPr>
              <w:t>X</w:t>
            </w: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1"/>
                <w:szCs w:val="11"/>
                <w:color w:val="auto"/>
              </w:rPr>
              <w:t>X</w:t>
            </w:r>
          </w:p>
        </w:tc>
      </w:tr>
      <w:tr>
        <w:trPr>
          <w:trHeight w:val="204"/>
        </w:trPr>
        <w:tc>
          <w:tcPr>
            <w:tcW w:w="2520" w:type="dxa"/>
            <w:vAlign w:val="bottom"/>
          </w:tcPr>
          <w:p>
            <w:pPr>
              <w:ind w:left="40"/>
              <w:spacing w:after="0"/>
              <w:rPr>
                <w:sz w:val="20"/>
                <w:szCs w:val="20"/>
                <w:color w:val="auto"/>
              </w:rPr>
            </w:pPr>
            <w:r>
              <w:rPr>
                <w:rFonts w:ascii="Arial" w:cs="Arial" w:eastAsia="Arial" w:hAnsi="Arial"/>
                <w:sz w:val="11"/>
                <w:szCs w:val="11"/>
                <w:color w:val="auto"/>
              </w:rPr>
              <w:t>Technology and information security expertise</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3"/>
        </w:trPr>
        <w:tc>
          <w:tcPr>
            <w:tcW w:w="2520" w:type="dxa"/>
            <w:vAlign w:val="bottom"/>
          </w:tcPr>
          <w:p>
            <w:pPr>
              <w:ind w:left="40"/>
              <w:spacing w:after="0"/>
              <w:rPr>
                <w:sz w:val="20"/>
                <w:szCs w:val="20"/>
                <w:color w:val="auto"/>
              </w:rPr>
            </w:pPr>
            <w:r>
              <w:rPr>
                <w:rFonts w:ascii="Arial" w:cs="Arial" w:eastAsia="Arial" w:hAnsi="Arial"/>
                <w:sz w:val="11"/>
                <w:szCs w:val="11"/>
                <w:color w:val="auto"/>
              </w:rPr>
              <w:t>enhances the Board’s risk oversight of data and</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4"/>
        </w:trPr>
        <w:tc>
          <w:tcPr>
            <w:tcW w:w="2520" w:type="dxa"/>
            <w:vAlign w:val="bottom"/>
          </w:tcPr>
          <w:p>
            <w:pPr>
              <w:ind w:left="40"/>
              <w:spacing w:after="0"/>
              <w:rPr>
                <w:sz w:val="20"/>
                <w:szCs w:val="20"/>
                <w:color w:val="auto"/>
              </w:rPr>
            </w:pPr>
            <w:r>
              <w:rPr>
                <w:rFonts w:ascii="Arial" w:cs="Arial" w:eastAsia="Arial" w:hAnsi="Arial"/>
                <w:sz w:val="11"/>
                <w:szCs w:val="11"/>
                <w:color w:val="auto"/>
              </w:rPr>
              <w:t>privacy management and cybersecurity</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2"/>
        </w:trPr>
        <w:tc>
          <w:tcPr>
            <w:tcW w:w="2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29"/>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GEOPOLITICAL AFFAIRS</w:t>
            </w:r>
          </w:p>
        </w:tc>
        <w:tc>
          <w:tcPr>
            <w:tcW w:w="700" w:type="dxa"/>
            <w:vAlign w:val="bottom"/>
            <w:shd w:val="clear" w:color="auto" w:fill="F1EFEC"/>
          </w:tcPr>
          <w:p>
            <w:pPr>
              <w:spacing w:after="0"/>
              <w:rPr>
                <w:sz w:val="19"/>
                <w:szCs w:val="19"/>
                <w:color w:val="auto"/>
              </w:rPr>
            </w:pPr>
          </w:p>
        </w:tc>
        <w:tc>
          <w:tcPr>
            <w:tcW w:w="800" w:type="dxa"/>
            <w:vAlign w:val="bottom"/>
            <w:shd w:val="clear" w:color="auto" w:fill="F1EFEC"/>
          </w:tcPr>
          <w:p>
            <w:pPr>
              <w:ind w:left="380"/>
              <w:spacing w:after="0"/>
              <w:rPr>
                <w:sz w:val="20"/>
                <w:szCs w:val="20"/>
                <w:color w:val="auto"/>
              </w:rPr>
            </w:pPr>
            <w:r>
              <w:rPr>
                <w:rFonts w:ascii="Arial" w:cs="Arial" w:eastAsia="Arial" w:hAnsi="Arial"/>
                <w:sz w:val="11"/>
                <w:szCs w:val="11"/>
                <w:color w:val="auto"/>
              </w:rPr>
              <w:t>X</w:t>
            </w:r>
          </w:p>
        </w:tc>
        <w:tc>
          <w:tcPr>
            <w:tcW w:w="660" w:type="dxa"/>
            <w:vAlign w:val="bottom"/>
            <w:shd w:val="clear" w:color="auto" w:fill="F1EFEC"/>
          </w:tcPr>
          <w:p>
            <w:pPr>
              <w:spacing w:after="0"/>
              <w:rPr>
                <w:sz w:val="19"/>
                <w:szCs w:val="19"/>
                <w:color w:val="auto"/>
              </w:rPr>
            </w:pPr>
          </w:p>
        </w:tc>
        <w:tc>
          <w:tcPr>
            <w:tcW w:w="420" w:type="dxa"/>
            <w:vAlign w:val="bottom"/>
            <w:shd w:val="clear" w:color="auto" w:fill="F1EFEC"/>
          </w:tcPr>
          <w:p>
            <w:pPr>
              <w:spacing w:after="0"/>
              <w:rPr>
                <w:sz w:val="19"/>
                <w:szCs w:val="19"/>
                <w:color w:val="auto"/>
              </w:rPr>
            </w:pPr>
          </w:p>
        </w:tc>
        <w:tc>
          <w:tcPr>
            <w:tcW w:w="760" w:type="dxa"/>
            <w:vAlign w:val="bottom"/>
            <w:shd w:val="clear" w:color="auto" w:fill="F1EFEC"/>
          </w:tcPr>
          <w:p>
            <w:pPr>
              <w:spacing w:after="0"/>
              <w:rPr>
                <w:sz w:val="19"/>
                <w:szCs w:val="19"/>
                <w:color w:val="auto"/>
              </w:rPr>
            </w:pPr>
          </w:p>
        </w:tc>
        <w:tc>
          <w:tcPr>
            <w:tcW w:w="960" w:type="dxa"/>
            <w:vAlign w:val="bottom"/>
            <w:shd w:val="clear" w:color="auto" w:fill="F1EFEC"/>
          </w:tcPr>
          <w:p>
            <w:pPr>
              <w:spacing w:after="0"/>
              <w:rPr>
                <w:sz w:val="19"/>
                <w:szCs w:val="19"/>
                <w:color w:val="auto"/>
              </w:rPr>
            </w:pPr>
          </w:p>
        </w:tc>
        <w:tc>
          <w:tcPr>
            <w:tcW w:w="640" w:type="dxa"/>
            <w:vAlign w:val="bottom"/>
            <w:shd w:val="clear" w:color="auto" w:fill="F1EFEC"/>
          </w:tcPr>
          <w:p>
            <w:pPr>
              <w:spacing w:after="0"/>
              <w:rPr>
                <w:sz w:val="19"/>
                <w:szCs w:val="19"/>
                <w:color w:val="auto"/>
              </w:rPr>
            </w:pPr>
          </w:p>
        </w:tc>
        <w:tc>
          <w:tcPr>
            <w:tcW w:w="700" w:type="dxa"/>
            <w:vAlign w:val="bottom"/>
            <w:shd w:val="clear" w:color="auto" w:fill="F1EFEC"/>
          </w:tcPr>
          <w:p>
            <w:pPr>
              <w:ind w:left="320"/>
              <w:spacing w:after="0"/>
              <w:rPr>
                <w:sz w:val="20"/>
                <w:szCs w:val="20"/>
                <w:color w:val="auto"/>
              </w:rPr>
            </w:pPr>
            <w:r>
              <w:rPr>
                <w:rFonts w:ascii="Arial" w:cs="Arial" w:eastAsia="Arial" w:hAnsi="Arial"/>
                <w:sz w:val="11"/>
                <w:szCs w:val="11"/>
                <w:color w:val="auto"/>
              </w:rPr>
              <w:t>X</w:t>
            </w:r>
          </w:p>
        </w:tc>
        <w:tc>
          <w:tcPr>
            <w:tcW w:w="580" w:type="dxa"/>
            <w:vAlign w:val="bottom"/>
            <w:shd w:val="clear" w:color="auto" w:fill="F1EFEC"/>
          </w:tcPr>
          <w:p>
            <w:pPr>
              <w:spacing w:after="0"/>
              <w:rPr>
                <w:sz w:val="19"/>
                <w:szCs w:val="19"/>
                <w:color w:val="auto"/>
              </w:rPr>
            </w:pP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Experience in navigating geopolitical risks and</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193"/>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opportunities enhances the Board’s oversight of</w:t>
            </w:r>
          </w:p>
        </w:tc>
        <w:tc>
          <w:tcPr>
            <w:tcW w:w="700" w:type="dxa"/>
            <w:vAlign w:val="bottom"/>
            <w:shd w:val="clear" w:color="auto" w:fill="F1EFEC"/>
          </w:tcPr>
          <w:p>
            <w:pPr>
              <w:spacing w:after="0"/>
              <w:rPr>
                <w:sz w:val="16"/>
                <w:szCs w:val="16"/>
                <w:color w:val="auto"/>
              </w:rPr>
            </w:pPr>
          </w:p>
        </w:tc>
        <w:tc>
          <w:tcPr>
            <w:tcW w:w="800" w:type="dxa"/>
            <w:vAlign w:val="bottom"/>
            <w:shd w:val="clear" w:color="auto" w:fill="F1EFEC"/>
          </w:tcPr>
          <w:p>
            <w:pPr>
              <w:spacing w:after="0"/>
              <w:rPr>
                <w:sz w:val="16"/>
                <w:szCs w:val="16"/>
                <w:color w:val="auto"/>
              </w:rPr>
            </w:pPr>
          </w:p>
        </w:tc>
        <w:tc>
          <w:tcPr>
            <w:tcW w:w="660" w:type="dxa"/>
            <w:vAlign w:val="bottom"/>
            <w:shd w:val="clear" w:color="auto" w:fill="F1EFEC"/>
          </w:tcPr>
          <w:p>
            <w:pPr>
              <w:spacing w:after="0"/>
              <w:rPr>
                <w:sz w:val="16"/>
                <w:szCs w:val="16"/>
                <w:color w:val="auto"/>
              </w:rPr>
            </w:pPr>
          </w:p>
        </w:tc>
        <w:tc>
          <w:tcPr>
            <w:tcW w:w="420" w:type="dxa"/>
            <w:vAlign w:val="bottom"/>
            <w:shd w:val="clear" w:color="auto" w:fill="F1EFEC"/>
          </w:tcPr>
          <w:p>
            <w:pPr>
              <w:spacing w:after="0"/>
              <w:rPr>
                <w:sz w:val="16"/>
                <w:szCs w:val="16"/>
                <w:color w:val="auto"/>
              </w:rPr>
            </w:pPr>
          </w:p>
        </w:tc>
        <w:tc>
          <w:tcPr>
            <w:tcW w:w="760" w:type="dxa"/>
            <w:vAlign w:val="bottom"/>
            <w:shd w:val="clear" w:color="auto" w:fill="F1EFEC"/>
          </w:tcPr>
          <w:p>
            <w:pPr>
              <w:spacing w:after="0"/>
              <w:rPr>
                <w:sz w:val="16"/>
                <w:szCs w:val="16"/>
                <w:color w:val="auto"/>
              </w:rPr>
            </w:pPr>
          </w:p>
        </w:tc>
        <w:tc>
          <w:tcPr>
            <w:tcW w:w="960" w:type="dxa"/>
            <w:vAlign w:val="bottom"/>
            <w:shd w:val="clear" w:color="auto" w:fill="F1EFEC"/>
          </w:tcPr>
          <w:p>
            <w:pPr>
              <w:spacing w:after="0"/>
              <w:rPr>
                <w:sz w:val="16"/>
                <w:szCs w:val="16"/>
                <w:color w:val="auto"/>
              </w:rPr>
            </w:pPr>
          </w:p>
        </w:tc>
        <w:tc>
          <w:tcPr>
            <w:tcW w:w="640" w:type="dxa"/>
            <w:vAlign w:val="bottom"/>
            <w:shd w:val="clear" w:color="auto" w:fill="F1EFEC"/>
          </w:tcPr>
          <w:p>
            <w:pPr>
              <w:spacing w:after="0"/>
              <w:rPr>
                <w:sz w:val="16"/>
                <w:szCs w:val="16"/>
                <w:color w:val="auto"/>
              </w:rPr>
            </w:pPr>
          </w:p>
        </w:tc>
        <w:tc>
          <w:tcPr>
            <w:tcW w:w="700" w:type="dxa"/>
            <w:vAlign w:val="bottom"/>
            <w:shd w:val="clear" w:color="auto" w:fill="F1EFEC"/>
          </w:tcPr>
          <w:p>
            <w:pPr>
              <w:spacing w:after="0"/>
              <w:rPr>
                <w:sz w:val="16"/>
                <w:szCs w:val="16"/>
                <w:color w:val="auto"/>
              </w:rPr>
            </w:pPr>
          </w:p>
        </w:tc>
        <w:tc>
          <w:tcPr>
            <w:tcW w:w="580" w:type="dxa"/>
            <w:vAlign w:val="bottom"/>
            <w:shd w:val="clear" w:color="auto" w:fill="F1EFEC"/>
          </w:tcPr>
          <w:p>
            <w:pPr>
              <w:spacing w:after="0"/>
              <w:rPr>
                <w:sz w:val="16"/>
                <w:szCs w:val="16"/>
                <w:color w:val="auto"/>
              </w:rPr>
            </w:pP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risks related to international operations and</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193"/>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foreign market access</w:t>
            </w:r>
          </w:p>
        </w:tc>
        <w:tc>
          <w:tcPr>
            <w:tcW w:w="700" w:type="dxa"/>
            <w:vAlign w:val="bottom"/>
            <w:shd w:val="clear" w:color="auto" w:fill="F1EFEC"/>
          </w:tcPr>
          <w:p>
            <w:pPr>
              <w:spacing w:after="0"/>
              <w:rPr>
                <w:sz w:val="16"/>
                <w:szCs w:val="16"/>
                <w:color w:val="auto"/>
              </w:rPr>
            </w:pPr>
          </w:p>
        </w:tc>
        <w:tc>
          <w:tcPr>
            <w:tcW w:w="800" w:type="dxa"/>
            <w:vAlign w:val="bottom"/>
            <w:shd w:val="clear" w:color="auto" w:fill="F1EFEC"/>
          </w:tcPr>
          <w:p>
            <w:pPr>
              <w:spacing w:after="0"/>
              <w:rPr>
                <w:sz w:val="16"/>
                <w:szCs w:val="16"/>
                <w:color w:val="auto"/>
              </w:rPr>
            </w:pPr>
          </w:p>
        </w:tc>
        <w:tc>
          <w:tcPr>
            <w:tcW w:w="660" w:type="dxa"/>
            <w:vAlign w:val="bottom"/>
            <w:shd w:val="clear" w:color="auto" w:fill="F1EFEC"/>
          </w:tcPr>
          <w:p>
            <w:pPr>
              <w:spacing w:after="0"/>
              <w:rPr>
                <w:sz w:val="16"/>
                <w:szCs w:val="16"/>
                <w:color w:val="auto"/>
              </w:rPr>
            </w:pPr>
          </w:p>
        </w:tc>
        <w:tc>
          <w:tcPr>
            <w:tcW w:w="420" w:type="dxa"/>
            <w:vAlign w:val="bottom"/>
            <w:shd w:val="clear" w:color="auto" w:fill="F1EFEC"/>
          </w:tcPr>
          <w:p>
            <w:pPr>
              <w:spacing w:after="0"/>
              <w:rPr>
                <w:sz w:val="16"/>
                <w:szCs w:val="16"/>
                <w:color w:val="auto"/>
              </w:rPr>
            </w:pPr>
          </w:p>
        </w:tc>
        <w:tc>
          <w:tcPr>
            <w:tcW w:w="760" w:type="dxa"/>
            <w:vAlign w:val="bottom"/>
            <w:shd w:val="clear" w:color="auto" w:fill="F1EFEC"/>
          </w:tcPr>
          <w:p>
            <w:pPr>
              <w:spacing w:after="0"/>
              <w:rPr>
                <w:sz w:val="16"/>
                <w:szCs w:val="16"/>
                <w:color w:val="auto"/>
              </w:rPr>
            </w:pPr>
          </w:p>
        </w:tc>
        <w:tc>
          <w:tcPr>
            <w:tcW w:w="960" w:type="dxa"/>
            <w:vAlign w:val="bottom"/>
            <w:shd w:val="clear" w:color="auto" w:fill="F1EFEC"/>
          </w:tcPr>
          <w:p>
            <w:pPr>
              <w:spacing w:after="0"/>
              <w:rPr>
                <w:sz w:val="16"/>
                <w:szCs w:val="16"/>
                <w:color w:val="auto"/>
              </w:rPr>
            </w:pPr>
          </w:p>
        </w:tc>
        <w:tc>
          <w:tcPr>
            <w:tcW w:w="640" w:type="dxa"/>
            <w:vAlign w:val="bottom"/>
            <w:shd w:val="clear" w:color="auto" w:fill="F1EFEC"/>
          </w:tcPr>
          <w:p>
            <w:pPr>
              <w:spacing w:after="0"/>
              <w:rPr>
                <w:sz w:val="16"/>
                <w:szCs w:val="16"/>
                <w:color w:val="auto"/>
              </w:rPr>
            </w:pPr>
          </w:p>
        </w:tc>
        <w:tc>
          <w:tcPr>
            <w:tcW w:w="700" w:type="dxa"/>
            <w:vAlign w:val="bottom"/>
            <w:shd w:val="clear" w:color="auto" w:fill="F1EFEC"/>
          </w:tcPr>
          <w:p>
            <w:pPr>
              <w:spacing w:after="0"/>
              <w:rPr>
                <w:sz w:val="16"/>
                <w:szCs w:val="16"/>
                <w:color w:val="auto"/>
              </w:rPr>
            </w:pPr>
          </w:p>
        </w:tc>
        <w:tc>
          <w:tcPr>
            <w:tcW w:w="580" w:type="dxa"/>
            <w:vAlign w:val="bottom"/>
            <w:shd w:val="clear" w:color="auto" w:fill="F1EFEC"/>
          </w:tcPr>
          <w:p>
            <w:pPr>
              <w:spacing w:after="0"/>
              <w:rPr>
                <w:sz w:val="16"/>
                <w:szCs w:val="16"/>
                <w:color w:val="auto"/>
              </w:rPr>
            </w:pPr>
          </w:p>
        </w:tc>
      </w:tr>
      <w:tr>
        <w:trPr>
          <w:trHeight w:val="93"/>
        </w:trPr>
        <w:tc>
          <w:tcPr>
            <w:tcW w:w="2520" w:type="dxa"/>
            <w:vAlign w:val="bottom"/>
            <w:shd w:val="clear" w:color="auto" w:fill="F1EFEC"/>
          </w:tcPr>
          <w:p>
            <w:pPr>
              <w:spacing w:after="0"/>
              <w:rPr>
                <w:sz w:val="8"/>
                <w:szCs w:val="8"/>
                <w:color w:val="auto"/>
              </w:rPr>
            </w:pPr>
          </w:p>
        </w:tc>
        <w:tc>
          <w:tcPr>
            <w:tcW w:w="700" w:type="dxa"/>
            <w:vAlign w:val="bottom"/>
            <w:shd w:val="clear" w:color="auto" w:fill="F1EFEC"/>
          </w:tcPr>
          <w:p>
            <w:pPr>
              <w:spacing w:after="0"/>
              <w:rPr>
                <w:sz w:val="8"/>
                <w:szCs w:val="8"/>
                <w:color w:val="auto"/>
              </w:rPr>
            </w:pPr>
          </w:p>
        </w:tc>
        <w:tc>
          <w:tcPr>
            <w:tcW w:w="800" w:type="dxa"/>
            <w:vAlign w:val="bottom"/>
            <w:shd w:val="clear" w:color="auto" w:fill="F1EFEC"/>
          </w:tcPr>
          <w:p>
            <w:pPr>
              <w:spacing w:after="0"/>
              <w:rPr>
                <w:sz w:val="8"/>
                <w:szCs w:val="8"/>
                <w:color w:val="auto"/>
              </w:rPr>
            </w:pPr>
          </w:p>
        </w:tc>
        <w:tc>
          <w:tcPr>
            <w:tcW w:w="660" w:type="dxa"/>
            <w:vAlign w:val="bottom"/>
            <w:shd w:val="clear" w:color="auto" w:fill="F1EFEC"/>
          </w:tcPr>
          <w:p>
            <w:pPr>
              <w:spacing w:after="0"/>
              <w:rPr>
                <w:sz w:val="8"/>
                <w:szCs w:val="8"/>
                <w:color w:val="auto"/>
              </w:rPr>
            </w:pPr>
          </w:p>
        </w:tc>
        <w:tc>
          <w:tcPr>
            <w:tcW w:w="420" w:type="dxa"/>
            <w:vAlign w:val="bottom"/>
            <w:shd w:val="clear" w:color="auto" w:fill="F1EFEC"/>
          </w:tcPr>
          <w:p>
            <w:pPr>
              <w:spacing w:after="0"/>
              <w:rPr>
                <w:sz w:val="8"/>
                <w:szCs w:val="8"/>
                <w:color w:val="auto"/>
              </w:rPr>
            </w:pPr>
          </w:p>
        </w:tc>
        <w:tc>
          <w:tcPr>
            <w:tcW w:w="760" w:type="dxa"/>
            <w:vAlign w:val="bottom"/>
            <w:shd w:val="clear" w:color="auto" w:fill="F1EFEC"/>
          </w:tcPr>
          <w:p>
            <w:pPr>
              <w:spacing w:after="0"/>
              <w:rPr>
                <w:sz w:val="8"/>
                <w:szCs w:val="8"/>
                <w:color w:val="auto"/>
              </w:rPr>
            </w:pPr>
          </w:p>
        </w:tc>
        <w:tc>
          <w:tcPr>
            <w:tcW w:w="960" w:type="dxa"/>
            <w:vAlign w:val="bottom"/>
            <w:shd w:val="clear" w:color="auto" w:fill="F1EFEC"/>
          </w:tcPr>
          <w:p>
            <w:pPr>
              <w:spacing w:after="0"/>
              <w:rPr>
                <w:sz w:val="8"/>
                <w:szCs w:val="8"/>
                <w:color w:val="auto"/>
              </w:rPr>
            </w:pPr>
          </w:p>
        </w:tc>
        <w:tc>
          <w:tcPr>
            <w:tcW w:w="640" w:type="dxa"/>
            <w:vAlign w:val="bottom"/>
            <w:shd w:val="clear" w:color="auto" w:fill="F1EFEC"/>
          </w:tcPr>
          <w:p>
            <w:pPr>
              <w:spacing w:after="0"/>
              <w:rPr>
                <w:sz w:val="8"/>
                <w:szCs w:val="8"/>
                <w:color w:val="auto"/>
              </w:rPr>
            </w:pPr>
          </w:p>
        </w:tc>
        <w:tc>
          <w:tcPr>
            <w:tcW w:w="700" w:type="dxa"/>
            <w:vAlign w:val="bottom"/>
            <w:shd w:val="clear" w:color="auto" w:fill="F1EFEC"/>
          </w:tcPr>
          <w:p>
            <w:pPr>
              <w:spacing w:after="0"/>
              <w:rPr>
                <w:sz w:val="8"/>
                <w:szCs w:val="8"/>
                <w:color w:val="auto"/>
              </w:rPr>
            </w:pPr>
          </w:p>
        </w:tc>
        <w:tc>
          <w:tcPr>
            <w:tcW w:w="580" w:type="dxa"/>
            <w:vAlign w:val="bottom"/>
            <w:shd w:val="clear" w:color="auto" w:fill="F1EFEC"/>
          </w:tcPr>
          <w:p>
            <w:pPr>
              <w:spacing w:after="0"/>
              <w:rPr>
                <w:sz w:val="8"/>
                <w:szCs w:val="8"/>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1"/>
                <w:szCs w:val="11"/>
                <w:color w:val="auto"/>
              </w:rPr>
              <w:t>REAL ESTATE &amp; PROJECT CONSTRUCTION</w:t>
            </w:r>
          </w:p>
        </w:tc>
        <w:tc>
          <w:tcPr>
            <w:tcW w:w="700" w:type="dxa"/>
            <w:vAlign w:val="bottom"/>
          </w:tcPr>
          <w:p>
            <w:pPr>
              <w:ind w:left="320"/>
              <w:spacing w:after="0"/>
              <w:rPr>
                <w:sz w:val="20"/>
                <w:szCs w:val="20"/>
                <w:color w:val="auto"/>
              </w:rPr>
            </w:pPr>
            <w:r>
              <w:rPr>
                <w:rFonts w:ascii="Arial" w:cs="Arial" w:eastAsia="Arial" w:hAnsi="Arial"/>
                <w:sz w:val="11"/>
                <w:szCs w:val="11"/>
                <w:color w:val="auto"/>
              </w:rPr>
              <w:t>X</w:t>
            </w:r>
          </w:p>
        </w:tc>
        <w:tc>
          <w:tcPr>
            <w:tcW w:w="800" w:type="dxa"/>
            <w:vAlign w:val="bottom"/>
          </w:tcPr>
          <w:p>
            <w:pPr>
              <w:ind w:left="380"/>
              <w:spacing w:after="0"/>
              <w:rPr>
                <w:sz w:val="20"/>
                <w:szCs w:val="20"/>
                <w:color w:val="auto"/>
              </w:rPr>
            </w:pPr>
            <w:r>
              <w:rPr>
                <w:rFonts w:ascii="Arial" w:cs="Arial" w:eastAsia="Arial" w:hAnsi="Arial"/>
                <w:sz w:val="11"/>
                <w:szCs w:val="11"/>
                <w:color w:val="auto"/>
              </w:rPr>
              <w:t>X</w:t>
            </w:r>
          </w:p>
        </w:tc>
        <w:tc>
          <w:tcPr>
            <w:tcW w:w="660" w:type="dxa"/>
            <w:vAlign w:val="bottom"/>
          </w:tcPr>
          <w:p>
            <w:pPr>
              <w:ind w:left="300"/>
              <w:spacing w:after="0"/>
              <w:rPr>
                <w:sz w:val="20"/>
                <w:szCs w:val="20"/>
                <w:color w:val="auto"/>
              </w:rPr>
            </w:pPr>
            <w:r>
              <w:rPr>
                <w:rFonts w:ascii="Arial" w:cs="Arial" w:eastAsia="Arial" w:hAnsi="Arial"/>
                <w:sz w:val="11"/>
                <w:szCs w:val="11"/>
                <w:color w:val="auto"/>
              </w:rPr>
              <w:t>X</w:t>
            </w:r>
          </w:p>
        </w:tc>
        <w:tc>
          <w:tcPr>
            <w:tcW w:w="420" w:type="dxa"/>
            <w:vAlign w:val="bottom"/>
          </w:tcPr>
          <w:p>
            <w:pPr>
              <w:ind w:left="200"/>
              <w:spacing w:after="0"/>
              <w:rPr>
                <w:sz w:val="20"/>
                <w:szCs w:val="20"/>
                <w:color w:val="auto"/>
              </w:rPr>
            </w:pPr>
            <w:r>
              <w:rPr>
                <w:rFonts w:ascii="Arial" w:cs="Arial" w:eastAsia="Arial" w:hAnsi="Arial"/>
                <w:sz w:val="11"/>
                <w:szCs w:val="11"/>
                <w:color w:val="auto"/>
              </w:rPr>
              <w:t>X</w:t>
            </w:r>
          </w:p>
        </w:tc>
        <w:tc>
          <w:tcPr>
            <w:tcW w:w="760" w:type="dxa"/>
            <w:vAlign w:val="bottom"/>
          </w:tcPr>
          <w:p>
            <w:pPr>
              <w:ind w:left="340"/>
              <w:spacing w:after="0"/>
              <w:rPr>
                <w:sz w:val="20"/>
                <w:szCs w:val="20"/>
                <w:color w:val="auto"/>
              </w:rPr>
            </w:pPr>
            <w:r>
              <w:rPr>
                <w:rFonts w:ascii="Arial" w:cs="Arial" w:eastAsia="Arial" w:hAnsi="Arial"/>
                <w:sz w:val="11"/>
                <w:szCs w:val="11"/>
                <w:color w:val="auto"/>
              </w:rPr>
              <w:t>X</w:t>
            </w:r>
          </w:p>
        </w:tc>
        <w:tc>
          <w:tcPr>
            <w:tcW w:w="960" w:type="dxa"/>
            <w:vAlign w:val="bottom"/>
          </w:tcPr>
          <w:p>
            <w:pPr>
              <w:ind w:left="440"/>
              <w:spacing w:after="0"/>
              <w:rPr>
                <w:sz w:val="20"/>
                <w:szCs w:val="20"/>
                <w:color w:val="auto"/>
              </w:rPr>
            </w:pPr>
            <w:r>
              <w:rPr>
                <w:rFonts w:ascii="Arial" w:cs="Arial" w:eastAsia="Arial" w:hAnsi="Arial"/>
                <w:sz w:val="11"/>
                <w:szCs w:val="11"/>
                <w:color w:val="auto"/>
              </w:rPr>
              <w:t>X</w:t>
            </w:r>
          </w:p>
        </w:tc>
        <w:tc>
          <w:tcPr>
            <w:tcW w:w="640" w:type="dxa"/>
            <w:vAlign w:val="bottom"/>
          </w:tcPr>
          <w:p>
            <w:pPr>
              <w:ind w:left="280"/>
              <w:spacing w:after="0"/>
              <w:rPr>
                <w:sz w:val="20"/>
                <w:szCs w:val="20"/>
                <w:color w:val="auto"/>
              </w:rPr>
            </w:pPr>
            <w:r>
              <w:rPr>
                <w:rFonts w:ascii="Arial" w:cs="Arial" w:eastAsia="Arial" w:hAnsi="Arial"/>
                <w:sz w:val="11"/>
                <w:szCs w:val="11"/>
                <w:color w:val="auto"/>
              </w:rPr>
              <w:t>X</w:t>
            </w:r>
          </w:p>
        </w:tc>
        <w:tc>
          <w:tcPr>
            <w:tcW w:w="70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1"/>
                <w:szCs w:val="11"/>
                <w:color w:val="auto"/>
              </w:rPr>
              <w:t>X</w:t>
            </w:r>
          </w:p>
        </w:tc>
      </w:tr>
      <w:tr>
        <w:trPr>
          <w:trHeight w:val="204"/>
        </w:trPr>
        <w:tc>
          <w:tcPr>
            <w:tcW w:w="2520" w:type="dxa"/>
            <w:vAlign w:val="bottom"/>
          </w:tcPr>
          <w:p>
            <w:pPr>
              <w:ind w:left="40"/>
              <w:spacing w:after="0"/>
              <w:rPr>
                <w:sz w:val="20"/>
                <w:szCs w:val="20"/>
                <w:color w:val="auto"/>
              </w:rPr>
            </w:pPr>
            <w:r>
              <w:rPr>
                <w:rFonts w:ascii="Arial" w:cs="Arial" w:eastAsia="Arial" w:hAnsi="Arial"/>
                <w:sz w:val="11"/>
                <w:szCs w:val="11"/>
                <w:color w:val="auto"/>
              </w:rPr>
              <w:t>Experience in real estate and ground-up</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3"/>
        </w:trPr>
        <w:tc>
          <w:tcPr>
            <w:tcW w:w="2520" w:type="dxa"/>
            <w:vAlign w:val="bottom"/>
          </w:tcPr>
          <w:p>
            <w:pPr>
              <w:ind w:left="40"/>
              <w:spacing w:after="0"/>
              <w:rPr>
                <w:sz w:val="20"/>
                <w:szCs w:val="20"/>
                <w:color w:val="auto"/>
              </w:rPr>
            </w:pPr>
            <w:r>
              <w:rPr>
                <w:rFonts w:ascii="Arial" w:cs="Arial" w:eastAsia="Arial" w:hAnsi="Arial"/>
                <w:sz w:val="11"/>
                <w:szCs w:val="11"/>
                <w:color w:val="auto"/>
              </w:rPr>
              <w:t>development informs the Board’s oversight of</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4"/>
        </w:trPr>
        <w:tc>
          <w:tcPr>
            <w:tcW w:w="2520" w:type="dxa"/>
            <w:vAlign w:val="bottom"/>
          </w:tcPr>
          <w:p>
            <w:pPr>
              <w:ind w:left="40"/>
              <w:spacing w:after="0"/>
              <w:rPr>
                <w:sz w:val="20"/>
                <w:szCs w:val="20"/>
                <w:color w:val="auto"/>
              </w:rPr>
            </w:pPr>
            <w:r>
              <w:rPr>
                <w:rFonts w:ascii="Arial" w:cs="Arial" w:eastAsia="Arial" w:hAnsi="Arial"/>
                <w:sz w:val="11"/>
                <w:szCs w:val="11"/>
                <w:color w:val="auto"/>
              </w:rPr>
              <w:t>operational and developmental strategies</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2"/>
        </w:trPr>
        <w:tc>
          <w:tcPr>
            <w:tcW w:w="2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29"/>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ENVIRONMENTAL &amp; SUSTAINABILITY</w:t>
            </w:r>
          </w:p>
        </w:tc>
        <w:tc>
          <w:tcPr>
            <w:tcW w:w="700" w:type="dxa"/>
            <w:vAlign w:val="bottom"/>
            <w:shd w:val="clear" w:color="auto" w:fill="F1EFEC"/>
          </w:tcPr>
          <w:p>
            <w:pPr>
              <w:ind w:left="320"/>
              <w:spacing w:after="0"/>
              <w:rPr>
                <w:sz w:val="20"/>
                <w:szCs w:val="20"/>
                <w:color w:val="auto"/>
              </w:rPr>
            </w:pPr>
            <w:r>
              <w:rPr>
                <w:rFonts w:ascii="Arial" w:cs="Arial" w:eastAsia="Arial" w:hAnsi="Arial"/>
                <w:sz w:val="11"/>
                <w:szCs w:val="11"/>
                <w:color w:val="auto"/>
              </w:rPr>
              <w:t>X</w:t>
            </w:r>
          </w:p>
        </w:tc>
        <w:tc>
          <w:tcPr>
            <w:tcW w:w="800" w:type="dxa"/>
            <w:vAlign w:val="bottom"/>
            <w:shd w:val="clear" w:color="auto" w:fill="F1EFEC"/>
          </w:tcPr>
          <w:p>
            <w:pPr>
              <w:spacing w:after="0"/>
              <w:rPr>
                <w:sz w:val="19"/>
                <w:szCs w:val="19"/>
                <w:color w:val="auto"/>
              </w:rPr>
            </w:pPr>
          </w:p>
        </w:tc>
        <w:tc>
          <w:tcPr>
            <w:tcW w:w="660" w:type="dxa"/>
            <w:vAlign w:val="bottom"/>
            <w:shd w:val="clear" w:color="auto" w:fill="F1EFEC"/>
          </w:tcPr>
          <w:p>
            <w:pPr>
              <w:spacing w:after="0"/>
              <w:rPr>
                <w:sz w:val="19"/>
                <w:szCs w:val="19"/>
                <w:color w:val="auto"/>
              </w:rPr>
            </w:pPr>
          </w:p>
        </w:tc>
        <w:tc>
          <w:tcPr>
            <w:tcW w:w="420" w:type="dxa"/>
            <w:vAlign w:val="bottom"/>
            <w:shd w:val="clear" w:color="auto" w:fill="F1EFEC"/>
          </w:tcPr>
          <w:p>
            <w:pPr>
              <w:spacing w:after="0"/>
              <w:rPr>
                <w:sz w:val="19"/>
                <w:szCs w:val="19"/>
                <w:color w:val="auto"/>
              </w:rPr>
            </w:pPr>
          </w:p>
        </w:tc>
        <w:tc>
          <w:tcPr>
            <w:tcW w:w="760" w:type="dxa"/>
            <w:vAlign w:val="bottom"/>
            <w:shd w:val="clear" w:color="auto" w:fill="F1EFEC"/>
          </w:tcPr>
          <w:p>
            <w:pPr>
              <w:ind w:left="340"/>
              <w:spacing w:after="0"/>
              <w:rPr>
                <w:sz w:val="20"/>
                <w:szCs w:val="20"/>
                <w:color w:val="auto"/>
              </w:rPr>
            </w:pPr>
            <w:r>
              <w:rPr>
                <w:rFonts w:ascii="Arial" w:cs="Arial" w:eastAsia="Arial" w:hAnsi="Arial"/>
                <w:sz w:val="11"/>
                <w:szCs w:val="11"/>
                <w:color w:val="auto"/>
              </w:rPr>
              <w:t>X</w:t>
            </w:r>
          </w:p>
        </w:tc>
        <w:tc>
          <w:tcPr>
            <w:tcW w:w="960" w:type="dxa"/>
            <w:vAlign w:val="bottom"/>
            <w:shd w:val="clear" w:color="auto" w:fill="F1EFEC"/>
          </w:tcPr>
          <w:p>
            <w:pPr>
              <w:spacing w:after="0"/>
              <w:rPr>
                <w:sz w:val="19"/>
                <w:szCs w:val="19"/>
                <w:color w:val="auto"/>
              </w:rPr>
            </w:pPr>
          </w:p>
        </w:tc>
        <w:tc>
          <w:tcPr>
            <w:tcW w:w="640" w:type="dxa"/>
            <w:vAlign w:val="bottom"/>
            <w:shd w:val="clear" w:color="auto" w:fill="F1EFEC"/>
          </w:tcPr>
          <w:p>
            <w:pPr>
              <w:spacing w:after="0"/>
              <w:rPr>
                <w:sz w:val="19"/>
                <w:szCs w:val="19"/>
                <w:color w:val="auto"/>
              </w:rPr>
            </w:pPr>
          </w:p>
        </w:tc>
        <w:tc>
          <w:tcPr>
            <w:tcW w:w="700" w:type="dxa"/>
            <w:vAlign w:val="bottom"/>
            <w:shd w:val="clear" w:color="auto" w:fill="F1EFEC"/>
          </w:tcPr>
          <w:p>
            <w:pPr>
              <w:ind w:left="320"/>
              <w:spacing w:after="0"/>
              <w:rPr>
                <w:sz w:val="20"/>
                <w:szCs w:val="20"/>
                <w:color w:val="auto"/>
              </w:rPr>
            </w:pPr>
            <w:r>
              <w:rPr>
                <w:rFonts w:ascii="Arial" w:cs="Arial" w:eastAsia="Arial" w:hAnsi="Arial"/>
                <w:sz w:val="11"/>
                <w:szCs w:val="11"/>
                <w:color w:val="auto"/>
              </w:rPr>
              <w:t>X</w:t>
            </w:r>
          </w:p>
        </w:tc>
        <w:tc>
          <w:tcPr>
            <w:tcW w:w="580" w:type="dxa"/>
            <w:vAlign w:val="bottom"/>
            <w:shd w:val="clear" w:color="auto" w:fill="F1EFEC"/>
          </w:tcPr>
          <w:p>
            <w:pPr>
              <w:ind w:left="260"/>
              <w:spacing w:after="0"/>
              <w:rPr>
                <w:sz w:val="20"/>
                <w:szCs w:val="20"/>
                <w:color w:val="auto"/>
              </w:rPr>
            </w:pPr>
            <w:r>
              <w:rPr>
                <w:rFonts w:ascii="Arial" w:cs="Arial" w:eastAsia="Arial" w:hAnsi="Arial"/>
                <w:sz w:val="11"/>
                <w:szCs w:val="11"/>
                <w:color w:val="auto"/>
              </w:rPr>
              <w:t>X</w:t>
            </w: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Hands-on expertise driving real-world</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193"/>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sustainability processes empowers the Board’s</w:t>
            </w:r>
          </w:p>
        </w:tc>
        <w:tc>
          <w:tcPr>
            <w:tcW w:w="700" w:type="dxa"/>
            <w:vAlign w:val="bottom"/>
            <w:shd w:val="clear" w:color="auto" w:fill="F1EFEC"/>
          </w:tcPr>
          <w:p>
            <w:pPr>
              <w:spacing w:after="0"/>
              <w:rPr>
                <w:sz w:val="16"/>
                <w:szCs w:val="16"/>
                <w:color w:val="auto"/>
              </w:rPr>
            </w:pPr>
          </w:p>
        </w:tc>
        <w:tc>
          <w:tcPr>
            <w:tcW w:w="800" w:type="dxa"/>
            <w:vAlign w:val="bottom"/>
            <w:shd w:val="clear" w:color="auto" w:fill="F1EFEC"/>
          </w:tcPr>
          <w:p>
            <w:pPr>
              <w:spacing w:after="0"/>
              <w:rPr>
                <w:sz w:val="16"/>
                <w:szCs w:val="16"/>
                <w:color w:val="auto"/>
              </w:rPr>
            </w:pPr>
          </w:p>
        </w:tc>
        <w:tc>
          <w:tcPr>
            <w:tcW w:w="660" w:type="dxa"/>
            <w:vAlign w:val="bottom"/>
            <w:shd w:val="clear" w:color="auto" w:fill="F1EFEC"/>
          </w:tcPr>
          <w:p>
            <w:pPr>
              <w:spacing w:after="0"/>
              <w:rPr>
                <w:sz w:val="16"/>
                <w:szCs w:val="16"/>
                <w:color w:val="auto"/>
              </w:rPr>
            </w:pPr>
          </w:p>
        </w:tc>
        <w:tc>
          <w:tcPr>
            <w:tcW w:w="420" w:type="dxa"/>
            <w:vAlign w:val="bottom"/>
            <w:shd w:val="clear" w:color="auto" w:fill="F1EFEC"/>
          </w:tcPr>
          <w:p>
            <w:pPr>
              <w:spacing w:after="0"/>
              <w:rPr>
                <w:sz w:val="16"/>
                <w:szCs w:val="16"/>
                <w:color w:val="auto"/>
              </w:rPr>
            </w:pPr>
          </w:p>
        </w:tc>
        <w:tc>
          <w:tcPr>
            <w:tcW w:w="760" w:type="dxa"/>
            <w:vAlign w:val="bottom"/>
            <w:shd w:val="clear" w:color="auto" w:fill="F1EFEC"/>
          </w:tcPr>
          <w:p>
            <w:pPr>
              <w:spacing w:after="0"/>
              <w:rPr>
                <w:sz w:val="16"/>
                <w:szCs w:val="16"/>
                <w:color w:val="auto"/>
              </w:rPr>
            </w:pPr>
          </w:p>
        </w:tc>
        <w:tc>
          <w:tcPr>
            <w:tcW w:w="960" w:type="dxa"/>
            <w:vAlign w:val="bottom"/>
            <w:shd w:val="clear" w:color="auto" w:fill="F1EFEC"/>
          </w:tcPr>
          <w:p>
            <w:pPr>
              <w:spacing w:after="0"/>
              <w:rPr>
                <w:sz w:val="16"/>
                <w:szCs w:val="16"/>
                <w:color w:val="auto"/>
              </w:rPr>
            </w:pPr>
          </w:p>
        </w:tc>
        <w:tc>
          <w:tcPr>
            <w:tcW w:w="640" w:type="dxa"/>
            <w:vAlign w:val="bottom"/>
            <w:shd w:val="clear" w:color="auto" w:fill="F1EFEC"/>
          </w:tcPr>
          <w:p>
            <w:pPr>
              <w:spacing w:after="0"/>
              <w:rPr>
                <w:sz w:val="16"/>
                <w:szCs w:val="16"/>
                <w:color w:val="auto"/>
              </w:rPr>
            </w:pPr>
          </w:p>
        </w:tc>
        <w:tc>
          <w:tcPr>
            <w:tcW w:w="700" w:type="dxa"/>
            <w:vAlign w:val="bottom"/>
            <w:shd w:val="clear" w:color="auto" w:fill="F1EFEC"/>
          </w:tcPr>
          <w:p>
            <w:pPr>
              <w:spacing w:after="0"/>
              <w:rPr>
                <w:sz w:val="16"/>
                <w:szCs w:val="16"/>
                <w:color w:val="auto"/>
              </w:rPr>
            </w:pPr>
          </w:p>
        </w:tc>
        <w:tc>
          <w:tcPr>
            <w:tcW w:w="580" w:type="dxa"/>
            <w:vAlign w:val="bottom"/>
            <w:shd w:val="clear" w:color="auto" w:fill="F1EFEC"/>
          </w:tcPr>
          <w:p>
            <w:pPr>
              <w:spacing w:after="0"/>
              <w:rPr>
                <w:sz w:val="16"/>
                <w:szCs w:val="16"/>
                <w:color w:val="auto"/>
              </w:rPr>
            </w:pPr>
          </w:p>
        </w:tc>
      </w:tr>
      <w:tr>
        <w:trPr>
          <w:trHeight w:val="204"/>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oversight of corporate responsibility initiatives</w:t>
            </w:r>
          </w:p>
        </w:tc>
        <w:tc>
          <w:tcPr>
            <w:tcW w:w="700" w:type="dxa"/>
            <w:vAlign w:val="bottom"/>
            <w:shd w:val="clear" w:color="auto" w:fill="F1EFEC"/>
          </w:tcPr>
          <w:p>
            <w:pPr>
              <w:spacing w:after="0"/>
              <w:rPr>
                <w:sz w:val="17"/>
                <w:szCs w:val="17"/>
                <w:color w:val="auto"/>
              </w:rPr>
            </w:pPr>
          </w:p>
        </w:tc>
        <w:tc>
          <w:tcPr>
            <w:tcW w:w="800" w:type="dxa"/>
            <w:vAlign w:val="bottom"/>
            <w:shd w:val="clear" w:color="auto" w:fill="F1EFEC"/>
          </w:tcPr>
          <w:p>
            <w:pPr>
              <w:spacing w:after="0"/>
              <w:rPr>
                <w:sz w:val="17"/>
                <w:szCs w:val="17"/>
                <w:color w:val="auto"/>
              </w:rPr>
            </w:pPr>
          </w:p>
        </w:tc>
        <w:tc>
          <w:tcPr>
            <w:tcW w:w="660" w:type="dxa"/>
            <w:vAlign w:val="bottom"/>
            <w:shd w:val="clear" w:color="auto" w:fill="F1EFEC"/>
          </w:tcPr>
          <w:p>
            <w:pPr>
              <w:spacing w:after="0"/>
              <w:rPr>
                <w:sz w:val="17"/>
                <w:szCs w:val="17"/>
                <w:color w:val="auto"/>
              </w:rPr>
            </w:pPr>
          </w:p>
        </w:tc>
        <w:tc>
          <w:tcPr>
            <w:tcW w:w="420" w:type="dxa"/>
            <w:vAlign w:val="bottom"/>
            <w:shd w:val="clear" w:color="auto" w:fill="F1EFEC"/>
          </w:tcPr>
          <w:p>
            <w:pPr>
              <w:spacing w:after="0"/>
              <w:rPr>
                <w:sz w:val="17"/>
                <w:szCs w:val="17"/>
                <w:color w:val="auto"/>
              </w:rPr>
            </w:pPr>
          </w:p>
        </w:tc>
        <w:tc>
          <w:tcPr>
            <w:tcW w:w="760" w:type="dxa"/>
            <w:vAlign w:val="bottom"/>
            <w:shd w:val="clear" w:color="auto" w:fill="F1EFEC"/>
          </w:tcPr>
          <w:p>
            <w:pPr>
              <w:spacing w:after="0"/>
              <w:rPr>
                <w:sz w:val="17"/>
                <w:szCs w:val="17"/>
                <w:color w:val="auto"/>
              </w:rPr>
            </w:pPr>
          </w:p>
        </w:tc>
        <w:tc>
          <w:tcPr>
            <w:tcW w:w="960" w:type="dxa"/>
            <w:vAlign w:val="bottom"/>
            <w:shd w:val="clear" w:color="auto" w:fill="F1EFEC"/>
          </w:tcPr>
          <w:p>
            <w:pPr>
              <w:spacing w:after="0"/>
              <w:rPr>
                <w:sz w:val="17"/>
                <w:szCs w:val="17"/>
                <w:color w:val="auto"/>
              </w:rPr>
            </w:pPr>
          </w:p>
        </w:tc>
        <w:tc>
          <w:tcPr>
            <w:tcW w:w="640" w:type="dxa"/>
            <w:vAlign w:val="bottom"/>
            <w:shd w:val="clear" w:color="auto" w:fill="F1EFEC"/>
          </w:tcPr>
          <w:p>
            <w:pPr>
              <w:spacing w:after="0"/>
              <w:rPr>
                <w:sz w:val="17"/>
                <w:szCs w:val="17"/>
                <w:color w:val="auto"/>
              </w:rPr>
            </w:pPr>
          </w:p>
        </w:tc>
        <w:tc>
          <w:tcPr>
            <w:tcW w:w="700" w:type="dxa"/>
            <w:vAlign w:val="bottom"/>
            <w:shd w:val="clear" w:color="auto" w:fill="F1EFEC"/>
          </w:tcPr>
          <w:p>
            <w:pPr>
              <w:spacing w:after="0"/>
              <w:rPr>
                <w:sz w:val="17"/>
                <w:szCs w:val="17"/>
                <w:color w:val="auto"/>
              </w:rPr>
            </w:pPr>
          </w:p>
        </w:tc>
        <w:tc>
          <w:tcPr>
            <w:tcW w:w="580" w:type="dxa"/>
            <w:vAlign w:val="bottom"/>
            <w:shd w:val="clear" w:color="auto" w:fill="F1EFEC"/>
          </w:tcPr>
          <w:p>
            <w:pPr>
              <w:spacing w:after="0"/>
              <w:rPr>
                <w:sz w:val="17"/>
                <w:szCs w:val="17"/>
                <w:color w:val="auto"/>
              </w:rPr>
            </w:pPr>
          </w:p>
        </w:tc>
      </w:tr>
      <w:tr>
        <w:trPr>
          <w:trHeight w:val="82"/>
        </w:trPr>
        <w:tc>
          <w:tcPr>
            <w:tcW w:w="2520" w:type="dxa"/>
            <w:vAlign w:val="bottom"/>
            <w:shd w:val="clear" w:color="auto" w:fill="F1EFEC"/>
          </w:tcPr>
          <w:p>
            <w:pPr>
              <w:spacing w:after="0"/>
              <w:rPr>
                <w:sz w:val="7"/>
                <w:szCs w:val="7"/>
                <w:color w:val="auto"/>
              </w:rPr>
            </w:pPr>
          </w:p>
        </w:tc>
        <w:tc>
          <w:tcPr>
            <w:tcW w:w="700" w:type="dxa"/>
            <w:vAlign w:val="bottom"/>
            <w:shd w:val="clear" w:color="auto" w:fill="F1EFEC"/>
          </w:tcPr>
          <w:p>
            <w:pPr>
              <w:spacing w:after="0"/>
              <w:rPr>
                <w:sz w:val="7"/>
                <w:szCs w:val="7"/>
                <w:color w:val="auto"/>
              </w:rPr>
            </w:pPr>
          </w:p>
        </w:tc>
        <w:tc>
          <w:tcPr>
            <w:tcW w:w="800" w:type="dxa"/>
            <w:vAlign w:val="bottom"/>
            <w:shd w:val="clear" w:color="auto" w:fill="F1EFEC"/>
          </w:tcPr>
          <w:p>
            <w:pPr>
              <w:spacing w:after="0"/>
              <w:rPr>
                <w:sz w:val="7"/>
                <w:szCs w:val="7"/>
                <w:color w:val="auto"/>
              </w:rPr>
            </w:pPr>
          </w:p>
        </w:tc>
        <w:tc>
          <w:tcPr>
            <w:tcW w:w="660" w:type="dxa"/>
            <w:vAlign w:val="bottom"/>
            <w:shd w:val="clear" w:color="auto" w:fill="F1EFEC"/>
          </w:tcPr>
          <w:p>
            <w:pPr>
              <w:spacing w:after="0"/>
              <w:rPr>
                <w:sz w:val="7"/>
                <w:szCs w:val="7"/>
                <w:color w:val="auto"/>
              </w:rPr>
            </w:pPr>
          </w:p>
        </w:tc>
        <w:tc>
          <w:tcPr>
            <w:tcW w:w="420" w:type="dxa"/>
            <w:vAlign w:val="bottom"/>
            <w:shd w:val="clear" w:color="auto" w:fill="F1EFEC"/>
          </w:tcPr>
          <w:p>
            <w:pPr>
              <w:spacing w:after="0"/>
              <w:rPr>
                <w:sz w:val="7"/>
                <w:szCs w:val="7"/>
                <w:color w:val="auto"/>
              </w:rPr>
            </w:pPr>
          </w:p>
        </w:tc>
        <w:tc>
          <w:tcPr>
            <w:tcW w:w="760" w:type="dxa"/>
            <w:vAlign w:val="bottom"/>
            <w:shd w:val="clear" w:color="auto" w:fill="F1EFEC"/>
          </w:tcPr>
          <w:p>
            <w:pPr>
              <w:spacing w:after="0"/>
              <w:rPr>
                <w:sz w:val="7"/>
                <w:szCs w:val="7"/>
                <w:color w:val="auto"/>
              </w:rPr>
            </w:pPr>
          </w:p>
        </w:tc>
        <w:tc>
          <w:tcPr>
            <w:tcW w:w="960" w:type="dxa"/>
            <w:vAlign w:val="bottom"/>
            <w:shd w:val="clear" w:color="auto" w:fill="F1EFEC"/>
          </w:tcPr>
          <w:p>
            <w:pPr>
              <w:spacing w:after="0"/>
              <w:rPr>
                <w:sz w:val="7"/>
                <w:szCs w:val="7"/>
                <w:color w:val="auto"/>
              </w:rPr>
            </w:pPr>
          </w:p>
        </w:tc>
        <w:tc>
          <w:tcPr>
            <w:tcW w:w="640" w:type="dxa"/>
            <w:vAlign w:val="bottom"/>
            <w:shd w:val="clear" w:color="auto" w:fill="F1EFEC"/>
          </w:tcPr>
          <w:p>
            <w:pPr>
              <w:spacing w:after="0"/>
              <w:rPr>
                <w:sz w:val="7"/>
                <w:szCs w:val="7"/>
                <w:color w:val="auto"/>
              </w:rPr>
            </w:pPr>
          </w:p>
        </w:tc>
        <w:tc>
          <w:tcPr>
            <w:tcW w:w="700" w:type="dxa"/>
            <w:vAlign w:val="bottom"/>
            <w:shd w:val="clear" w:color="auto" w:fill="F1EFEC"/>
          </w:tcPr>
          <w:p>
            <w:pPr>
              <w:spacing w:after="0"/>
              <w:rPr>
                <w:sz w:val="7"/>
                <w:szCs w:val="7"/>
                <w:color w:val="auto"/>
              </w:rPr>
            </w:pPr>
          </w:p>
        </w:tc>
        <w:tc>
          <w:tcPr>
            <w:tcW w:w="580" w:type="dxa"/>
            <w:vAlign w:val="bottom"/>
            <w:shd w:val="clear" w:color="auto" w:fill="F1EFEC"/>
          </w:tcPr>
          <w:p>
            <w:pPr>
              <w:spacing w:after="0"/>
              <w:rPr>
                <w:sz w:val="7"/>
                <w:szCs w:val="7"/>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1"/>
                <w:szCs w:val="11"/>
                <w:color w:val="auto"/>
              </w:rPr>
              <w:t>Male Director</w:t>
            </w:r>
          </w:p>
        </w:tc>
        <w:tc>
          <w:tcPr>
            <w:tcW w:w="700" w:type="dxa"/>
            <w:vAlign w:val="bottom"/>
          </w:tcPr>
          <w:p>
            <w:pPr>
              <w:spacing w:after="0"/>
              <w:rPr>
                <w:sz w:val="19"/>
                <w:szCs w:val="19"/>
                <w:color w:val="auto"/>
              </w:rPr>
            </w:pPr>
          </w:p>
        </w:tc>
        <w:tc>
          <w:tcPr>
            <w:tcW w:w="800" w:type="dxa"/>
            <w:vAlign w:val="bottom"/>
          </w:tcPr>
          <w:p>
            <w:pPr>
              <w:ind w:left="380"/>
              <w:spacing w:after="0"/>
              <w:rPr>
                <w:sz w:val="20"/>
                <w:szCs w:val="20"/>
                <w:color w:val="auto"/>
              </w:rPr>
            </w:pPr>
            <w:r>
              <w:rPr>
                <w:rFonts w:ascii="Arial" w:cs="Arial" w:eastAsia="Arial" w:hAnsi="Arial"/>
                <w:sz w:val="11"/>
                <w:szCs w:val="11"/>
                <w:color w:val="auto"/>
              </w:rPr>
              <w:t>X </w:t>
            </w:r>
          </w:p>
        </w:tc>
        <w:tc>
          <w:tcPr>
            <w:tcW w:w="660" w:type="dxa"/>
            <w:vAlign w:val="bottom"/>
          </w:tcPr>
          <w:p>
            <w:pPr>
              <w:ind w:left="300"/>
              <w:spacing w:after="0"/>
              <w:rPr>
                <w:sz w:val="20"/>
                <w:szCs w:val="20"/>
                <w:color w:val="auto"/>
              </w:rPr>
            </w:pPr>
            <w:r>
              <w:rPr>
                <w:rFonts w:ascii="Arial" w:cs="Arial" w:eastAsia="Arial" w:hAnsi="Arial"/>
                <w:sz w:val="11"/>
                <w:szCs w:val="11"/>
                <w:color w:val="auto"/>
              </w:rPr>
              <w:t>X </w:t>
            </w:r>
          </w:p>
        </w:tc>
        <w:tc>
          <w:tcPr>
            <w:tcW w:w="420" w:type="dxa"/>
            <w:vAlign w:val="bottom"/>
          </w:tcPr>
          <w:p>
            <w:pPr>
              <w:ind w:left="200"/>
              <w:spacing w:after="0"/>
              <w:rPr>
                <w:sz w:val="20"/>
                <w:szCs w:val="20"/>
                <w:color w:val="auto"/>
              </w:rPr>
            </w:pPr>
            <w:r>
              <w:rPr>
                <w:rFonts w:ascii="Arial" w:cs="Arial" w:eastAsia="Arial" w:hAnsi="Arial"/>
                <w:sz w:val="11"/>
                <w:szCs w:val="11"/>
                <w:color w:val="auto"/>
              </w:rPr>
              <w:t>X</w:t>
            </w:r>
          </w:p>
        </w:tc>
        <w:tc>
          <w:tcPr>
            <w:tcW w:w="760" w:type="dxa"/>
            <w:vAlign w:val="bottom"/>
          </w:tcPr>
          <w:p>
            <w:pPr>
              <w:spacing w:after="0"/>
              <w:rPr>
                <w:sz w:val="19"/>
                <w:szCs w:val="19"/>
                <w:color w:val="auto"/>
              </w:rPr>
            </w:pPr>
          </w:p>
        </w:tc>
        <w:tc>
          <w:tcPr>
            <w:tcW w:w="960" w:type="dxa"/>
            <w:vAlign w:val="bottom"/>
          </w:tcPr>
          <w:p>
            <w:pPr>
              <w:ind w:left="440"/>
              <w:spacing w:after="0"/>
              <w:rPr>
                <w:sz w:val="20"/>
                <w:szCs w:val="20"/>
                <w:color w:val="auto"/>
              </w:rPr>
            </w:pPr>
            <w:r>
              <w:rPr>
                <w:rFonts w:ascii="Arial" w:cs="Arial" w:eastAsia="Arial" w:hAnsi="Arial"/>
                <w:sz w:val="11"/>
                <w:szCs w:val="11"/>
                <w:color w:val="auto"/>
              </w:rPr>
              <w:t>X </w:t>
            </w:r>
          </w:p>
        </w:tc>
        <w:tc>
          <w:tcPr>
            <w:tcW w:w="640" w:type="dxa"/>
            <w:vAlign w:val="bottom"/>
          </w:tcPr>
          <w:p>
            <w:pPr>
              <w:ind w:left="280"/>
              <w:spacing w:after="0"/>
              <w:rPr>
                <w:sz w:val="20"/>
                <w:szCs w:val="20"/>
                <w:color w:val="auto"/>
              </w:rPr>
            </w:pPr>
            <w:r>
              <w:rPr>
                <w:rFonts w:ascii="Arial" w:cs="Arial" w:eastAsia="Arial" w:hAnsi="Arial"/>
                <w:sz w:val="11"/>
                <w:szCs w:val="11"/>
                <w:color w:val="auto"/>
              </w:rPr>
              <w:t>X </w:t>
            </w:r>
          </w:p>
        </w:tc>
        <w:tc>
          <w:tcPr>
            <w:tcW w:w="700" w:type="dxa"/>
            <w:vAlign w:val="bottom"/>
          </w:tcPr>
          <w:p>
            <w:pPr>
              <w:ind w:left="320"/>
              <w:spacing w:after="0"/>
              <w:rPr>
                <w:sz w:val="20"/>
                <w:szCs w:val="20"/>
                <w:color w:val="auto"/>
              </w:rPr>
            </w:pPr>
            <w:r>
              <w:rPr>
                <w:rFonts w:ascii="Arial" w:cs="Arial" w:eastAsia="Arial" w:hAnsi="Arial"/>
                <w:sz w:val="11"/>
                <w:szCs w:val="11"/>
                <w:color w:val="auto"/>
              </w:rPr>
              <w:t>X </w:t>
            </w:r>
          </w:p>
        </w:tc>
        <w:tc>
          <w:tcPr>
            <w:tcW w:w="580" w:type="dxa"/>
            <w:vAlign w:val="bottom"/>
          </w:tcPr>
          <w:p>
            <w:pPr>
              <w:spacing w:after="0"/>
              <w:rPr>
                <w:sz w:val="19"/>
                <w:szCs w:val="19"/>
                <w:color w:val="auto"/>
              </w:rPr>
            </w:pPr>
          </w:p>
        </w:tc>
      </w:tr>
      <w:tr>
        <w:trPr>
          <w:trHeight w:val="71"/>
        </w:trPr>
        <w:tc>
          <w:tcPr>
            <w:tcW w:w="2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229"/>
        </w:trPr>
        <w:tc>
          <w:tcPr>
            <w:tcW w:w="2520" w:type="dxa"/>
            <w:vAlign w:val="bottom"/>
            <w:shd w:val="clear" w:color="auto" w:fill="F1EFEC"/>
          </w:tcPr>
          <w:p>
            <w:pPr>
              <w:ind w:left="40"/>
              <w:spacing w:after="0"/>
              <w:rPr>
                <w:sz w:val="20"/>
                <w:szCs w:val="20"/>
                <w:color w:val="auto"/>
              </w:rPr>
            </w:pPr>
            <w:r>
              <w:rPr>
                <w:rFonts w:ascii="Arial" w:cs="Arial" w:eastAsia="Arial" w:hAnsi="Arial"/>
                <w:sz w:val="11"/>
                <w:szCs w:val="11"/>
                <w:color w:val="auto"/>
              </w:rPr>
              <w:t>Female Director</w:t>
            </w:r>
          </w:p>
        </w:tc>
        <w:tc>
          <w:tcPr>
            <w:tcW w:w="700" w:type="dxa"/>
            <w:vAlign w:val="bottom"/>
            <w:shd w:val="clear" w:color="auto" w:fill="F1EFEC"/>
          </w:tcPr>
          <w:p>
            <w:pPr>
              <w:ind w:left="320"/>
              <w:spacing w:after="0"/>
              <w:rPr>
                <w:sz w:val="20"/>
                <w:szCs w:val="20"/>
                <w:color w:val="auto"/>
              </w:rPr>
            </w:pPr>
            <w:r>
              <w:rPr>
                <w:rFonts w:ascii="Arial" w:cs="Arial" w:eastAsia="Arial" w:hAnsi="Arial"/>
                <w:sz w:val="11"/>
                <w:szCs w:val="11"/>
                <w:color w:val="auto"/>
              </w:rPr>
              <w:t>X </w:t>
            </w:r>
          </w:p>
        </w:tc>
        <w:tc>
          <w:tcPr>
            <w:tcW w:w="800" w:type="dxa"/>
            <w:vAlign w:val="bottom"/>
            <w:shd w:val="clear" w:color="auto" w:fill="F1EFEC"/>
          </w:tcPr>
          <w:p>
            <w:pPr>
              <w:spacing w:after="0"/>
              <w:rPr>
                <w:sz w:val="19"/>
                <w:szCs w:val="19"/>
                <w:color w:val="auto"/>
              </w:rPr>
            </w:pPr>
          </w:p>
        </w:tc>
        <w:tc>
          <w:tcPr>
            <w:tcW w:w="660" w:type="dxa"/>
            <w:vAlign w:val="bottom"/>
            <w:shd w:val="clear" w:color="auto" w:fill="F1EFEC"/>
          </w:tcPr>
          <w:p>
            <w:pPr>
              <w:spacing w:after="0"/>
              <w:rPr>
                <w:sz w:val="19"/>
                <w:szCs w:val="19"/>
                <w:color w:val="auto"/>
              </w:rPr>
            </w:pPr>
          </w:p>
        </w:tc>
        <w:tc>
          <w:tcPr>
            <w:tcW w:w="420" w:type="dxa"/>
            <w:vAlign w:val="bottom"/>
            <w:shd w:val="clear" w:color="auto" w:fill="F1EFEC"/>
          </w:tcPr>
          <w:p>
            <w:pPr>
              <w:spacing w:after="0"/>
              <w:rPr>
                <w:sz w:val="19"/>
                <w:szCs w:val="19"/>
                <w:color w:val="auto"/>
              </w:rPr>
            </w:pPr>
          </w:p>
        </w:tc>
        <w:tc>
          <w:tcPr>
            <w:tcW w:w="760" w:type="dxa"/>
            <w:vAlign w:val="bottom"/>
            <w:shd w:val="clear" w:color="auto" w:fill="F1EFEC"/>
          </w:tcPr>
          <w:p>
            <w:pPr>
              <w:ind w:left="340"/>
              <w:spacing w:after="0"/>
              <w:rPr>
                <w:sz w:val="20"/>
                <w:szCs w:val="20"/>
                <w:color w:val="auto"/>
              </w:rPr>
            </w:pPr>
            <w:r>
              <w:rPr>
                <w:rFonts w:ascii="Arial" w:cs="Arial" w:eastAsia="Arial" w:hAnsi="Arial"/>
                <w:sz w:val="11"/>
                <w:szCs w:val="11"/>
                <w:color w:val="auto"/>
              </w:rPr>
              <w:t>X </w:t>
            </w:r>
          </w:p>
        </w:tc>
        <w:tc>
          <w:tcPr>
            <w:tcW w:w="960" w:type="dxa"/>
            <w:vAlign w:val="bottom"/>
            <w:shd w:val="clear" w:color="auto" w:fill="F1EFEC"/>
          </w:tcPr>
          <w:p>
            <w:pPr>
              <w:spacing w:after="0"/>
              <w:rPr>
                <w:sz w:val="19"/>
                <w:szCs w:val="19"/>
                <w:color w:val="auto"/>
              </w:rPr>
            </w:pPr>
          </w:p>
        </w:tc>
        <w:tc>
          <w:tcPr>
            <w:tcW w:w="640" w:type="dxa"/>
            <w:vAlign w:val="bottom"/>
            <w:shd w:val="clear" w:color="auto" w:fill="F1EFEC"/>
          </w:tcPr>
          <w:p>
            <w:pPr>
              <w:spacing w:after="0"/>
              <w:rPr>
                <w:sz w:val="19"/>
                <w:szCs w:val="19"/>
                <w:color w:val="auto"/>
              </w:rPr>
            </w:pPr>
          </w:p>
        </w:tc>
        <w:tc>
          <w:tcPr>
            <w:tcW w:w="700" w:type="dxa"/>
            <w:vAlign w:val="bottom"/>
            <w:shd w:val="clear" w:color="auto" w:fill="F1EFEC"/>
          </w:tcPr>
          <w:p>
            <w:pPr>
              <w:spacing w:after="0"/>
              <w:rPr>
                <w:sz w:val="19"/>
                <w:szCs w:val="19"/>
                <w:color w:val="auto"/>
              </w:rPr>
            </w:pPr>
          </w:p>
        </w:tc>
        <w:tc>
          <w:tcPr>
            <w:tcW w:w="580" w:type="dxa"/>
            <w:vAlign w:val="bottom"/>
            <w:shd w:val="clear" w:color="auto" w:fill="F1EFEC"/>
          </w:tcPr>
          <w:p>
            <w:pPr>
              <w:ind w:left="260"/>
              <w:spacing w:after="0"/>
              <w:rPr>
                <w:sz w:val="20"/>
                <w:szCs w:val="20"/>
                <w:color w:val="auto"/>
              </w:rPr>
            </w:pPr>
            <w:r>
              <w:rPr>
                <w:rFonts w:ascii="Arial" w:cs="Arial" w:eastAsia="Arial" w:hAnsi="Arial"/>
                <w:sz w:val="11"/>
                <w:szCs w:val="11"/>
                <w:color w:val="auto"/>
              </w:rPr>
              <w:t>X</w:t>
            </w:r>
          </w:p>
        </w:tc>
      </w:tr>
      <w:tr>
        <w:trPr>
          <w:trHeight w:val="71"/>
        </w:trPr>
        <w:tc>
          <w:tcPr>
            <w:tcW w:w="2520" w:type="dxa"/>
            <w:vAlign w:val="bottom"/>
            <w:shd w:val="clear" w:color="auto" w:fill="F1EFEC"/>
          </w:tcPr>
          <w:p>
            <w:pPr>
              <w:spacing w:after="0"/>
              <w:rPr>
                <w:sz w:val="6"/>
                <w:szCs w:val="6"/>
                <w:color w:val="auto"/>
              </w:rPr>
            </w:pPr>
          </w:p>
        </w:tc>
        <w:tc>
          <w:tcPr>
            <w:tcW w:w="700" w:type="dxa"/>
            <w:vAlign w:val="bottom"/>
            <w:shd w:val="clear" w:color="auto" w:fill="F1EFEC"/>
          </w:tcPr>
          <w:p>
            <w:pPr>
              <w:spacing w:after="0"/>
              <w:rPr>
                <w:sz w:val="6"/>
                <w:szCs w:val="6"/>
                <w:color w:val="auto"/>
              </w:rPr>
            </w:pPr>
          </w:p>
        </w:tc>
        <w:tc>
          <w:tcPr>
            <w:tcW w:w="800" w:type="dxa"/>
            <w:vAlign w:val="bottom"/>
            <w:shd w:val="clear" w:color="auto" w:fill="F1EFEC"/>
          </w:tcPr>
          <w:p>
            <w:pPr>
              <w:spacing w:after="0"/>
              <w:rPr>
                <w:sz w:val="6"/>
                <w:szCs w:val="6"/>
                <w:color w:val="auto"/>
              </w:rPr>
            </w:pPr>
          </w:p>
        </w:tc>
        <w:tc>
          <w:tcPr>
            <w:tcW w:w="660" w:type="dxa"/>
            <w:vAlign w:val="bottom"/>
            <w:shd w:val="clear" w:color="auto" w:fill="F1EFEC"/>
          </w:tcPr>
          <w:p>
            <w:pPr>
              <w:spacing w:after="0"/>
              <w:rPr>
                <w:sz w:val="6"/>
                <w:szCs w:val="6"/>
                <w:color w:val="auto"/>
              </w:rPr>
            </w:pPr>
          </w:p>
        </w:tc>
        <w:tc>
          <w:tcPr>
            <w:tcW w:w="420" w:type="dxa"/>
            <w:vAlign w:val="bottom"/>
            <w:shd w:val="clear" w:color="auto" w:fill="F1EFEC"/>
          </w:tcPr>
          <w:p>
            <w:pPr>
              <w:spacing w:after="0"/>
              <w:rPr>
                <w:sz w:val="6"/>
                <w:szCs w:val="6"/>
                <w:color w:val="auto"/>
              </w:rPr>
            </w:pPr>
          </w:p>
        </w:tc>
        <w:tc>
          <w:tcPr>
            <w:tcW w:w="760" w:type="dxa"/>
            <w:vAlign w:val="bottom"/>
            <w:shd w:val="clear" w:color="auto" w:fill="F1EFEC"/>
          </w:tcPr>
          <w:p>
            <w:pPr>
              <w:spacing w:after="0"/>
              <w:rPr>
                <w:sz w:val="6"/>
                <w:szCs w:val="6"/>
                <w:color w:val="auto"/>
              </w:rPr>
            </w:pPr>
          </w:p>
        </w:tc>
        <w:tc>
          <w:tcPr>
            <w:tcW w:w="960" w:type="dxa"/>
            <w:vAlign w:val="bottom"/>
            <w:shd w:val="clear" w:color="auto" w:fill="F1EFEC"/>
          </w:tcPr>
          <w:p>
            <w:pPr>
              <w:spacing w:after="0"/>
              <w:rPr>
                <w:sz w:val="6"/>
                <w:szCs w:val="6"/>
                <w:color w:val="auto"/>
              </w:rPr>
            </w:pPr>
          </w:p>
        </w:tc>
        <w:tc>
          <w:tcPr>
            <w:tcW w:w="640" w:type="dxa"/>
            <w:vAlign w:val="bottom"/>
            <w:shd w:val="clear" w:color="auto" w:fill="F1EFEC"/>
          </w:tcPr>
          <w:p>
            <w:pPr>
              <w:spacing w:after="0"/>
              <w:rPr>
                <w:sz w:val="6"/>
                <w:szCs w:val="6"/>
                <w:color w:val="auto"/>
              </w:rPr>
            </w:pPr>
          </w:p>
        </w:tc>
        <w:tc>
          <w:tcPr>
            <w:tcW w:w="700" w:type="dxa"/>
            <w:vAlign w:val="bottom"/>
            <w:shd w:val="clear" w:color="auto" w:fill="F1EFEC"/>
          </w:tcPr>
          <w:p>
            <w:pPr>
              <w:spacing w:after="0"/>
              <w:rPr>
                <w:sz w:val="6"/>
                <w:szCs w:val="6"/>
                <w:color w:val="auto"/>
              </w:rPr>
            </w:pPr>
          </w:p>
        </w:tc>
        <w:tc>
          <w:tcPr>
            <w:tcW w:w="580" w:type="dxa"/>
            <w:vAlign w:val="bottom"/>
            <w:shd w:val="clear" w:color="auto" w:fill="F1EFEC"/>
          </w:tcPr>
          <w:p>
            <w:pPr>
              <w:spacing w:after="0"/>
              <w:rPr>
                <w:sz w:val="6"/>
                <w:szCs w:val="6"/>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1"/>
                <w:szCs w:val="11"/>
                <w:color w:val="auto"/>
              </w:rPr>
              <w:t>Racial/Ethnic Minority Director</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ind w:left="200"/>
              <w:spacing w:after="0"/>
              <w:rPr>
                <w:sz w:val="20"/>
                <w:szCs w:val="20"/>
                <w:color w:val="auto"/>
              </w:rPr>
            </w:pPr>
            <w:r>
              <w:rPr>
                <w:rFonts w:ascii="Arial" w:cs="Arial" w:eastAsia="Arial" w:hAnsi="Arial"/>
                <w:sz w:val="11"/>
                <w:szCs w:val="11"/>
                <w:color w:val="auto"/>
              </w:rPr>
              <w:t>X</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1"/>
                <w:szCs w:val="11"/>
                <w:color w:val="auto"/>
              </w:rPr>
              <w:t>X </w:t>
            </w:r>
          </w:p>
        </w:tc>
        <w:tc>
          <w:tcPr>
            <w:tcW w:w="5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5985510</wp:posOffset>
            </wp:positionH>
            <wp:positionV relativeFrom="paragraph">
              <wp:posOffset>-335915</wp:posOffset>
            </wp:positionV>
            <wp:extent cx="6985" cy="190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5" cy="19050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-335915</wp:posOffset>
            </wp:positionV>
            <wp:extent cx="6985" cy="190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5" cy="190500"/>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-335915</wp:posOffset>
            </wp:positionV>
            <wp:extent cx="6985" cy="190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85" cy="19050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-335915</wp:posOffset>
            </wp:positionV>
            <wp:extent cx="6985" cy="190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85" cy="19050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-335915</wp:posOffset>
            </wp:positionV>
            <wp:extent cx="6985" cy="190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85" cy="19050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-335915</wp:posOffset>
            </wp:positionV>
            <wp:extent cx="6985" cy="190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85" cy="190500"/>
                    </a:xfrm>
                    <a:prstGeom prst="rect">
                      <a:avLst/>
                    </a:prstGeom>
                    <a:noFill/>
                  </pic:spPr>
                </pic:pic>
              </a:graphicData>
            </a:graphic>
          </wp:anchor>
        </w:drawing>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1"/>
          <w:szCs w:val="11"/>
          <w:color w:val="auto"/>
        </w:rPr>
        <w:t>* Denotes those designated as Audit Committee financial experts.</w:t>
      </w:r>
    </w:p>
    <w:p>
      <w:pPr>
        <w:sectPr>
          <w:pgSz w:w="11900" w:h="16838" w:orient="portrait"/>
          <w:cols w:equalWidth="0" w:num="1">
            <w:col w:w="10159"/>
          </w:cols>
          <w:pgMar w:left="300" w:top="412" w:right="1440" w:bottom="1440" w:gutter="0" w:footer="0" w:header="0"/>
        </w:sectPr>
      </w:pPr>
    </w:p>
    <w:p>
      <w:pPr>
        <w:spacing w:after="0" w:line="116" w:lineRule="exact"/>
        <w:rPr>
          <w:sz w:val="20"/>
          <w:szCs w:val="20"/>
          <w:color w:val="auto"/>
        </w:rPr>
      </w:pPr>
    </w:p>
    <w:p>
      <w:pPr>
        <w:ind w:left="996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0159"/>
          </w:cols>
          <w:pgMar w:left="300" w:top="412"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Director Biographies </w:t>
      </w:r>
      <w:r>
        <w:rPr>
          <w:rFonts w:ascii="Arial" w:cs="Arial" w:eastAsia="Arial" w:hAnsi="Arial"/>
          <w:sz w:val="10"/>
          <w:szCs w:val="10"/>
          <w:color w:val="auto"/>
        </w:rPr>
        <w:t>Biographical and other information for our director nominees and continuing directors is provided below.</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Betsy S. Atkins </w:t>
      </w:r>
      <w:r>
        <w:rPr>
          <w:rFonts w:ascii="Times New Roman" w:cs="Times New Roman" w:eastAsia="Times New Roman" w:hAnsi="Times New Roman"/>
          <w:sz w:val="11"/>
          <w:szCs w:val="11"/>
          <w:i w:val="1"/>
          <w:iCs w:val="1"/>
          <w:color w:val="auto"/>
        </w:rPr>
        <w:t>Chief Executive Officer and Founder, Baja Corporation</w:t>
      </w:r>
    </w:p>
    <w:p>
      <w:pPr>
        <w:spacing w:after="0" w:line="60" w:lineRule="exact"/>
        <w:rPr>
          <w:sz w:val="20"/>
          <w:szCs w:val="20"/>
          <w:color w:val="auto"/>
        </w:rPr>
      </w:pPr>
    </w:p>
    <w:p>
      <w:pPr>
        <w:ind w:left="1260" w:right="419"/>
        <w:spacing w:after="0" w:line="266" w:lineRule="auto"/>
        <w:rPr>
          <w:sz w:val="20"/>
          <w:szCs w:val="20"/>
          <w:color w:val="auto"/>
        </w:rPr>
      </w:pPr>
      <w:r>
        <w:rPr>
          <w:rFonts w:ascii="Arial" w:cs="Arial" w:eastAsia="Arial" w:hAnsi="Arial"/>
          <w:sz w:val="11"/>
          <w:szCs w:val="11"/>
          <w:color w:val="auto"/>
        </w:rPr>
        <w:t>Ms. Atkins has been Chief Executive Officer and Founder of Baja Corporation, an independent venture capital firm focused on technology, renewable energy and life sciences, since 1994. Ms. Atkins currently serves as a director of SolarEdge Technologies, Inc. (since June 2021), Enovix Corporation (since July 2021) and Rackspace Technology, Inc (since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57150</wp:posOffset>
            </wp:positionV>
            <wp:extent cx="1587500" cy="11309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7500" cy="1130935"/>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26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10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3"/>
                <w:szCs w:val="13"/>
                <w:color w:val="auto"/>
              </w:rPr>
              <w:t xml:space="preserve">   </w:t>
            </w:r>
          </w:p>
        </w:tc>
        <w:tc>
          <w:tcPr>
            <w:tcW w:w="1060" w:type="dxa"/>
            <w:vAlign w:val="bottom"/>
            <w:tcBorders>
              <w:bottom w:val="single" w:sz="8" w:color="auto"/>
            </w:tcBorders>
            <w:shd w:val="clear" w:color="auto" w:fill="F1EFEC"/>
          </w:tcPr>
          <w:p>
            <w:pPr>
              <w:ind w:left="40"/>
              <w:spacing w:after="0"/>
              <w:rPr>
                <w:sz w:val="20"/>
                <w:szCs w:val="20"/>
                <w:color w:val="auto"/>
              </w:rPr>
            </w:pPr>
            <w:r>
              <w:rPr>
                <w:rFonts w:ascii="Arial" w:cs="Arial" w:eastAsia="Arial" w:hAnsi="Arial"/>
                <w:sz w:val="10"/>
                <w:szCs w:val="10"/>
                <w:color w:val="auto"/>
              </w:rPr>
              <w:t>Director Since</w:t>
            </w:r>
          </w:p>
        </w:tc>
        <w:tc>
          <w:tcPr>
            <w:tcW w:w="1240" w:type="dxa"/>
            <w:vAlign w:val="bottom"/>
            <w:tcBorders>
              <w:bottom w:val="single" w:sz="8" w:color="auto"/>
            </w:tcBorders>
            <w:shd w:val="clear" w:color="auto" w:fill="F1EFEC"/>
          </w:tcPr>
          <w:p>
            <w:pPr>
              <w:ind w:left="20"/>
              <w:spacing w:after="0"/>
              <w:rPr>
                <w:sz w:val="20"/>
                <w:szCs w:val="20"/>
                <w:color w:val="auto"/>
              </w:rPr>
            </w:pPr>
            <w:r>
              <w:rPr>
                <w:rFonts w:ascii="Arial" w:cs="Arial" w:eastAsia="Arial" w:hAnsi="Arial"/>
                <w:sz w:val="10"/>
                <w:szCs w:val="10"/>
                <w:color w:val="auto"/>
              </w:rPr>
              <w:t>April 2018</w:t>
            </w:r>
          </w:p>
        </w:tc>
        <w:tc>
          <w:tcPr>
            <w:tcW w:w="120" w:type="dxa"/>
            <w:vAlign w:val="bottom"/>
            <w:tcBorders>
              <w:bottom w:val="single" w:sz="8" w:color="F1EFEC"/>
            </w:tcBorders>
            <w:shd w:val="clear" w:color="auto" w:fill="F1EFEC"/>
          </w:tcPr>
          <w:p>
            <w:pPr>
              <w:ind w:left="80"/>
              <w:spacing w:after="0"/>
              <w:rPr>
                <w:sz w:val="20"/>
                <w:szCs w:val="20"/>
                <w:color w:val="auto"/>
              </w:rPr>
            </w:pPr>
            <w:r>
              <w:rPr>
                <w:rFonts w:ascii="Arial" w:cs="Arial" w:eastAsia="Arial" w:hAnsi="Arial"/>
                <w:sz w:val="11"/>
                <w:szCs w:val="11"/>
                <w:color w:val="auto"/>
                <w:w w:val="70"/>
              </w:rPr>
              <w:t> </w:t>
            </w:r>
          </w:p>
        </w:tc>
      </w:tr>
      <w:tr>
        <w:trPr>
          <w:trHeight w:val="233"/>
        </w:trPr>
        <w:tc>
          <w:tcPr>
            <w:tcW w:w="20" w:type="dxa"/>
            <w:vAlign w:val="bottom"/>
          </w:tcPr>
          <w:p>
            <w:pPr>
              <w:spacing w:after="0"/>
              <w:rPr>
                <w:sz w:val="20"/>
                <w:szCs w:val="20"/>
                <w:color w:val="auto"/>
              </w:rPr>
            </w:pPr>
          </w:p>
        </w:tc>
        <w:tc>
          <w:tcPr>
            <w:tcW w:w="100" w:type="dxa"/>
            <w:vAlign w:val="bottom"/>
            <w:shd w:val="clear" w:color="auto" w:fill="F1EFEC"/>
          </w:tcPr>
          <w:p>
            <w:pPr>
              <w:spacing w:after="0"/>
              <w:rPr>
                <w:sz w:val="20"/>
                <w:szCs w:val="20"/>
                <w:color w:val="auto"/>
              </w:rPr>
            </w:pPr>
          </w:p>
        </w:tc>
        <w:tc>
          <w:tcPr>
            <w:tcW w:w="1060" w:type="dxa"/>
            <w:vAlign w:val="bottom"/>
            <w:shd w:val="clear" w:color="auto" w:fill="F1EFEC"/>
          </w:tcPr>
          <w:p>
            <w:pPr>
              <w:ind w:left="40"/>
              <w:spacing w:after="0"/>
              <w:rPr>
                <w:sz w:val="20"/>
                <w:szCs w:val="20"/>
                <w:color w:val="auto"/>
              </w:rPr>
            </w:pPr>
            <w:r>
              <w:rPr>
                <w:rFonts w:ascii="Arial" w:cs="Arial" w:eastAsia="Arial" w:hAnsi="Arial"/>
                <w:sz w:val="10"/>
                <w:szCs w:val="10"/>
                <w:color w:val="auto"/>
              </w:rPr>
              <w:t>Term Expires</w:t>
            </w:r>
          </w:p>
        </w:tc>
        <w:tc>
          <w:tcPr>
            <w:tcW w:w="1240" w:type="dxa"/>
            <w:vAlign w:val="bottom"/>
            <w:shd w:val="clear" w:color="auto" w:fill="F1EFEC"/>
          </w:tcPr>
          <w:p>
            <w:pPr>
              <w:ind w:left="20"/>
              <w:spacing w:after="0"/>
              <w:rPr>
                <w:sz w:val="20"/>
                <w:szCs w:val="20"/>
                <w:color w:val="auto"/>
              </w:rPr>
            </w:pPr>
            <w:r>
              <w:rPr>
                <w:rFonts w:ascii="Arial" w:cs="Arial" w:eastAsia="Arial" w:hAnsi="Arial"/>
                <w:sz w:val="10"/>
                <w:szCs w:val="10"/>
                <w:color w:val="auto"/>
              </w:rPr>
              <w:t>2027 Annual Meeting</w:t>
            </w:r>
          </w:p>
        </w:tc>
        <w:tc>
          <w:tcPr>
            <w:tcW w:w="120" w:type="dxa"/>
            <w:vAlign w:val="bottom"/>
            <w:shd w:val="clear" w:color="auto" w:fill="F1EFEC"/>
          </w:tcPr>
          <w:p>
            <w:pPr>
              <w:spacing w:after="0"/>
              <w:rPr>
                <w:sz w:val="20"/>
                <w:szCs w:val="20"/>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F1EFEC"/>
            </w:tcBorders>
            <w:shd w:val="clear" w:color="auto" w:fill="F1EFEC"/>
          </w:tcPr>
          <w:p>
            <w:pPr>
              <w:spacing w:after="0"/>
              <w:rPr>
                <w:sz w:val="8"/>
                <w:szCs w:val="8"/>
                <w:color w:val="auto"/>
              </w:rPr>
            </w:pPr>
          </w:p>
        </w:tc>
        <w:tc>
          <w:tcPr>
            <w:tcW w:w="1060" w:type="dxa"/>
            <w:vAlign w:val="bottom"/>
            <w:tcBorders>
              <w:bottom w:val="single" w:sz="8" w:color="auto"/>
            </w:tcBorders>
            <w:shd w:val="clear" w:color="auto" w:fill="F1EFEC"/>
          </w:tcPr>
          <w:p>
            <w:pPr>
              <w:spacing w:after="0"/>
              <w:rPr>
                <w:sz w:val="8"/>
                <w:szCs w:val="8"/>
                <w:color w:val="auto"/>
              </w:rPr>
            </w:pPr>
          </w:p>
        </w:tc>
        <w:tc>
          <w:tcPr>
            <w:tcW w:w="124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r>
      <w:tr>
        <w:trPr>
          <w:trHeight w:val="227"/>
        </w:trPr>
        <w:tc>
          <w:tcPr>
            <w:tcW w:w="20" w:type="dxa"/>
            <w:vAlign w:val="bottom"/>
          </w:tcPr>
          <w:p>
            <w:pPr>
              <w:spacing w:after="0"/>
              <w:rPr>
                <w:sz w:val="19"/>
                <w:szCs w:val="19"/>
                <w:color w:val="auto"/>
              </w:rPr>
            </w:pPr>
          </w:p>
        </w:tc>
        <w:tc>
          <w:tcPr>
            <w:tcW w:w="100" w:type="dxa"/>
            <w:vAlign w:val="bottom"/>
            <w:shd w:val="clear" w:color="auto" w:fill="F1EFEC"/>
          </w:tcPr>
          <w:p>
            <w:pPr>
              <w:spacing w:after="0"/>
              <w:rPr>
                <w:sz w:val="19"/>
                <w:szCs w:val="19"/>
                <w:color w:val="auto"/>
              </w:rPr>
            </w:pPr>
          </w:p>
        </w:tc>
        <w:tc>
          <w:tcPr>
            <w:tcW w:w="1060" w:type="dxa"/>
            <w:vAlign w:val="bottom"/>
            <w:shd w:val="clear" w:color="auto" w:fill="F1EFEC"/>
          </w:tcPr>
          <w:p>
            <w:pPr>
              <w:ind w:left="40"/>
              <w:spacing w:after="0"/>
              <w:rPr>
                <w:sz w:val="20"/>
                <w:szCs w:val="20"/>
                <w:color w:val="auto"/>
              </w:rPr>
            </w:pPr>
            <w:r>
              <w:rPr>
                <w:rFonts w:ascii="Arial" w:cs="Arial" w:eastAsia="Arial" w:hAnsi="Arial"/>
                <w:sz w:val="10"/>
                <w:szCs w:val="10"/>
                <w:color w:val="auto"/>
              </w:rPr>
              <w:t>Age</w:t>
            </w:r>
          </w:p>
        </w:tc>
        <w:tc>
          <w:tcPr>
            <w:tcW w:w="1240" w:type="dxa"/>
            <w:vAlign w:val="bottom"/>
            <w:shd w:val="clear" w:color="auto" w:fill="F1EFEC"/>
          </w:tcPr>
          <w:p>
            <w:pPr>
              <w:ind w:left="20"/>
              <w:spacing w:after="0"/>
              <w:rPr>
                <w:sz w:val="20"/>
                <w:szCs w:val="20"/>
                <w:color w:val="auto"/>
              </w:rPr>
            </w:pPr>
            <w:r>
              <w:rPr>
                <w:rFonts w:ascii="Arial" w:cs="Arial" w:eastAsia="Arial" w:hAnsi="Arial"/>
                <w:sz w:val="10"/>
                <w:szCs w:val="10"/>
                <w:color w:val="auto"/>
              </w:rPr>
              <w:t>72</w:t>
            </w:r>
          </w:p>
        </w:tc>
        <w:tc>
          <w:tcPr>
            <w:tcW w:w="120" w:type="dxa"/>
            <w:vAlign w:val="bottom"/>
            <w:shd w:val="clear" w:color="auto" w:fill="F1EFEC"/>
          </w:tcPr>
          <w:p>
            <w:pPr>
              <w:spacing w:after="0"/>
              <w:rPr>
                <w:sz w:val="19"/>
                <w:szCs w:val="19"/>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F1EFEC"/>
            </w:tcBorders>
            <w:shd w:val="clear" w:color="auto" w:fill="F1EFEC"/>
          </w:tcPr>
          <w:p>
            <w:pPr>
              <w:spacing w:after="0"/>
              <w:rPr>
                <w:sz w:val="8"/>
                <w:szCs w:val="8"/>
                <w:color w:val="auto"/>
              </w:rPr>
            </w:pPr>
          </w:p>
        </w:tc>
        <w:tc>
          <w:tcPr>
            <w:tcW w:w="1060" w:type="dxa"/>
            <w:vAlign w:val="bottom"/>
            <w:tcBorders>
              <w:bottom w:val="single" w:sz="8" w:color="auto"/>
            </w:tcBorders>
            <w:shd w:val="clear" w:color="auto" w:fill="F1EFEC"/>
          </w:tcPr>
          <w:p>
            <w:pPr>
              <w:spacing w:after="0"/>
              <w:rPr>
                <w:sz w:val="8"/>
                <w:szCs w:val="8"/>
                <w:color w:val="auto"/>
              </w:rPr>
            </w:pPr>
          </w:p>
        </w:tc>
        <w:tc>
          <w:tcPr>
            <w:tcW w:w="124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100" w:type="dxa"/>
            <w:vAlign w:val="bottom"/>
            <w:shd w:val="clear" w:color="auto" w:fill="F1EFEC"/>
          </w:tcPr>
          <w:p>
            <w:pPr>
              <w:spacing w:after="0"/>
              <w:rPr>
                <w:sz w:val="12"/>
                <w:szCs w:val="12"/>
                <w:color w:val="auto"/>
              </w:rPr>
            </w:pPr>
          </w:p>
        </w:tc>
        <w:tc>
          <w:tcPr>
            <w:tcW w:w="1060" w:type="dxa"/>
            <w:vAlign w:val="bottom"/>
            <w:shd w:val="clear" w:color="auto" w:fill="F1EFEC"/>
          </w:tcPr>
          <w:p>
            <w:pPr>
              <w:ind w:left="40"/>
              <w:spacing w:after="0"/>
              <w:rPr>
                <w:sz w:val="20"/>
                <w:szCs w:val="20"/>
                <w:color w:val="auto"/>
              </w:rPr>
            </w:pPr>
            <w:r>
              <w:rPr>
                <w:rFonts w:ascii="Arial" w:cs="Arial" w:eastAsia="Arial" w:hAnsi="Arial"/>
                <w:sz w:val="10"/>
                <w:szCs w:val="10"/>
                <w:color w:val="auto"/>
              </w:rPr>
              <w:t>Board Committees:</w:t>
            </w:r>
          </w:p>
        </w:tc>
        <w:tc>
          <w:tcPr>
            <w:tcW w:w="1240" w:type="dxa"/>
            <w:vAlign w:val="bottom"/>
            <w:shd w:val="clear" w:color="auto" w:fill="F1EFEC"/>
          </w:tcPr>
          <w:p>
            <w:pPr>
              <w:ind w:left="20"/>
              <w:spacing w:after="0"/>
              <w:rPr>
                <w:sz w:val="20"/>
                <w:szCs w:val="20"/>
                <w:color w:val="auto"/>
              </w:rPr>
            </w:pPr>
            <w:r>
              <w:rPr>
                <w:rFonts w:ascii="Arial" w:cs="Arial" w:eastAsia="Arial" w:hAnsi="Arial"/>
                <w:sz w:val="10"/>
                <w:szCs w:val="10"/>
                <w:color w:val="auto"/>
              </w:rPr>
              <w:t>Compensation (Chair),</w:t>
            </w:r>
          </w:p>
        </w:tc>
        <w:tc>
          <w:tcPr>
            <w:tcW w:w="120" w:type="dxa"/>
            <w:vAlign w:val="bottom"/>
            <w:shd w:val="clear" w:color="auto" w:fill="F1EFEC"/>
          </w:tcPr>
          <w:p>
            <w:pPr>
              <w:spacing w:after="0"/>
              <w:rPr>
                <w:sz w:val="12"/>
                <w:szCs w:val="12"/>
                <w:color w:val="auto"/>
              </w:rPr>
            </w:pPr>
          </w:p>
        </w:tc>
      </w:tr>
      <w:tr>
        <w:trPr>
          <w:trHeight w:val="107"/>
        </w:trPr>
        <w:tc>
          <w:tcPr>
            <w:tcW w:w="20" w:type="dxa"/>
            <w:vAlign w:val="bottom"/>
          </w:tcPr>
          <w:p>
            <w:pPr>
              <w:spacing w:after="0"/>
              <w:rPr>
                <w:sz w:val="9"/>
                <w:szCs w:val="9"/>
                <w:color w:val="auto"/>
              </w:rPr>
            </w:pPr>
          </w:p>
        </w:tc>
        <w:tc>
          <w:tcPr>
            <w:tcW w:w="100" w:type="dxa"/>
            <w:vAlign w:val="bottom"/>
            <w:shd w:val="clear" w:color="auto" w:fill="F1EFEC"/>
          </w:tcPr>
          <w:p>
            <w:pPr>
              <w:spacing w:after="0"/>
              <w:rPr>
                <w:sz w:val="9"/>
                <w:szCs w:val="9"/>
                <w:color w:val="auto"/>
              </w:rPr>
            </w:pPr>
          </w:p>
        </w:tc>
        <w:tc>
          <w:tcPr>
            <w:tcW w:w="1060" w:type="dxa"/>
            <w:vAlign w:val="bottom"/>
            <w:shd w:val="clear" w:color="auto" w:fill="F1EFEC"/>
          </w:tcPr>
          <w:p>
            <w:pPr>
              <w:spacing w:after="0"/>
              <w:rPr>
                <w:sz w:val="9"/>
                <w:szCs w:val="9"/>
                <w:color w:val="auto"/>
              </w:rPr>
            </w:pPr>
          </w:p>
        </w:tc>
        <w:tc>
          <w:tcPr>
            <w:tcW w:w="1240" w:type="dxa"/>
            <w:vAlign w:val="bottom"/>
            <w:shd w:val="clear" w:color="auto" w:fill="F1EFEC"/>
          </w:tcPr>
          <w:p>
            <w:pPr>
              <w:ind w:left="20"/>
              <w:spacing w:after="0" w:line="107" w:lineRule="exact"/>
              <w:rPr>
                <w:sz w:val="20"/>
                <w:szCs w:val="20"/>
                <w:color w:val="auto"/>
              </w:rPr>
            </w:pPr>
            <w:r>
              <w:rPr>
                <w:rFonts w:ascii="Arial" w:cs="Arial" w:eastAsia="Arial" w:hAnsi="Arial"/>
                <w:sz w:val="10"/>
                <w:szCs w:val="10"/>
                <w:color w:val="auto"/>
              </w:rPr>
              <w:t>Nominating and</w:t>
            </w:r>
          </w:p>
        </w:tc>
        <w:tc>
          <w:tcPr>
            <w:tcW w:w="120" w:type="dxa"/>
            <w:vAlign w:val="bottom"/>
            <w:shd w:val="clear" w:color="auto" w:fill="F1EFEC"/>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100" w:type="dxa"/>
            <w:vAlign w:val="bottom"/>
            <w:shd w:val="clear" w:color="auto" w:fill="F1EFEC"/>
          </w:tcPr>
          <w:p>
            <w:pPr>
              <w:spacing w:after="0"/>
              <w:rPr>
                <w:sz w:val="11"/>
                <w:szCs w:val="11"/>
                <w:color w:val="auto"/>
              </w:rPr>
            </w:pPr>
          </w:p>
        </w:tc>
        <w:tc>
          <w:tcPr>
            <w:tcW w:w="1060" w:type="dxa"/>
            <w:vAlign w:val="bottom"/>
            <w:shd w:val="clear" w:color="auto" w:fill="F1EFEC"/>
          </w:tcPr>
          <w:p>
            <w:pPr>
              <w:spacing w:after="0"/>
              <w:rPr>
                <w:sz w:val="11"/>
                <w:szCs w:val="11"/>
                <w:color w:val="auto"/>
              </w:rPr>
            </w:pPr>
          </w:p>
        </w:tc>
        <w:tc>
          <w:tcPr>
            <w:tcW w:w="1240" w:type="dxa"/>
            <w:vAlign w:val="bottom"/>
            <w:shd w:val="clear" w:color="auto" w:fill="F1EFEC"/>
          </w:tcPr>
          <w:p>
            <w:pPr>
              <w:ind w:left="20"/>
              <w:spacing w:after="0"/>
              <w:rPr>
                <w:sz w:val="20"/>
                <w:szCs w:val="20"/>
                <w:color w:val="auto"/>
              </w:rPr>
            </w:pPr>
            <w:r>
              <w:rPr>
                <w:rFonts w:ascii="Arial" w:cs="Arial" w:eastAsia="Arial" w:hAnsi="Arial"/>
                <w:sz w:val="10"/>
                <w:szCs w:val="10"/>
                <w:color w:val="auto"/>
              </w:rPr>
              <w:t>Corporate Governance</w:t>
            </w:r>
          </w:p>
        </w:tc>
        <w:tc>
          <w:tcPr>
            <w:tcW w:w="120" w:type="dxa"/>
            <w:vAlign w:val="bottom"/>
            <w:shd w:val="clear" w:color="auto" w:fill="F1EFEC"/>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shd w:val="clear" w:color="auto" w:fill="F1EFEC"/>
          </w:tcPr>
          <w:p>
            <w:pPr>
              <w:spacing w:after="0" w:line="20" w:lineRule="exact"/>
              <w:rPr>
                <w:sz w:val="1"/>
                <w:szCs w:val="1"/>
                <w:color w:val="auto"/>
              </w:rPr>
            </w:pPr>
          </w:p>
        </w:tc>
        <w:tc>
          <w:tcPr>
            <w:tcW w:w="1060" w:type="dxa"/>
            <w:vAlign w:val="bottom"/>
            <w:shd w:val="clear" w:color="auto" w:fill="F1EFEC"/>
          </w:tcPr>
          <w:p>
            <w:pPr>
              <w:spacing w:after="0" w:line="20" w:lineRule="exact"/>
              <w:rPr>
                <w:sz w:val="1"/>
                <w:szCs w:val="1"/>
                <w:color w:val="auto"/>
              </w:rPr>
            </w:pPr>
          </w:p>
        </w:tc>
        <w:tc>
          <w:tcPr>
            <w:tcW w:w="1240" w:type="dxa"/>
            <w:vAlign w:val="bottom"/>
            <w:shd w:val="clear" w:color="auto" w:fill="F1EFEC"/>
          </w:tcPr>
          <w:p>
            <w:pPr>
              <w:spacing w:after="0" w:line="20" w:lineRule="exact"/>
              <w:rPr>
                <w:sz w:val="1"/>
                <w:szCs w:val="1"/>
                <w:color w:val="auto"/>
              </w:rPr>
            </w:pPr>
          </w:p>
        </w:tc>
        <w:tc>
          <w:tcPr>
            <w:tcW w:w="120" w:type="dxa"/>
            <w:vAlign w:val="bottom"/>
            <w:shd w:val="clear" w:color="auto" w:fill="F1EFE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February 2009 to August 2009: Chair and Chief Executive Officer, Clear Standards (until acquired by SAP, AG)</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–   1991 to 1993: Chair and Chief Executive Officer, NCI, Inc.</w:t>
      </w:r>
    </w:p>
    <w:p>
      <w:pPr>
        <w:spacing w:after="0" w:line="34" w:lineRule="exact"/>
        <w:rPr>
          <w:sz w:val="20"/>
          <w:szCs w:val="20"/>
          <w:color w:val="auto"/>
        </w:rPr>
      </w:pPr>
    </w:p>
    <w:p>
      <w:pPr>
        <w:ind w:left="160" w:right="399" w:hanging="142"/>
        <w:spacing w:after="0" w:line="274" w:lineRule="auto"/>
        <w:rPr>
          <w:sz w:val="20"/>
          <w:szCs w:val="20"/>
          <w:color w:val="auto"/>
        </w:rPr>
      </w:pPr>
      <w:r>
        <w:rPr>
          <w:rFonts w:ascii="Arial" w:cs="Arial" w:eastAsia="Arial" w:hAnsi="Arial"/>
          <w:sz w:val="11"/>
          <w:szCs w:val="11"/>
          <w:color w:val="auto"/>
        </w:rPr>
        <w:t>–   1989 to 1999: Co-founder, Director, Executive Vice President Sales, Marketing, International Operations, Ascend Communications (until acquired by Lucent Technologies)</w:t>
      </w:r>
    </w:p>
    <w:p>
      <w:pPr>
        <w:spacing w:after="0" w:line="1" w:lineRule="exact"/>
        <w:rPr>
          <w:sz w:val="20"/>
          <w:szCs w:val="20"/>
          <w:color w:val="auto"/>
        </w:rPr>
      </w:pPr>
    </w:p>
    <w:p>
      <w:pPr>
        <w:ind w:left="160" w:right="139" w:hanging="142"/>
        <w:spacing w:after="0" w:line="253" w:lineRule="auto"/>
        <w:rPr>
          <w:sz w:val="20"/>
          <w:szCs w:val="20"/>
          <w:color w:val="auto"/>
        </w:rPr>
      </w:pPr>
      <w:r>
        <w:rPr>
          <w:rFonts w:ascii="Arial" w:cs="Arial" w:eastAsia="Arial" w:hAnsi="Arial"/>
          <w:sz w:val="11"/>
          <w:szCs w:val="11"/>
          <w:color w:val="auto"/>
        </w:rPr>
        <w:t>–   Previously served as a director of Chico’s FAS, Ciber, Cognizant Technology Solutions, Darden Restaurants. HD Supply Holdings, Polycom, Schneider Electric, SL Green Realty, Corp., SunPower Corporation, Volvo Car Group, 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1"/>
          <w:szCs w:val="11"/>
          <w:color w:val="auto"/>
        </w:rPr>
        <w:t>NASDAQ</w:t>
      </w:r>
    </w:p>
    <w:p>
      <w:pPr>
        <w:spacing w:after="0" w:line="24" w:lineRule="exact"/>
        <w:rPr>
          <w:sz w:val="20"/>
          <w:szCs w:val="20"/>
          <w:color w:val="auto"/>
        </w:rPr>
      </w:pPr>
    </w:p>
    <w:p>
      <w:pPr>
        <w:ind w:left="160" w:right="479" w:hanging="142"/>
        <w:spacing w:after="0" w:line="287" w:lineRule="auto"/>
        <w:rPr>
          <w:sz w:val="20"/>
          <w:szCs w:val="20"/>
          <w:color w:val="auto"/>
        </w:rPr>
      </w:pPr>
      <w:r>
        <w:rPr>
          <w:rFonts w:ascii="Arial" w:cs="Arial" w:eastAsia="Arial" w:hAnsi="Arial"/>
          <w:sz w:val="11"/>
          <w:szCs w:val="11"/>
          <w:color w:val="auto"/>
        </w:rPr>
        <w:t>–   Formerly Chair, Executive Advisory Board, SAP, AG, and Chair, Executive Advisory Board, British Telecom and presidential-appointee to the Pension Benefit Guaranty Corporation advisory committee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B9AFA0"/>
        </w:rPr>
        <w:t>EDUCATION</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Ms. Atkins graduated with a B.A. from the University of Massachusetts.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B9AFA0"/>
        </w:rPr>
        <w:t>EXPERTISE</w:t>
      </w:r>
    </w:p>
    <w:p>
      <w:pPr>
        <w:spacing w:after="0" w:line="8" w:lineRule="exact"/>
        <w:rPr>
          <w:sz w:val="20"/>
          <w:szCs w:val="20"/>
          <w:color w:val="auto"/>
        </w:rPr>
      </w:pPr>
    </w:p>
    <w:p>
      <w:pPr>
        <w:ind w:right="219"/>
        <w:spacing w:after="0" w:line="256" w:lineRule="auto"/>
        <w:rPr>
          <w:sz w:val="20"/>
          <w:szCs w:val="20"/>
          <w:color w:val="auto"/>
        </w:rPr>
      </w:pPr>
      <w:r>
        <w:rPr>
          <w:rFonts w:ascii="Arial" w:cs="Arial" w:eastAsia="Arial" w:hAnsi="Arial"/>
          <w:sz w:val="11"/>
          <w:szCs w:val="11"/>
          <w:color w:val="auto"/>
        </w:rPr>
        <w:t>Ms. Atkins brings to our Board executive leadership and operational experience in various technology, food &amp; beverage and retail industries, as well as significant public board experience and executive compensation, sustainability and enterprise risk management expertise.</w:t>
      </w:r>
    </w:p>
    <w:p>
      <w:pPr>
        <w:spacing w:after="0" w:line="636" w:lineRule="exact"/>
        <w:rPr>
          <w:sz w:val="20"/>
          <w:szCs w:val="20"/>
          <w:color w:val="auto"/>
        </w:rPr>
      </w:pPr>
    </w:p>
    <w:p>
      <w:pPr>
        <w:sectPr>
          <w:pgSz w:w="11900" w:h="16838" w:orient="portrait"/>
          <w:cols w:equalWidth="0" w:num="2">
            <w:col w:w="3800" w:space="120"/>
            <w:col w:w="6239"/>
          </w:cols>
          <w:pgMar w:left="300" w:top="413" w:right="1440" w:bottom="1440" w:gutter="0" w:footer="0" w:header="0"/>
          <w:type w:val="continuous"/>
        </w:sectPr>
      </w:pPr>
    </w:p>
    <w:p>
      <w:pPr>
        <w:ind w:left="1260"/>
        <w:spacing w:after="0"/>
        <w:rPr>
          <w:sz w:val="20"/>
          <w:szCs w:val="20"/>
          <w:color w:val="auto"/>
        </w:rPr>
      </w:pPr>
      <w:r>
        <w:rPr>
          <w:rFonts w:ascii="Arial" w:cs="Arial" w:eastAsia="Arial" w:hAnsi="Arial"/>
          <w:sz w:val="16"/>
          <w:szCs w:val="16"/>
          <w:color w:val="B9AFA0"/>
        </w:rPr>
        <w:t>SKILLS AND QUALIFICATIONS</w:t>
      </w:r>
    </w:p>
    <w:p>
      <w:pPr>
        <w:spacing w:after="0" w:line="58"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Gaming or Other Regulated</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Ms. Atkins served as a director of NASDAQ, dealing closely with the Financial Industry Regulatory Authority, Inc. (“FINRA”), and as a</w:t>
            </w:r>
          </w:p>
        </w:tc>
      </w:tr>
      <w:tr>
        <w:trPr>
          <w:trHeight w:val="156"/>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Industry</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member of the advisory board of the Pension Benefit Guaranty Corporation.</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Travel, Leisure, Hospitality &amp;</w:t>
            </w:r>
          </w:p>
        </w:tc>
        <w:tc>
          <w:tcPr>
            <w:tcW w:w="7140" w:type="dxa"/>
            <w:vAlign w:val="bottom"/>
          </w:tcPr>
          <w:p>
            <w:pPr>
              <w:ind w:left="80"/>
              <w:spacing w:after="0"/>
              <w:rPr>
                <w:sz w:val="20"/>
                <w:szCs w:val="20"/>
                <w:color w:val="auto"/>
              </w:rPr>
            </w:pPr>
            <w:r>
              <w:rPr>
                <w:rFonts w:ascii="Arial" w:cs="Arial" w:eastAsia="Arial" w:hAnsi="Arial"/>
                <w:sz w:val="11"/>
                <w:szCs w:val="11"/>
                <w:color w:val="auto"/>
              </w:rPr>
              <w:t>Ms. Atkins served as a director of Darden Restaurants, owner and operator of numerous restaurant chains.</w:t>
            </w:r>
          </w:p>
        </w:tc>
      </w:tr>
      <w:tr>
        <w:trPr>
          <w:trHeight w:val="153"/>
        </w:trPr>
        <w:tc>
          <w:tcPr>
            <w:tcW w:w="1600" w:type="dxa"/>
            <w:vAlign w:val="bottom"/>
          </w:tcPr>
          <w:p>
            <w:pPr>
              <w:ind w:left="40"/>
              <w:spacing w:after="0"/>
              <w:rPr>
                <w:sz w:val="20"/>
                <w:szCs w:val="20"/>
                <w:color w:val="auto"/>
              </w:rPr>
            </w:pPr>
            <w:r>
              <w:rPr>
                <w:rFonts w:ascii="Arial" w:cs="Arial" w:eastAsia="Arial" w:hAnsi="Arial"/>
                <w:sz w:val="11"/>
                <w:szCs w:val="11"/>
                <w:color w:val="auto"/>
              </w:rPr>
              <w:t>Entertainment</w:t>
            </w:r>
          </w:p>
        </w:tc>
        <w:tc>
          <w:tcPr>
            <w:tcW w:w="7140" w:type="dxa"/>
            <w:vAlign w:val="bottom"/>
          </w:tcPr>
          <w:p>
            <w:pPr>
              <w:spacing w:after="0"/>
              <w:rPr>
                <w:sz w:val="13"/>
                <w:szCs w:val="13"/>
                <w:color w:val="auto"/>
              </w:rPr>
            </w:pPr>
          </w:p>
        </w:tc>
      </w:tr>
      <w:tr>
        <w:trPr>
          <w:trHeight w:val="207"/>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Executive Leadership</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Ms. Atkins served as Chair and Chief Executive Officer of NCI, Inc., and Chair and Chief Executive Officer of Clear Standards.</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Outside Public Boards</w:t>
            </w:r>
          </w:p>
        </w:tc>
        <w:tc>
          <w:tcPr>
            <w:tcW w:w="7140" w:type="dxa"/>
            <w:vAlign w:val="bottom"/>
          </w:tcPr>
          <w:p>
            <w:pPr>
              <w:ind w:left="80"/>
              <w:spacing w:after="0"/>
              <w:rPr>
                <w:sz w:val="20"/>
                <w:szCs w:val="20"/>
                <w:color w:val="auto"/>
              </w:rPr>
            </w:pPr>
            <w:r>
              <w:rPr>
                <w:rFonts w:ascii="Arial" w:cs="Arial" w:eastAsia="Arial" w:hAnsi="Arial"/>
                <w:sz w:val="11"/>
                <w:szCs w:val="11"/>
                <w:color w:val="auto"/>
              </w:rPr>
              <w:t>Ms. Atkins currently serves as a director of SolarEdge Technologies, Inc., Enovix Corporation, and Rackspace Technology, and previously</w:t>
            </w:r>
          </w:p>
        </w:tc>
      </w:tr>
      <w:tr>
        <w:trPr>
          <w:trHeight w:val="129"/>
        </w:trPr>
        <w:tc>
          <w:tcPr>
            <w:tcW w:w="1600" w:type="dxa"/>
            <w:vAlign w:val="bottom"/>
          </w:tcPr>
          <w:p>
            <w:pPr>
              <w:spacing w:after="0"/>
              <w:rPr>
                <w:sz w:val="11"/>
                <w:szCs w:val="11"/>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as a director of Chico’s FAS, Ciber, Cognizant Technology Solutions, Darden Restaurants, HD Supply Holdings, Polycom, Schneider</w:t>
            </w:r>
          </w:p>
        </w:tc>
      </w:tr>
      <w:tr>
        <w:trPr>
          <w:trHeight w:val="153"/>
        </w:trPr>
        <w:tc>
          <w:tcPr>
            <w:tcW w:w="1600" w:type="dxa"/>
            <w:vAlign w:val="bottom"/>
          </w:tcPr>
          <w:p>
            <w:pPr>
              <w:spacing w:after="0"/>
              <w:rPr>
                <w:sz w:val="13"/>
                <w:szCs w:val="13"/>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Electric, SL Green Realty Corp., SunPower Corporation, Volvo Car Group, and NASDAQ.</w:t>
            </w:r>
          </w:p>
        </w:tc>
      </w:tr>
      <w:tr>
        <w:trPr>
          <w:trHeight w:val="180"/>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Cybersecurity &amp; Data Privacy</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Ms. Atkins is the Chief Executive Officer and Founder of Baja Corp., an independent venture capital firm with recent investments in</w:t>
            </w:r>
          </w:p>
        </w:tc>
      </w:tr>
      <w:tr>
        <w:trPr>
          <w:trHeight w:val="156"/>
        </w:trPr>
        <w:tc>
          <w:tcPr>
            <w:tcW w:w="1600" w:type="dxa"/>
            <w:vAlign w:val="bottom"/>
            <w:shd w:val="clear" w:color="auto" w:fill="F1EFEC"/>
          </w:tcPr>
          <w:p>
            <w:pPr>
              <w:spacing w:after="0"/>
              <w:rPr>
                <w:sz w:val="13"/>
                <w:szCs w:val="13"/>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cybersecurity software and technology. Ms. Atkins has earned a CERT Certificate in Cyber-Risk Oversight.</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Real Estate &amp; Project</w:t>
            </w:r>
          </w:p>
        </w:tc>
        <w:tc>
          <w:tcPr>
            <w:tcW w:w="7140" w:type="dxa"/>
            <w:vAlign w:val="bottom"/>
          </w:tcPr>
          <w:p>
            <w:pPr>
              <w:ind w:left="80"/>
              <w:spacing w:after="0"/>
              <w:rPr>
                <w:sz w:val="20"/>
                <w:szCs w:val="20"/>
                <w:color w:val="auto"/>
              </w:rPr>
            </w:pPr>
            <w:r>
              <w:rPr>
                <w:rFonts w:ascii="Arial" w:cs="Arial" w:eastAsia="Arial" w:hAnsi="Arial"/>
                <w:sz w:val="11"/>
                <w:szCs w:val="11"/>
                <w:color w:val="auto"/>
              </w:rPr>
              <w:t>Ms. Atkins served as a director of SL Green Realty Corp., a fully integrated New York-focused public real estate investment trust from 2015</w:t>
            </w:r>
          </w:p>
        </w:tc>
      </w:tr>
      <w:tr>
        <w:trPr>
          <w:trHeight w:val="153"/>
        </w:trPr>
        <w:tc>
          <w:tcPr>
            <w:tcW w:w="1600" w:type="dxa"/>
            <w:vAlign w:val="bottom"/>
          </w:tcPr>
          <w:p>
            <w:pPr>
              <w:ind w:left="40"/>
              <w:spacing w:after="0"/>
              <w:rPr>
                <w:sz w:val="20"/>
                <w:szCs w:val="20"/>
                <w:color w:val="auto"/>
              </w:rPr>
            </w:pPr>
            <w:r>
              <w:rPr>
                <w:rFonts w:ascii="Arial" w:cs="Arial" w:eastAsia="Arial" w:hAnsi="Arial"/>
                <w:sz w:val="11"/>
                <w:szCs w:val="11"/>
                <w:color w:val="auto"/>
              </w:rPr>
              <w:t>Construction</w:t>
            </w:r>
          </w:p>
        </w:tc>
        <w:tc>
          <w:tcPr>
            <w:tcW w:w="7140" w:type="dxa"/>
            <w:vAlign w:val="bottom"/>
          </w:tcPr>
          <w:p>
            <w:pPr>
              <w:ind w:left="80"/>
              <w:spacing w:after="0"/>
              <w:rPr>
                <w:sz w:val="20"/>
                <w:szCs w:val="20"/>
                <w:color w:val="auto"/>
              </w:rPr>
            </w:pPr>
            <w:r>
              <w:rPr>
                <w:rFonts w:ascii="Arial" w:cs="Arial" w:eastAsia="Arial" w:hAnsi="Arial"/>
                <w:sz w:val="11"/>
                <w:szCs w:val="11"/>
                <w:color w:val="auto"/>
              </w:rPr>
              <w:t>to 2024.</w:t>
            </w:r>
          </w:p>
        </w:tc>
      </w:tr>
      <w:tr>
        <w:trPr>
          <w:trHeight w:val="180"/>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Environmental &amp;</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Ms. Atkins served as Chair and Chief Executive Officer of Clear Standards (acquired by SAP, AG), which provided Enterprise Carbon</w:t>
            </w:r>
          </w:p>
        </w:tc>
      </w:tr>
      <w:tr>
        <w:trPr>
          <w:trHeight w:val="129"/>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Sustainability</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Management Sustainability software to help organizations measure, mitigate, and monetize carbon and other resources, a director of</w:t>
            </w:r>
          </w:p>
        </w:tc>
      </w:tr>
      <w:tr>
        <w:trPr>
          <w:trHeight w:val="129"/>
        </w:trPr>
        <w:tc>
          <w:tcPr>
            <w:tcW w:w="1600" w:type="dxa"/>
            <w:vAlign w:val="bottom"/>
            <w:shd w:val="clear" w:color="auto" w:fill="F1EFEC"/>
          </w:tcPr>
          <w:p>
            <w:pPr>
              <w:spacing w:after="0"/>
              <w:rPr>
                <w:sz w:val="11"/>
                <w:szCs w:val="11"/>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SunPower Corporation a renewable energy company, a director of Darden Restaurants Inc., which was then focused on its ESG,</w:t>
            </w:r>
          </w:p>
        </w:tc>
      </w:tr>
      <w:tr>
        <w:trPr>
          <w:trHeight w:val="129"/>
        </w:trPr>
        <w:tc>
          <w:tcPr>
            <w:tcW w:w="1600" w:type="dxa"/>
            <w:vAlign w:val="bottom"/>
            <w:shd w:val="clear" w:color="auto" w:fill="F1EFEC"/>
          </w:tcPr>
          <w:p>
            <w:pPr>
              <w:spacing w:after="0"/>
              <w:rPr>
                <w:sz w:val="11"/>
                <w:szCs w:val="11"/>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community programs and ethnic inclusion programs, and a director of Volvo Car Group, focusing on global ESG programs for community</w:t>
            </w:r>
          </w:p>
        </w:tc>
      </w:tr>
      <w:tr>
        <w:trPr>
          <w:trHeight w:val="156"/>
        </w:trPr>
        <w:tc>
          <w:tcPr>
            <w:tcW w:w="1600" w:type="dxa"/>
            <w:vAlign w:val="bottom"/>
            <w:shd w:val="clear" w:color="auto" w:fill="F1EFEC"/>
          </w:tcPr>
          <w:p>
            <w:pPr>
              <w:spacing w:after="0"/>
              <w:rPr>
                <w:sz w:val="13"/>
                <w:szCs w:val="13"/>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engagement and carbon neutrality sustainability.</w:t>
            </w:r>
          </w:p>
        </w:tc>
      </w:tr>
    </w:tbl>
    <w:p>
      <w:pPr>
        <w:spacing w:after="0" w:line="10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159"/>
          </w:cols>
          <w:pgMar w:left="300" w:top="413" w:right="1440"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Craig S. Billings </w:t>
      </w:r>
      <w:r>
        <w:rPr>
          <w:rFonts w:ascii="Times New Roman" w:cs="Times New Roman" w:eastAsia="Times New Roman" w:hAnsi="Times New Roman"/>
          <w:sz w:val="11"/>
          <w:szCs w:val="11"/>
          <w:i w:val="1"/>
          <w:iCs w:val="1"/>
          <w:color w:val="auto"/>
        </w:rPr>
        <w:t>Chief Executive Officer, Wynn Resorts, Limited</w:t>
      </w:r>
    </w:p>
    <w:p>
      <w:pPr>
        <w:spacing w:after="0" w:line="60" w:lineRule="exact"/>
        <w:rPr>
          <w:sz w:val="20"/>
          <w:szCs w:val="20"/>
          <w:color w:val="auto"/>
        </w:rPr>
      </w:pPr>
    </w:p>
    <w:p>
      <w:pPr>
        <w:ind w:left="1260" w:right="239"/>
        <w:spacing w:after="0" w:line="258" w:lineRule="auto"/>
        <w:rPr>
          <w:sz w:val="20"/>
          <w:szCs w:val="20"/>
          <w:color w:val="auto"/>
        </w:rPr>
      </w:pPr>
      <w:r>
        <w:rPr>
          <w:rFonts w:ascii="Arial" w:cs="Arial" w:eastAsia="Arial" w:hAnsi="Arial"/>
          <w:sz w:val="11"/>
          <w:szCs w:val="11"/>
          <w:color w:val="auto"/>
        </w:rPr>
        <w:t>Mr. Billings has served as the Company’s Chief Executive Officer since February 1, 2022, and as President from March 2019 until May 2020 when he also became Chief Executive Officer of Wynn Interactive. Mr. Billings joined the Company in March 2017 and served as Chief Financial Officer until he was appointed Chief Executive Officer. Mr. Billings is also Chief Executive Officer and an Executive Director of Wynn Macau, Limited, a majority owned subsidiary of the Company. Mr. Billings serves as a director of AppLovin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60325</wp:posOffset>
            </wp:positionV>
            <wp:extent cx="1587500" cy="1198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7500" cy="1198880"/>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26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12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3"/>
                <w:szCs w:val="13"/>
                <w:color w:val="auto"/>
              </w:rPr>
              <w:t xml:space="preserve">   </w:t>
            </w:r>
          </w:p>
        </w:tc>
        <w:tc>
          <w:tcPr>
            <w:tcW w:w="920" w:type="dxa"/>
            <w:vAlign w:val="bottom"/>
            <w:tcBorders>
              <w:bottom w:val="single" w:sz="8" w:color="auto"/>
            </w:tcBorders>
            <w:shd w:val="clear" w:color="auto" w:fill="F1EFEC"/>
          </w:tcPr>
          <w:p>
            <w:pPr>
              <w:ind w:left="40"/>
              <w:spacing w:after="0"/>
              <w:rPr>
                <w:sz w:val="20"/>
                <w:szCs w:val="20"/>
                <w:color w:val="auto"/>
              </w:rPr>
            </w:pPr>
            <w:r>
              <w:rPr>
                <w:rFonts w:ascii="Arial" w:cs="Arial" w:eastAsia="Arial" w:hAnsi="Arial"/>
                <w:sz w:val="10"/>
                <w:szCs w:val="10"/>
                <w:color w:val="auto"/>
              </w:rPr>
              <w:t>Director Since</w:t>
            </w:r>
          </w:p>
        </w:tc>
        <w:tc>
          <w:tcPr>
            <w:tcW w:w="1360" w:type="dxa"/>
            <w:vAlign w:val="bottom"/>
            <w:tcBorders>
              <w:bottom w:val="single" w:sz="8" w:color="auto"/>
            </w:tcBorders>
            <w:shd w:val="clear" w:color="auto" w:fill="F1EFEC"/>
          </w:tcPr>
          <w:p>
            <w:pPr>
              <w:ind w:left="40"/>
              <w:spacing w:after="0"/>
              <w:rPr>
                <w:sz w:val="20"/>
                <w:szCs w:val="20"/>
                <w:color w:val="auto"/>
              </w:rPr>
            </w:pPr>
            <w:r>
              <w:rPr>
                <w:rFonts w:ascii="Arial" w:cs="Arial" w:eastAsia="Arial" w:hAnsi="Arial"/>
                <w:sz w:val="10"/>
                <w:szCs w:val="10"/>
                <w:color w:val="auto"/>
              </w:rPr>
              <w:t>February 2022</w:t>
            </w:r>
          </w:p>
        </w:tc>
        <w:tc>
          <w:tcPr>
            <w:tcW w:w="120" w:type="dxa"/>
            <w:vAlign w:val="bottom"/>
            <w:tcBorders>
              <w:bottom w:val="single" w:sz="8" w:color="F1EFEC"/>
            </w:tcBorders>
            <w:shd w:val="clear" w:color="auto" w:fill="F1EFEC"/>
          </w:tcPr>
          <w:p>
            <w:pPr>
              <w:ind w:left="60"/>
              <w:spacing w:after="0"/>
              <w:rPr>
                <w:sz w:val="20"/>
                <w:szCs w:val="20"/>
                <w:color w:val="auto"/>
              </w:rPr>
            </w:pPr>
            <w:r>
              <w:rPr>
                <w:rFonts w:ascii="Arial" w:cs="Arial" w:eastAsia="Arial" w:hAnsi="Arial"/>
                <w:sz w:val="13"/>
                <w:szCs w:val="13"/>
                <w:color w:val="auto"/>
              </w:rPr>
              <w:t> </w:t>
            </w:r>
          </w:p>
        </w:tc>
      </w:tr>
      <w:tr>
        <w:trPr>
          <w:trHeight w:val="233"/>
        </w:trPr>
        <w:tc>
          <w:tcPr>
            <w:tcW w:w="20" w:type="dxa"/>
            <w:vAlign w:val="bottom"/>
          </w:tcPr>
          <w:p>
            <w:pPr>
              <w:spacing w:after="0"/>
              <w:rPr>
                <w:sz w:val="20"/>
                <w:szCs w:val="20"/>
                <w:color w:val="auto"/>
              </w:rPr>
            </w:pPr>
          </w:p>
        </w:tc>
        <w:tc>
          <w:tcPr>
            <w:tcW w:w="120" w:type="dxa"/>
            <w:vAlign w:val="bottom"/>
            <w:shd w:val="clear" w:color="auto" w:fill="F1EFEC"/>
          </w:tcPr>
          <w:p>
            <w:pPr>
              <w:spacing w:after="0"/>
              <w:rPr>
                <w:sz w:val="20"/>
                <w:szCs w:val="20"/>
                <w:color w:val="auto"/>
              </w:rPr>
            </w:pPr>
          </w:p>
        </w:tc>
        <w:tc>
          <w:tcPr>
            <w:tcW w:w="920" w:type="dxa"/>
            <w:vAlign w:val="bottom"/>
            <w:shd w:val="clear" w:color="auto" w:fill="F1EFEC"/>
          </w:tcPr>
          <w:p>
            <w:pPr>
              <w:ind w:left="60"/>
              <w:spacing w:after="0"/>
              <w:rPr>
                <w:sz w:val="20"/>
                <w:szCs w:val="20"/>
                <w:color w:val="auto"/>
              </w:rPr>
            </w:pPr>
            <w:r>
              <w:rPr>
                <w:rFonts w:ascii="Arial" w:cs="Arial" w:eastAsia="Arial" w:hAnsi="Arial"/>
                <w:sz w:val="10"/>
                <w:szCs w:val="10"/>
                <w:color w:val="auto"/>
              </w:rPr>
              <w:t>Term Expires</w:t>
            </w:r>
          </w:p>
        </w:tc>
        <w:tc>
          <w:tcPr>
            <w:tcW w:w="1360" w:type="dxa"/>
            <w:vAlign w:val="bottom"/>
            <w:shd w:val="clear" w:color="auto" w:fill="F1EFEC"/>
          </w:tcPr>
          <w:p>
            <w:pPr>
              <w:ind w:left="40"/>
              <w:spacing w:after="0"/>
              <w:rPr>
                <w:sz w:val="20"/>
                <w:szCs w:val="20"/>
                <w:color w:val="auto"/>
              </w:rPr>
            </w:pPr>
            <w:r>
              <w:rPr>
                <w:rFonts w:ascii="Arial" w:cs="Arial" w:eastAsia="Arial" w:hAnsi="Arial"/>
                <w:sz w:val="10"/>
                <w:szCs w:val="10"/>
                <w:color w:val="auto"/>
              </w:rPr>
              <w:t>2028 Annual Meeting</w:t>
            </w:r>
          </w:p>
        </w:tc>
        <w:tc>
          <w:tcPr>
            <w:tcW w:w="120" w:type="dxa"/>
            <w:vAlign w:val="bottom"/>
            <w:shd w:val="clear" w:color="auto" w:fill="F1EFEC"/>
          </w:tcPr>
          <w:p>
            <w:pPr>
              <w:spacing w:after="0"/>
              <w:rPr>
                <w:sz w:val="20"/>
                <w:szCs w:val="20"/>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c>
          <w:tcPr>
            <w:tcW w:w="920" w:type="dxa"/>
            <w:vAlign w:val="bottom"/>
            <w:tcBorders>
              <w:bottom w:val="single" w:sz="8" w:color="auto"/>
            </w:tcBorders>
            <w:shd w:val="clear" w:color="auto" w:fill="F1EFEC"/>
          </w:tcPr>
          <w:p>
            <w:pPr>
              <w:spacing w:after="0"/>
              <w:rPr>
                <w:sz w:val="8"/>
                <w:szCs w:val="8"/>
                <w:color w:val="auto"/>
              </w:rPr>
            </w:pPr>
          </w:p>
        </w:tc>
        <w:tc>
          <w:tcPr>
            <w:tcW w:w="136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r>
      <w:tr>
        <w:trPr>
          <w:trHeight w:val="227"/>
        </w:trPr>
        <w:tc>
          <w:tcPr>
            <w:tcW w:w="20" w:type="dxa"/>
            <w:vAlign w:val="bottom"/>
          </w:tcPr>
          <w:p>
            <w:pPr>
              <w:spacing w:after="0"/>
              <w:rPr>
                <w:sz w:val="19"/>
                <w:szCs w:val="19"/>
                <w:color w:val="auto"/>
              </w:rPr>
            </w:pPr>
          </w:p>
        </w:tc>
        <w:tc>
          <w:tcPr>
            <w:tcW w:w="120" w:type="dxa"/>
            <w:vAlign w:val="bottom"/>
            <w:shd w:val="clear" w:color="auto" w:fill="F1EFEC"/>
          </w:tcPr>
          <w:p>
            <w:pPr>
              <w:spacing w:after="0"/>
              <w:rPr>
                <w:sz w:val="19"/>
                <w:szCs w:val="19"/>
                <w:color w:val="auto"/>
              </w:rPr>
            </w:pPr>
          </w:p>
        </w:tc>
        <w:tc>
          <w:tcPr>
            <w:tcW w:w="920" w:type="dxa"/>
            <w:vAlign w:val="bottom"/>
            <w:shd w:val="clear" w:color="auto" w:fill="F1EFEC"/>
          </w:tcPr>
          <w:p>
            <w:pPr>
              <w:ind w:left="60"/>
              <w:spacing w:after="0"/>
              <w:rPr>
                <w:sz w:val="20"/>
                <w:szCs w:val="20"/>
                <w:color w:val="auto"/>
              </w:rPr>
            </w:pPr>
            <w:r>
              <w:rPr>
                <w:rFonts w:ascii="Arial" w:cs="Arial" w:eastAsia="Arial" w:hAnsi="Arial"/>
                <w:sz w:val="10"/>
                <w:szCs w:val="10"/>
                <w:color w:val="auto"/>
              </w:rPr>
              <w:t>Age</w:t>
            </w:r>
          </w:p>
        </w:tc>
        <w:tc>
          <w:tcPr>
            <w:tcW w:w="1360" w:type="dxa"/>
            <w:vAlign w:val="bottom"/>
            <w:shd w:val="clear" w:color="auto" w:fill="F1EFEC"/>
          </w:tcPr>
          <w:p>
            <w:pPr>
              <w:ind w:left="40"/>
              <w:spacing w:after="0"/>
              <w:rPr>
                <w:sz w:val="20"/>
                <w:szCs w:val="20"/>
                <w:color w:val="auto"/>
              </w:rPr>
            </w:pPr>
            <w:r>
              <w:rPr>
                <w:rFonts w:ascii="Arial" w:cs="Arial" w:eastAsia="Arial" w:hAnsi="Arial"/>
                <w:sz w:val="10"/>
                <w:szCs w:val="10"/>
                <w:color w:val="auto"/>
              </w:rPr>
              <w:t>53</w:t>
            </w:r>
          </w:p>
        </w:tc>
        <w:tc>
          <w:tcPr>
            <w:tcW w:w="120" w:type="dxa"/>
            <w:vAlign w:val="bottom"/>
            <w:shd w:val="clear" w:color="auto" w:fill="F1EFEC"/>
          </w:tcPr>
          <w:p>
            <w:pPr>
              <w:spacing w:after="0"/>
              <w:rPr>
                <w:sz w:val="19"/>
                <w:szCs w:val="19"/>
                <w:color w:val="auto"/>
              </w:rPr>
            </w:pPr>
          </w:p>
        </w:tc>
      </w:tr>
      <w:tr>
        <w:trPr>
          <w:trHeight w:val="258"/>
        </w:trPr>
        <w:tc>
          <w:tcPr>
            <w:tcW w:w="20" w:type="dxa"/>
            <w:vAlign w:val="bottom"/>
          </w:tcPr>
          <w:p>
            <w:pPr>
              <w:spacing w:after="0"/>
              <w:rPr>
                <w:sz w:val="22"/>
                <w:szCs w:val="22"/>
                <w:color w:val="auto"/>
              </w:rPr>
            </w:pPr>
          </w:p>
        </w:tc>
        <w:tc>
          <w:tcPr>
            <w:tcW w:w="120" w:type="dxa"/>
            <w:vAlign w:val="bottom"/>
            <w:shd w:val="clear" w:color="auto" w:fill="F1EFEC"/>
          </w:tcPr>
          <w:p>
            <w:pPr>
              <w:spacing w:after="0"/>
              <w:rPr>
                <w:sz w:val="22"/>
                <w:szCs w:val="22"/>
                <w:color w:val="auto"/>
              </w:rPr>
            </w:pPr>
          </w:p>
        </w:tc>
        <w:tc>
          <w:tcPr>
            <w:tcW w:w="920" w:type="dxa"/>
            <w:vAlign w:val="bottom"/>
            <w:shd w:val="clear" w:color="auto" w:fill="F1EFEC"/>
          </w:tcPr>
          <w:p>
            <w:pPr>
              <w:spacing w:after="0"/>
              <w:rPr>
                <w:sz w:val="22"/>
                <w:szCs w:val="22"/>
                <w:color w:val="auto"/>
              </w:rPr>
            </w:pPr>
          </w:p>
        </w:tc>
        <w:tc>
          <w:tcPr>
            <w:tcW w:w="1360" w:type="dxa"/>
            <w:vAlign w:val="bottom"/>
            <w:shd w:val="clear" w:color="auto" w:fill="F1EFEC"/>
          </w:tcPr>
          <w:p>
            <w:pPr>
              <w:spacing w:after="0"/>
              <w:rPr>
                <w:sz w:val="22"/>
                <w:szCs w:val="22"/>
                <w:color w:val="auto"/>
              </w:rPr>
            </w:pPr>
          </w:p>
        </w:tc>
        <w:tc>
          <w:tcPr>
            <w:tcW w:w="120" w:type="dxa"/>
            <w:vAlign w:val="bottom"/>
            <w:shd w:val="clear" w:color="auto" w:fill="F1EFEC"/>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2015 to 2018: Director and Non-Executive Chair, NYX Gaming Group</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–   2015 to 2017: Gaming industry independent advisor and investor</w:t>
      </w:r>
    </w:p>
    <w:p>
      <w:pPr>
        <w:spacing w:after="0" w:line="34" w:lineRule="exact"/>
        <w:rPr>
          <w:sz w:val="20"/>
          <w:szCs w:val="20"/>
          <w:color w:val="auto"/>
        </w:rPr>
      </w:pPr>
    </w:p>
    <w:p>
      <w:pPr>
        <w:ind w:left="160" w:right="359" w:hanging="142"/>
        <w:spacing w:after="0" w:line="274" w:lineRule="auto"/>
        <w:rPr>
          <w:sz w:val="20"/>
          <w:szCs w:val="20"/>
          <w:color w:val="auto"/>
        </w:rPr>
      </w:pPr>
      <w:r>
        <w:rPr>
          <w:rFonts w:ascii="Arial" w:cs="Arial" w:eastAsia="Arial" w:hAnsi="Arial"/>
          <w:sz w:val="11"/>
          <w:szCs w:val="11"/>
          <w:color w:val="auto"/>
        </w:rPr>
        <w:t>–   2012 to 2015: Chief Digital Officer, Strategy &amp; Business Development Managing Director, various roles, Aristocrat Leisure Ltd.</w:t>
      </w:r>
    </w:p>
    <w:p>
      <w:pPr>
        <w:spacing w:after="0" w:line="1" w:lineRule="exact"/>
        <w:rPr>
          <w:sz w:val="20"/>
          <w:szCs w:val="20"/>
          <w:color w:val="auto"/>
        </w:rPr>
      </w:pPr>
    </w:p>
    <w:p>
      <w:pPr>
        <w:ind w:left="160" w:right="459" w:hanging="142"/>
        <w:spacing w:after="0" w:line="274" w:lineRule="auto"/>
        <w:rPr>
          <w:sz w:val="20"/>
          <w:szCs w:val="20"/>
          <w:color w:val="auto"/>
        </w:rPr>
      </w:pPr>
      <w:r>
        <w:rPr>
          <w:rFonts w:ascii="Arial" w:cs="Arial" w:eastAsia="Arial" w:hAnsi="Arial"/>
          <w:sz w:val="11"/>
          <w:szCs w:val="11"/>
          <w:color w:val="auto"/>
        </w:rPr>
        <w:t>–   Previously Vice President in the Investment Banking Division of Goldman Sachs, in both New York and London, covering the gaming industry</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–   Previously audit and assurance manager at Deloitte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B9AFA0"/>
        </w:rPr>
        <w:t>EDUCATION</w:t>
      </w:r>
    </w:p>
    <w:p>
      <w:pPr>
        <w:spacing w:after="0" w:line="8" w:lineRule="exact"/>
        <w:rPr>
          <w:sz w:val="20"/>
          <w:szCs w:val="20"/>
          <w:color w:val="auto"/>
        </w:rPr>
      </w:pPr>
    </w:p>
    <w:p>
      <w:pPr>
        <w:ind w:right="319"/>
        <w:spacing w:after="0" w:line="256" w:lineRule="auto"/>
        <w:rPr>
          <w:sz w:val="20"/>
          <w:szCs w:val="20"/>
          <w:color w:val="auto"/>
        </w:rPr>
      </w:pPr>
      <w:r>
        <w:rPr>
          <w:rFonts w:ascii="Arial" w:cs="Arial" w:eastAsia="Arial" w:hAnsi="Arial"/>
          <w:sz w:val="11"/>
          <w:szCs w:val="11"/>
          <w:color w:val="auto"/>
        </w:rPr>
        <w:t xml:space="preserve">Mr. Billings graduated with a B.S. </w:t>
      </w:r>
      <w:r>
        <w:rPr>
          <w:rFonts w:ascii="Arial" w:cs="Arial" w:eastAsia="Arial" w:hAnsi="Arial"/>
          <w:sz w:val="11"/>
          <w:szCs w:val="11"/>
          <w:i w:val="1"/>
          <w:iCs w:val="1"/>
          <w:color w:val="auto"/>
        </w:rPr>
        <w:t>cum laude</w:t>
      </w:r>
      <w:r>
        <w:rPr>
          <w:rFonts w:ascii="Arial" w:cs="Arial" w:eastAsia="Arial" w:hAnsi="Arial"/>
          <w:sz w:val="11"/>
          <w:szCs w:val="11"/>
          <w:color w:val="auto"/>
        </w:rPr>
        <w:t xml:space="preserve"> in Accounting from the University of Nevada, Las Vegas, and received a Masters of Business Administration from Columbia Business School. Mr. Billings is a Certified Public Accountant (inactive).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B9AFA0"/>
        </w:rPr>
        <w:t>EXPERTISE</w:t>
      </w:r>
    </w:p>
    <w:p>
      <w:pPr>
        <w:spacing w:after="0" w:line="8" w:lineRule="exact"/>
        <w:rPr>
          <w:sz w:val="20"/>
          <w:szCs w:val="20"/>
          <w:color w:val="auto"/>
        </w:rPr>
      </w:pPr>
    </w:p>
    <w:p>
      <w:pPr>
        <w:ind w:right="719"/>
        <w:spacing w:after="0" w:line="269" w:lineRule="auto"/>
        <w:rPr>
          <w:sz w:val="20"/>
          <w:szCs w:val="20"/>
          <w:color w:val="auto"/>
        </w:rPr>
      </w:pPr>
      <w:r>
        <w:rPr>
          <w:rFonts w:ascii="Arial" w:cs="Arial" w:eastAsia="Arial" w:hAnsi="Arial"/>
          <w:sz w:val="11"/>
          <w:szCs w:val="11"/>
          <w:color w:val="auto"/>
        </w:rPr>
        <w:t>Mr. Billings has extensive leadership and innovation experience in the gaming industry, both domestically and internationally, as well as experience in the investment banking and financial services industries.</w:t>
      </w:r>
    </w:p>
    <w:p>
      <w:pPr>
        <w:spacing w:after="0" w:line="607" w:lineRule="exact"/>
        <w:rPr>
          <w:sz w:val="20"/>
          <w:szCs w:val="20"/>
          <w:color w:val="auto"/>
        </w:rPr>
      </w:pPr>
    </w:p>
    <w:p>
      <w:pPr>
        <w:sectPr>
          <w:pgSz w:w="11900" w:h="16838" w:orient="portrait"/>
          <w:cols w:equalWidth="0" w:num="2">
            <w:col w:w="3800" w:space="120"/>
            <w:col w:w="6239"/>
          </w:cols>
          <w:pgMar w:left="300" w:top="413" w:right="1440" w:bottom="1440" w:gutter="0" w:footer="0" w:header="0"/>
          <w:type w:val="continuous"/>
        </w:sectPr>
      </w:pPr>
    </w:p>
    <w:p>
      <w:pPr>
        <w:ind w:left="1260"/>
        <w:spacing w:after="0"/>
        <w:rPr>
          <w:sz w:val="20"/>
          <w:szCs w:val="20"/>
          <w:color w:val="auto"/>
        </w:rPr>
      </w:pPr>
      <w:r>
        <w:rPr>
          <w:rFonts w:ascii="Arial" w:cs="Arial" w:eastAsia="Arial" w:hAnsi="Arial"/>
          <w:sz w:val="16"/>
          <w:szCs w:val="16"/>
          <w:color w:val="B9AFA0"/>
        </w:rPr>
        <w:t>SKILLS AND QUALIFICATIONS</w:t>
      </w:r>
    </w:p>
    <w:p>
      <w:pPr>
        <w:spacing w:after="0" w:line="58"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Gaming or Other Regulated</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Mr. Billings was a Vice President of Investment Banking for Goldman Sachs focusing on financing and mergers and acquisitions for the</w:t>
            </w:r>
          </w:p>
        </w:tc>
      </w:tr>
      <w:tr>
        <w:trPr>
          <w:trHeight w:val="129"/>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Industry</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gaming industry, and Chief Digital Officer and Managing Director, Strategy and Business Development of Aristocrat, a leading gaming</w:t>
            </w:r>
          </w:p>
        </w:tc>
      </w:tr>
      <w:tr>
        <w:trPr>
          <w:trHeight w:val="129"/>
        </w:trPr>
        <w:tc>
          <w:tcPr>
            <w:tcW w:w="1600" w:type="dxa"/>
            <w:vAlign w:val="bottom"/>
            <w:shd w:val="clear" w:color="auto" w:fill="F1EFEC"/>
          </w:tcPr>
          <w:p>
            <w:pPr>
              <w:spacing w:after="0"/>
              <w:rPr>
                <w:sz w:val="11"/>
                <w:szCs w:val="11"/>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equipment manufacturer and online gaming provider. Mr. Billings also served as non-executive director and Chairman of NYX, a regulated</w:t>
            </w:r>
          </w:p>
        </w:tc>
      </w:tr>
      <w:tr>
        <w:trPr>
          <w:trHeight w:val="156"/>
        </w:trPr>
        <w:tc>
          <w:tcPr>
            <w:tcW w:w="1600" w:type="dxa"/>
            <w:vAlign w:val="bottom"/>
            <w:shd w:val="clear" w:color="auto" w:fill="F1EFEC"/>
          </w:tcPr>
          <w:p>
            <w:pPr>
              <w:spacing w:after="0"/>
              <w:rPr>
                <w:sz w:val="13"/>
                <w:szCs w:val="13"/>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sports betting company.</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Travel, Leisure, Hospitality &amp;</w:t>
            </w:r>
          </w:p>
        </w:tc>
        <w:tc>
          <w:tcPr>
            <w:tcW w:w="7140" w:type="dxa"/>
            <w:vAlign w:val="bottom"/>
          </w:tcPr>
          <w:p>
            <w:pPr>
              <w:ind w:left="80"/>
              <w:spacing w:after="0"/>
              <w:rPr>
                <w:sz w:val="20"/>
                <w:szCs w:val="20"/>
                <w:color w:val="auto"/>
              </w:rPr>
            </w:pPr>
            <w:r>
              <w:rPr>
                <w:rFonts w:ascii="Arial" w:cs="Arial" w:eastAsia="Arial" w:hAnsi="Arial"/>
                <w:sz w:val="11"/>
                <w:szCs w:val="11"/>
                <w:color w:val="auto"/>
              </w:rPr>
              <w:t>In his role as CEO, Mr. Billings leads Wynn Resorts’ strategy to develop a broad array of luxury experiences in hotel, entertainment, and</w:t>
            </w:r>
          </w:p>
        </w:tc>
      </w:tr>
      <w:tr>
        <w:trPr>
          <w:trHeight w:val="153"/>
        </w:trPr>
        <w:tc>
          <w:tcPr>
            <w:tcW w:w="1600" w:type="dxa"/>
            <w:vAlign w:val="bottom"/>
          </w:tcPr>
          <w:p>
            <w:pPr>
              <w:ind w:left="40"/>
              <w:spacing w:after="0"/>
              <w:rPr>
                <w:sz w:val="20"/>
                <w:szCs w:val="20"/>
                <w:color w:val="auto"/>
              </w:rPr>
            </w:pPr>
            <w:r>
              <w:rPr>
                <w:rFonts w:ascii="Arial" w:cs="Arial" w:eastAsia="Arial" w:hAnsi="Arial"/>
                <w:sz w:val="11"/>
                <w:szCs w:val="11"/>
                <w:color w:val="auto"/>
              </w:rPr>
              <w:t>Entertainment</w:t>
            </w:r>
          </w:p>
        </w:tc>
        <w:tc>
          <w:tcPr>
            <w:tcW w:w="7140" w:type="dxa"/>
            <w:vAlign w:val="bottom"/>
          </w:tcPr>
          <w:p>
            <w:pPr>
              <w:ind w:left="80"/>
              <w:spacing w:after="0"/>
              <w:rPr>
                <w:sz w:val="20"/>
                <w:szCs w:val="20"/>
                <w:color w:val="auto"/>
              </w:rPr>
            </w:pPr>
            <w:r>
              <w:rPr>
                <w:rFonts w:ascii="Arial" w:cs="Arial" w:eastAsia="Arial" w:hAnsi="Arial"/>
                <w:sz w:val="11"/>
                <w:szCs w:val="11"/>
                <w:color w:val="auto"/>
              </w:rPr>
              <w:t>culinary arts.</w:t>
            </w:r>
          </w:p>
        </w:tc>
      </w:tr>
      <w:tr>
        <w:trPr>
          <w:trHeight w:val="207"/>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Executive Leadership</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Mr. Billings is the current CEO and former President and CFO of Wynn Resorts.</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Outside Public Boards</w:t>
            </w:r>
          </w:p>
        </w:tc>
        <w:tc>
          <w:tcPr>
            <w:tcW w:w="7140" w:type="dxa"/>
            <w:vAlign w:val="bottom"/>
          </w:tcPr>
          <w:p>
            <w:pPr>
              <w:ind w:left="80"/>
              <w:spacing w:after="0"/>
              <w:rPr>
                <w:sz w:val="20"/>
                <w:szCs w:val="20"/>
                <w:color w:val="auto"/>
              </w:rPr>
            </w:pPr>
            <w:r>
              <w:rPr>
                <w:rFonts w:ascii="Arial" w:cs="Arial" w:eastAsia="Arial" w:hAnsi="Arial"/>
                <w:sz w:val="11"/>
                <w:szCs w:val="11"/>
                <w:color w:val="auto"/>
              </w:rPr>
              <w:t>Mr. Billings serves as a director and chair of the compensation committee of Applovin Corporation, an AI-driven advertising technology</w:t>
            </w:r>
          </w:p>
        </w:tc>
      </w:tr>
      <w:tr>
        <w:trPr>
          <w:trHeight w:val="153"/>
        </w:trPr>
        <w:tc>
          <w:tcPr>
            <w:tcW w:w="1600" w:type="dxa"/>
            <w:vAlign w:val="bottom"/>
          </w:tcPr>
          <w:p>
            <w:pPr>
              <w:spacing w:after="0"/>
              <w:rPr>
                <w:sz w:val="13"/>
                <w:szCs w:val="13"/>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leader.</w:t>
            </w:r>
          </w:p>
        </w:tc>
      </w:tr>
      <w:tr>
        <w:trPr>
          <w:trHeight w:val="180"/>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Finance &amp; Accounting</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Mr. Billings is the former CFO of Wynn Resorts, and previously served as a Vice President of Investment Banking at Goldman Sachs and</w:t>
            </w:r>
          </w:p>
        </w:tc>
      </w:tr>
      <w:tr>
        <w:trPr>
          <w:trHeight w:val="156"/>
        </w:trPr>
        <w:tc>
          <w:tcPr>
            <w:tcW w:w="1600" w:type="dxa"/>
            <w:vAlign w:val="bottom"/>
            <w:shd w:val="clear" w:color="auto" w:fill="F1EFEC"/>
          </w:tcPr>
          <w:p>
            <w:pPr>
              <w:spacing w:after="0"/>
              <w:rPr>
                <w:sz w:val="13"/>
                <w:szCs w:val="13"/>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an audit and assurance manager at Deloitte.</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Real Estate &amp; Project</w:t>
            </w:r>
          </w:p>
        </w:tc>
        <w:tc>
          <w:tcPr>
            <w:tcW w:w="7140" w:type="dxa"/>
            <w:vAlign w:val="bottom"/>
          </w:tcPr>
          <w:p>
            <w:pPr>
              <w:ind w:left="80"/>
              <w:spacing w:after="0"/>
              <w:rPr>
                <w:sz w:val="20"/>
                <w:szCs w:val="20"/>
                <w:color w:val="auto"/>
              </w:rPr>
            </w:pPr>
            <w:r>
              <w:rPr>
                <w:rFonts w:ascii="Arial" w:cs="Arial" w:eastAsia="Arial" w:hAnsi="Arial"/>
                <w:sz w:val="11"/>
                <w:szCs w:val="11"/>
                <w:color w:val="auto"/>
              </w:rPr>
              <w:t>Mr. Billings is a member of the executive team that opened Encore Boston Harbor in 2019 and is overseeing the development of Wynn</w:t>
            </w:r>
          </w:p>
        </w:tc>
      </w:tr>
      <w:tr>
        <w:trPr>
          <w:trHeight w:val="153"/>
        </w:trPr>
        <w:tc>
          <w:tcPr>
            <w:tcW w:w="1600" w:type="dxa"/>
            <w:vAlign w:val="bottom"/>
          </w:tcPr>
          <w:p>
            <w:pPr>
              <w:ind w:left="40"/>
              <w:spacing w:after="0"/>
              <w:rPr>
                <w:sz w:val="20"/>
                <w:szCs w:val="20"/>
                <w:color w:val="auto"/>
              </w:rPr>
            </w:pPr>
            <w:r>
              <w:rPr>
                <w:rFonts w:ascii="Arial" w:cs="Arial" w:eastAsia="Arial" w:hAnsi="Arial"/>
                <w:sz w:val="11"/>
                <w:szCs w:val="11"/>
                <w:color w:val="auto"/>
              </w:rPr>
              <w:t>Construction</w:t>
            </w:r>
          </w:p>
        </w:tc>
        <w:tc>
          <w:tcPr>
            <w:tcW w:w="7140" w:type="dxa"/>
            <w:vAlign w:val="bottom"/>
          </w:tcPr>
          <w:p>
            <w:pPr>
              <w:ind w:left="80"/>
              <w:spacing w:after="0"/>
              <w:rPr>
                <w:sz w:val="20"/>
                <w:szCs w:val="20"/>
                <w:color w:val="auto"/>
              </w:rPr>
            </w:pPr>
            <w:r>
              <w:rPr>
                <w:rFonts w:ascii="Arial" w:cs="Arial" w:eastAsia="Arial" w:hAnsi="Arial"/>
                <w:sz w:val="11"/>
                <w:szCs w:val="11"/>
                <w:color w:val="auto"/>
              </w:rPr>
              <w:t>Al-Marjan Island.</w:t>
            </w:r>
          </w:p>
        </w:tc>
      </w:tr>
      <w:tr>
        <w:trPr>
          <w:trHeight w:val="180"/>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Cybersecurity &amp; Data Privacy</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Mr. Billings led cybersecurity efforts both with the Company in his capacity as CFO at Wynn Resorts and previously in his development</w:t>
            </w:r>
          </w:p>
        </w:tc>
      </w:tr>
      <w:tr>
        <w:trPr>
          <w:trHeight w:val="156"/>
        </w:trPr>
        <w:tc>
          <w:tcPr>
            <w:tcW w:w="1600" w:type="dxa"/>
            <w:vAlign w:val="bottom"/>
            <w:shd w:val="clear" w:color="auto" w:fill="F1EFEC"/>
          </w:tcPr>
          <w:p>
            <w:pPr>
              <w:spacing w:after="0"/>
              <w:rPr>
                <w:sz w:val="13"/>
                <w:szCs w:val="13"/>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roles at technology companies.</w:t>
            </w:r>
          </w:p>
        </w:tc>
      </w:tr>
      <w:tr>
        <w:trPr>
          <w:trHeight w:val="197"/>
        </w:trPr>
        <w:tc>
          <w:tcPr>
            <w:tcW w:w="1600" w:type="dxa"/>
            <w:vAlign w:val="bottom"/>
          </w:tcPr>
          <w:p>
            <w:pPr>
              <w:ind w:left="40"/>
              <w:spacing w:after="0"/>
              <w:rPr>
                <w:sz w:val="20"/>
                <w:szCs w:val="20"/>
                <w:color w:val="auto"/>
              </w:rPr>
            </w:pPr>
            <w:r>
              <w:rPr>
                <w:rFonts w:ascii="Arial" w:cs="Arial" w:eastAsia="Arial" w:hAnsi="Arial"/>
                <w:sz w:val="11"/>
                <w:szCs w:val="11"/>
                <w:color w:val="auto"/>
              </w:rPr>
              <w:t>Geopolitical Affairs</w:t>
            </w:r>
          </w:p>
        </w:tc>
        <w:tc>
          <w:tcPr>
            <w:tcW w:w="7140" w:type="dxa"/>
            <w:vAlign w:val="bottom"/>
          </w:tcPr>
          <w:p>
            <w:pPr>
              <w:ind w:left="80"/>
              <w:spacing w:after="0"/>
              <w:rPr>
                <w:sz w:val="20"/>
                <w:szCs w:val="20"/>
                <w:color w:val="auto"/>
              </w:rPr>
            </w:pPr>
            <w:r>
              <w:rPr>
                <w:rFonts w:ascii="Arial" w:cs="Arial" w:eastAsia="Arial" w:hAnsi="Arial"/>
                <w:sz w:val="11"/>
                <w:szCs w:val="11"/>
                <w:color w:val="auto"/>
              </w:rPr>
              <w:t>Mr. Billings has served as a member of the board of directors on the US-China Business Council since 2022.</w:t>
            </w:r>
          </w:p>
        </w:tc>
      </w:tr>
    </w:tbl>
    <w:p>
      <w:pPr>
        <w:spacing w:after="0" w:line="114" w:lineRule="exact"/>
        <w:rPr>
          <w:sz w:val="20"/>
          <w:szCs w:val="20"/>
          <w:color w:val="auto"/>
        </w:rPr>
      </w:pPr>
    </w:p>
    <w:p>
      <w:pPr>
        <w:ind w:left="996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0159"/>
          </w:cols>
          <w:pgMar w:left="300" w:top="413"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Richard J. Byrne </w:t>
      </w:r>
      <w:r>
        <w:rPr>
          <w:rFonts w:ascii="Times New Roman" w:cs="Times New Roman" w:eastAsia="Times New Roman" w:hAnsi="Times New Roman"/>
          <w:sz w:val="11"/>
          <w:szCs w:val="11"/>
          <w:i w:val="1"/>
          <w:iCs w:val="1"/>
          <w:color w:val="auto"/>
        </w:rPr>
        <w:t>President of Benefit Street Partners</w:t>
      </w:r>
    </w:p>
    <w:p>
      <w:pPr>
        <w:spacing w:after="0" w:line="60" w:lineRule="exact"/>
        <w:rPr>
          <w:sz w:val="20"/>
          <w:szCs w:val="20"/>
          <w:color w:val="auto"/>
        </w:rPr>
      </w:pPr>
    </w:p>
    <w:p>
      <w:pPr>
        <w:ind w:left="1260" w:right="299"/>
        <w:spacing w:after="0" w:line="258" w:lineRule="auto"/>
        <w:rPr>
          <w:sz w:val="20"/>
          <w:szCs w:val="20"/>
          <w:color w:val="auto"/>
        </w:rPr>
      </w:pPr>
      <w:r>
        <w:rPr>
          <w:rFonts w:ascii="Arial" w:cs="Arial" w:eastAsia="Arial" w:hAnsi="Arial"/>
          <w:sz w:val="11"/>
          <w:szCs w:val="11"/>
          <w:color w:val="auto"/>
        </w:rPr>
        <w:t>Mr. Byrne has served as President of Benefit Street Partners, LLC, a Franklin Templeton company, since 2013. He is also Chair of the Board of Franklin BSP Realty Trust, Inc., a publicly traded commercial real estate finance company, since 2017. In addition, Mr. Byrne has served as the CEO and Chair of the Board of Franklin BSP Capital Corp., a non-publicly traded business-development company regulated by the Investment Company Act of 1940 since 2020. Mr. Byrne is also the Founder and Chief Executive Officer of KASAI Elite Grappling Championships.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60325</wp:posOffset>
            </wp:positionV>
            <wp:extent cx="1587500" cy="12807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7500" cy="1280795"/>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26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10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3"/>
                <w:szCs w:val="13"/>
                <w:color w:val="auto"/>
              </w:rPr>
              <w:t xml:space="preserve">   </w:t>
            </w:r>
          </w:p>
        </w:tc>
        <w:tc>
          <w:tcPr>
            <w:tcW w:w="1040" w:type="dxa"/>
            <w:vAlign w:val="bottom"/>
            <w:tcBorders>
              <w:bottom w:val="single" w:sz="8" w:color="auto"/>
            </w:tcBorders>
            <w:shd w:val="clear" w:color="auto" w:fill="F1EFEC"/>
          </w:tcPr>
          <w:p>
            <w:pPr>
              <w:ind w:left="40"/>
              <w:spacing w:after="0"/>
              <w:rPr>
                <w:sz w:val="20"/>
                <w:szCs w:val="20"/>
                <w:color w:val="auto"/>
              </w:rPr>
            </w:pPr>
            <w:r>
              <w:rPr>
                <w:rFonts w:ascii="Arial" w:cs="Arial" w:eastAsia="Arial" w:hAnsi="Arial"/>
                <w:sz w:val="10"/>
                <w:szCs w:val="10"/>
                <w:color w:val="auto"/>
              </w:rPr>
              <w:t>Director Since</w:t>
            </w:r>
          </w:p>
        </w:tc>
        <w:tc>
          <w:tcPr>
            <w:tcW w:w="1260" w:type="dxa"/>
            <w:vAlign w:val="bottom"/>
            <w:tcBorders>
              <w:bottom w:val="single" w:sz="8" w:color="auto"/>
            </w:tcBorders>
            <w:shd w:val="clear" w:color="auto" w:fill="F1EFEC"/>
          </w:tcPr>
          <w:p>
            <w:pPr>
              <w:ind w:left="40"/>
              <w:spacing w:after="0"/>
              <w:rPr>
                <w:sz w:val="20"/>
                <w:szCs w:val="20"/>
                <w:color w:val="auto"/>
              </w:rPr>
            </w:pPr>
            <w:r>
              <w:rPr>
                <w:rFonts w:ascii="Arial" w:cs="Arial" w:eastAsia="Arial" w:hAnsi="Arial"/>
                <w:sz w:val="10"/>
                <w:szCs w:val="10"/>
                <w:color w:val="auto"/>
              </w:rPr>
              <w:t>August 2018</w:t>
            </w:r>
          </w:p>
        </w:tc>
        <w:tc>
          <w:tcPr>
            <w:tcW w:w="120" w:type="dxa"/>
            <w:vAlign w:val="bottom"/>
            <w:tcBorders>
              <w:bottom w:val="single" w:sz="8" w:color="F1EFEC"/>
            </w:tcBorders>
            <w:shd w:val="clear" w:color="auto" w:fill="F1EFEC"/>
          </w:tcPr>
          <w:p>
            <w:pPr>
              <w:ind w:left="80"/>
              <w:spacing w:after="0"/>
              <w:rPr>
                <w:sz w:val="20"/>
                <w:szCs w:val="20"/>
                <w:color w:val="auto"/>
              </w:rPr>
            </w:pPr>
            <w:r>
              <w:rPr>
                <w:rFonts w:ascii="Arial" w:cs="Arial" w:eastAsia="Arial" w:hAnsi="Arial"/>
                <w:sz w:val="11"/>
                <w:szCs w:val="11"/>
                <w:color w:val="auto"/>
                <w:w w:val="70"/>
              </w:rPr>
              <w:t> </w:t>
            </w:r>
          </w:p>
        </w:tc>
      </w:tr>
      <w:tr>
        <w:trPr>
          <w:trHeight w:val="233"/>
        </w:trPr>
        <w:tc>
          <w:tcPr>
            <w:tcW w:w="20" w:type="dxa"/>
            <w:vAlign w:val="bottom"/>
          </w:tcPr>
          <w:p>
            <w:pPr>
              <w:spacing w:after="0"/>
              <w:rPr>
                <w:sz w:val="20"/>
                <w:szCs w:val="20"/>
                <w:color w:val="auto"/>
              </w:rPr>
            </w:pPr>
          </w:p>
        </w:tc>
        <w:tc>
          <w:tcPr>
            <w:tcW w:w="100" w:type="dxa"/>
            <w:vAlign w:val="bottom"/>
            <w:shd w:val="clear" w:color="auto" w:fill="F1EFEC"/>
          </w:tcPr>
          <w:p>
            <w:pPr>
              <w:spacing w:after="0"/>
              <w:rPr>
                <w:sz w:val="20"/>
                <w:szCs w:val="20"/>
                <w:color w:val="auto"/>
              </w:rPr>
            </w:pPr>
          </w:p>
        </w:tc>
        <w:tc>
          <w:tcPr>
            <w:tcW w:w="1040" w:type="dxa"/>
            <w:vAlign w:val="bottom"/>
            <w:shd w:val="clear" w:color="auto" w:fill="F1EFEC"/>
          </w:tcPr>
          <w:p>
            <w:pPr>
              <w:ind w:left="40"/>
              <w:spacing w:after="0"/>
              <w:rPr>
                <w:sz w:val="20"/>
                <w:szCs w:val="20"/>
                <w:color w:val="auto"/>
              </w:rPr>
            </w:pPr>
            <w:r>
              <w:rPr>
                <w:rFonts w:ascii="Arial" w:cs="Arial" w:eastAsia="Arial" w:hAnsi="Arial"/>
                <w:sz w:val="10"/>
                <w:szCs w:val="10"/>
                <w:color w:val="auto"/>
              </w:rPr>
              <w:t>Term Expires</w:t>
            </w:r>
          </w:p>
        </w:tc>
        <w:tc>
          <w:tcPr>
            <w:tcW w:w="1260" w:type="dxa"/>
            <w:vAlign w:val="bottom"/>
            <w:shd w:val="clear" w:color="auto" w:fill="F1EFEC"/>
          </w:tcPr>
          <w:p>
            <w:pPr>
              <w:ind w:left="40"/>
              <w:spacing w:after="0"/>
              <w:rPr>
                <w:sz w:val="20"/>
                <w:szCs w:val="20"/>
                <w:color w:val="auto"/>
              </w:rPr>
            </w:pPr>
            <w:r>
              <w:rPr>
                <w:rFonts w:ascii="Arial" w:cs="Arial" w:eastAsia="Arial" w:hAnsi="Arial"/>
                <w:sz w:val="10"/>
                <w:szCs w:val="10"/>
                <w:color w:val="auto"/>
              </w:rPr>
              <w:t>2026 Annual Meeting</w:t>
            </w:r>
          </w:p>
        </w:tc>
        <w:tc>
          <w:tcPr>
            <w:tcW w:w="120" w:type="dxa"/>
            <w:vAlign w:val="bottom"/>
            <w:shd w:val="clear" w:color="auto" w:fill="F1EFEC"/>
          </w:tcPr>
          <w:p>
            <w:pPr>
              <w:spacing w:after="0"/>
              <w:rPr>
                <w:sz w:val="20"/>
                <w:szCs w:val="20"/>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F1EFEC"/>
            </w:tcBorders>
            <w:shd w:val="clear" w:color="auto" w:fill="F1EFEC"/>
          </w:tcPr>
          <w:p>
            <w:pPr>
              <w:spacing w:after="0"/>
              <w:rPr>
                <w:sz w:val="8"/>
                <w:szCs w:val="8"/>
                <w:color w:val="auto"/>
              </w:rPr>
            </w:pPr>
          </w:p>
        </w:tc>
        <w:tc>
          <w:tcPr>
            <w:tcW w:w="1040" w:type="dxa"/>
            <w:vAlign w:val="bottom"/>
            <w:tcBorders>
              <w:bottom w:val="single" w:sz="8" w:color="auto"/>
            </w:tcBorders>
            <w:shd w:val="clear" w:color="auto" w:fill="F1EFEC"/>
          </w:tcPr>
          <w:p>
            <w:pPr>
              <w:spacing w:after="0"/>
              <w:rPr>
                <w:sz w:val="8"/>
                <w:szCs w:val="8"/>
                <w:color w:val="auto"/>
              </w:rPr>
            </w:pPr>
          </w:p>
        </w:tc>
        <w:tc>
          <w:tcPr>
            <w:tcW w:w="126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r>
      <w:tr>
        <w:trPr>
          <w:trHeight w:val="227"/>
        </w:trPr>
        <w:tc>
          <w:tcPr>
            <w:tcW w:w="20" w:type="dxa"/>
            <w:vAlign w:val="bottom"/>
          </w:tcPr>
          <w:p>
            <w:pPr>
              <w:spacing w:after="0"/>
              <w:rPr>
                <w:sz w:val="19"/>
                <w:szCs w:val="19"/>
                <w:color w:val="auto"/>
              </w:rPr>
            </w:pPr>
          </w:p>
        </w:tc>
        <w:tc>
          <w:tcPr>
            <w:tcW w:w="100" w:type="dxa"/>
            <w:vAlign w:val="bottom"/>
            <w:shd w:val="clear" w:color="auto" w:fill="F1EFEC"/>
          </w:tcPr>
          <w:p>
            <w:pPr>
              <w:spacing w:after="0"/>
              <w:rPr>
                <w:sz w:val="19"/>
                <w:szCs w:val="19"/>
                <w:color w:val="auto"/>
              </w:rPr>
            </w:pPr>
          </w:p>
        </w:tc>
        <w:tc>
          <w:tcPr>
            <w:tcW w:w="1040" w:type="dxa"/>
            <w:vAlign w:val="bottom"/>
            <w:shd w:val="clear" w:color="auto" w:fill="F1EFEC"/>
          </w:tcPr>
          <w:p>
            <w:pPr>
              <w:ind w:left="40"/>
              <w:spacing w:after="0"/>
              <w:rPr>
                <w:sz w:val="20"/>
                <w:szCs w:val="20"/>
                <w:color w:val="auto"/>
              </w:rPr>
            </w:pPr>
            <w:r>
              <w:rPr>
                <w:rFonts w:ascii="Arial" w:cs="Arial" w:eastAsia="Arial" w:hAnsi="Arial"/>
                <w:sz w:val="10"/>
                <w:szCs w:val="10"/>
                <w:color w:val="auto"/>
              </w:rPr>
              <w:t>Age</w:t>
            </w:r>
          </w:p>
        </w:tc>
        <w:tc>
          <w:tcPr>
            <w:tcW w:w="1260" w:type="dxa"/>
            <w:vAlign w:val="bottom"/>
            <w:shd w:val="clear" w:color="auto" w:fill="F1EFEC"/>
          </w:tcPr>
          <w:p>
            <w:pPr>
              <w:ind w:left="40"/>
              <w:spacing w:after="0"/>
              <w:rPr>
                <w:sz w:val="20"/>
                <w:szCs w:val="20"/>
                <w:color w:val="auto"/>
              </w:rPr>
            </w:pPr>
            <w:r>
              <w:rPr>
                <w:rFonts w:ascii="Arial" w:cs="Arial" w:eastAsia="Arial" w:hAnsi="Arial"/>
                <w:sz w:val="10"/>
                <w:szCs w:val="10"/>
                <w:color w:val="auto"/>
              </w:rPr>
              <w:t>64</w:t>
            </w:r>
          </w:p>
        </w:tc>
        <w:tc>
          <w:tcPr>
            <w:tcW w:w="120" w:type="dxa"/>
            <w:vAlign w:val="bottom"/>
            <w:shd w:val="clear" w:color="auto" w:fill="F1EFEC"/>
          </w:tcPr>
          <w:p>
            <w:pPr>
              <w:spacing w:after="0"/>
              <w:rPr>
                <w:sz w:val="19"/>
                <w:szCs w:val="19"/>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F1EFEC"/>
            </w:tcBorders>
            <w:shd w:val="clear" w:color="auto" w:fill="F1EFEC"/>
          </w:tcPr>
          <w:p>
            <w:pPr>
              <w:spacing w:after="0"/>
              <w:rPr>
                <w:sz w:val="8"/>
                <w:szCs w:val="8"/>
                <w:color w:val="auto"/>
              </w:rPr>
            </w:pPr>
          </w:p>
        </w:tc>
        <w:tc>
          <w:tcPr>
            <w:tcW w:w="1040" w:type="dxa"/>
            <w:vAlign w:val="bottom"/>
            <w:tcBorders>
              <w:bottom w:val="single" w:sz="8" w:color="auto"/>
            </w:tcBorders>
            <w:shd w:val="clear" w:color="auto" w:fill="F1EFEC"/>
          </w:tcPr>
          <w:p>
            <w:pPr>
              <w:spacing w:after="0"/>
              <w:rPr>
                <w:sz w:val="8"/>
                <w:szCs w:val="8"/>
                <w:color w:val="auto"/>
              </w:rPr>
            </w:pPr>
          </w:p>
        </w:tc>
        <w:tc>
          <w:tcPr>
            <w:tcW w:w="126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100" w:type="dxa"/>
            <w:vAlign w:val="bottom"/>
            <w:shd w:val="clear" w:color="auto" w:fill="F1EFEC"/>
          </w:tcPr>
          <w:p>
            <w:pPr>
              <w:spacing w:after="0"/>
              <w:rPr>
                <w:sz w:val="12"/>
                <w:szCs w:val="12"/>
                <w:color w:val="auto"/>
              </w:rPr>
            </w:pPr>
          </w:p>
        </w:tc>
        <w:tc>
          <w:tcPr>
            <w:tcW w:w="1040" w:type="dxa"/>
            <w:vAlign w:val="bottom"/>
            <w:shd w:val="clear" w:color="auto" w:fill="F1EFEC"/>
          </w:tcPr>
          <w:p>
            <w:pPr>
              <w:ind w:left="40"/>
              <w:spacing w:after="0"/>
              <w:rPr>
                <w:sz w:val="20"/>
                <w:szCs w:val="20"/>
                <w:color w:val="auto"/>
              </w:rPr>
            </w:pPr>
            <w:r>
              <w:rPr>
                <w:rFonts w:ascii="Arial" w:cs="Arial" w:eastAsia="Arial" w:hAnsi="Arial"/>
                <w:sz w:val="10"/>
                <w:szCs w:val="10"/>
                <w:color w:val="auto"/>
              </w:rPr>
              <w:t>Board Committees:</w:t>
            </w:r>
          </w:p>
        </w:tc>
        <w:tc>
          <w:tcPr>
            <w:tcW w:w="1260" w:type="dxa"/>
            <w:vAlign w:val="bottom"/>
            <w:shd w:val="clear" w:color="auto" w:fill="F1EFEC"/>
          </w:tcPr>
          <w:p>
            <w:pPr>
              <w:ind w:left="40"/>
              <w:spacing w:after="0"/>
              <w:rPr>
                <w:sz w:val="20"/>
                <w:szCs w:val="20"/>
                <w:color w:val="auto"/>
              </w:rPr>
            </w:pPr>
            <w:r>
              <w:rPr>
                <w:rFonts w:ascii="Arial" w:cs="Arial" w:eastAsia="Arial" w:hAnsi="Arial"/>
                <w:sz w:val="10"/>
                <w:szCs w:val="10"/>
                <w:color w:val="auto"/>
              </w:rPr>
              <w:t>Audit (Financial Expert)</w:t>
            </w:r>
          </w:p>
        </w:tc>
        <w:tc>
          <w:tcPr>
            <w:tcW w:w="120" w:type="dxa"/>
            <w:vAlign w:val="bottom"/>
            <w:shd w:val="clear" w:color="auto" w:fill="F1EFEC"/>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00" w:type="dxa"/>
            <w:vAlign w:val="bottom"/>
            <w:shd w:val="clear" w:color="auto" w:fill="F1EFEC"/>
          </w:tcPr>
          <w:p>
            <w:pPr>
              <w:spacing w:after="0"/>
              <w:rPr>
                <w:sz w:val="11"/>
                <w:szCs w:val="11"/>
                <w:color w:val="auto"/>
              </w:rPr>
            </w:pPr>
          </w:p>
        </w:tc>
        <w:tc>
          <w:tcPr>
            <w:tcW w:w="1040" w:type="dxa"/>
            <w:vAlign w:val="bottom"/>
            <w:shd w:val="clear" w:color="auto" w:fill="F1EFEC"/>
          </w:tcPr>
          <w:p>
            <w:pPr>
              <w:spacing w:after="0"/>
              <w:rPr>
                <w:sz w:val="11"/>
                <w:szCs w:val="11"/>
                <w:color w:val="auto"/>
              </w:rPr>
            </w:pPr>
          </w:p>
        </w:tc>
        <w:tc>
          <w:tcPr>
            <w:tcW w:w="1260" w:type="dxa"/>
            <w:vAlign w:val="bottom"/>
            <w:shd w:val="clear" w:color="auto" w:fill="F1EFEC"/>
          </w:tcPr>
          <w:p>
            <w:pPr>
              <w:ind w:left="40"/>
              <w:spacing w:after="0"/>
              <w:rPr>
                <w:sz w:val="20"/>
                <w:szCs w:val="20"/>
                <w:color w:val="auto"/>
              </w:rPr>
            </w:pPr>
            <w:r>
              <w:rPr>
                <w:rFonts w:ascii="Arial" w:cs="Arial" w:eastAsia="Arial" w:hAnsi="Arial"/>
                <w:sz w:val="10"/>
                <w:szCs w:val="10"/>
                <w:color w:val="auto"/>
              </w:rPr>
              <w:t>Compensation</w:t>
            </w:r>
          </w:p>
        </w:tc>
        <w:tc>
          <w:tcPr>
            <w:tcW w:w="120" w:type="dxa"/>
            <w:vAlign w:val="bottom"/>
            <w:shd w:val="clear" w:color="auto" w:fill="F1EFEC"/>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shd w:val="clear" w:color="auto" w:fill="F1EFEC"/>
          </w:tcPr>
          <w:p>
            <w:pPr>
              <w:spacing w:after="0" w:line="20" w:lineRule="exact"/>
              <w:rPr>
                <w:sz w:val="1"/>
                <w:szCs w:val="1"/>
                <w:color w:val="auto"/>
              </w:rPr>
            </w:pPr>
          </w:p>
        </w:tc>
        <w:tc>
          <w:tcPr>
            <w:tcW w:w="1040" w:type="dxa"/>
            <w:vAlign w:val="bottom"/>
            <w:shd w:val="clear" w:color="auto" w:fill="F1EFEC"/>
          </w:tcPr>
          <w:p>
            <w:pPr>
              <w:spacing w:after="0" w:line="20" w:lineRule="exact"/>
              <w:rPr>
                <w:sz w:val="1"/>
                <w:szCs w:val="1"/>
                <w:color w:val="auto"/>
              </w:rPr>
            </w:pPr>
          </w:p>
        </w:tc>
        <w:tc>
          <w:tcPr>
            <w:tcW w:w="1260" w:type="dxa"/>
            <w:vAlign w:val="bottom"/>
            <w:shd w:val="clear" w:color="auto" w:fill="F1EFEC"/>
          </w:tcPr>
          <w:p>
            <w:pPr>
              <w:spacing w:after="0" w:line="20" w:lineRule="exact"/>
              <w:rPr>
                <w:sz w:val="1"/>
                <w:szCs w:val="1"/>
                <w:color w:val="auto"/>
              </w:rPr>
            </w:pPr>
          </w:p>
        </w:tc>
        <w:tc>
          <w:tcPr>
            <w:tcW w:w="120" w:type="dxa"/>
            <w:vAlign w:val="bottom"/>
            <w:shd w:val="clear" w:color="auto" w:fill="F1EFE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jc w:val="both"/>
        <w:ind w:left="160" w:right="139" w:hanging="142"/>
        <w:spacing w:after="0" w:line="256" w:lineRule="auto"/>
        <w:rPr>
          <w:sz w:val="20"/>
          <w:szCs w:val="20"/>
          <w:color w:val="auto"/>
        </w:rPr>
      </w:pPr>
      <w:r>
        <w:rPr>
          <w:rFonts w:ascii="Arial" w:cs="Arial" w:eastAsia="Arial" w:hAnsi="Arial"/>
          <w:sz w:val="11"/>
          <w:szCs w:val="11"/>
          <w:color w:val="auto"/>
        </w:rPr>
        <w:t>–   1999 to 2013: Chief Executive Officer, Deutsche Bank Securities, Inc. (2008-2013); Head of Global Capital Markets at Deutsche Bank (2006-2013); member of the Global Banking Executive Committee and the Global Markets Executive Committee (2001-2010)</w:t>
      </w:r>
    </w:p>
    <w:p>
      <w:pPr>
        <w:spacing w:after="0" w:line="4" w:lineRule="exact"/>
        <w:rPr>
          <w:sz w:val="20"/>
          <w:szCs w:val="20"/>
          <w:color w:val="auto"/>
        </w:rPr>
      </w:pPr>
    </w:p>
    <w:p>
      <w:pPr>
        <w:ind w:left="160" w:right="519" w:hanging="142"/>
        <w:spacing w:after="0" w:line="274" w:lineRule="auto"/>
        <w:rPr>
          <w:sz w:val="20"/>
          <w:szCs w:val="20"/>
          <w:color w:val="auto"/>
        </w:rPr>
      </w:pPr>
      <w:r>
        <w:rPr>
          <w:rFonts w:ascii="Arial" w:cs="Arial" w:eastAsia="Arial" w:hAnsi="Arial"/>
          <w:sz w:val="11"/>
          <w:szCs w:val="11"/>
          <w:color w:val="auto"/>
        </w:rPr>
        <w:t>–   1985 to 1999: Global Co-Head of the Leveraged Finance Group and Global Head of Credit Research at Merrill Lynch &amp; Co.</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–   Highly-ranked credit research analyst, principally in the gaming, lodging and leisure sector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B9AFA0"/>
        </w:rPr>
        <w:t>EDUCATION</w:t>
      </w:r>
    </w:p>
    <w:p>
      <w:pPr>
        <w:spacing w:after="0" w:line="8" w:lineRule="exact"/>
        <w:rPr>
          <w:sz w:val="20"/>
          <w:szCs w:val="20"/>
          <w:color w:val="auto"/>
        </w:rPr>
      </w:pPr>
    </w:p>
    <w:p>
      <w:pPr>
        <w:ind w:right="239"/>
        <w:spacing w:after="0" w:line="269" w:lineRule="auto"/>
        <w:rPr>
          <w:sz w:val="20"/>
          <w:szCs w:val="20"/>
          <w:color w:val="auto"/>
        </w:rPr>
      </w:pPr>
      <w:r>
        <w:rPr>
          <w:rFonts w:ascii="Arial" w:cs="Arial" w:eastAsia="Arial" w:hAnsi="Arial"/>
          <w:sz w:val="11"/>
          <w:szCs w:val="11"/>
          <w:color w:val="auto"/>
        </w:rPr>
        <w:t>Mr. Byrne graduated with a B.A. from Binghamton University and a Master of Business Administration from the Kellogg School of Management at Northwestern University.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B9AFA0"/>
        </w:rPr>
        <w:t>EXPERTISE</w:t>
      </w:r>
    </w:p>
    <w:p>
      <w:pPr>
        <w:spacing w:after="0" w:line="8" w:lineRule="exact"/>
        <w:rPr>
          <w:sz w:val="20"/>
          <w:szCs w:val="20"/>
          <w:color w:val="auto"/>
        </w:rPr>
      </w:pPr>
    </w:p>
    <w:p>
      <w:pPr>
        <w:ind w:right="519"/>
        <w:spacing w:after="0" w:line="256" w:lineRule="auto"/>
        <w:rPr>
          <w:sz w:val="20"/>
          <w:szCs w:val="20"/>
          <w:color w:val="auto"/>
        </w:rPr>
      </w:pPr>
      <w:r>
        <w:rPr>
          <w:rFonts w:ascii="Arial" w:cs="Arial" w:eastAsia="Arial" w:hAnsi="Arial"/>
          <w:sz w:val="11"/>
          <w:szCs w:val="11"/>
          <w:color w:val="auto"/>
        </w:rPr>
        <w:t>Mr. Byrne has extensive high-level experience in the investment banking and financial services industries, adding expertise in corporate finance and substantial knowledge of the public and private capital markets to our Board. Mr. Byrne also has a deep background in the casino resort industry.</w:t>
      </w:r>
    </w:p>
    <w:p>
      <w:pPr>
        <w:spacing w:after="0" w:line="1087" w:lineRule="exact"/>
        <w:rPr>
          <w:sz w:val="20"/>
          <w:szCs w:val="20"/>
          <w:color w:val="auto"/>
        </w:rPr>
      </w:pPr>
    </w:p>
    <w:p>
      <w:pPr>
        <w:sectPr>
          <w:pgSz w:w="11900" w:h="16838" w:orient="portrait"/>
          <w:cols w:equalWidth="0" w:num="2">
            <w:col w:w="3800" w:space="120"/>
            <w:col w:w="6239"/>
          </w:cols>
          <w:pgMar w:left="300" w:top="413" w:right="1440" w:bottom="1440" w:gutter="0" w:footer="0" w:header="0"/>
          <w:type w:val="continuous"/>
        </w:sectPr>
      </w:pPr>
    </w:p>
    <w:p>
      <w:pPr>
        <w:ind w:left="1260"/>
        <w:spacing w:after="0"/>
        <w:rPr>
          <w:sz w:val="20"/>
          <w:szCs w:val="20"/>
          <w:color w:val="auto"/>
        </w:rPr>
      </w:pPr>
      <w:r>
        <w:rPr>
          <w:rFonts w:ascii="Arial" w:cs="Arial" w:eastAsia="Arial" w:hAnsi="Arial"/>
          <w:sz w:val="16"/>
          <w:szCs w:val="16"/>
          <w:color w:val="B9AFA0"/>
        </w:rPr>
        <w:t>SKILLS AND QUALIFICATIONS</w:t>
      </w:r>
    </w:p>
    <w:p>
      <w:pPr>
        <w:spacing w:after="0" w:line="58"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Gaming or Other Regulated</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Each of the entities where Mr. Byrne serves or served in executive capacities are regulated by various state and federal agencies, including</w:t>
            </w:r>
          </w:p>
        </w:tc>
      </w:tr>
      <w:tr>
        <w:trPr>
          <w:trHeight w:val="129"/>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Industry</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the SEC and FINRA. Further, throughout his career with both Merrill Lynch and Deutsche Bank, Mr. Byrne was a top-ranked research</w:t>
            </w:r>
          </w:p>
        </w:tc>
      </w:tr>
      <w:tr>
        <w:trPr>
          <w:trHeight w:val="156"/>
        </w:trPr>
        <w:tc>
          <w:tcPr>
            <w:tcW w:w="1600" w:type="dxa"/>
            <w:vAlign w:val="bottom"/>
            <w:shd w:val="clear" w:color="auto" w:fill="F1EFEC"/>
          </w:tcPr>
          <w:p>
            <w:pPr>
              <w:spacing w:after="0"/>
              <w:rPr>
                <w:sz w:val="13"/>
                <w:szCs w:val="13"/>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analyst in casino gaming.</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Executive Leadership</w:t>
            </w:r>
          </w:p>
        </w:tc>
        <w:tc>
          <w:tcPr>
            <w:tcW w:w="7140" w:type="dxa"/>
            <w:vAlign w:val="bottom"/>
          </w:tcPr>
          <w:p>
            <w:pPr>
              <w:ind w:left="80"/>
              <w:spacing w:after="0"/>
              <w:rPr>
                <w:sz w:val="20"/>
                <w:szCs w:val="20"/>
                <w:color w:val="auto"/>
              </w:rPr>
            </w:pPr>
            <w:r>
              <w:rPr>
                <w:rFonts w:ascii="Arial" w:cs="Arial" w:eastAsia="Arial" w:hAnsi="Arial"/>
                <w:sz w:val="11"/>
                <w:szCs w:val="11"/>
                <w:color w:val="auto"/>
              </w:rPr>
              <w:t>Mr. Byrne was CEO of Deutsche Bank Securities, Inc., and was also the head of global capital markets at Deutsche Bank and a member of</w:t>
            </w:r>
          </w:p>
        </w:tc>
      </w:tr>
      <w:tr>
        <w:trPr>
          <w:trHeight w:val="129"/>
        </w:trPr>
        <w:tc>
          <w:tcPr>
            <w:tcW w:w="1600" w:type="dxa"/>
            <w:vAlign w:val="bottom"/>
          </w:tcPr>
          <w:p>
            <w:pPr>
              <w:spacing w:after="0"/>
              <w:rPr>
                <w:sz w:val="11"/>
                <w:szCs w:val="11"/>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their global banking and global markets executive committees. Before joining Deutsche Bank, Mr. Byrne was global co-head of the</w:t>
            </w:r>
          </w:p>
        </w:tc>
      </w:tr>
      <w:tr>
        <w:trPr>
          <w:trHeight w:val="153"/>
        </w:trPr>
        <w:tc>
          <w:tcPr>
            <w:tcW w:w="1600" w:type="dxa"/>
            <w:vAlign w:val="bottom"/>
          </w:tcPr>
          <w:p>
            <w:pPr>
              <w:spacing w:after="0"/>
              <w:rPr>
                <w:sz w:val="13"/>
                <w:szCs w:val="13"/>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leveraged finance group and global head of credit research at Merrill Lynch.</w:t>
            </w:r>
          </w:p>
        </w:tc>
      </w:tr>
      <w:tr>
        <w:trPr>
          <w:trHeight w:val="207"/>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Outside Public Boards</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Mr. Byrne serves as Chair of the Board of Directors of Franklin BSP Realty Trust, Inc.</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Finance &amp; Accounting</w:t>
            </w:r>
          </w:p>
        </w:tc>
        <w:tc>
          <w:tcPr>
            <w:tcW w:w="7140" w:type="dxa"/>
            <w:vAlign w:val="bottom"/>
          </w:tcPr>
          <w:p>
            <w:pPr>
              <w:ind w:left="80"/>
              <w:spacing w:after="0"/>
              <w:rPr>
                <w:sz w:val="20"/>
                <w:szCs w:val="20"/>
                <w:color w:val="auto"/>
              </w:rPr>
            </w:pPr>
            <w:r>
              <w:rPr>
                <w:rFonts w:ascii="Arial" w:cs="Arial" w:eastAsia="Arial" w:hAnsi="Arial"/>
                <w:sz w:val="11"/>
                <w:szCs w:val="11"/>
                <w:color w:val="auto"/>
              </w:rPr>
              <w:t>Mr. Byrne ran global leveraged finance at Merrill Lynch &amp; Co. He served in many capacities at Deutsche Bank, including global head of</w:t>
            </w:r>
          </w:p>
        </w:tc>
      </w:tr>
      <w:tr>
        <w:trPr>
          <w:trHeight w:val="129"/>
        </w:trPr>
        <w:tc>
          <w:tcPr>
            <w:tcW w:w="1600" w:type="dxa"/>
            <w:vAlign w:val="bottom"/>
          </w:tcPr>
          <w:p>
            <w:pPr>
              <w:spacing w:after="0"/>
              <w:rPr>
                <w:sz w:val="11"/>
                <w:szCs w:val="11"/>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capital markets, and ultimately, CEO of Deutsche Bank Securities until 2013. He has been President of Benefit Street Partners, LLC, an</w:t>
            </w:r>
          </w:p>
        </w:tc>
      </w:tr>
      <w:tr>
        <w:trPr>
          <w:trHeight w:val="153"/>
        </w:trPr>
        <w:tc>
          <w:tcPr>
            <w:tcW w:w="1600" w:type="dxa"/>
            <w:vAlign w:val="bottom"/>
          </w:tcPr>
          <w:p>
            <w:pPr>
              <w:spacing w:after="0"/>
              <w:rPr>
                <w:sz w:val="13"/>
                <w:szCs w:val="13"/>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alternative asset management firm, since 2013.</w:t>
            </w:r>
          </w:p>
        </w:tc>
      </w:tr>
      <w:tr>
        <w:trPr>
          <w:trHeight w:val="180"/>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Real Estate &amp; Project</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Franklin BSP Realty Trust, Inc., where Mr. Byrne is CEO and Chair of the Board, is a real estate investment trust that originates, acquires</w:t>
            </w:r>
          </w:p>
        </w:tc>
      </w:tr>
      <w:tr>
        <w:trPr>
          <w:trHeight w:val="156"/>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Construction</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and manages a diversified portfolio of commercial real estate debt secured by properties located in the United States.</w:t>
            </w:r>
          </w:p>
        </w:tc>
      </w:tr>
    </w:tbl>
    <w:p>
      <w:pPr>
        <w:spacing w:after="0" w:line="10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159"/>
          </w:cols>
          <w:pgMar w:left="300" w:top="413"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Paul Liu </w:t>
      </w:r>
      <w:r>
        <w:rPr>
          <w:rFonts w:ascii="Times New Roman" w:cs="Times New Roman" w:eastAsia="Times New Roman" w:hAnsi="Times New Roman"/>
          <w:sz w:val="11"/>
          <w:szCs w:val="11"/>
          <w:i w:val="1"/>
          <w:iCs w:val="1"/>
          <w:color w:val="auto"/>
        </w:rPr>
        <w:t>Former Partner, Egon Zehnder, AG</w:t>
      </w:r>
    </w:p>
    <w:p>
      <w:pPr>
        <w:spacing w:after="0" w:line="60" w:lineRule="exact"/>
        <w:rPr>
          <w:sz w:val="20"/>
          <w:szCs w:val="20"/>
          <w:color w:val="auto"/>
        </w:rPr>
      </w:pPr>
    </w:p>
    <w:p>
      <w:pPr>
        <w:ind w:left="1260" w:right="499"/>
        <w:spacing w:after="0" w:line="266" w:lineRule="auto"/>
        <w:rPr>
          <w:sz w:val="20"/>
          <w:szCs w:val="20"/>
          <w:color w:val="auto"/>
        </w:rPr>
      </w:pPr>
      <w:r>
        <w:rPr>
          <w:rFonts w:ascii="Arial" w:cs="Arial" w:eastAsia="Arial" w:hAnsi="Arial"/>
          <w:sz w:val="11"/>
          <w:szCs w:val="11"/>
          <w:color w:val="auto"/>
        </w:rPr>
        <w:t>Mr. Liu has significant professional experience in hospitality, entertainment, and financial services both in China and the Asia Pacific region, most recently serving as a Partner at Egon Zehnder, AG where he led the Services Practice in the Asia Pacific region with a focus on hotels and hospitality, serving multinational and Chinese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57150</wp:posOffset>
            </wp:positionV>
            <wp:extent cx="1587500" cy="1198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87500" cy="1198880"/>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26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10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3"/>
                <w:szCs w:val="13"/>
                <w:color w:val="auto"/>
              </w:rPr>
              <w:t xml:space="preserve">   </w:t>
            </w:r>
          </w:p>
        </w:tc>
        <w:tc>
          <w:tcPr>
            <w:tcW w:w="1080" w:type="dxa"/>
            <w:vAlign w:val="bottom"/>
            <w:tcBorders>
              <w:bottom w:val="single" w:sz="8" w:color="auto"/>
            </w:tcBorders>
            <w:shd w:val="clear" w:color="auto" w:fill="F1EFEC"/>
          </w:tcPr>
          <w:p>
            <w:pPr>
              <w:ind w:left="40"/>
              <w:spacing w:after="0"/>
              <w:rPr>
                <w:sz w:val="20"/>
                <w:szCs w:val="20"/>
                <w:color w:val="auto"/>
              </w:rPr>
            </w:pPr>
            <w:r>
              <w:rPr>
                <w:rFonts w:ascii="Arial" w:cs="Arial" w:eastAsia="Arial" w:hAnsi="Arial"/>
                <w:sz w:val="10"/>
                <w:szCs w:val="10"/>
                <w:color w:val="auto"/>
              </w:rPr>
              <w:t>Director Since</w:t>
            </w:r>
          </w:p>
        </w:tc>
        <w:tc>
          <w:tcPr>
            <w:tcW w:w="1220" w:type="dxa"/>
            <w:vAlign w:val="bottom"/>
            <w:tcBorders>
              <w:bottom w:val="single" w:sz="8" w:color="auto"/>
            </w:tcBorders>
            <w:shd w:val="clear" w:color="auto" w:fill="F1EFEC"/>
          </w:tcPr>
          <w:p>
            <w:pPr>
              <w:ind w:left="40"/>
              <w:spacing w:after="0"/>
              <w:rPr>
                <w:sz w:val="20"/>
                <w:szCs w:val="20"/>
                <w:color w:val="auto"/>
              </w:rPr>
            </w:pPr>
            <w:r>
              <w:rPr>
                <w:rFonts w:ascii="Arial" w:cs="Arial" w:eastAsia="Arial" w:hAnsi="Arial"/>
                <w:sz w:val="10"/>
                <w:szCs w:val="10"/>
                <w:color w:val="auto"/>
              </w:rPr>
              <w:t>August 2023</w:t>
            </w:r>
          </w:p>
        </w:tc>
        <w:tc>
          <w:tcPr>
            <w:tcW w:w="120" w:type="dxa"/>
            <w:vAlign w:val="bottom"/>
            <w:tcBorders>
              <w:bottom w:val="single" w:sz="8" w:color="F1EFEC"/>
            </w:tcBorders>
            <w:shd w:val="clear" w:color="auto" w:fill="F1EFEC"/>
          </w:tcPr>
          <w:p>
            <w:pPr>
              <w:ind w:left="80"/>
              <w:spacing w:after="0"/>
              <w:rPr>
                <w:sz w:val="20"/>
                <w:szCs w:val="20"/>
                <w:color w:val="auto"/>
              </w:rPr>
            </w:pPr>
            <w:r>
              <w:rPr>
                <w:rFonts w:ascii="Arial" w:cs="Arial" w:eastAsia="Arial" w:hAnsi="Arial"/>
                <w:sz w:val="11"/>
                <w:szCs w:val="11"/>
                <w:color w:val="auto"/>
                <w:w w:val="70"/>
              </w:rPr>
              <w:t> </w:t>
            </w:r>
          </w:p>
        </w:tc>
      </w:tr>
      <w:tr>
        <w:trPr>
          <w:trHeight w:val="233"/>
        </w:trPr>
        <w:tc>
          <w:tcPr>
            <w:tcW w:w="20" w:type="dxa"/>
            <w:vAlign w:val="bottom"/>
          </w:tcPr>
          <w:p>
            <w:pPr>
              <w:spacing w:after="0"/>
              <w:rPr>
                <w:sz w:val="20"/>
                <w:szCs w:val="20"/>
                <w:color w:val="auto"/>
              </w:rPr>
            </w:pPr>
          </w:p>
        </w:tc>
        <w:tc>
          <w:tcPr>
            <w:tcW w:w="100" w:type="dxa"/>
            <w:vAlign w:val="bottom"/>
            <w:shd w:val="clear" w:color="auto" w:fill="F1EFEC"/>
          </w:tcPr>
          <w:p>
            <w:pPr>
              <w:spacing w:after="0"/>
              <w:rPr>
                <w:sz w:val="20"/>
                <w:szCs w:val="20"/>
                <w:color w:val="auto"/>
              </w:rPr>
            </w:pPr>
          </w:p>
        </w:tc>
        <w:tc>
          <w:tcPr>
            <w:tcW w:w="1080" w:type="dxa"/>
            <w:vAlign w:val="bottom"/>
            <w:shd w:val="clear" w:color="auto" w:fill="F1EFEC"/>
          </w:tcPr>
          <w:p>
            <w:pPr>
              <w:ind w:left="40"/>
              <w:spacing w:after="0"/>
              <w:rPr>
                <w:sz w:val="20"/>
                <w:szCs w:val="20"/>
                <w:color w:val="auto"/>
              </w:rPr>
            </w:pPr>
            <w:r>
              <w:rPr>
                <w:rFonts w:ascii="Arial" w:cs="Arial" w:eastAsia="Arial" w:hAnsi="Arial"/>
                <w:sz w:val="10"/>
                <w:szCs w:val="10"/>
                <w:color w:val="auto"/>
              </w:rPr>
              <w:t>Term Expires</w:t>
            </w:r>
          </w:p>
        </w:tc>
        <w:tc>
          <w:tcPr>
            <w:tcW w:w="1220" w:type="dxa"/>
            <w:vAlign w:val="bottom"/>
            <w:shd w:val="clear" w:color="auto" w:fill="F1EFEC"/>
          </w:tcPr>
          <w:p>
            <w:pPr>
              <w:ind w:left="40"/>
              <w:spacing w:after="0"/>
              <w:rPr>
                <w:sz w:val="20"/>
                <w:szCs w:val="20"/>
                <w:color w:val="auto"/>
              </w:rPr>
            </w:pPr>
            <w:r>
              <w:rPr>
                <w:rFonts w:ascii="Arial" w:cs="Arial" w:eastAsia="Arial" w:hAnsi="Arial"/>
                <w:sz w:val="10"/>
                <w:szCs w:val="10"/>
                <w:color w:val="auto"/>
              </w:rPr>
              <w:t>2027 Annual Meeting</w:t>
            </w:r>
          </w:p>
        </w:tc>
        <w:tc>
          <w:tcPr>
            <w:tcW w:w="120" w:type="dxa"/>
            <w:vAlign w:val="bottom"/>
            <w:shd w:val="clear" w:color="auto" w:fill="F1EFEC"/>
          </w:tcPr>
          <w:p>
            <w:pPr>
              <w:spacing w:after="0"/>
              <w:rPr>
                <w:sz w:val="20"/>
                <w:szCs w:val="20"/>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F1EFEC"/>
            </w:tcBorders>
            <w:shd w:val="clear" w:color="auto" w:fill="F1EFEC"/>
          </w:tcPr>
          <w:p>
            <w:pPr>
              <w:spacing w:after="0"/>
              <w:rPr>
                <w:sz w:val="8"/>
                <w:szCs w:val="8"/>
                <w:color w:val="auto"/>
              </w:rPr>
            </w:pPr>
          </w:p>
        </w:tc>
        <w:tc>
          <w:tcPr>
            <w:tcW w:w="1080" w:type="dxa"/>
            <w:vAlign w:val="bottom"/>
            <w:tcBorders>
              <w:bottom w:val="single" w:sz="8" w:color="auto"/>
            </w:tcBorders>
            <w:shd w:val="clear" w:color="auto" w:fill="F1EFEC"/>
          </w:tcPr>
          <w:p>
            <w:pPr>
              <w:spacing w:after="0"/>
              <w:rPr>
                <w:sz w:val="8"/>
                <w:szCs w:val="8"/>
                <w:color w:val="auto"/>
              </w:rPr>
            </w:pPr>
          </w:p>
        </w:tc>
        <w:tc>
          <w:tcPr>
            <w:tcW w:w="122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r>
      <w:tr>
        <w:trPr>
          <w:trHeight w:val="227"/>
        </w:trPr>
        <w:tc>
          <w:tcPr>
            <w:tcW w:w="20" w:type="dxa"/>
            <w:vAlign w:val="bottom"/>
          </w:tcPr>
          <w:p>
            <w:pPr>
              <w:spacing w:after="0"/>
              <w:rPr>
                <w:sz w:val="19"/>
                <w:szCs w:val="19"/>
                <w:color w:val="auto"/>
              </w:rPr>
            </w:pPr>
          </w:p>
        </w:tc>
        <w:tc>
          <w:tcPr>
            <w:tcW w:w="100" w:type="dxa"/>
            <w:vAlign w:val="bottom"/>
            <w:shd w:val="clear" w:color="auto" w:fill="F1EFEC"/>
          </w:tcPr>
          <w:p>
            <w:pPr>
              <w:spacing w:after="0"/>
              <w:rPr>
                <w:sz w:val="19"/>
                <w:szCs w:val="19"/>
                <w:color w:val="auto"/>
              </w:rPr>
            </w:pPr>
          </w:p>
        </w:tc>
        <w:tc>
          <w:tcPr>
            <w:tcW w:w="1080" w:type="dxa"/>
            <w:vAlign w:val="bottom"/>
            <w:shd w:val="clear" w:color="auto" w:fill="F1EFEC"/>
          </w:tcPr>
          <w:p>
            <w:pPr>
              <w:ind w:left="40"/>
              <w:spacing w:after="0"/>
              <w:rPr>
                <w:sz w:val="20"/>
                <w:szCs w:val="20"/>
                <w:color w:val="auto"/>
              </w:rPr>
            </w:pPr>
            <w:r>
              <w:rPr>
                <w:rFonts w:ascii="Arial" w:cs="Arial" w:eastAsia="Arial" w:hAnsi="Arial"/>
                <w:sz w:val="10"/>
                <w:szCs w:val="10"/>
                <w:color w:val="auto"/>
              </w:rPr>
              <w:t>Age</w:t>
            </w:r>
          </w:p>
        </w:tc>
        <w:tc>
          <w:tcPr>
            <w:tcW w:w="1220" w:type="dxa"/>
            <w:vAlign w:val="bottom"/>
            <w:shd w:val="clear" w:color="auto" w:fill="F1EFEC"/>
          </w:tcPr>
          <w:p>
            <w:pPr>
              <w:ind w:left="40"/>
              <w:spacing w:after="0"/>
              <w:rPr>
                <w:sz w:val="20"/>
                <w:szCs w:val="20"/>
                <w:color w:val="auto"/>
              </w:rPr>
            </w:pPr>
            <w:r>
              <w:rPr>
                <w:rFonts w:ascii="Arial" w:cs="Arial" w:eastAsia="Arial" w:hAnsi="Arial"/>
                <w:sz w:val="10"/>
                <w:szCs w:val="10"/>
                <w:color w:val="auto"/>
              </w:rPr>
              <w:t>66</w:t>
            </w:r>
          </w:p>
        </w:tc>
        <w:tc>
          <w:tcPr>
            <w:tcW w:w="120" w:type="dxa"/>
            <w:vAlign w:val="bottom"/>
            <w:shd w:val="clear" w:color="auto" w:fill="F1EFEC"/>
          </w:tcPr>
          <w:p>
            <w:pPr>
              <w:spacing w:after="0"/>
              <w:rPr>
                <w:sz w:val="19"/>
                <w:szCs w:val="19"/>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F1EFEC"/>
            </w:tcBorders>
            <w:shd w:val="clear" w:color="auto" w:fill="F1EFEC"/>
          </w:tcPr>
          <w:p>
            <w:pPr>
              <w:spacing w:after="0"/>
              <w:rPr>
                <w:sz w:val="8"/>
                <w:szCs w:val="8"/>
                <w:color w:val="auto"/>
              </w:rPr>
            </w:pPr>
          </w:p>
        </w:tc>
        <w:tc>
          <w:tcPr>
            <w:tcW w:w="1080" w:type="dxa"/>
            <w:vAlign w:val="bottom"/>
            <w:tcBorders>
              <w:bottom w:val="single" w:sz="8" w:color="auto"/>
            </w:tcBorders>
            <w:shd w:val="clear" w:color="auto" w:fill="F1EFEC"/>
          </w:tcPr>
          <w:p>
            <w:pPr>
              <w:spacing w:after="0"/>
              <w:rPr>
                <w:sz w:val="8"/>
                <w:szCs w:val="8"/>
                <w:color w:val="auto"/>
              </w:rPr>
            </w:pPr>
          </w:p>
        </w:tc>
        <w:tc>
          <w:tcPr>
            <w:tcW w:w="122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100" w:type="dxa"/>
            <w:vAlign w:val="bottom"/>
            <w:shd w:val="clear" w:color="auto" w:fill="F1EFEC"/>
          </w:tcPr>
          <w:p>
            <w:pPr>
              <w:spacing w:after="0"/>
              <w:rPr>
                <w:sz w:val="15"/>
                <w:szCs w:val="15"/>
                <w:color w:val="auto"/>
              </w:rPr>
            </w:pPr>
          </w:p>
        </w:tc>
        <w:tc>
          <w:tcPr>
            <w:tcW w:w="1080" w:type="dxa"/>
            <w:vAlign w:val="bottom"/>
            <w:shd w:val="clear" w:color="auto" w:fill="F1EFEC"/>
          </w:tcPr>
          <w:p>
            <w:pPr>
              <w:ind w:left="40"/>
              <w:spacing w:after="0"/>
              <w:rPr>
                <w:sz w:val="20"/>
                <w:szCs w:val="20"/>
                <w:color w:val="auto"/>
              </w:rPr>
            </w:pPr>
            <w:r>
              <w:rPr>
                <w:rFonts w:ascii="Arial" w:cs="Arial" w:eastAsia="Arial" w:hAnsi="Arial"/>
                <w:sz w:val="10"/>
                <w:szCs w:val="10"/>
                <w:color w:val="auto"/>
              </w:rPr>
              <w:t>Board Committees:</w:t>
            </w:r>
          </w:p>
        </w:tc>
        <w:tc>
          <w:tcPr>
            <w:tcW w:w="1220" w:type="dxa"/>
            <w:vAlign w:val="bottom"/>
            <w:shd w:val="clear" w:color="auto" w:fill="F1EFEC"/>
          </w:tcPr>
          <w:p>
            <w:pPr>
              <w:ind w:left="40"/>
              <w:spacing w:after="0"/>
              <w:rPr>
                <w:sz w:val="20"/>
                <w:szCs w:val="20"/>
                <w:color w:val="auto"/>
              </w:rPr>
            </w:pPr>
            <w:r>
              <w:rPr>
                <w:rFonts w:ascii="Arial" w:cs="Arial" w:eastAsia="Arial" w:hAnsi="Arial"/>
                <w:sz w:val="10"/>
                <w:szCs w:val="10"/>
                <w:color w:val="auto"/>
              </w:rPr>
              <w:t>Audit</w:t>
            </w:r>
          </w:p>
        </w:tc>
        <w:tc>
          <w:tcPr>
            <w:tcW w:w="120" w:type="dxa"/>
            <w:vAlign w:val="bottom"/>
            <w:shd w:val="clear" w:color="auto" w:fill="F1EFEC"/>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shd w:val="clear" w:color="auto" w:fill="F1EFEC"/>
          </w:tcPr>
          <w:p>
            <w:pPr>
              <w:spacing w:after="0" w:line="20" w:lineRule="exact"/>
              <w:rPr>
                <w:sz w:val="1"/>
                <w:szCs w:val="1"/>
                <w:color w:val="auto"/>
              </w:rPr>
            </w:pPr>
          </w:p>
        </w:tc>
        <w:tc>
          <w:tcPr>
            <w:tcW w:w="1080" w:type="dxa"/>
            <w:vAlign w:val="bottom"/>
            <w:shd w:val="clear" w:color="auto" w:fill="F1EFEC"/>
          </w:tcPr>
          <w:p>
            <w:pPr>
              <w:spacing w:after="0" w:line="20" w:lineRule="exact"/>
              <w:rPr>
                <w:sz w:val="1"/>
                <w:szCs w:val="1"/>
                <w:color w:val="auto"/>
              </w:rPr>
            </w:pPr>
          </w:p>
        </w:tc>
        <w:tc>
          <w:tcPr>
            <w:tcW w:w="1220" w:type="dxa"/>
            <w:vAlign w:val="bottom"/>
            <w:shd w:val="clear" w:color="auto" w:fill="F1EFEC"/>
          </w:tcPr>
          <w:p>
            <w:pPr>
              <w:spacing w:after="0" w:line="20" w:lineRule="exact"/>
              <w:rPr>
                <w:sz w:val="1"/>
                <w:szCs w:val="1"/>
                <w:color w:val="auto"/>
              </w:rPr>
            </w:pPr>
          </w:p>
        </w:tc>
        <w:tc>
          <w:tcPr>
            <w:tcW w:w="120" w:type="dxa"/>
            <w:vAlign w:val="bottom"/>
            <w:shd w:val="clear" w:color="auto" w:fill="F1EFE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ind w:right="319"/>
        <w:spacing w:after="0" w:line="295" w:lineRule="auto"/>
        <w:rPr>
          <w:sz w:val="20"/>
          <w:szCs w:val="20"/>
          <w:color w:val="auto"/>
        </w:rPr>
      </w:pPr>
      <w:r>
        <w:rPr>
          <w:rFonts w:ascii="Arial" w:cs="Arial" w:eastAsia="Arial" w:hAnsi="Arial"/>
          <w:sz w:val="11"/>
          <w:szCs w:val="11"/>
          <w:color w:val="auto"/>
        </w:rPr>
        <w:t>–   2011 to 2023 Consultant / Partner, Egon Zehnder, AG, Services Practice Group for Greater China and Asia Pacific –   2009 to 2011 Chief Operating Officer, China, Anschutz Entertainment Group (“AEG”)</w:t>
      </w:r>
    </w:p>
    <w:p>
      <w:pPr>
        <w:spacing w:after="0" w:line="1" w:lineRule="exact"/>
        <w:rPr>
          <w:sz w:val="20"/>
          <w:szCs w:val="20"/>
          <w:color w:val="auto"/>
        </w:rPr>
      </w:pPr>
    </w:p>
    <w:p>
      <w:pPr>
        <w:ind w:right="2079"/>
        <w:spacing w:after="0" w:line="349" w:lineRule="auto"/>
        <w:rPr>
          <w:sz w:val="20"/>
          <w:szCs w:val="20"/>
          <w:color w:val="auto"/>
        </w:rPr>
      </w:pPr>
      <w:r>
        <w:rPr>
          <w:rFonts w:ascii="Arial" w:cs="Arial" w:eastAsia="Arial" w:hAnsi="Arial"/>
          <w:sz w:val="11"/>
          <w:szCs w:val="11"/>
          <w:color w:val="auto"/>
        </w:rPr>
        <w:t>–   2000 to 2007 Executive Director and Chief Financial Officer, Three on the Bund –   Previous roles with multinational investment banks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B9AFA0"/>
        </w:rPr>
        <w:t>EDUCATION</w:t>
      </w:r>
    </w:p>
    <w:p>
      <w:pPr>
        <w:spacing w:after="0" w:line="8" w:lineRule="exact"/>
        <w:rPr>
          <w:sz w:val="20"/>
          <w:szCs w:val="20"/>
          <w:color w:val="auto"/>
        </w:rPr>
      </w:pPr>
    </w:p>
    <w:p>
      <w:pPr>
        <w:ind w:right="459"/>
        <w:spacing w:after="0" w:line="269" w:lineRule="auto"/>
        <w:rPr>
          <w:sz w:val="20"/>
          <w:szCs w:val="20"/>
          <w:color w:val="auto"/>
        </w:rPr>
      </w:pPr>
      <w:r>
        <w:rPr>
          <w:rFonts w:ascii="Arial" w:cs="Arial" w:eastAsia="Arial" w:hAnsi="Arial"/>
          <w:sz w:val="11"/>
          <w:szCs w:val="11"/>
          <w:color w:val="auto"/>
        </w:rPr>
        <w:t>Mr. Liu graduated with a B.A. in 1983, from the University of Michigan, and an M.A. from Johns Hopkins University School of Advanced International Studies in 1986.</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B9AFA0"/>
        </w:rPr>
        <w:t>EXPERTISE</w:t>
      </w:r>
    </w:p>
    <w:p>
      <w:pPr>
        <w:spacing w:after="0" w:line="8" w:lineRule="exact"/>
        <w:rPr>
          <w:sz w:val="20"/>
          <w:szCs w:val="20"/>
          <w:color w:val="auto"/>
        </w:rPr>
      </w:pPr>
    </w:p>
    <w:p>
      <w:pPr>
        <w:ind w:right="219"/>
        <w:spacing w:after="0" w:line="250" w:lineRule="auto"/>
        <w:rPr>
          <w:sz w:val="20"/>
          <w:szCs w:val="20"/>
          <w:color w:val="auto"/>
        </w:rPr>
      </w:pPr>
      <w:r>
        <w:rPr>
          <w:rFonts w:ascii="Arial" w:cs="Arial" w:eastAsia="Arial" w:hAnsi="Arial"/>
          <w:sz w:val="11"/>
          <w:szCs w:val="11"/>
          <w:color w:val="auto"/>
        </w:rPr>
        <w:t>Mr. Liu has significant professional experience in hospitality, entertainment, financial services, as well as talent management and appraisal, both in China and the Asia Pacific region. Most recently he served as a Partner at Egon Zehnder AG where he led the Services Practice in the Asia Pacific region with a focus on hotels and hospitality, serving multinational and Chinese companies. Mr. Liu holds a Directorship Certification issued by the National Association of Corporate Directors.</w:t>
      </w:r>
    </w:p>
    <w:p>
      <w:pPr>
        <w:spacing w:after="0" w:line="833" w:lineRule="exact"/>
        <w:rPr>
          <w:sz w:val="20"/>
          <w:szCs w:val="20"/>
          <w:color w:val="auto"/>
        </w:rPr>
      </w:pPr>
    </w:p>
    <w:p>
      <w:pPr>
        <w:sectPr>
          <w:pgSz w:w="11900" w:h="16838" w:orient="portrait"/>
          <w:cols w:equalWidth="0" w:num="2">
            <w:col w:w="3800" w:space="120"/>
            <w:col w:w="6239"/>
          </w:cols>
          <w:pgMar w:left="300" w:top="413" w:right="1440" w:bottom="1440" w:gutter="0" w:footer="0" w:header="0"/>
          <w:type w:val="continuous"/>
        </w:sectPr>
      </w:pPr>
    </w:p>
    <w:p>
      <w:pPr>
        <w:ind w:left="1260"/>
        <w:spacing w:after="0"/>
        <w:rPr>
          <w:sz w:val="20"/>
          <w:szCs w:val="20"/>
          <w:color w:val="auto"/>
        </w:rPr>
      </w:pPr>
      <w:r>
        <w:rPr>
          <w:rFonts w:ascii="Arial" w:cs="Arial" w:eastAsia="Arial" w:hAnsi="Arial"/>
          <w:sz w:val="16"/>
          <w:szCs w:val="16"/>
          <w:color w:val="B9AFA0"/>
        </w:rPr>
        <w:t>SKILLS AND QUALIFICATIONS</w:t>
      </w:r>
    </w:p>
    <w:p>
      <w:pPr>
        <w:spacing w:after="0" w:line="58"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Finance &amp; Accounting</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Mr. Liu was in banking for 14 years based in New York and Hong Kong, serving in corporate finance, asset management and capital</w:t>
            </w:r>
          </w:p>
        </w:tc>
      </w:tr>
      <w:tr>
        <w:trPr>
          <w:trHeight w:val="150"/>
        </w:trPr>
        <w:tc>
          <w:tcPr>
            <w:tcW w:w="1600" w:type="dxa"/>
            <w:vAlign w:val="bottom"/>
            <w:shd w:val="clear" w:color="auto" w:fill="F1EFEC"/>
          </w:tcPr>
          <w:p>
            <w:pPr>
              <w:spacing w:after="0"/>
              <w:rPr>
                <w:sz w:val="13"/>
                <w:szCs w:val="13"/>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markets roles.</w:t>
            </w:r>
          </w:p>
        </w:tc>
      </w:tr>
      <w:tr>
        <w:trPr>
          <w:trHeight w:val="205"/>
        </w:trPr>
        <w:tc>
          <w:tcPr>
            <w:tcW w:w="1600" w:type="dxa"/>
            <w:vAlign w:val="bottom"/>
            <w:shd w:val="clear" w:color="auto" w:fill="F1EFEC"/>
          </w:tcPr>
          <w:p>
            <w:pPr>
              <w:spacing w:after="0"/>
              <w:rPr>
                <w:sz w:val="17"/>
                <w:szCs w:val="17"/>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Mr. Liu has served previously as CFO for Three on the Bund, an iconic Shanghai destination, and as COO, China for AEG, which included</w:t>
            </w:r>
          </w:p>
        </w:tc>
      </w:tr>
      <w:tr>
        <w:trPr>
          <w:trHeight w:val="167"/>
        </w:trPr>
        <w:tc>
          <w:tcPr>
            <w:tcW w:w="1600" w:type="dxa"/>
            <w:vAlign w:val="bottom"/>
            <w:shd w:val="clear" w:color="auto" w:fill="F1EFEC"/>
          </w:tcPr>
          <w:p>
            <w:pPr>
              <w:spacing w:after="0"/>
              <w:rPr>
                <w:sz w:val="14"/>
                <w:szCs w:val="14"/>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responsibility for finance.</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Real Estate &amp; Project</w:t>
            </w:r>
          </w:p>
        </w:tc>
        <w:tc>
          <w:tcPr>
            <w:tcW w:w="7140" w:type="dxa"/>
            <w:vAlign w:val="bottom"/>
          </w:tcPr>
          <w:p>
            <w:pPr>
              <w:ind w:left="80"/>
              <w:spacing w:after="0"/>
              <w:rPr>
                <w:sz w:val="20"/>
                <w:szCs w:val="20"/>
                <w:color w:val="auto"/>
              </w:rPr>
            </w:pPr>
            <w:r>
              <w:rPr>
                <w:rFonts w:ascii="Arial" w:cs="Arial" w:eastAsia="Arial" w:hAnsi="Arial"/>
                <w:sz w:val="11"/>
                <w:szCs w:val="11"/>
                <w:color w:val="auto"/>
              </w:rPr>
              <w:t>Mr. Liu has overseen several hospitality and lifestyle-related construction projects and negotiated luxury retail partnerships.</w:t>
            </w:r>
          </w:p>
        </w:tc>
      </w:tr>
      <w:tr>
        <w:trPr>
          <w:trHeight w:val="190"/>
        </w:trPr>
        <w:tc>
          <w:tcPr>
            <w:tcW w:w="1600" w:type="dxa"/>
            <w:vAlign w:val="bottom"/>
          </w:tcPr>
          <w:p>
            <w:pPr>
              <w:ind w:left="40"/>
              <w:spacing w:after="0"/>
              <w:rPr>
                <w:sz w:val="20"/>
                <w:szCs w:val="20"/>
                <w:color w:val="auto"/>
              </w:rPr>
            </w:pPr>
            <w:r>
              <w:rPr>
                <w:rFonts w:ascii="Arial" w:cs="Arial" w:eastAsia="Arial" w:hAnsi="Arial"/>
                <w:sz w:val="11"/>
                <w:szCs w:val="11"/>
                <w:color w:val="auto"/>
              </w:rPr>
              <w:t>Construction</w:t>
            </w:r>
          </w:p>
        </w:tc>
        <w:tc>
          <w:tcPr>
            <w:tcW w:w="7140" w:type="dxa"/>
            <w:vAlign w:val="bottom"/>
            <w:tcBorders>
              <w:bottom w:val="single" w:sz="8" w:color="F1EFEC"/>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-33655</wp:posOffset>
            </wp:positionV>
            <wp:extent cx="5559425" cy="292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59425" cy="292735"/>
                    </a:xfrm>
                    <a:prstGeom prst="rect">
                      <a:avLst/>
                    </a:prstGeom>
                    <a:noFill/>
                  </pic:spPr>
                </pic:pic>
              </a:graphicData>
            </a:graphic>
          </wp:anchor>
        </w:drawing>
      </w:r>
    </w:p>
    <w:p>
      <w:pPr>
        <w:ind w:left="1320"/>
        <w:spacing w:after="0"/>
        <w:tabs>
          <w:tab w:leader="none" w:pos="2940" w:val="left"/>
        </w:tabs>
        <w:rPr>
          <w:sz w:val="20"/>
          <w:szCs w:val="20"/>
          <w:color w:val="auto"/>
        </w:rPr>
      </w:pPr>
      <w:r>
        <w:rPr>
          <w:rFonts w:ascii="Arial" w:cs="Arial" w:eastAsia="Arial" w:hAnsi="Arial"/>
          <w:sz w:val="11"/>
          <w:szCs w:val="11"/>
          <w:color w:val="auto"/>
        </w:rPr>
        <w:t>Travel, Leisure, Hospitality &amp;</w:t>
        <w:tab/>
        <w:t>Mr. Liu was a founder of Three on the Bund, an iconic lifestyle development on the Shanghai Bund. He also managed the build-out of the</w:t>
      </w:r>
    </w:p>
    <w:p>
      <w:pPr>
        <w:spacing w:after="0" w:line="6" w:lineRule="exact"/>
        <w:rPr>
          <w:sz w:val="20"/>
          <w:szCs w:val="20"/>
          <w:color w:val="auto"/>
        </w:rPr>
      </w:pPr>
    </w:p>
    <w:p>
      <w:pPr>
        <w:ind w:left="1320"/>
        <w:spacing w:after="0"/>
        <w:tabs>
          <w:tab w:leader="none" w:pos="2940" w:val="left"/>
        </w:tabs>
        <w:rPr>
          <w:sz w:val="20"/>
          <w:szCs w:val="20"/>
          <w:color w:val="auto"/>
        </w:rPr>
      </w:pPr>
      <w:r>
        <w:rPr>
          <w:rFonts w:ascii="Arial" w:cs="Arial" w:eastAsia="Arial" w:hAnsi="Arial"/>
          <w:sz w:val="11"/>
          <w:szCs w:val="11"/>
          <w:color w:val="auto"/>
        </w:rPr>
        <w:t>Entertainment</w:t>
      </w:r>
      <w:r>
        <w:rPr>
          <w:sz w:val="20"/>
          <w:szCs w:val="20"/>
          <w:color w:val="auto"/>
        </w:rPr>
        <w:tab/>
      </w:r>
      <w:r>
        <w:rPr>
          <w:rFonts w:ascii="Arial" w:cs="Arial" w:eastAsia="Arial" w:hAnsi="Arial"/>
          <w:sz w:val="11"/>
          <w:szCs w:val="11"/>
          <w:color w:val="auto"/>
        </w:rPr>
        <w:t>AEG China operations during the design and construction of the Shanghai World Expo Performing Arts Center (now the Mercedes-Benz</w:t>
      </w:r>
    </w:p>
    <w:p>
      <w:pPr>
        <w:spacing w:after="0" w:line="2" w:lineRule="exact"/>
        <w:rPr>
          <w:sz w:val="20"/>
          <w:szCs w:val="20"/>
          <w:color w:val="auto"/>
        </w:rPr>
      </w:pPr>
    </w:p>
    <w:p>
      <w:pPr>
        <w:ind w:left="2960"/>
        <w:spacing w:after="0"/>
        <w:rPr>
          <w:sz w:val="20"/>
          <w:szCs w:val="20"/>
          <w:color w:val="auto"/>
        </w:rPr>
      </w:pPr>
      <w:r>
        <w:rPr>
          <w:rFonts w:ascii="Arial" w:cs="Arial" w:eastAsia="Arial" w:hAnsi="Arial"/>
          <w:sz w:val="11"/>
          <w:szCs w:val="11"/>
          <w:color w:val="auto"/>
        </w:rPr>
        <w:t>arena).</w:t>
      </w:r>
    </w:p>
    <w:p>
      <w:pPr>
        <w:spacing w:after="0" w:line="127" w:lineRule="exact"/>
        <w:rPr>
          <w:sz w:val="20"/>
          <w:szCs w:val="20"/>
          <w:color w:val="auto"/>
        </w:rPr>
      </w:pPr>
    </w:p>
    <w:p>
      <w:pPr>
        <w:ind w:left="9960"/>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0159"/>
          </w:cols>
          <w:pgMar w:left="300" w:top="413"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right="199"/>
        <w:spacing w:after="0" w:line="291" w:lineRule="auto"/>
        <w:rPr>
          <w:sz w:val="20"/>
          <w:szCs w:val="20"/>
          <w:color w:val="auto"/>
        </w:rPr>
      </w:pPr>
      <w:r>
        <w:rPr>
          <w:rFonts w:ascii="Times New Roman" w:cs="Times New Roman" w:eastAsia="Times New Roman" w:hAnsi="Times New Roman"/>
          <w:sz w:val="26"/>
          <w:szCs w:val="26"/>
          <w:color w:val="auto"/>
        </w:rPr>
        <w:t xml:space="preserve">Patricia Mulroy </w:t>
      </w:r>
      <w:r>
        <w:rPr>
          <w:rFonts w:ascii="Times New Roman" w:cs="Times New Roman" w:eastAsia="Times New Roman" w:hAnsi="Times New Roman"/>
          <w:sz w:val="11"/>
          <w:szCs w:val="11"/>
          <w:i w:val="1"/>
          <w:iCs w:val="1"/>
          <w:color w:val="auto"/>
        </w:rPr>
        <w:t>Non-Resident Senior Fellow for Climate Adaptation &amp; Environmental Policy, Practitioner in Residence, Saltman Center for Conflict Resolution, William</w:t>
      </w:r>
      <w:r>
        <w:rPr>
          <w:rFonts w:ascii="Times New Roman" w:cs="Times New Roman" w:eastAsia="Times New Roman" w:hAnsi="Times New Roman"/>
          <w:sz w:val="26"/>
          <w:szCs w:val="26"/>
          <w:color w:val="auto"/>
        </w:rPr>
        <w:t xml:space="preserve"> </w:t>
      </w:r>
      <w:r>
        <w:rPr>
          <w:rFonts w:ascii="Times New Roman" w:cs="Times New Roman" w:eastAsia="Times New Roman" w:hAnsi="Times New Roman"/>
          <w:sz w:val="11"/>
          <w:szCs w:val="11"/>
          <w:i w:val="1"/>
          <w:iCs w:val="1"/>
          <w:color w:val="auto"/>
        </w:rPr>
        <w:t>S. Boyd School of Law, University of Nevada, Las Vegas</w:t>
      </w:r>
    </w:p>
    <w:p>
      <w:pPr>
        <w:spacing w:after="0" w:line="4" w:lineRule="exact"/>
        <w:rPr>
          <w:sz w:val="20"/>
          <w:szCs w:val="20"/>
          <w:color w:val="auto"/>
        </w:rPr>
      </w:pPr>
    </w:p>
    <w:p>
      <w:pPr>
        <w:ind w:left="1260" w:right="199"/>
        <w:spacing w:after="0" w:line="253" w:lineRule="auto"/>
        <w:rPr>
          <w:sz w:val="20"/>
          <w:szCs w:val="20"/>
          <w:color w:val="auto"/>
        </w:rPr>
      </w:pPr>
      <w:r>
        <w:rPr>
          <w:rFonts w:ascii="Arial" w:cs="Arial" w:eastAsia="Arial" w:hAnsi="Arial"/>
          <w:sz w:val="11"/>
          <w:szCs w:val="11"/>
          <w:color w:val="auto"/>
        </w:rPr>
        <w:t>Ms. Mulroy is currently a Non-Resident Senior Fellow for Climate Adaptation and Environmental Policy and Practitioner in Residence at the Saltman Center for Conflict Resolution at the William S. Boyd School of Law at the University of Nevada, Las Vegas, joining them after having served as a Non-Resident Senior Fellow of the Brookings Institute. She serves as a director of Bowman Consulting, Inc., a publicly traded engineering consulting firm. Ms. Mulroy operates a consulting firm representing both corporate and government clients in water matters. Ms. Mulroy is a recognized expert in climate related adaptation strategies for both governments and corporations having worked with organizations such as the World Bank in China and with the government of Saudi Arabia on their Project Neom. Ms. Mulroy formerly was a member of the Global Agenda Council on Water of the World Economic Forum and still serves as a Water Advisor to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61595</wp:posOffset>
            </wp:positionV>
            <wp:extent cx="1594485" cy="11309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94485" cy="1130935"/>
                    </a:xfrm>
                    <a:prstGeom prst="rect">
                      <a:avLst/>
                    </a:prstGeom>
                    <a:noFill/>
                  </pic:spPr>
                </pic:pic>
              </a:graphicData>
            </a:graphic>
          </wp:anchor>
        </w:drawing>
      </w:r>
    </w:p>
    <w:p>
      <w:pPr>
        <w:spacing w:after="0" w:line="156" w:lineRule="exact"/>
        <w:rPr>
          <w:sz w:val="20"/>
          <w:szCs w:val="20"/>
          <w:color w:val="auto"/>
        </w:rPr>
      </w:pPr>
    </w:p>
    <w:p>
      <w:pPr>
        <w:ind w:left="3940"/>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1"/>
          <w:szCs w:val="11"/>
          <w:color w:val="auto"/>
        </w:rPr>
        <w:t>–   July 2014 to October 2015: served on the Nevada Gaming Commission</w:t>
      </w:r>
    </w:p>
    <w:p>
      <w:pPr>
        <w:spacing w:after="0" w:line="24" w:lineRule="exact"/>
        <w:rPr>
          <w:sz w:val="20"/>
          <w:szCs w:val="20"/>
          <w:color w:val="auto"/>
        </w:rPr>
      </w:pPr>
    </w:p>
    <w:p>
      <w:pPr>
        <w:ind w:left="4080" w:right="199" w:hanging="142"/>
        <w:spacing w:after="0" w:line="274" w:lineRule="auto"/>
        <w:rPr>
          <w:sz w:val="20"/>
          <w:szCs w:val="20"/>
          <w:color w:val="auto"/>
        </w:rPr>
      </w:pPr>
      <w:r>
        <w:rPr>
          <w:rFonts w:ascii="Arial" w:cs="Arial" w:eastAsia="Arial" w:hAnsi="Arial"/>
          <w:sz w:val="11"/>
          <w:szCs w:val="11"/>
          <w:color w:val="auto"/>
        </w:rPr>
        <w:t>–   1995 to 2014: Nevada’s representative in all interstate, national and international negotiations and matters regarding the Colorado River negotiating numerous groundbreaking interstate agreements and international treaty modifications.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0" w:type="dxa"/>
            <w:vAlign w:val="bottom"/>
          </w:tcPr>
          <w:p>
            <w:pPr>
              <w:ind w:left="120"/>
              <w:spacing w:after="0"/>
              <w:rPr>
                <w:sz w:val="20"/>
                <w:szCs w:val="20"/>
                <w:color w:val="auto"/>
              </w:rPr>
            </w:pPr>
            <w:r>
              <w:rPr>
                <w:rFonts w:ascii="Arial" w:cs="Arial" w:eastAsia="Arial" w:hAnsi="Arial"/>
                <w:sz w:val="11"/>
                <w:szCs w:val="11"/>
                <w:color w:val="auto"/>
              </w:rPr>
              <w:t>–   1993 to 2014: Chief executive of the Southern Nevada Water Authority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0" w:type="dxa"/>
            <w:vAlign w:val="bottom"/>
          </w:tcPr>
          <w:p>
            <w:pPr>
              <w:ind w:left="120"/>
              <w:spacing w:after="0"/>
              <w:rPr>
                <w:sz w:val="20"/>
                <w:szCs w:val="20"/>
                <w:color w:val="auto"/>
              </w:rPr>
            </w:pPr>
            <w:r>
              <w:rPr>
                <w:rFonts w:ascii="Arial" w:cs="Arial" w:eastAsia="Arial" w:hAnsi="Arial"/>
                <w:sz w:val="11"/>
                <w:szCs w:val="11"/>
                <w:color w:val="auto"/>
              </w:rPr>
              <w:t>–   1989 to 2014: Chief executive of the Las Vegas Valley Water District</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tcPr>
          <w:p>
            <w:pPr>
              <w:ind w:left="120"/>
              <w:spacing w:after="0"/>
              <w:rPr>
                <w:sz w:val="20"/>
                <w:szCs w:val="20"/>
                <w:color w:val="auto"/>
              </w:rPr>
            </w:pPr>
            <w:r>
              <w:rPr>
                <w:rFonts w:ascii="Arial" w:cs="Arial" w:eastAsia="Arial" w:hAnsi="Arial"/>
                <w:sz w:val="16"/>
                <w:szCs w:val="16"/>
                <w:color w:val="B9AFA0"/>
              </w:rPr>
              <w:t>EDUCATION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0" w:type="dxa"/>
            <w:vAlign w:val="bottom"/>
          </w:tcPr>
          <w:p>
            <w:pPr>
              <w:ind w:left="120"/>
              <w:spacing w:after="0"/>
              <w:rPr>
                <w:sz w:val="20"/>
                <w:szCs w:val="20"/>
                <w:color w:val="auto"/>
              </w:rPr>
            </w:pPr>
            <w:r>
              <w:rPr>
                <w:rFonts w:ascii="Arial" w:cs="Arial" w:eastAsia="Arial" w:hAnsi="Arial"/>
                <w:sz w:val="11"/>
                <w:szCs w:val="11"/>
                <w:color w:val="auto"/>
              </w:rPr>
              <w:t>Ms. Mulroy graduated with a B.A. and M.A. from the University of Nevada, Las Vegas and pursued doctoral studies at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0" w:type="dxa"/>
            <w:vAlign w:val="bottom"/>
          </w:tcPr>
          <w:p>
            <w:pPr>
              <w:ind w:left="120"/>
              <w:spacing w:after="0"/>
              <w:rPr>
                <w:sz w:val="20"/>
                <w:szCs w:val="20"/>
                <w:color w:val="auto"/>
              </w:rPr>
            </w:pPr>
            <w:r>
              <w:rPr>
                <w:rFonts w:ascii="Arial" w:cs="Arial" w:eastAsia="Arial" w:hAnsi="Arial"/>
                <w:sz w:val="11"/>
                <w:szCs w:val="11"/>
                <w:color w:val="auto"/>
              </w:rPr>
              <w:t>Stanford University.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0" w:type="dxa"/>
            <w:vAlign w:val="bottom"/>
            <w:vMerge w:val="restart"/>
          </w:tcPr>
          <w:p>
            <w:pPr>
              <w:ind w:left="120"/>
              <w:spacing w:after="0"/>
              <w:rPr>
                <w:sz w:val="20"/>
                <w:szCs w:val="20"/>
                <w:color w:val="auto"/>
              </w:rPr>
            </w:pPr>
            <w:r>
              <w:rPr>
                <w:rFonts w:ascii="Arial" w:cs="Arial" w:eastAsia="Arial" w:hAnsi="Arial"/>
                <w:sz w:val="16"/>
                <w:szCs w:val="16"/>
                <w:color w:val="B9AFA0"/>
              </w:rPr>
              <w:t>EXPERTISE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vMerge w:val="restart"/>
            <w:shd w:val="clear" w:color="auto" w:fill="F1EFEC"/>
          </w:tcPr>
          <w:p>
            <w:pPr>
              <w:spacing w:after="0"/>
              <w:rPr>
                <w:sz w:val="20"/>
                <w:szCs w:val="20"/>
                <w:color w:val="auto"/>
              </w:rPr>
            </w:pPr>
            <w:r>
              <w:rPr>
                <w:rFonts w:ascii="Arial" w:cs="Arial" w:eastAsia="Arial" w:hAnsi="Arial"/>
                <w:sz w:val="13"/>
                <w:szCs w:val="13"/>
                <w:color w:val="auto"/>
                <w:w w:val="91"/>
              </w:rPr>
              <w:t xml:space="preserve">   </w:t>
            </w:r>
          </w:p>
        </w:tc>
        <w:tc>
          <w:tcPr>
            <w:tcW w:w="940" w:type="dxa"/>
            <w:vAlign w:val="bottom"/>
            <w:gridSpan w:val="3"/>
            <w:shd w:val="clear" w:color="auto" w:fill="F1EFEC"/>
          </w:tcPr>
          <w:p>
            <w:pPr>
              <w:ind w:left="40"/>
              <w:spacing w:after="0"/>
              <w:rPr>
                <w:sz w:val="20"/>
                <w:szCs w:val="20"/>
                <w:color w:val="auto"/>
              </w:rPr>
            </w:pPr>
            <w:r>
              <w:rPr>
                <w:rFonts w:ascii="Arial" w:cs="Arial" w:eastAsia="Arial" w:hAnsi="Arial"/>
                <w:sz w:val="10"/>
                <w:szCs w:val="10"/>
                <w:color w:val="auto"/>
              </w:rPr>
              <w:t>Director Since</w:t>
            </w:r>
          </w:p>
        </w:tc>
        <w:tc>
          <w:tcPr>
            <w:tcW w:w="640" w:type="dxa"/>
            <w:vAlign w:val="bottom"/>
            <w:shd w:val="clear" w:color="auto" w:fill="F1EFEC"/>
          </w:tcPr>
          <w:p>
            <w:pPr>
              <w:spacing w:after="0"/>
              <w:rPr>
                <w:sz w:val="20"/>
                <w:szCs w:val="20"/>
                <w:color w:val="auto"/>
              </w:rPr>
            </w:pPr>
            <w:r>
              <w:rPr>
                <w:rFonts w:ascii="Arial" w:cs="Arial" w:eastAsia="Arial" w:hAnsi="Arial"/>
                <w:sz w:val="10"/>
                <w:szCs w:val="10"/>
                <w:color w:val="auto"/>
              </w:rPr>
              <w:t>October 2015</w:t>
            </w:r>
          </w:p>
        </w:tc>
        <w:tc>
          <w:tcPr>
            <w:tcW w:w="760" w:type="dxa"/>
            <w:vAlign w:val="bottom"/>
            <w:shd w:val="clear" w:color="auto" w:fill="F1EFEC"/>
          </w:tcPr>
          <w:p>
            <w:pPr>
              <w:spacing w:after="0"/>
              <w:rPr>
                <w:sz w:val="18"/>
                <w:szCs w:val="18"/>
                <w:color w:val="auto"/>
              </w:rPr>
            </w:pPr>
          </w:p>
        </w:tc>
        <w:tc>
          <w:tcPr>
            <w:tcW w:w="120" w:type="dxa"/>
            <w:vAlign w:val="bottom"/>
            <w:vMerge w:val="restart"/>
            <w:shd w:val="clear" w:color="auto" w:fill="F1EFEC"/>
          </w:tcPr>
          <w:p>
            <w:pPr>
              <w:ind w:left="80"/>
              <w:spacing w:after="0"/>
              <w:rPr>
                <w:sz w:val="20"/>
                <w:szCs w:val="20"/>
                <w:color w:val="auto"/>
              </w:rPr>
            </w:pPr>
            <w:r>
              <w:rPr>
                <w:rFonts w:ascii="Arial" w:cs="Arial" w:eastAsia="Arial" w:hAnsi="Arial"/>
                <w:sz w:val="11"/>
                <w:szCs w:val="11"/>
                <w:color w:val="auto"/>
                <w:w w:val="70"/>
              </w:rPr>
              <w:t> </w:t>
            </w:r>
          </w:p>
        </w:tc>
        <w:tc>
          <w:tcPr>
            <w:tcW w:w="6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Borders>
              <w:bottom w:val="single" w:sz="8" w:color="F1EFEC"/>
            </w:tcBorders>
            <w:vMerge w:val="continue"/>
            <w:shd w:val="clear" w:color="auto" w:fill="F1EFEC"/>
          </w:tcPr>
          <w:p>
            <w:pPr>
              <w:spacing w:after="0"/>
              <w:rPr>
                <w:sz w:val="10"/>
                <w:szCs w:val="10"/>
                <w:color w:val="auto"/>
              </w:rPr>
            </w:pPr>
          </w:p>
        </w:tc>
        <w:tc>
          <w:tcPr>
            <w:tcW w:w="60" w:type="dxa"/>
            <w:vAlign w:val="bottom"/>
            <w:tcBorders>
              <w:bottom w:val="single" w:sz="8" w:color="auto"/>
            </w:tcBorders>
            <w:shd w:val="clear" w:color="auto" w:fill="F1EFEC"/>
          </w:tcPr>
          <w:p>
            <w:pPr>
              <w:spacing w:after="0"/>
              <w:rPr>
                <w:sz w:val="10"/>
                <w:szCs w:val="10"/>
                <w:color w:val="auto"/>
              </w:rPr>
            </w:pPr>
          </w:p>
        </w:tc>
        <w:tc>
          <w:tcPr>
            <w:tcW w:w="840" w:type="dxa"/>
            <w:vAlign w:val="bottom"/>
            <w:tcBorders>
              <w:bottom w:val="single" w:sz="8" w:color="auto"/>
            </w:tcBorders>
            <w:shd w:val="clear" w:color="auto" w:fill="F1EFEC"/>
          </w:tcPr>
          <w:p>
            <w:pPr>
              <w:spacing w:after="0"/>
              <w:rPr>
                <w:sz w:val="10"/>
                <w:szCs w:val="10"/>
                <w:color w:val="auto"/>
              </w:rPr>
            </w:pPr>
          </w:p>
        </w:tc>
        <w:tc>
          <w:tcPr>
            <w:tcW w:w="40" w:type="dxa"/>
            <w:vAlign w:val="bottom"/>
            <w:tcBorders>
              <w:bottom w:val="single" w:sz="8" w:color="auto"/>
            </w:tcBorders>
            <w:shd w:val="clear" w:color="auto" w:fill="F1EFEC"/>
          </w:tcPr>
          <w:p>
            <w:pPr>
              <w:spacing w:after="0"/>
              <w:rPr>
                <w:sz w:val="10"/>
                <w:szCs w:val="10"/>
                <w:color w:val="auto"/>
              </w:rPr>
            </w:pPr>
          </w:p>
        </w:tc>
        <w:tc>
          <w:tcPr>
            <w:tcW w:w="640" w:type="dxa"/>
            <w:vAlign w:val="bottom"/>
            <w:tcBorders>
              <w:bottom w:val="single" w:sz="8" w:color="auto"/>
            </w:tcBorders>
            <w:shd w:val="clear" w:color="auto" w:fill="F1EFEC"/>
          </w:tcPr>
          <w:p>
            <w:pPr>
              <w:spacing w:after="0"/>
              <w:rPr>
                <w:sz w:val="10"/>
                <w:szCs w:val="10"/>
                <w:color w:val="auto"/>
              </w:rPr>
            </w:pPr>
          </w:p>
        </w:tc>
        <w:tc>
          <w:tcPr>
            <w:tcW w:w="760" w:type="dxa"/>
            <w:vAlign w:val="bottom"/>
            <w:tcBorders>
              <w:bottom w:val="single" w:sz="8" w:color="auto"/>
            </w:tcBorders>
            <w:shd w:val="clear" w:color="auto" w:fill="F1EFEC"/>
          </w:tcPr>
          <w:p>
            <w:pPr>
              <w:spacing w:after="0"/>
              <w:rPr>
                <w:sz w:val="10"/>
                <w:szCs w:val="10"/>
                <w:color w:val="auto"/>
              </w:rPr>
            </w:pPr>
          </w:p>
        </w:tc>
        <w:tc>
          <w:tcPr>
            <w:tcW w:w="120" w:type="dxa"/>
            <w:vAlign w:val="bottom"/>
            <w:tcBorders>
              <w:bottom w:val="single" w:sz="8" w:color="F1EFEC"/>
            </w:tcBorders>
            <w:vMerge w:val="continue"/>
            <w:shd w:val="clear" w:color="auto" w:fill="F1EFEC"/>
          </w:tcPr>
          <w:p>
            <w:pPr>
              <w:spacing w:after="0"/>
              <w:rPr>
                <w:sz w:val="10"/>
                <w:szCs w:val="10"/>
                <w:color w:val="auto"/>
              </w:rPr>
            </w:pPr>
          </w:p>
        </w:tc>
        <w:tc>
          <w:tcPr>
            <w:tcW w:w="6200" w:type="dxa"/>
            <w:vAlign w:val="bottom"/>
          </w:tcPr>
          <w:p>
            <w:pPr>
              <w:ind w:left="120"/>
              <w:spacing w:after="0" w:line="124" w:lineRule="exact"/>
              <w:rPr>
                <w:sz w:val="20"/>
                <w:szCs w:val="20"/>
                <w:color w:val="auto"/>
              </w:rPr>
            </w:pPr>
            <w:r>
              <w:rPr>
                <w:rFonts w:ascii="Arial" w:cs="Arial" w:eastAsia="Arial" w:hAnsi="Arial"/>
                <w:sz w:val="11"/>
                <w:szCs w:val="11"/>
                <w:color w:val="auto"/>
              </w:rPr>
              <w:t>Ms. Mulroy brings more than 30 years of government experience to the Board, serving in numerous leadership roles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shd w:val="clear" w:color="auto" w:fill="F1EFEC"/>
          </w:tcPr>
          <w:p>
            <w:pPr>
              <w:spacing w:after="0"/>
              <w:rPr>
                <w:sz w:val="9"/>
                <w:szCs w:val="9"/>
                <w:color w:val="auto"/>
              </w:rPr>
            </w:pPr>
          </w:p>
        </w:tc>
        <w:tc>
          <w:tcPr>
            <w:tcW w:w="60" w:type="dxa"/>
            <w:vAlign w:val="bottom"/>
            <w:shd w:val="clear" w:color="auto" w:fill="F1EFEC"/>
          </w:tcPr>
          <w:p>
            <w:pPr>
              <w:spacing w:after="0"/>
              <w:rPr>
                <w:sz w:val="9"/>
                <w:szCs w:val="9"/>
                <w:color w:val="auto"/>
              </w:rPr>
            </w:pPr>
          </w:p>
        </w:tc>
        <w:tc>
          <w:tcPr>
            <w:tcW w:w="880" w:type="dxa"/>
            <w:vAlign w:val="bottom"/>
            <w:gridSpan w:val="2"/>
            <w:vMerge w:val="restart"/>
            <w:shd w:val="clear" w:color="auto" w:fill="F1EFEC"/>
          </w:tcPr>
          <w:p>
            <w:pPr>
              <w:spacing w:after="0"/>
              <w:rPr>
                <w:sz w:val="20"/>
                <w:szCs w:val="20"/>
                <w:color w:val="auto"/>
              </w:rPr>
            </w:pPr>
            <w:r>
              <w:rPr>
                <w:rFonts w:ascii="Arial" w:cs="Arial" w:eastAsia="Arial" w:hAnsi="Arial"/>
                <w:sz w:val="10"/>
                <w:szCs w:val="10"/>
                <w:color w:val="auto"/>
              </w:rPr>
              <w:t>Term Expires</w:t>
            </w:r>
          </w:p>
        </w:tc>
        <w:tc>
          <w:tcPr>
            <w:tcW w:w="1520" w:type="dxa"/>
            <w:vAlign w:val="bottom"/>
            <w:gridSpan w:val="3"/>
            <w:vMerge w:val="restart"/>
            <w:shd w:val="clear" w:color="auto" w:fill="F1EFEC"/>
          </w:tcPr>
          <w:p>
            <w:pPr>
              <w:spacing w:after="0"/>
              <w:rPr>
                <w:sz w:val="20"/>
                <w:szCs w:val="20"/>
                <w:color w:val="auto"/>
              </w:rPr>
            </w:pPr>
            <w:r>
              <w:rPr>
                <w:rFonts w:ascii="Arial" w:cs="Arial" w:eastAsia="Arial" w:hAnsi="Arial"/>
                <w:sz w:val="10"/>
                <w:szCs w:val="10"/>
                <w:color w:val="auto"/>
              </w:rPr>
              <w:t>2026 Annual Meeting</w:t>
            </w:r>
          </w:p>
        </w:tc>
        <w:tc>
          <w:tcPr>
            <w:tcW w:w="6200" w:type="dxa"/>
            <w:vAlign w:val="bottom"/>
          </w:tcPr>
          <w:p>
            <w:pPr>
              <w:ind w:left="120"/>
              <w:spacing w:after="0" w:line="113" w:lineRule="exact"/>
              <w:rPr>
                <w:sz w:val="20"/>
                <w:szCs w:val="20"/>
                <w:color w:val="auto"/>
              </w:rPr>
            </w:pPr>
            <w:r>
              <w:rPr>
                <w:rFonts w:ascii="Arial" w:cs="Arial" w:eastAsia="Arial" w:hAnsi="Arial"/>
                <w:sz w:val="11"/>
                <w:szCs w:val="11"/>
                <w:color w:val="auto"/>
              </w:rPr>
              <w:t>focusing on Nevada’s public infrastructure. Additionally, Ms. Mulroy’s experience on the Nevada Gaming Commission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shd w:val="clear" w:color="auto" w:fill="F1EFEC"/>
          </w:tcPr>
          <w:p>
            <w:pPr>
              <w:spacing w:after="0"/>
              <w:rPr>
                <w:sz w:val="13"/>
                <w:szCs w:val="13"/>
                <w:color w:val="auto"/>
              </w:rPr>
            </w:pPr>
          </w:p>
        </w:tc>
        <w:tc>
          <w:tcPr>
            <w:tcW w:w="60" w:type="dxa"/>
            <w:vAlign w:val="bottom"/>
            <w:shd w:val="clear" w:color="auto" w:fill="F1EFEC"/>
          </w:tcPr>
          <w:p>
            <w:pPr>
              <w:spacing w:after="0"/>
              <w:rPr>
                <w:sz w:val="13"/>
                <w:szCs w:val="13"/>
                <w:color w:val="auto"/>
              </w:rPr>
            </w:pPr>
          </w:p>
        </w:tc>
        <w:tc>
          <w:tcPr>
            <w:tcW w:w="880" w:type="dxa"/>
            <w:vAlign w:val="bottom"/>
            <w:gridSpan w:val="2"/>
            <w:vMerge w:val="continue"/>
            <w:shd w:val="clear" w:color="auto" w:fill="F1EFEC"/>
          </w:tcPr>
          <w:p>
            <w:pPr>
              <w:spacing w:after="0"/>
              <w:rPr>
                <w:sz w:val="13"/>
                <w:szCs w:val="13"/>
                <w:color w:val="auto"/>
              </w:rPr>
            </w:pPr>
          </w:p>
        </w:tc>
        <w:tc>
          <w:tcPr>
            <w:tcW w:w="1520" w:type="dxa"/>
            <w:vAlign w:val="bottom"/>
            <w:gridSpan w:val="3"/>
            <w:vMerge w:val="continue"/>
            <w:shd w:val="clear" w:color="auto" w:fill="F1EFEC"/>
          </w:tcPr>
          <w:p>
            <w:pPr>
              <w:spacing w:after="0"/>
              <w:rPr>
                <w:sz w:val="13"/>
                <w:szCs w:val="13"/>
                <w:color w:val="auto"/>
              </w:rPr>
            </w:pPr>
          </w:p>
        </w:tc>
        <w:tc>
          <w:tcPr>
            <w:tcW w:w="6200" w:type="dxa"/>
            <w:vAlign w:val="bottom"/>
          </w:tcPr>
          <w:p>
            <w:pPr>
              <w:ind w:left="120"/>
              <w:spacing w:after="0"/>
              <w:rPr>
                <w:sz w:val="20"/>
                <w:szCs w:val="20"/>
                <w:color w:val="auto"/>
              </w:rPr>
            </w:pPr>
            <w:r>
              <w:rPr>
                <w:rFonts w:ascii="Arial" w:cs="Arial" w:eastAsia="Arial" w:hAnsi="Arial"/>
                <w:sz w:val="11"/>
                <w:szCs w:val="11"/>
                <w:color w:val="auto"/>
              </w:rPr>
              <w:t>brings experience and insight into state regulatory and public policy issues impacting the Company’s operations.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Borders>
              <w:bottom w:val="single" w:sz="8" w:color="F1EFEC"/>
            </w:tcBorders>
            <w:shd w:val="clear" w:color="auto" w:fill="F1EFEC"/>
          </w:tcPr>
          <w:p>
            <w:pPr>
              <w:spacing w:after="0"/>
              <w:rPr>
                <w:sz w:val="5"/>
                <w:szCs w:val="5"/>
                <w:color w:val="auto"/>
              </w:rPr>
            </w:pPr>
          </w:p>
        </w:tc>
        <w:tc>
          <w:tcPr>
            <w:tcW w:w="60" w:type="dxa"/>
            <w:vAlign w:val="bottom"/>
            <w:tcBorders>
              <w:bottom w:val="single" w:sz="8" w:color="auto"/>
            </w:tcBorders>
            <w:shd w:val="clear" w:color="auto" w:fill="F1EFEC"/>
          </w:tcPr>
          <w:p>
            <w:pPr>
              <w:spacing w:after="0"/>
              <w:rPr>
                <w:sz w:val="5"/>
                <w:szCs w:val="5"/>
                <w:color w:val="auto"/>
              </w:rPr>
            </w:pPr>
          </w:p>
        </w:tc>
        <w:tc>
          <w:tcPr>
            <w:tcW w:w="840" w:type="dxa"/>
            <w:vAlign w:val="bottom"/>
            <w:tcBorders>
              <w:bottom w:val="single" w:sz="8" w:color="auto"/>
            </w:tcBorders>
            <w:shd w:val="clear" w:color="auto" w:fill="F1EFEC"/>
          </w:tcPr>
          <w:p>
            <w:pPr>
              <w:spacing w:after="0"/>
              <w:rPr>
                <w:sz w:val="5"/>
                <w:szCs w:val="5"/>
                <w:color w:val="auto"/>
              </w:rPr>
            </w:pPr>
          </w:p>
        </w:tc>
        <w:tc>
          <w:tcPr>
            <w:tcW w:w="40" w:type="dxa"/>
            <w:vAlign w:val="bottom"/>
            <w:tcBorders>
              <w:bottom w:val="single" w:sz="8" w:color="auto"/>
            </w:tcBorders>
            <w:shd w:val="clear" w:color="auto" w:fill="F1EFEC"/>
          </w:tcPr>
          <w:p>
            <w:pPr>
              <w:spacing w:after="0"/>
              <w:rPr>
                <w:sz w:val="5"/>
                <w:szCs w:val="5"/>
                <w:color w:val="auto"/>
              </w:rPr>
            </w:pPr>
          </w:p>
        </w:tc>
        <w:tc>
          <w:tcPr>
            <w:tcW w:w="640" w:type="dxa"/>
            <w:vAlign w:val="bottom"/>
            <w:tcBorders>
              <w:bottom w:val="single" w:sz="8" w:color="auto"/>
            </w:tcBorders>
            <w:shd w:val="clear" w:color="auto" w:fill="F1EFEC"/>
          </w:tcPr>
          <w:p>
            <w:pPr>
              <w:spacing w:after="0"/>
              <w:rPr>
                <w:sz w:val="5"/>
                <w:szCs w:val="5"/>
                <w:color w:val="auto"/>
              </w:rPr>
            </w:pPr>
          </w:p>
        </w:tc>
        <w:tc>
          <w:tcPr>
            <w:tcW w:w="760" w:type="dxa"/>
            <w:vAlign w:val="bottom"/>
            <w:tcBorders>
              <w:bottom w:val="single" w:sz="8" w:color="auto"/>
            </w:tcBorders>
            <w:shd w:val="clear" w:color="auto" w:fill="F1EFEC"/>
          </w:tcPr>
          <w:p>
            <w:pPr>
              <w:spacing w:after="0"/>
              <w:rPr>
                <w:sz w:val="5"/>
                <w:szCs w:val="5"/>
                <w:color w:val="auto"/>
              </w:rPr>
            </w:pPr>
          </w:p>
        </w:tc>
        <w:tc>
          <w:tcPr>
            <w:tcW w:w="120" w:type="dxa"/>
            <w:vAlign w:val="bottom"/>
            <w:tcBorders>
              <w:bottom w:val="single" w:sz="8" w:color="F1EFEC"/>
            </w:tcBorders>
            <w:shd w:val="clear" w:color="auto" w:fill="F1EFEC"/>
          </w:tcPr>
          <w:p>
            <w:pPr>
              <w:spacing w:after="0"/>
              <w:rPr>
                <w:sz w:val="5"/>
                <w:szCs w:val="5"/>
                <w:color w:val="auto"/>
              </w:rPr>
            </w:pPr>
          </w:p>
        </w:tc>
        <w:tc>
          <w:tcPr>
            <w:tcW w:w="6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shd w:val="clear" w:color="auto" w:fill="F1EFEC"/>
          </w:tcPr>
          <w:p>
            <w:pPr>
              <w:spacing w:after="0"/>
              <w:rPr>
                <w:sz w:val="19"/>
                <w:szCs w:val="19"/>
                <w:color w:val="auto"/>
              </w:rPr>
            </w:pPr>
          </w:p>
        </w:tc>
        <w:tc>
          <w:tcPr>
            <w:tcW w:w="60" w:type="dxa"/>
            <w:vAlign w:val="bottom"/>
            <w:shd w:val="clear" w:color="auto" w:fill="F1EFEC"/>
          </w:tcPr>
          <w:p>
            <w:pPr>
              <w:spacing w:after="0"/>
              <w:rPr>
                <w:sz w:val="19"/>
                <w:szCs w:val="19"/>
                <w:color w:val="auto"/>
              </w:rPr>
            </w:pPr>
          </w:p>
        </w:tc>
        <w:tc>
          <w:tcPr>
            <w:tcW w:w="840" w:type="dxa"/>
            <w:vAlign w:val="bottom"/>
            <w:shd w:val="clear" w:color="auto" w:fill="F1EFEC"/>
          </w:tcPr>
          <w:p>
            <w:pPr>
              <w:spacing w:after="0"/>
              <w:rPr>
                <w:sz w:val="20"/>
                <w:szCs w:val="20"/>
                <w:color w:val="auto"/>
              </w:rPr>
            </w:pPr>
            <w:r>
              <w:rPr>
                <w:rFonts w:ascii="Arial" w:cs="Arial" w:eastAsia="Arial" w:hAnsi="Arial"/>
                <w:sz w:val="10"/>
                <w:szCs w:val="10"/>
                <w:color w:val="auto"/>
              </w:rPr>
              <w:t>Age</w:t>
            </w:r>
          </w:p>
        </w:tc>
        <w:tc>
          <w:tcPr>
            <w:tcW w:w="40" w:type="dxa"/>
            <w:vAlign w:val="bottom"/>
            <w:shd w:val="clear" w:color="auto" w:fill="F1EFEC"/>
          </w:tcPr>
          <w:p>
            <w:pPr>
              <w:spacing w:after="0"/>
              <w:rPr>
                <w:sz w:val="19"/>
                <w:szCs w:val="19"/>
                <w:color w:val="auto"/>
              </w:rPr>
            </w:pPr>
          </w:p>
        </w:tc>
        <w:tc>
          <w:tcPr>
            <w:tcW w:w="640" w:type="dxa"/>
            <w:vAlign w:val="bottom"/>
            <w:shd w:val="clear" w:color="auto" w:fill="F1EFEC"/>
          </w:tcPr>
          <w:p>
            <w:pPr>
              <w:spacing w:after="0"/>
              <w:rPr>
                <w:sz w:val="20"/>
                <w:szCs w:val="20"/>
                <w:color w:val="auto"/>
              </w:rPr>
            </w:pPr>
            <w:r>
              <w:rPr>
                <w:rFonts w:ascii="Arial" w:cs="Arial" w:eastAsia="Arial" w:hAnsi="Arial"/>
                <w:sz w:val="10"/>
                <w:szCs w:val="10"/>
                <w:color w:val="auto"/>
              </w:rPr>
              <w:t>73</w:t>
            </w:r>
          </w:p>
        </w:tc>
        <w:tc>
          <w:tcPr>
            <w:tcW w:w="760" w:type="dxa"/>
            <w:vAlign w:val="bottom"/>
            <w:shd w:val="clear" w:color="auto" w:fill="F1EFEC"/>
          </w:tcPr>
          <w:p>
            <w:pPr>
              <w:spacing w:after="0"/>
              <w:rPr>
                <w:sz w:val="19"/>
                <w:szCs w:val="19"/>
                <w:color w:val="auto"/>
              </w:rPr>
            </w:pPr>
          </w:p>
        </w:tc>
        <w:tc>
          <w:tcPr>
            <w:tcW w:w="120" w:type="dxa"/>
            <w:vAlign w:val="bottom"/>
            <w:shd w:val="clear" w:color="auto" w:fill="F1EFEC"/>
          </w:tcPr>
          <w:p>
            <w:pPr>
              <w:spacing w:after="0"/>
              <w:rPr>
                <w:sz w:val="19"/>
                <w:szCs w:val="19"/>
                <w:color w:val="auto"/>
              </w:rPr>
            </w:pPr>
          </w:p>
        </w:tc>
        <w:tc>
          <w:tcPr>
            <w:tcW w:w="6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Borders>
              <w:bottom w:val="single" w:sz="8" w:color="F1EFEC"/>
            </w:tcBorders>
            <w:shd w:val="clear" w:color="auto" w:fill="F1EFEC"/>
          </w:tcPr>
          <w:p>
            <w:pPr>
              <w:spacing w:after="0"/>
              <w:rPr>
                <w:sz w:val="8"/>
                <w:szCs w:val="8"/>
                <w:color w:val="auto"/>
              </w:rPr>
            </w:pPr>
          </w:p>
        </w:tc>
        <w:tc>
          <w:tcPr>
            <w:tcW w:w="60" w:type="dxa"/>
            <w:vAlign w:val="bottom"/>
            <w:tcBorders>
              <w:bottom w:val="single" w:sz="8" w:color="auto"/>
            </w:tcBorders>
            <w:shd w:val="clear" w:color="auto" w:fill="F1EFEC"/>
          </w:tcPr>
          <w:p>
            <w:pPr>
              <w:spacing w:after="0"/>
              <w:rPr>
                <w:sz w:val="8"/>
                <w:szCs w:val="8"/>
                <w:color w:val="auto"/>
              </w:rPr>
            </w:pPr>
          </w:p>
        </w:tc>
        <w:tc>
          <w:tcPr>
            <w:tcW w:w="840" w:type="dxa"/>
            <w:vAlign w:val="bottom"/>
            <w:tcBorders>
              <w:bottom w:val="single" w:sz="8" w:color="auto"/>
            </w:tcBorders>
            <w:shd w:val="clear" w:color="auto" w:fill="F1EFEC"/>
          </w:tcPr>
          <w:p>
            <w:pPr>
              <w:spacing w:after="0"/>
              <w:rPr>
                <w:sz w:val="8"/>
                <w:szCs w:val="8"/>
                <w:color w:val="auto"/>
              </w:rPr>
            </w:pPr>
          </w:p>
        </w:tc>
        <w:tc>
          <w:tcPr>
            <w:tcW w:w="680" w:type="dxa"/>
            <w:vAlign w:val="bottom"/>
            <w:tcBorders>
              <w:bottom w:val="single" w:sz="8" w:color="auto"/>
            </w:tcBorders>
            <w:gridSpan w:val="2"/>
            <w:shd w:val="clear" w:color="auto" w:fill="F1EFEC"/>
          </w:tcPr>
          <w:p>
            <w:pPr>
              <w:spacing w:after="0"/>
              <w:rPr>
                <w:sz w:val="8"/>
                <w:szCs w:val="8"/>
                <w:color w:val="auto"/>
              </w:rPr>
            </w:pPr>
          </w:p>
        </w:tc>
        <w:tc>
          <w:tcPr>
            <w:tcW w:w="76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c>
          <w:tcPr>
            <w:tcW w:w="6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shd w:val="clear" w:color="auto" w:fill="F1EFEC"/>
          </w:tcPr>
          <w:p>
            <w:pPr>
              <w:spacing w:after="0"/>
              <w:rPr>
                <w:sz w:val="12"/>
                <w:szCs w:val="12"/>
                <w:color w:val="auto"/>
              </w:rPr>
            </w:pPr>
          </w:p>
        </w:tc>
        <w:tc>
          <w:tcPr>
            <w:tcW w:w="60" w:type="dxa"/>
            <w:vAlign w:val="bottom"/>
            <w:shd w:val="clear" w:color="auto" w:fill="F1EFEC"/>
          </w:tcPr>
          <w:p>
            <w:pPr>
              <w:spacing w:after="0"/>
              <w:rPr>
                <w:sz w:val="12"/>
                <w:szCs w:val="12"/>
                <w:color w:val="auto"/>
              </w:rPr>
            </w:pPr>
          </w:p>
        </w:tc>
        <w:tc>
          <w:tcPr>
            <w:tcW w:w="840" w:type="dxa"/>
            <w:vAlign w:val="bottom"/>
            <w:shd w:val="clear" w:color="auto" w:fill="F1EFEC"/>
          </w:tcPr>
          <w:p>
            <w:pPr>
              <w:spacing w:after="0"/>
              <w:rPr>
                <w:sz w:val="20"/>
                <w:szCs w:val="20"/>
                <w:color w:val="auto"/>
              </w:rPr>
            </w:pPr>
            <w:r>
              <w:rPr>
                <w:rFonts w:ascii="Arial" w:cs="Arial" w:eastAsia="Arial" w:hAnsi="Arial"/>
                <w:sz w:val="10"/>
                <w:szCs w:val="10"/>
                <w:color w:val="auto"/>
                <w:w w:val="95"/>
              </w:rPr>
              <w:t>Board Committees:</w:t>
            </w:r>
          </w:p>
        </w:tc>
        <w:tc>
          <w:tcPr>
            <w:tcW w:w="680" w:type="dxa"/>
            <w:vAlign w:val="bottom"/>
            <w:gridSpan w:val="2"/>
            <w:shd w:val="clear" w:color="auto" w:fill="F1EFEC"/>
          </w:tcPr>
          <w:p>
            <w:pPr>
              <w:ind w:left="40"/>
              <w:spacing w:after="0"/>
              <w:rPr>
                <w:sz w:val="20"/>
                <w:szCs w:val="20"/>
                <w:color w:val="auto"/>
              </w:rPr>
            </w:pPr>
            <w:r>
              <w:rPr>
                <w:rFonts w:ascii="Arial" w:cs="Arial" w:eastAsia="Arial" w:hAnsi="Arial"/>
                <w:sz w:val="10"/>
                <w:szCs w:val="10"/>
                <w:color w:val="auto"/>
              </w:rPr>
              <w:t>Audit</w:t>
            </w:r>
          </w:p>
        </w:tc>
        <w:tc>
          <w:tcPr>
            <w:tcW w:w="760" w:type="dxa"/>
            <w:vAlign w:val="bottom"/>
            <w:shd w:val="clear" w:color="auto" w:fill="F1EFEC"/>
          </w:tcPr>
          <w:p>
            <w:pPr>
              <w:spacing w:after="0"/>
              <w:rPr>
                <w:sz w:val="12"/>
                <w:szCs w:val="12"/>
                <w:color w:val="auto"/>
              </w:rPr>
            </w:pPr>
          </w:p>
        </w:tc>
        <w:tc>
          <w:tcPr>
            <w:tcW w:w="120" w:type="dxa"/>
            <w:vAlign w:val="bottom"/>
            <w:shd w:val="clear" w:color="auto" w:fill="F1EFEC"/>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shd w:val="clear" w:color="auto" w:fill="F1EFEC"/>
          </w:tcPr>
          <w:p>
            <w:pPr>
              <w:spacing w:after="0"/>
              <w:rPr>
                <w:sz w:val="9"/>
                <w:szCs w:val="9"/>
                <w:color w:val="auto"/>
              </w:rPr>
            </w:pPr>
          </w:p>
        </w:tc>
        <w:tc>
          <w:tcPr>
            <w:tcW w:w="60" w:type="dxa"/>
            <w:vAlign w:val="bottom"/>
            <w:shd w:val="clear" w:color="auto" w:fill="F1EFEC"/>
          </w:tcPr>
          <w:p>
            <w:pPr>
              <w:spacing w:after="0"/>
              <w:rPr>
                <w:sz w:val="9"/>
                <w:szCs w:val="9"/>
                <w:color w:val="auto"/>
              </w:rPr>
            </w:pPr>
          </w:p>
        </w:tc>
        <w:tc>
          <w:tcPr>
            <w:tcW w:w="840" w:type="dxa"/>
            <w:vAlign w:val="bottom"/>
            <w:shd w:val="clear" w:color="auto" w:fill="F1EFEC"/>
          </w:tcPr>
          <w:p>
            <w:pPr>
              <w:spacing w:after="0"/>
              <w:rPr>
                <w:sz w:val="9"/>
                <w:szCs w:val="9"/>
                <w:color w:val="auto"/>
              </w:rPr>
            </w:pPr>
          </w:p>
        </w:tc>
        <w:tc>
          <w:tcPr>
            <w:tcW w:w="40" w:type="dxa"/>
            <w:vAlign w:val="bottom"/>
            <w:shd w:val="clear" w:color="auto" w:fill="F1EFEC"/>
          </w:tcPr>
          <w:p>
            <w:pPr>
              <w:spacing w:after="0"/>
              <w:rPr>
                <w:sz w:val="9"/>
                <w:szCs w:val="9"/>
                <w:color w:val="auto"/>
              </w:rPr>
            </w:pPr>
          </w:p>
        </w:tc>
        <w:tc>
          <w:tcPr>
            <w:tcW w:w="1520" w:type="dxa"/>
            <w:vAlign w:val="bottom"/>
            <w:gridSpan w:val="3"/>
            <w:shd w:val="clear" w:color="auto" w:fill="F1EFEC"/>
          </w:tcPr>
          <w:p>
            <w:pPr>
              <w:spacing w:after="0" w:line="107" w:lineRule="exact"/>
              <w:rPr>
                <w:sz w:val="20"/>
                <w:szCs w:val="20"/>
                <w:color w:val="auto"/>
              </w:rPr>
            </w:pPr>
            <w:r>
              <w:rPr>
                <w:rFonts w:ascii="Arial" w:cs="Arial" w:eastAsia="Arial" w:hAnsi="Arial"/>
                <w:sz w:val="10"/>
                <w:szCs w:val="10"/>
                <w:color w:val="auto"/>
              </w:rPr>
              <w:t>Nominating and Corporate</w:t>
            </w:r>
          </w:p>
        </w:tc>
        <w:tc>
          <w:tcPr>
            <w:tcW w:w="6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Borders>
              <w:bottom w:val="single" w:sz="8" w:color="F1EFEC"/>
            </w:tcBorders>
            <w:shd w:val="clear" w:color="auto" w:fill="F1EFEC"/>
          </w:tcPr>
          <w:p>
            <w:pPr>
              <w:spacing w:after="0"/>
              <w:rPr>
                <w:sz w:val="11"/>
                <w:szCs w:val="11"/>
                <w:color w:val="auto"/>
              </w:rPr>
            </w:pPr>
          </w:p>
        </w:tc>
        <w:tc>
          <w:tcPr>
            <w:tcW w:w="60" w:type="dxa"/>
            <w:vAlign w:val="bottom"/>
            <w:tcBorders>
              <w:bottom w:val="single" w:sz="8" w:color="F1EFEC"/>
            </w:tcBorders>
            <w:shd w:val="clear" w:color="auto" w:fill="F1EFEC"/>
          </w:tcPr>
          <w:p>
            <w:pPr>
              <w:spacing w:after="0"/>
              <w:rPr>
                <w:sz w:val="11"/>
                <w:szCs w:val="11"/>
                <w:color w:val="auto"/>
              </w:rPr>
            </w:pPr>
          </w:p>
        </w:tc>
        <w:tc>
          <w:tcPr>
            <w:tcW w:w="840" w:type="dxa"/>
            <w:vAlign w:val="bottom"/>
            <w:tcBorders>
              <w:bottom w:val="single" w:sz="8" w:color="F1EFEC"/>
            </w:tcBorders>
            <w:shd w:val="clear" w:color="auto" w:fill="F1EFEC"/>
          </w:tcPr>
          <w:p>
            <w:pPr>
              <w:spacing w:after="0"/>
              <w:rPr>
                <w:sz w:val="11"/>
                <w:szCs w:val="11"/>
                <w:color w:val="auto"/>
              </w:rPr>
            </w:pPr>
          </w:p>
        </w:tc>
        <w:tc>
          <w:tcPr>
            <w:tcW w:w="40" w:type="dxa"/>
            <w:vAlign w:val="bottom"/>
            <w:tcBorders>
              <w:bottom w:val="single" w:sz="8" w:color="F1EFEC"/>
            </w:tcBorders>
            <w:shd w:val="clear" w:color="auto" w:fill="F1EFEC"/>
          </w:tcPr>
          <w:p>
            <w:pPr>
              <w:spacing w:after="0"/>
              <w:rPr>
                <w:sz w:val="11"/>
                <w:szCs w:val="11"/>
                <w:color w:val="auto"/>
              </w:rPr>
            </w:pPr>
          </w:p>
        </w:tc>
        <w:tc>
          <w:tcPr>
            <w:tcW w:w="1520" w:type="dxa"/>
            <w:vAlign w:val="bottom"/>
            <w:tcBorders>
              <w:bottom w:val="single" w:sz="8" w:color="F1EFEC"/>
            </w:tcBorders>
            <w:gridSpan w:val="3"/>
            <w:shd w:val="clear" w:color="auto" w:fill="F1EFEC"/>
          </w:tcPr>
          <w:p>
            <w:pPr>
              <w:spacing w:after="0"/>
              <w:rPr>
                <w:sz w:val="20"/>
                <w:szCs w:val="20"/>
                <w:color w:val="auto"/>
              </w:rPr>
            </w:pPr>
            <w:r>
              <w:rPr>
                <w:rFonts w:ascii="Arial" w:cs="Arial" w:eastAsia="Arial" w:hAnsi="Arial"/>
                <w:sz w:val="10"/>
                <w:szCs w:val="10"/>
                <w:color w:val="auto"/>
              </w:rPr>
              <w:t>Governance (Chair)</w:t>
            </w:r>
          </w:p>
        </w:tc>
        <w:tc>
          <w:tcPr>
            <w:tcW w:w="6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2560" w:type="dxa"/>
            <w:vAlign w:val="bottom"/>
            <w:gridSpan w:val="8"/>
          </w:tcPr>
          <w:p>
            <w:pPr>
              <w:spacing w:after="0"/>
              <w:rPr>
                <w:sz w:val="20"/>
                <w:szCs w:val="20"/>
                <w:color w:val="auto"/>
              </w:rPr>
            </w:pPr>
            <w:r>
              <w:rPr>
                <w:rFonts w:ascii="Arial" w:cs="Arial" w:eastAsia="Arial" w:hAnsi="Arial"/>
                <w:sz w:val="16"/>
                <w:szCs w:val="16"/>
                <w:color w:val="B9AFA0"/>
              </w:rPr>
              <w:t>SKILLS AND QUALIFICATIONS</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660" w:type="dxa"/>
            <w:vAlign w:val="bottom"/>
            <w:gridSpan w:val="5"/>
          </w:tcPr>
          <w:p>
            <w:pPr>
              <w:spacing w:after="0"/>
              <w:rPr>
                <w:sz w:val="3"/>
                <w:szCs w:val="3"/>
                <w:color w:val="auto"/>
              </w:rPr>
            </w:pPr>
          </w:p>
        </w:tc>
        <w:tc>
          <w:tcPr>
            <w:tcW w:w="7080" w:type="dxa"/>
            <w:vAlign w:val="bottom"/>
            <w:gridSpan w:val="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gridSpan w:val="5"/>
            <w:shd w:val="clear" w:color="auto" w:fill="F1EFEC"/>
          </w:tcPr>
          <w:p>
            <w:pPr>
              <w:ind w:left="40"/>
              <w:spacing w:after="0"/>
              <w:rPr>
                <w:sz w:val="20"/>
                <w:szCs w:val="20"/>
                <w:color w:val="auto"/>
              </w:rPr>
            </w:pPr>
            <w:r>
              <w:rPr>
                <w:rFonts w:ascii="Arial" w:cs="Arial" w:eastAsia="Arial" w:hAnsi="Arial"/>
                <w:sz w:val="11"/>
                <w:szCs w:val="11"/>
                <w:color w:val="auto"/>
              </w:rPr>
              <w:t>Gaming or Other Regulated</w:t>
            </w:r>
          </w:p>
        </w:tc>
        <w:tc>
          <w:tcPr>
            <w:tcW w:w="7080" w:type="dxa"/>
            <w:vAlign w:val="bottom"/>
            <w:gridSpan w:val="3"/>
            <w:shd w:val="clear" w:color="auto" w:fill="F1EFEC"/>
          </w:tcPr>
          <w:p>
            <w:pPr>
              <w:ind w:left="20"/>
              <w:spacing w:after="0"/>
              <w:rPr>
                <w:sz w:val="20"/>
                <w:szCs w:val="20"/>
                <w:color w:val="auto"/>
              </w:rPr>
            </w:pPr>
            <w:r>
              <w:rPr>
                <w:rFonts w:ascii="Arial" w:cs="Arial" w:eastAsia="Arial" w:hAnsi="Arial"/>
                <w:sz w:val="11"/>
                <w:szCs w:val="11"/>
                <w:color w:val="auto"/>
              </w:rPr>
              <w:t>Ms. Mulroy served as a member of the Nevada Gaming Commission.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gridSpan w:val="4"/>
            <w:shd w:val="clear" w:color="auto" w:fill="F1EFEC"/>
          </w:tcPr>
          <w:p>
            <w:pPr>
              <w:ind w:left="40"/>
              <w:spacing w:after="0"/>
              <w:rPr>
                <w:sz w:val="20"/>
                <w:szCs w:val="20"/>
                <w:color w:val="auto"/>
              </w:rPr>
            </w:pPr>
            <w:r>
              <w:rPr>
                <w:rFonts w:ascii="Arial" w:cs="Arial" w:eastAsia="Arial" w:hAnsi="Arial"/>
                <w:sz w:val="11"/>
                <w:szCs w:val="11"/>
                <w:color w:val="auto"/>
              </w:rPr>
              <w:t>Industry</w:t>
            </w:r>
          </w:p>
        </w:tc>
        <w:tc>
          <w:tcPr>
            <w:tcW w:w="640" w:type="dxa"/>
            <w:vAlign w:val="bottom"/>
            <w:shd w:val="clear" w:color="auto" w:fill="F1EFEC"/>
          </w:tcPr>
          <w:p>
            <w:pPr>
              <w:spacing w:after="0"/>
              <w:rPr>
                <w:sz w:val="13"/>
                <w:szCs w:val="13"/>
                <w:color w:val="auto"/>
              </w:rPr>
            </w:pPr>
          </w:p>
        </w:tc>
        <w:tc>
          <w:tcPr>
            <w:tcW w:w="760" w:type="dxa"/>
            <w:vAlign w:val="bottom"/>
            <w:shd w:val="clear" w:color="auto" w:fill="F1EFEC"/>
          </w:tcPr>
          <w:p>
            <w:pPr>
              <w:spacing w:after="0"/>
              <w:rPr>
                <w:sz w:val="13"/>
                <w:szCs w:val="13"/>
                <w:color w:val="auto"/>
              </w:rPr>
            </w:pPr>
          </w:p>
        </w:tc>
        <w:tc>
          <w:tcPr>
            <w:tcW w:w="120" w:type="dxa"/>
            <w:vAlign w:val="bottom"/>
            <w:shd w:val="clear" w:color="auto" w:fill="F1EFEC"/>
          </w:tcPr>
          <w:p>
            <w:pPr>
              <w:spacing w:after="0"/>
              <w:rPr>
                <w:sz w:val="13"/>
                <w:szCs w:val="13"/>
                <w:color w:val="auto"/>
              </w:rPr>
            </w:pPr>
          </w:p>
        </w:tc>
        <w:tc>
          <w:tcPr>
            <w:tcW w:w="6200" w:type="dxa"/>
            <w:vAlign w:val="bottom"/>
            <w:shd w:val="clear" w:color="auto" w:fill="F1EFEC"/>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60" w:type="dxa"/>
            <w:vAlign w:val="bottom"/>
            <w:gridSpan w:val="5"/>
          </w:tcPr>
          <w:p>
            <w:pPr>
              <w:ind w:left="40"/>
              <w:spacing w:after="0"/>
              <w:rPr>
                <w:sz w:val="20"/>
                <w:szCs w:val="20"/>
                <w:color w:val="auto"/>
              </w:rPr>
            </w:pPr>
            <w:r>
              <w:rPr>
                <w:rFonts w:ascii="Arial" w:cs="Arial" w:eastAsia="Arial" w:hAnsi="Arial"/>
                <w:sz w:val="11"/>
                <w:szCs w:val="11"/>
                <w:color w:val="auto"/>
              </w:rPr>
              <w:t>Outside Public Boards</w:t>
            </w:r>
          </w:p>
        </w:tc>
        <w:tc>
          <w:tcPr>
            <w:tcW w:w="7080" w:type="dxa"/>
            <w:vAlign w:val="bottom"/>
            <w:gridSpan w:val="3"/>
          </w:tcPr>
          <w:p>
            <w:pPr>
              <w:ind w:left="20"/>
              <w:spacing w:after="0"/>
              <w:rPr>
                <w:sz w:val="20"/>
                <w:szCs w:val="20"/>
                <w:color w:val="auto"/>
              </w:rPr>
            </w:pPr>
            <w:r>
              <w:rPr>
                <w:rFonts w:ascii="Arial" w:cs="Arial" w:eastAsia="Arial" w:hAnsi="Arial"/>
                <w:sz w:val="11"/>
                <w:szCs w:val="11"/>
                <w:color w:val="auto"/>
              </w:rPr>
              <w:t>Ms. Mulroy serves as a director of Bowman Consulting, Inc., a publicly traded engineering consulting firm.</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4"/>
            <w:shd w:val="clear" w:color="auto" w:fill="F1EFEC"/>
          </w:tcPr>
          <w:p>
            <w:pPr>
              <w:ind w:left="40"/>
              <w:spacing w:after="0"/>
              <w:rPr>
                <w:sz w:val="20"/>
                <w:szCs w:val="20"/>
                <w:color w:val="auto"/>
              </w:rPr>
            </w:pPr>
            <w:r>
              <w:rPr>
                <w:rFonts w:ascii="Arial" w:cs="Arial" w:eastAsia="Arial" w:hAnsi="Arial"/>
                <w:sz w:val="11"/>
                <w:szCs w:val="11"/>
                <w:color w:val="auto"/>
              </w:rPr>
              <w:t>Geopolitical Affairs</w:t>
            </w:r>
          </w:p>
        </w:tc>
        <w:tc>
          <w:tcPr>
            <w:tcW w:w="640" w:type="dxa"/>
            <w:vAlign w:val="bottom"/>
            <w:shd w:val="clear" w:color="auto" w:fill="F1EFEC"/>
          </w:tcPr>
          <w:p>
            <w:pPr>
              <w:spacing w:after="0"/>
              <w:rPr>
                <w:sz w:val="15"/>
                <w:szCs w:val="15"/>
                <w:color w:val="auto"/>
              </w:rPr>
            </w:pPr>
          </w:p>
        </w:tc>
        <w:tc>
          <w:tcPr>
            <w:tcW w:w="7080" w:type="dxa"/>
            <w:vAlign w:val="bottom"/>
            <w:gridSpan w:val="3"/>
            <w:shd w:val="clear" w:color="auto" w:fill="F1EFEC"/>
          </w:tcPr>
          <w:p>
            <w:pPr>
              <w:ind w:left="20"/>
              <w:spacing w:after="0"/>
              <w:rPr>
                <w:sz w:val="20"/>
                <w:szCs w:val="20"/>
                <w:color w:val="auto"/>
              </w:rPr>
            </w:pPr>
            <w:r>
              <w:rPr>
                <w:rFonts w:ascii="Arial" w:cs="Arial" w:eastAsia="Arial" w:hAnsi="Arial"/>
                <w:sz w:val="11"/>
                <w:szCs w:val="11"/>
                <w:color w:val="auto"/>
              </w:rPr>
              <w:t>Ms. Mulroy served as a member of the Global Agenda Council on Water of the World Economic Forum and continues to serve as a Water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shd w:val="clear" w:color="auto" w:fill="F1EFEC"/>
          </w:tcPr>
          <w:p>
            <w:pPr>
              <w:spacing w:after="0"/>
              <w:rPr>
                <w:sz w:val="13"/>
                <w:szCs w:val="13"/>
                <w:color w:val="auto"/>
              </w:rPr>
            </w:pPr>
          </w:p>
        </w:tc>
        <w:tc>
          <w:tcPr>
            <w:tcW w:w="60" w:type="dxa"/>
            <w:vAlign w:val="bottom"/>
            <w:shd w:val="clear" w:color="auto" w:fill="F1EFEC"/>
          </w:tcPr>
          <w:p>
            <w:pPr>
              <w:spacing w:after="0"/>
              <w:rPr>
                <w:sz w:val="13"/>
                <w:szCs w:val="13"/>
                <w:color w:val="auto"/>
              </w:rPr>
            </w:pPr>
          </w:p>
        </w:tc>
        <w:tc>
          <w:tcPr>
            <w:tcW w:w="840" w:type="dxa"/>
            <w:vAlign w:val="bottom"/>
            <w:shd w:val="clear" w:color="auto" w:fill="F1EFEC"/>
          </w:tcPr>
          <w:p>
            <w:pPr>
              <w:spacing w:after="0"/>
              <w:rPr>
                <w:sz w:val="13"/>
                <w:szCs w:val="13"/>
                <w:color w:val="auto"/>
              </w:rPr>
            </w:pPr>
          </w:p>
        </w:tc>
        <w:tc>
          <w:tcPr>
            <w:tcW w:w="40" w:type="dxa"/>
            <w:vAlign w:val="bottom"/>
            <w:shd w:val="clear" w:color="auto" w:fill="F1EFEC"/>
          </w:tcPr>
          <w:p>
            <w:pPr>
              <w:spacing w:after="0"/>
              <w:rPr>
                <w:sz w:val="13"/>
                <w:szCs w:val="13"/>
                <w:color w:val="auto"/>
              </w:rPr>
            </w:pPr>
          </w:p>
        </w:tc>
        <w:tc>
          <w:tcPr>
            <w:tcW w:w="640" w:type="dxa"/>
            <w:vAlign w:val="bottom"/>
            <w:shd w:val="clear" w:color="auto" w:fill="F1EFEC"/>
          </w:tcPr>
          <w:p>
            <w:pPr>
              <w:spacing w:after="0"/>
              <w:rPr>
                <w:sz w:val="13"/>
                <w:szCs w:val="13"/>
                <w:color w:val="auto"/>
              </w:rPr>
            </w:pPr>
          </w:p>
        </w:tc>
        <w:tc>
          <w:tcPr>
            <w:tcW w:w="7080" w:type="dxa"/>
            <w:vAlign w:val="bottom"/>
            <w:gridSpan w:val="3"/>
            <w:shd w:val="clear" w:color="auto" w:fill="F1EFEC"/>
          </w:tcPr>
          <w:p>
            <w:pPr>
              <w:ind w:left="20"/>
              <w:spacing w:after="0"/>
              <w:rPr>
                <w:sz w:val="20"/>
                <w:szCs w:val="20"/>
                <w:color w:val="auto"/>
              </w:rPr>
            </w:pPr>
            <w:r>
              <w:rPr>
                <w:rFonts w:ascii="Arial" w:cs="Arial" w:eastAsia="Arial" w:hAnsi="Arial"/>
                <w:sz w:val="11"/>
                <w:szCs w:val="11"/>
                <w:color w:val="auto"/>
              </w:rPr>
              <w:t>Advisor to the organization.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gridSpan w:val="5"/>
          </w:tcPr>
          <w:p>
            <w:pPr>
              <w:ind w:left="40"/>
              <w:spacing w:after="0"/>
              <w:rPr>
                <w:sz w:val="20"/>
                <w:szCs w:val="20"/>
                <w:color w:val="auto"/>
              </w:rPr>
            </w:pPr>
            <w:r>
              <w:rPr>
                <w:rFonts w:ascii="Arial" w:cs="Arial" w:eastAsia="Arial" w:hAnsi="Arial"/>
                <w:sz w:val="11"/>
                <w:szCs w:val="11"/>
                <w:color w:val="auto"/>
              </w:rPr>
              <w:t>Real Estate &amp; Project</w:t>
            </w:r>
          </w:p>
        </w:tc>
        <w:tc>
          <w:tcPr>
            <w:tcW w:w="7080" w:type="dxa"/>
            <w:vAlign w:val="bottom"/>
            <w:gridSpan w:val="3"/>
          </w:tcPr>
          <w:p>
            <w:pPr>
              <w:ind w:left="20"/>
              <w:spacing w:after="0"/>
              <w:rPr>
                <w:sz w:val="20"/>
                <w:szCs w:val="20"/>
                <w:color w:val="auto"/>
              </w:rPr>
            </w:pPr>
            <w:r>
              <w:rPr>
                <w:rFonts w:ascii="Arial" w:cs="Arial" w:eastAsia="Arial" w:hAnsi="Arial"/>
                <w:sz w:val="11"/>
                <w:szCs w:val="11"/>
                <w:color w:val="auto"/>
              </w:rPr>
              <w:t>As the chief executive of the Southern Nevada Water Authority, Ms. Mulroy managed several massive construction projects to protect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gridSpan w:val="4"/>
          </w:tcPr>
          <w:p>
            <w:pPr>
              <w:ind w:left="40"/>
              <w:spacing w:after="0"/>
              <w:rPr>
                <w:sz w:val="20"/>
                <w:szCs w:val="20"/>
                <w:color w:val="auto"/>
              </w:rPr>
            </w:pPr>
            <w:r>
              <w:rPr>
                <w:rFonts w:ascii="Arial" w:cs="Arial" w:eastAsia="Arial" w:hAnsi="Arial"/>
                <w:sz w:val="11"/>
                <w:szCs w:val="11"/>
                <w:color w:val="auto"/>
              </w:rPr>
              <w:t>Construction</w:t>
            </w:r>
          </w:p>
        </w:tc>
        <w:tc>
          <w:tcPr>
            <w:tcW w:w="640" w:type="dxa"/>
            <w:vAlign w:val="bottom"/>
          </w:tcPr>
          <w:p>
            <w:pPr>
              <w:spacing w:after="0"/>
              <w:rPr>
                <w:sz w:val="13"/>
                <w:szCs w:val="13"/>
                <w:color w:val="auto"/>
              </w:rPr>
            </w:pPr>
          </w:p>
        </w:tc>
        <w:tc>
          <w:tcPr>
            <w:tcW w:w="7080" w:type="dxa"/>
            <w:vAlign w:val="bottom"/>
            <w:gridSpan w:val="3"/>
          </w:tcPr>
          <w:p>
            <w:pPr>
              <w:ind w:left="20"/>
              <w:spacing w:after="0"/>
              <w:rPr>
                <w:sz w:val="20"/>
                <w:szCs w:val="20"/>
                <w:color w:val="auto"/>
              </w:rPr>
            </w:pPr>
            <w:r>
              <w:rPr>
                <w:rFonts w:ascii="Arial" w:cs="Arial" w:eastAsia="Arial" w:hAnsi="Arial"/>
                <w:sz w:val="11"/>
                <w:szCs w:val="11"/>
                <w:color w:val="auto"/>
              </w:rPr>
              <w:t>Las Vegas community from water shortages and to ensure state-of-the-art water infrastructure and treatment facilities.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4"/>
            <w:shd w:val="clear" w:color="auto" w:fill="F1EFEC"/>
          </w:tcPr>
          <w:p>
            <w:pPr>
              <w:ind w:left="40"/>
              <w:spacing w:after="0"/>
              <w:rPr>
                <w:sz w:val="20"/>
                <w:szCs w:val="20"/>
                <w:color w:val="auto"/>
              </w:rPr>
            </w:pPr>
            <w:r>
              <w:rPr>
                <w:rFonts w:ascii="Arial" w:cs="Arial" w:eastAsia="Arial" w:hAnsi="Arial"/>
                <w:sz w:val="11"/>
                <w:szCs w:val="11"/>
                <w:color w:val="auto"/>
              </w:rPr>
              <w:t>Environmental &amp;</w:t>
            </w:r>
          </w:p>
        </w:tc>
        <w:tc>
          <w:tcPr>
            <w:tcW w:w="640" w:type="dxa"/>
            <w:vAlign w:val="bottom"/>
            <w:shd w:val="clear" w:color="auto" w:fill="F1EFEC"/>
          </w:tcPr>
          <w:p>
            <w:pPr>
              <w:spacing w:after="0"/>
              <w:rPr>
                <w:sz w:val="15"/>
                <w:szCs w:val="15"/>
                <w:color w:val="auto"/>
              </w:rPr>
            </w:pPr>
          </w:p>
        </w:tc>
        <w:tc>
          <w:tcPr>
            <w:tcW w:w="7080" w:type="dxa"/>
            <w:vAlign w:val="bottom"/>
            <w:gridSpan w:val="3"/>
            <w:shd w:val="clear" w:color="auto" w:fill="F1EFEC"/>
          </w:tcPr>
          <w:p>
            <w:pPr>
              <w:ind w:left="20"/>
              <w:spacing w:after="0"/>
              <w:rPr>
                <w:sz w:val="20"/>
                <w:szCs w:val="20"/>
                <w:color w:val="auto"/>
              </w:rPr>
            </w:pPr>
            <w:r>
              <w:rPr>
                <w:rFonts w:ascii="Arial" w:cs="Arial" w:eastAsia="Arial" w:hAnsi="Arial"/>
                <w:sz w:val="11"/>
                <w:szCs w:val="11"/>
                <w:color w:val="auto"/>
              </w:rPr>
              <w:t>Ms. Mulroy is an acknowledged expert in environmental strategies having represented both governments and companies in water matters.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4"/>
            <w:shd w:val="clear" w:color="auto" w:fill="F1EFEC"/>
          </w:tcPr>
          <w:p>
            <w:pPr>
              <w:ind w:left="40"/>
              <w:spacing w:after="0"/>
              <w:rPr>
                <w:sz w:val="20"/>
                <w:szCs w:val="20"/>
                <w:color w:val="auto"/>
              </w:rPr>
            </w:pPr>
            <w:r>
              <w:rPr>
                <w:rFonts w:ascii="Arial" w:cs="Arial" w:eastAsia="Arial" w:hAnsi="Arial"/>
                <w:sz w:val="11"/>
                <w:szCs w:val="11"/>
                <w:color w:val="auto"/>
              </w:rPr>
              <w:t>Sustainability</w:t>
            </w:r>
          </w:p>
        </w:tc>
        <w:tc>
          <w:tcPr>
            <w:tcW w:w="640" w:type="dxa"/>
            <w:vAlign w:val="bottom"/>
            <w:shd w:val="clear" w:color="auto" w:fill="F1EFEC"/>
          </w:tcPr>
          <w:p>
            <w:pPr>
              <w:spacing w:after="0"/>
              <w:rPr>
                <w:sz w:val="11"/>
                <w:szCs w:val="11"/>
                <w:color w:val="auto"/>
              </w:rPr>
            </w:pPr>
          </w:p>
        </w:tc>
        <w:tc>
          <w:tcPr>
            <w:tcW w:w="7080" w:type="dxa"/>
            <w:vAlign w:val="bottom"/>
            <w:gridSpan w:val="3"/>
            <w:shd w:val="clear" w:color="auto" w:fill="F1EFEC"/>
          </w:tcPr>
          <w:p>
            <w:pPr>
              <w:ind w:left="20"/>
              <w:spacing w:after="0"/>
              <w:rPr>
                <w:sz w:val="20"/>
                <w:szCs w:val="20"/>
                <w:color w:val="auto"/>
              </w:rPr>
            </w:pPr>
            <w:r>
              <w:rPr>
                <w:rFonts w:ascii="Arial" w:cs="Arial" w:eastAsia="Arial" w:hAnsi="Arial"/>
                <w:sz w:val="11"/>
                <w:szCs w:val="11"/>
                <w:color w:val="auto"/>
              </w:rPr>
              <w:t>She was the chief executive of the Southern Nevada Water Authority which is responsible for all regional water management and facilities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shd w:val="clear" w:color="auto" w:fill="F1EFEC"/>
          </w:tcPr>
          <w:p>
            <w:pPr>
              <w:spacing w:after="0"/>
              <w:rPr>
                <w:sz w:val="13"/>
                <w:szCs w:val="13"/>
                <w:color w:val="auto"/>
              </w:rPr>
            </w:pPr>
          </w:p>
        </w:tc>
        <w:tc>
          <w:tcPr>
            <w:tcW w:w="60" w:type="dxa"/>
            <w:vAlign w:val="bottom"/>
            <w:shd w:val="clear" w:color="auto" w:fill="F1EFEC"/>
          </w:tcPr>
          <w:p>
            <w:pPr>
              <w:spacing w:after="0"/>
              <w:rPr>
                <w:sz w:val="13"/>
                <w:szCs w:val="13"/>
                <w:color w:val="auto"/>
              </w:rPr>
            </w:pPr>
          </w:p>
        </w:tc>
        <w:tc>
          <w:tcPr>
            <w:tcW w:w="840" w:type="dxa"/>
            <w:vAlign w:val="bottom"/>
            <w:shd w:val="clear" w:color="auto" w:fill="F1EFEC"/>
          </w:tcPr>
          <w:p>
            <w:pPr>
              <w:spacing w:after="0"/>
              <w:rPr>
                <w:sz w:val="13"/>
                <w:szCs w:val="13"/>
                <w:color w:val="auto"/>
              </w:rPr>
            </w:pPr>
          </w:p>
        </w:tc>
        <w:tc>
          <w:tcPr>
            <w:tcW w:w="40" w:type="dxa"/>
            <w:vAlign w:val="bottom"/>
            <w:shd w:val="clear" w:color="auto" w:fill="F1EFEC"/>
          </w:tcPr>
          <w:p>
            <w:pPr>
              <w:spacing w:after="0"/>
              <w:rPr>
                <w:sz w:val="13"/>
                <w:szCs w:val="13"/>
                <w:color w:val="auto"/>
              </w:rPr>
            </w:pPr>
          </w:p>
        </w:tc>
        <w:tc>
          <w:tcPr>
            <w:tcW w:w="640" w:type="dxa"/>
            <w:vAlign w:val="bottom"/>
            <w:shd w:val="clear" w:color="auto" w:fill="F1EFEC"/>
          </w:tcPr>
          <w:p>
            <w:pPr>
              <w:spacing w:after="0"/>
              <w:rPr>
                <w:sz w:val="13"/>
                <w:szCs w:val="13"/>
                <w:color w:val="auto"/>
              </w:rPr>
            </w:pPr>
          </w:p>
        </w:tc>
        <w:tc>
          <w:tcPr>
            <w:tcW w:w="7080" w:type="dxa"/>
            <w:vAlign w:val="bottom"/>
            <w:gridSpan w:val="3"/>
            <w:shd w:val="clear" w:color="auto" w:fill="F1EFEC"/>
          </w:tcPr>
          <w:p>
            <w:pPr>
              <w:ind w:left="20"/>
              <w:spacing w:after="0"/>
              <w:rPr>
                <w:sz w:val="20"/>
                <w:szCs w:val="20"/>
                <w:color w:val="auto"/>
              </w:rPr>
            </w:pPr>
            <w:r>
              <w:rPr>
                <w:rFonts w:ascii="Arial" w:cs="Arial" w:eastAsia="Arial" w:hAnsi="Arial"/>
                <w:sz w:val="11"/>
                <w:szCs w:val="11"/>
                <w:color w:val="auto"/>
              </w:rPr>
              <w:t>serving Southern Nevada and its 3 million inhabitants and 42 million annual visitors.</w:t>
            </w:r>
          </w:p>
        </w:tc>
        <w:tc>
          <w:tcPr>
            <w:tcW w:w="0" w:type="dxa"/>
            <w:vAlign w:val="bottom"/>
          </w:tcPr>
          <w:p>
            <w:pPr>
              <w:spacing w:after="0"/>
              <w:rPr>
                <w:sz w:val="1"/>
                <w:szCs w:val="1"/>
                <w:color w:val="auto"/>
              </w:rPr>
            </w:pPr>
          </w:p>
        </w:tc>
      </w:tr>
      <w:tr>
        <w:trPr>
          <w:trHeight w:val="276"/>
        </w:trPr>
        <w:tc>
          <w:tcPr>
            <w:tcW w:w="160" w:type="dxa"/>
            <w:vAlign w:val="bottom"/>
            <w:gridSpan w:val="3"/>
          </w:tcPr>
          <w:p>
            <w:pPr>
              <w:spacing w:after="0"/>
              <w:rPr>
                <w:sz w:val="20"/>
                <w:szCs w:val="20"/>
                <w:color w:val="auto"/>
              </w:rPr>
            </w:pPr>
            <w:r>
              <w:rPr>
                <w:rFonts w:ascii="Arial" w:cs="Arial" w:eastAsia="Arial" w:hAnsi="Arial"/>
                <w:sz w:val="13"/>
                <w:szCs w:val="13"/>
                <w:color w:val="auto"/>
                <w:w w:val="96"/>
              </w:rPr>
              <w:t>10</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2"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Anthony M. Sanfilippo </w:t>
      </w:r>
      <w:r>
        <w:rPr>
          <w:rFonts w:ascii="Times New Roman" w:cs="Times New Roman" w:eastAsia="Times New Roman" w:hAnsi="Times New Roman"/>
          <w:sz w:val="11"/>
          <w:szCs w:val="11"/>
          <w:i w:val="1"/>
          <w:iCs w:val="1"/>
          <w:color w:val="auto"/>
        </w:rPr>
        <w:t>Co-Founder, Sorelle Capital</w:t>
      </w:r>
    </w:p>
    <w:p>
      <w:pPr>
        <w:spacing w:after="0" w:line="60" w:lineRule="exact"/>
        <w:rPr>
          <w:sz w:val="20"/>
          <w:szCs w:val="20"/>
          <w:color w:val="auto"/>
        </w:rPr>
      </w:pPr>
    </w:p>
    <w:p>
      <w:pPr>
        <w:ind w:left="1260" w:right="159"/>
        <w:spacing w:after="0" w:line="287" w:lineRule="auto"/>
        <w:rPr>
          <w:sz w:val="20"/>
          <w:szCs w:val="20"/>
          <w:color w:val="auto"/>
        </w:rPr>
      </w:pPr>
      <w:r>
        <w:rPr>
          <w:rFonts w:ascii="Arial" w:cs="Arial" w:eastAsia="Arial" w:hAnsi="Arial"/>
          <w:sz w:val="11"/>
          <w:szCs w:val="11"/>
          <w:color w:val="auto"/>
        </w:rPr>
        <w:t>Mr. Sanfilippo has extensive experience in the hospitality and gaming industries. Mr. Sanfilippo is the co-founder of Sorelle Capital and Sorelle Hospitality, entities focused on investing and operating companies in the hospitality sector and real estate development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16510</wp:posOffset>
            </wp:positionV>
            <wp:extent cx="1594485" cy="1198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94485" cy="1198880"/>
                    </a:xfrm>
                    <a:prstGeom prst="rect">
                      <a:avLst/>
                    </a:prstGeom>
                    <a:noFill/>
                  </pic:spPr>
                </pic:pic>
              </a:graphicData>
            </a:graphic>
          </wp:anchor>
        </w:drawing>
      </w:r>
    </w:p>
    <w:p>
      <w:pPr>
        <w:spacing w:after="0" w:line="85" w:lineRule="exact"/>
        <w:rPr>
          <w:sz w:val="20"/>
          <w:szCs w:val="20"/>
          <w:color w:val="auto"/>
        </w:rPr>
      </w:pPr>
    </w:p>
    <w:p>
      <w:pPr>
        <w:ind w:left="3940"/>
        <w:spacing w:after="0"/>
        <w:rPr>
          <w:sz w:val="20"/>
          <w:szCs w:val="20"/>
          <w:color w:val="auto"/>
        </w:rPr>
      </w:pPr>
      <w:r>
        <w:rPr>
          <w:rFonts w:ascii="Arial" w:cs="Arial" w:eastAsia="Arial" w:hAnsi="Arial"/>
          <w:sz w:val="16"/>
          <w:szCs w:val="16"/>
          <w:color w:val="B9AFA0"/>
        </w:rPr>
        <w:t>PREVIOUS EXPERIENCE</w:t>
      </w:r>
    </w:p>
    <w:p>
      <w:pPr>
        <w:sectPr>
          <w:pgSz w:w="11900" w:h="16838" w:orient="portrait"/>
          <w:cols w:equalWidth="0" w:num="1">
            <w:col w:w="10159"/>
          </w:cols>
          <w:pgMar w:left="300" w:top="4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350"/>
        </w:trPr>
        <w:tc>
          <w:tcPr>
            <w:tcW w:w="920" w:type="dxa"/>
            <w:vAlign w:val="bottom"/>
            <w:gridSpan w:val="2"/>
          </w:tcPr>
          <w:p>
            <w:pPr>
              <w:spacing w:after="0"/>
              <w:rPr>
                <w:sz w:val="20"/>
                <w:szCs w:val="20"/>
                <w:color w:val="auto"/>
              </w:rPr>
            </w:pPr>
            <w:r>
              <w:rPr>
                <w:rFonts w:ascii="Arial" w:cs="Arial" w:eastAsia="Arial" w:hAnsi="Arial"/>
                <w:sz w:val="25"/>
                <w:szCs w:val="25"/>
                <w:color w:val="auto"/>
                <w:vertAlign w:val="subscript"/>
              </w:rPr>
              <w:t xml:space="preserve">   </w:t>
            </w:r>
            <w:r>
              <w:rPr>
                <w:rFonts w:ascii="Arial" w:cs="Arial" w:eastAsia="Arial" w:hAnsi="Arial"/>
                <w:sz w:val="10"/>
                <w:szCs w:val="10"/>
                <w:color w:val="auto"/>
              </w:rPr>
              <w:t xml:space="preserve"> Director Since</w:t>
            </w:r>
          </w:p>
        </w:tc>
        <w:tc>
          <w:tcPr>
            <w:tcW w:w="1520" w:type="dxa"/>
            <w:vAlign w:val="bottom"/>
          </w:tcPr>
          <w:p>
            <w:pPr>
              <w:ind w:left="120"/>
              <w:spacing w:after="0"/>
              <w:rPr>
                <w:sz w:val="20"/>
                <w:szCs w:val="20"/>
                <w:color w:val="auto"/>
              </w:rPr>
            </w:pPr>
            <w:r>
              <w:rPr>
                <w:rFonts w:ascii="Arial" w:cs="Arial" w:eastAsia="Arial" w:hAnsi="Arial"/>
                <w:sz w:val="10"/>
                <w:szCs w:val="10"/>
                <w:color w:val="auto"/>
              </w:rPr>
              <w:t>April 2025</w:t>
            </w:r>
          </w:p>
        </w:tc>
      </w:tr>
      <w:tr>
        <w:trPr>
          <w:trHeight w:val="233"/>
        </w:trPr>
        <w:tc>
          <w:tcPr>
            <w:tcW w:w="100" w:type="dxa"/>
            <w:vAlign w:val="bottom"/>
          </w:tcPr>
          <w:p>
            <w:pPr>
              <w:spacing w:after="0"/>
              <w:rPr>
                <w:sz w:val="20"/>
                <w:szCs w:val="20"/>
                <w:color w:val="auto"/>
              </w:rPr>
            </w:pPr>
          </w:p>
        </w:tc>
        <w:tc>
          <w:tcPr>
            <w:tcW w:w="82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auto"/>
              </w:rPr>
              <w:t>Term Expires</w:t>
            </w:r>
          </w:p>
        </w:tc>
        <w:tc>
          <w:tcPr>
            <w:tcW w:w="1520" w:type="dxa"/>
            <w:vAlign w:val="bottom"/>
            <w:tcBorders>
              <w:top w:val="single" w:sz="8" w:color="auto"/>
            </w:tcBorders>
          </w:tcPr>
          <w:p>
            <w:pPr>
              <w:ind w:left="120"/>
              <w:spacing w:after="0"/>
              <w:rPr>
                <w:sz w:val="20"/>
                <w:szCs w:val="20"/>
                <w:color w:val="auto"/>
              </w:rPr>
            </w:pPr>
            <w:r>
              <w:rPr>
                <w:rFonts w:ascii="Arial" w:cs="Arial" w:eastAsia="Arial" w:hAnsi="Arial"/>
                <w:sz w:val="10"/>
                <w:szCs w:val="10"/>
                <w:color w:val="auto"/>
              </w:rPr>
              <w:t>2028 Annual Meeting</w:t>
            </w:r>
          </w:p>
        </w:tc>
      </w:tr>
      <w:tr>
        <w:trPr>
          <w:trHeight w:val="97"/>
        </w:trPr>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227"/>
        </w:trPr>
        <w:tc>
          <w:tcPr>
            <w:tcW w:w="10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Arial" w:cs="Arial" w:eastAsia="Arial" w:hAnsi="Arial"/>
                <w:sz w:val="10"/>
                <w:szCs w:val="10"/>
                <w:color w:val="auto"/>
              </w:rPr>
              <w:t>Age</w:t>
            </w:r>
          </w:p>
        </w:tc>
        <w:tc>
          <w:tcPr>
            <w:tcW w:w="1520" w:type="dxa"/>
            <w:vAlign w:val="bottom"/>
          </w:tcPr>
          <w:p>
            <w:pPr>
              <w:ind w:left="120"/>
              <w:spacing w:after="0"/>
              <w:rPr>
                <w:sz w:val="20"/>
                <w:szCs w:val="20"/>
                <w:color w:val="auto"/>
              </w:rPr>
            </w:pPr>
            <w:r>
              <w:rPr>
                <w:rFonts w:ascii="Arial" w:cs="Arial" w:eastAsia="Arial" w:hAnsi="Arial"/>
                <w:sz w:val="10"/>
                <w:szCs w:val="10"/>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-585470</wp:posOffset>
            </wp:positionV>
            <wp:extent cx="1614805" cy="919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14805" cy="919480"/>
                    </a:xfrm>
                    <a:prstGeom prst="rect">
                      <a:avLst/>
                    </a:prstGeom>
                    <a:noFill/>
                  </pic:spPr>
                </pic:pic>
              </a:graphicData>
            </a:graphic>
          </wp:anchor>
        </w:drawing>
      </w:r>
    </w:p>
    <w:p>
      <w:pPr>
        <w:spacing w:after="0" w:line="137" w:lineRule="exact"/>
        <w:rPr>
          <w:sz w:val="20"/>
          <w:szCs w:val="20"/>
          <w:color w:val="auto"/>
        </w:rPr>
      </w:pPr>
    </w:p>
    <w:p>
      <w:pPr>
        <w:ind w:left="1400"/>
        <w:spacing w:after="0"/>
        <w:rPr>
          <w:sz w:val="20"/>
          <w:szCs w:val="20"/>
          <w:color w:val="auto"/>
        </w:rPr>
      </w:pPr>
      <w:r>
        <w:rPr>
          <w:rFonts w:ascii="Arial" w:cs="Arial" w:eastAsia="Arial" w:hAnsi="Arial"/>
          <w:sz w:val="10"/>
          <w:szCs w:val="10"/>
          <w:color w:val="auto"/>
        </w:rPr>
        <w:t>Board Committees: Audit (Financial Expert)</w:t>
      </w:r>
    </w:p>
    <w:p>
      <w:pPr>
        <w:ind w:left="2300"/>
        <w:spacing w:after="0" w:line="228" w:lineRule="auto"/>
        <w:rPr>
          <w:sz w:val="20"/>
          <w:szCs w:val="20"/>
          <w:color w:val="auto"/>
        </w:rPr>
      </w:pPr>
      <w:r>
        <w:rPr>
          <w:rFonts w:ascii="Arial" w:cs="Arial" w:eastAsia="Arial" w:hAnsi="Arial"/>
          <w:sz w:val="10"/>
          <w:szCs w:val="10"/>
          <w:color w:val="auto"/>
        </w:rPr>
        <w:t>Nominating and Corporate</w:t>
      </w:r>
    </w:p>
    <w:p>
      <w:pPr>
        <w:ind w:left="2300"/>
        <w:spacing w:after="0"/>
        <w:rPr>
          <w:sz w:val="20"/>
          <w:szCs w:val="20"/>
          <w:color w:val="auto"/>
        </w:rPr>
      </w:pPr>
      <w:r>
        <w:rPr>
          <w:rFonts w:ascii="Arial" w:cs="Arial" w:eastAsia="Arial" w:hAnsi="Arial"/>
          <w:sz w:val="10"/>
          <w:szCs w:val="10"/>
          <w:color w:val="auto"/>
        </w:rPr>
        <w:t>Governance</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SKILLS AND QUALIFICATIONS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1"/>
          <w:szCs w:val="11"/>
          <w:color w:val="auto"/>
        </w:rPr>
        <w:t>–   2010 to 2018: Chairman and Chief Executive Officer of Pinnacle Entertainment, Inc.</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2008 to 2010: President and Chief Executive Officer of Multimedia Games, Inc.</w:t>
      </w:r>
    </w:p>
    <w:p>
      <w:pPr>
        <w:spacing w:after="0" w:line="34" w:lineRule="exact"/>
        <w:rPr>
          <w:sz w:val="20"/>
          <w:szCs w:val="20"/>
          <w:color w:val="auto"/>
        </w:rPr>
      </w:pPr>
    </w:p>
    <w:p>
      <w:pPr>
        <w:ind w:left="300" w:right="499" w:hanging="142"/>
        <w:spacing w:after="0" w:line="287" w:lineRule="auto"/>
        <w:rPr>
          <w:sz w:val="20"/>
          <w:szCs w:val="20"/>
          <w:color w:val="auto"/>
        </w:rPr>
      </w:pPr>
      <w:r>
        <w:rPr>
          <w:rFonts w:ascii="Arial" w:cs="Arial" w:eastAsia="Arial" w:hAnsi="Arial"/>
          <w:sz w:val="11"/>
          <w:szCs w:val="11"/>
          <w:color w:val="auto"/>
        </w:rPr>
        <w:t>–   Various roles at Harrah’s Entertainment, Inc., including President and Chief Operating Officer for Harrah’s New Orleans.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B9AFA0"/>
        </w:rPr>
        <w:t>EDUCATION</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1"/>
          <w:szCs w:val="11"/>
          <w:color w:val="auto"/>
        </w:rPr>
        <w:t>Mr. Sanfilippo attended the University of Texas in Austin and the Stanford Executive Program</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B9AFA0"/>
        </w:rPr>
        <w:t>EXPERTISE</w:t>
      </w:r>
    </w:p>
    <w:p>
      <w:pPr>
        <w:spacing w:after="0" w:line="8" w:lineRule="exact"/>
        <w:rPr>
          <w:sz w:val="20"/>
          <w:szCs w:val="20"/>
          <w:color w:val="auto"/>
        </w:rPr>
      </w:pPr>
    </w:p>
    <w:p>
      <w:pPr>
        <w:jc w:val="both"/>
        <w:ind w:left="160" w:right="239"/>
        <w:spacing w:after="0" w:line="256" w:lineRule="auto"/>
        <w:rPr>
          <w:sz w:val="20"/>
          <w:szCs w:val="20"/>
          <w:color w:val="auto"/>
        </w:rPr>
      </w:pPr>
      <w:r>
        <w:rPr>
          <w:rFonts w:ascii="Arial" w:cs="Arial" w:eastAsia="Arial" w:hAnsi="Arial"/>
          <w:sz w:val="11"/>
          <w:szCs w:val="11"/>
          <w:color w:val="auto"/>
        </w:rPr>
        <w:t>Mr. Sanfilippo’s prior experience as an executive in our industry enhances the Board’s understanding of our regulatory, operational, financial, and strategic matters. His board service in various industries complements and strengthens our corporate governance and risk oversight.</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1475" w:lineRule="exact"/>
        <w:rPr>
          <w:sz w:val="20"/>
          <w:szCs w:val="20"/>
          <w:color w:val="auto"/>
        </w:rPr>
      </w:pPr>
    </w:p>
    <w:p>
      <w:pPr>
        <w:sectPr>
          <w:pgSz w:w="11900" w:h="16838" w:orient="portrait"/>
          <w:cols w:equalWidth="0" w:num="2">
            <w:col w:w="3700" w:space="80"/>
            <w:col w:w="6379"/>
          </w:cols>
          <w:pgMar w:left="300" w:top="412"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71"/>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Gaming or Other</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During his service as Chairman and CEO of Pinnacle Entertainment, Inc., Mr. Sanfilippo led multiple strategic transactions through to its</w:t>
            </w:r>
          </w:p>
        </w:tc>
      </w:tr>
      <w:tr>
        <w:trPr>
          <w:trHeight w:val="129"/>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Regulated Industry</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ultimate sale to Penn Entertainment, Inc. (formerly known as Penn National Gaming). Prior to its sale, Pinnacle operated 16 casino</w:t>
            </w:r>
          </w:p>
        </w:tc>
      </w:tr>
      <w:tr>
        <w:trPr>
          <w:trHeight w:val="156"/>
        </w:trPr>
        <w:tc>
          <w:tcPr>
            <w:tcW w:w="1600" w:type="dxa"/>
            <w:vAlign w:val="bottom"/>
            <w:shd w:val="clear" w:color="auto" w:fill="F1EFEC"/>
          </w:tcPr>
          <w:p>
            <w:pPr>
              <w:spacing w:after="0"/>
              <w:rPr>
                <w:sz w:val="13"/>
                <w:szCs w:val="13"/>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locations in 10 states.</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Travel, Leisure,</w:t>
            </w:r>
          </w:p>
        </w:tc>
        <w:tc>
          <w:tcPr>
            <w:tcW w:w="7140" w:type="dxa"/>
            <w:vAlign w:val="bottom"/>
          </w:tcPr>
          <w:p>
            <w:pPr>
              <w:ind w:left="80"/>
              <w:spacing w:after="0"/>
              <w:rPr>
                <w:sz w:val="20"/>
                <w:szCs w:val="20"/>
                <w:color w:val="auto"/>
              </w:rPr>
            </w:pPr>
            <w:r>
              <w:rPr>
                <w:rFonts w:ascii="Arial" w:cs="Arial" w:eastAsia="Arial" w:hAnsi="Arial"/>
                <w:sz w:val="11"/>
                <w:szCs w:val="11"/>
                <w:color w:val="auto"/>
              </w:rPr>
              <w:t>Mr. Sanfilippo has over 35 years of experience specifically in gaming hospitality, having served as a board member and chief executive</w:t>
            </w:r>
          </w:p>
        </w:tc>
      </w:tr>
      <w:tr>
        <w:trPr>
          <w:trHeight w:val="129"/>
        </w:trPr>
        <w:tc>
          <w:tcPr>
            <w:tcW w:w="1600" w:type="dxa"/>
            <w:vAlign w:val="bottom"/>
          </w:tcPr>
          <w:p>
            <w:pPr>
              <w:ind w:left="40"/>
              <w:spacing w:after="0"/>
              <w:rPr>
                <w:sz w:val="20"/>
                <w:szCs w:val="20"/>
                <w:color w:val="auto"/>
              </w:rPr>
            </w:pPr>
            <w:r>
              <w:rPr>
                <w:rFonts w:ascii="Arial" w:cs="Arial" w:eastAsia="Arial" w:hAnsi="Arial"/>
                <w:sz w:val="11"/>
                <w:szCs w:val="11"/>
                <w:color w:val="auto"/>
              </w:rPr>
              <w:t>Hospitality &amp;</w:t>
            </w:r>
          </w:p>
        </w:tc>
        <w:tc>
          <w:tcPr>
            <w:tcW w:w="7140" w:type="dxa"/>
            <w:vAlign w:val="bottom"/>
          </w:tcPr>
          <w:p>
            <w:pPr>
              <w:ind w:left="80"/>
              <w:spacing w:after="0"/>
              <w:rPr>
                <w:sz w:val="20"/>
                <w:szCs w:val="20"/>
                <w:color w:val="auto"/>
              </w:rPr>
            </w:pPr>
            <w:r>
              <w:rPr>
                <w:rFonts w:ascii="Arial" w:cs="Arial" w:eastAsia="Arial" w:hAnsi="Arial"/>
                <w:sz w:val="11"/>
                <w:szCs w:val="11"/>
                <w:color w:val="auto"/>
              </w:rPr>
              <w:t>officer in the gaming hospitality industry for over 12 years. Mr. Sanfilippo is the Managing Partner of Sorelle Hospitality, based in Nashville,</w:t>
            </w:r>
          </w:p>
        </w:tc>
      </w:tr>
      <w:tr>
        <w:trPr>
          <w:trHeight w:val="158"/>
        </w:trPr>
        <w:tc>
          <w:tcPr>
            <w:tcW w:w="1600" w:type="dxa"/>
            <w:vAlign w:val="bottom"/>
          </w:tcPr>
          <w:p>
            <w:pPr>
              <w:ind w:left="40"/>
              <w:spacing w:after="0"/>
              <w:rPr>
                <w:sz w:val="20"/>
                <w:szCs w:val="20"/>
                <w:color w:val="auto"/>
              </w:rPr>
            </w:pPr>
            <w:r>
              <w:rPr>
                <w:rFonts w:ascii="Arial" w:cs="Arial" w:eastAsia="Arial" w:hAnsi="Arial"/>
                <w:sz w:val="11"/>
                <w:szCs w:val="11"/>
                <w:color w:val="auto"/>
              </w:rPr>
              <w:t>Entertainment</w:t>
            </w:r>
          </w:p>
        </w:tc>
        <w:tc>
          <w:tcPr>
            <w:tcW w:w="7140" w:type="dxa"/>
            <w:vAlign w:val="bottom"/>
          </w:tcPr>
          <w:p>
            <w:pPr>
              <w:ind w:left="80"/>
              <w:spacing w:after="0"/>
              <w:rPr>
                <w:sz w:val="20"/>
                <w:szCs w:val="20"/>
                <w:color w:val="auto"/>
              </w:rPr>
            </w:pPr>
            <w:r>
              <w:rPr>
                <w:rFonts w:ascii="Arial" w:cs="Arial" w:eastAsia="Arial" w:hAnsi="Arial"/>
                <w:sz w:val="11"/>
                <w:szCs w:val="11"/>
                <w:color w:val="auto"/>
              </w:rPr>
              <w:t>Tennessee, which owns and operates hospitality related businesses.</w:t>
            </w:r>
          </w:p>
        </w:tc>
      </w:tr>
      <w:tr>
        <w:trPr>
          <w:trHeight w:val="213"/>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Executive Leadership</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Mr. Sanfilippo served as CEO of Pinnacle Entertainment, Inc. for almost 10 years, and, prior to that, as CEO of Multimedia Games, Inc.</w:t>
            </w:r>
          </w:p>
        </w:tc>
      </w:tr>
      <w:tr>
        <w:trPr>
          <w:trHeight w:val="200"/>
        </w:trPr>
        <w:tc>
          <w:tcPr>
            <w:tcW w:w="1600" w:type="dxa"/>
            <w:vAlign w:val="bottom"/>
          </w:tcPr>
          <w:p>
            <w:pPr>
              <w:ind w:left="40"/>
              <w:spacing w:after="0"/>
              <w:rPr>
                <w:sz w:val="20"/>
                <w:szCs w:val="20"/>
                <w:color w:val="auto"/>
              </w:rPr>
            </w:pPr>
            <w:r>
              <w:rPr>
                <w:rFonts w:ascii="Arial" w:cs="Arial" w:eastAsia="Arial" w:hAnsi="Arial"/>
                <w:sz w:val="11"/>
                <w:szCs w:val="11"/>
                <w:color w:val="auto"/>
              </w:rPr>
              <w:t>Outside Public Boards</w:t>
            </w:r>
          </w:p>
        </w:tc>
        <w:tc>
          <w:tcPr>
            <w:tcW w:w="7140" w:type="dxa"/>
            <w:vAlign w:val="bottom"/>
          </w:tcPr>
          <w:p>
            <w:pPr>
              <w:ind w:left="80"/>
              <w:spacing w:after="0"/>
              <w:rPr>
                <w:sz w:val="20"/>
                <w:szCs w:val="20"/>
                <w:color w:val="auto"/>
              </w:rPr>
            </w:pPr>
            <w:r>
              <w:rPr>
                <w:rFonts w:ascii="Arial" w:cs="Arial" w:eastAsia="Arial" w:hAnsi="Arial"/>
                <w:sz w:val="11"/>
                <w:szCs w:val="11"/>
                <w:color w:val="auto"/>
              </w:rPr>
              <w:t>Mr. Sanfilippo has served on the boards of Papa Johns International, Inc., Tivity Health, Inc, and Jazz Casino Corporation.</w:t>
            </w:r>
          </w:p>
        </w:tc>
      </w:tr>
      <w:tr>
        <w:trPr>
          <w:trHeight w:val="180"/>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Real Estate or Project</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Mr. Sanfilippo co-founded Sorelle Capital, a Family Office focused in part on investing in and developing real estate-related projects.</w:t>
            </w:r>
          </w:p>
        </w:tc>
      </w:tr>
      <w:tr>
        <w:trPr>
          <w:trHeight w:val="167"/>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Construction</w:t>
            </w:r>
          </w:p>
        </w:tc>
        <w:tc>
          <w:tcPr>
            <w:tcW w:w="7140" w:type="dxa"/>
            <w:vAlign w:val="bottom"/>
            <w:shd w:val="clear" w:color="auto" w:fill="F1EFEC"/>
          </w:tcPr>
          <w:p>
            <w:pPr>
              <w:spacing w:after="0"/>
              <w:rPr>
                <w:sz w:val="14"/>
                <w:szCs w:val="14"/>
                <w:color w:val="auto"/>
              </w:rPr>
            </w:pPr>
          </w:p>
        </w:tc>
      </w:tr>
    </w:tbl>
    <w:p>
      <w:pPr>
        <w:spacing w:after="0" w:line="301" w:lineRule="exact"/>
        <w:rPr>
          <w:sz w:val="20"/>
          <w:szCs w:val="20"/>
          <w:color w:val="auto"/>
        </w:rPr>
      </w:pPr>
    </w:p>
    <w:p>
      <w:pPr>
        <w:ind w:left="98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412"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Philip G. Satre </w:t>
      </w:r>
      <w:r>
        <w:rPr>
          <w:rFonts w:ascii="Times New Roman" w:cs="Times New Roman" w:eastAsia="Times New Roman" w:hAnsi="Times New Roman"/>
          <w:sz w:val="11"/>
          <w:szCs w:val="11"/>
          <w:i w:val="1"/>
          <w:iCs w:val="1"/>
          <w:color w:val="auto"/>
        </w:rPr>
        <w:t>Retired</w:t>
      </w:r>
    </w:p>
    <w:p>
      <w:pPr>
        <w:spacing w:after="0" w:line="60" w:lineRule="exact"/>
        <w:rPr>
          <w:sz w:val="20"/>
          <w:szCs w:val="20"/>
          <w:color w:val="auto"/>
        </w:rPr>
      </w:pPr>
    </w:p>
    <w:p>
      <w:pPr>
        <w:ind w:left="1260" w:right="159"/>
        <w:spacing w:after="0" w:line="258" w:lineRule="auto"/>
        <w:rPr>
          <w:sz w:val="20"/>
          <w:szCs w:val="20"/>
          <w:color w:val="auto"/>
        </w:rPr>
      </w:pPr>
      <w:r>
        <w:rPr>
          <w:rFonts w:ascii="Arial" w:cs="Arial" w:eastAsia="Arial" w:hAnsi="Arial"/>
          <w:sz w:val="11"/>
          <w:szCs w:val="11"/>
          <w:color w:val="auto"/>
        </w:rPr>
        <w:t>Mr. Satre has served as the Non-Executive Chair of the Board since November 2018 and joined the Board as Vice-Chair in August 2018. In the not-for-profit sector, Mr. Satre is President Emeritus of the International Center for Responsible Gaming; a Trustee of The National World War II Museum; serves on the Board of the National Automobile Museum—The Harrah Collection in Reno, Nevada; is Co-Founder and Chair of the Kenny Guinn Center for Policy Priorities and served on the Stanford Alumni Association Board of Directors until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60325</wp:posOffset>
            </wp:positionV>
            <wp:extent cx="1594485" cy="11309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94485" cy="1130935"/>
                    </a:xfrm>
                    <a:prstGeom prst="rect">
                      <a:avLst/>
                    </a:prstGeom>
                    <a:noFill/>
                  </pic:spPr>
                </pic:pic>
              </a:graphicData>
            </a:graphic>
          </wp:anchor>
        </w:drawing>
      </w:r>
    </w:p>
    <w:p>
      <w:pPr>
        <w:spacing w:after="0" w:line="155" w:lineRule="exact"/>
        <w:rPr>
          <w:sz w:val="20"/>
          <w:szCs w:val="20"/>
          <w:color w:val="auto"/>
        </w:rPr>
      </w:pPr>
    </w:p>
    <w:p>
      <w:pPr>
        <w:ind w:left="3940"/>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ind w:left="4080" w:right="319" w:hanging="142"/>
        <w:spacing w:after="0" w:line="256" w:lineRule="auto"/>
        <w:rPr>
          <w:sz w:val="20"/>
          <w:szCs w:val="20"/>
          <w:color w:val="auto"/>
        </w:rPr>
      </w:pPr>
      <w:r>
        <w:rPr>
          <w:rFonts w:ascii="Arial" w:cs="Arial" w:eastAsia="Arial" w:hAnsi="Arial"/>
          <w:sz w:val="11"/>
          <w:szCs w:val="11"/>
          <w:color w:val="auto"/>
        </w:rPr>
        <w:t>–   1980 to 2005: Various roles at Harrah’s Entertainment, Inc. with increasing responsibility, including Vice President, General Counsel and Secretary; President and Chief Executive Officer of its gaming division; and culminating in service as Chief Executive Officer and Chair</w:t>
      </w:r>
    </w:p>
    <w:p>
      <w:pPr>
        <w:spacing w:after="0" w:line="4" w:lineRule="exact"/>
        <w:rPr>
          <w:sz w:val="20"/>
          <w:szCs w:val="20"/>
          <w:color w:val="auto"/>
        </w:rPr>
      </w:pPr>
    </w:p>
    <w:p>
      <w:pPr>
        <w:ind w:left="4080" w:right="159" w:hanging="142"/>
        <w:spacing w:after="0" w:line="274" w:lineRule="auto"/>
        <w:rPr>
          <w:sz w:val="20"/>
          <w:szCs w:val="20"/>
          <w:color w:val="auto"/>
        </w:rPr>
      </w:pPr>
      <w:r>
        <w:rPr>
          <w:rFonts w:ascii="Arial" w:cs="Arial" w:eastAsia="Arial" w:hAnsi="Arial"/>
          <w:sz w:val="11"/>
          <w:szCs w:val="11"/>
          <w:color w:val="auto"/>
        </w:rPr>
        <w:t>–   Previously served on the boards of Nordstrom, Inc., International Game Technology PLC (“IGT”), NV Energy, Tabcorp Holdings Ltd. (Australia), and Rite Aid Corporation</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0" w:type="dxa"/>
            <w:vAlign w:val="bottom"/>
          </w:tcPr>
          <w:p>
            <w:pPr>
              <w:ind w:left="120"/>
              <w:spacing w:after="0"/>
              <w:rPr>
                <w:sz w:val="20"/>
                <w:szCs w:val="20"/>
                <w:color w:val="auto"/>
              </w:rPr>
            </w:pPr>
            <w:r>
              <w:rPr>
                <w:rFonts w:ascii="Arial" w:cs="Arial" w:eastAsia="Arial" w:hAnsi="Arial"/>
                <w:sz w:val="11"/>
                <w:szCs w:val="11"/>
                <w:color w:val="auto"/>
              </w:rPr>
              <w:t>–   Various roles in non-profits, including as Chair of the Guinn Center for Policy Priorities and Emeritus Member of the</w:t>
            </w: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0" w:type="dxa"/>
            <w:vAlign w:val="bottom"/>
          </w:tcPr>
          <w:p>
            <w:pPr>
              <w:ind w:left="260"/>
              <w:spacing w:after="0"/>
              <w:rPr>
                <w:sz w:val="20"/>
                <w:szCs w:val="20"/>
                <w:color w:val="auto"/>
              </w:rPr>
            </w:pPr>
            <w:r>
              <w:rPr>
                <w:rFonts w:ascii="Arial" w:cs="Arial" w:eastAsia="Arial" w:hAnsi="Arial"/>
                <w:sz w:val="11"/>
                <w:szCs w:val="11"/>
                <w:color w:val="auto"/>
              </w:rPr>
              <w:t>Stanford University Board of Trustees (2005 to 2010)</w:t>
            </w:r>
          </w:p>
        </w:tc>
      </w:tr>
      <w:tr>
        <w:trPr>
          <w:trHeight w:val="28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tcPr>
          <w:p>
            <w:pPr>
              <w:ind w:left="120"/>
              <w:spacing w:after="0"/>
              <w:rPr>
                <w:sz w:val="20"/>
                <w:szCs w:val="20"/>
                <w:color w:val="auto"/>
              </w:rPr>
            </w:pPr>
            <w:r>
              <w:rPr>
                <w:rFonts w:ascii="Arial" w:cs="Arial" w:eastAsia="Arial" w:hAnsi="Arial"/>
                <w:sz w:val="16"/>
                <w:szCs w:val="16"/>
                <w:color w:val="B9AFA0"/>
              </w:rPr>
              <w:t>EDUCATION</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0" w:type="dxa"/>
            <w:vAlign w:val="bottom"/>
          </w:tcPr>
          <w:p>
            <w:pPr>
              <w:ind w:left="120"/>
              <w:spacing w:after="0"/>
              <w:rPr>
                <w:sz w:val="20"/>
                <w:szCs w:val="20"/>
                <w:color w:val="auto"/>
              </w:rPr>
            </w:pPr>
            <w:r>
              <w:rPr>
                <w:rFonts w:ascii="Arial" w:cs="Arial" w:eastAsia="Arial" w:hAnsi="Arial"/>
                <w:sz w:val="11"/>
                <w:szCs w:val="11"/>
                <w:color w:val="auto"/>
              </w:rPr>
              <w:t>Mr. Satre graduated with a B.A. from Stanford University and a J.D. from the University of California, Davis. He attended</w:t>
            </w: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0" w:type="dxa"/>
            <w:vAlign w:val="bottom"/>
          </w:tcPr>
          <w:p>
            <w:pPr>
              <w:ind w:left="120"/>
              <w:spacing w:after="0" w:line="124" w:lineRule="exact"/>
              <w:rPr>
                <w:sz w:val="20"/>
                <w:szCs w:val="20"/>
                <w:color w:val="auto"/>
              </w:rPr>
            </w:pPr>
            <w:r>
              <w:rPr>
                <w:rFonts w:ascii="Arial" w:cs="Arial" w:eastAsia="Arial" w:hAnsi="Arial"/>
                <w:sz w:val="11"/>
                <w:szCs w:val="11"/>
                <w:color w:val="auto"/>
              </w:rPr>
              <w:t>the M.I.T. Senior Executive Development Program in Fall, 1982.</w:t>
            </w:r>
          </w:p>
        </w:tc>
      </w:tr>
      <w:tr>
        <w:trPr>
          <w:trHeight w:val="338"/>
        </w:trPr>
        <w:tc>
          <w:tcPr>
            <w:tcW w:w="20" w:type="dxa"/>
            <w:vAlign w:val="bottom"/>
          </w:tcPr>
          <w:p>
            <w:pPr>
              <w:spacing w:after="0"/>
              <w:rPr>
                <w:sz w:val="24"/>
                <w:szCs w:val="24"/>
                <w:color w:val="auto"/>
              </w:rPr>
            </w:pPr>
          </w:p>
        </w:tc>
        <w:tc>
          <w:tcPr>
            <w:tcW w:w="8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3"/>
                <w:szCs w:val="13"/>
                <w:color w:val="auto"/>
                <w:w w:val="91"/>
              </w:rPr>
              <w:t xml:space="preserve">   </w:t>
            </w:r>
          </w:p>
        </w:tc>
        <w:tc>
          <w:tcPr>
            <w:tcW w:w="940" w:type="dxa"/>
            <w:vAlign w:val="bottom"/>
            <w:tcBorders>
              <w:bottom w:val="single" w:sz="8" w:color="F1EFEC"/>
            </w:tcBorders>
            <w:gridSpan w:val="3"/>
            <w:shd w:val="clear" w:color="auto" w:fill="F1EFEC"/>
          </w:tcPr>
          <w:p>
            <w:pPr>
              <w:ind w:left="40"/>
              <w:spacing w:after="0"/>
              <w:rPr>
                <w:sz w:val="20"/>
                <w:szCs w:val="20"/>
                <w:color w:val="auto"/>
              </w:rPr>
            </w:pPr>
            <w:r>
              <w:rPr>
                <w:rFonts w:ascii="Arial" w:cs="Arial" w:eastAsia="Arial" w:hAnsi="Arial"/>
                <w:sz w:val="10"/>
                <w:szCs w:val="10"/>
                <w:color w:val="auto"/>
              </w:rPr>
              <w:t>Director Since</w:t>
            </w:r>
          </w:p>
        </w:tc>
        <w:tc>
          <w:tcPr>
            <w:tcW w:w="58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0"/>
                <w:szCs w:val="10"/>
                <w:color w:val="auto"/>
                <w:w w:val="99"/>
              </w:rPr>
              <w:t>August 2018</w:t>
            </w:r>
          </w:p>
        </w:tc>
        <w:tc>
          <w:tcPr>
            <w:tcW w:w="820" w:type="dxa"/>
            <w:vAlign w:val="bottom"/>
            <w:tcBorders>
              <w:bottom w:val="single" w:sz="8" w:color="F1EFEC"/>
            </w:tcBorders>
            <w:shd w:val="clear" w:color="auto" w:fill="F1EFEC"/>
          </w:tcPr>
          <w:p>
            <w:pPr>
              <w:spacing w:after="0"/>
              <w:rPr>
                <w:sz w:val="24"/>
                <w:szCs w:val="24"/>
                <w:color w:val="auto"/>
              </w:rPr>
            </w:pPr>
          </w:p>
        </w:tc>
        <w:tc>
          <w:tcPr>
            <w:tcW w:w="120" w:type="dxa"/>
            <w:vAlign w:val="bottom"/>
            <w:tcBorders>
              <w:bottom w:val="single" w:sz="8" w:color="F1EFEC"/>
            </w:tcBorders>
            <w:shd w:val="clear" w:color="auto" w:fill="F1EFEC"/>
          </w:tcPr>
          <w:p>
            <w:pPr>
              <w:ind w:left="80"/>
              <w:spacing w:after="0"/>
              <w:rPr>
                <w:sz w:val="20"/>
                <w:szCs w:val="20"/>
                <w:color w:val="auto"/>
              </w:rPr>
            </w:pPr>
            <w:r>
              <w:rPr>
                <w:rFonts w:ascii="Arial" w:cs="Arial" w:eastAsia="Arial" w:hAnsi="Arial"/>
                <w:sz w:val="11"/>
                <w:szCs w:val="11"/>
                <w:color w:val="auto"/>
                <w:w w:val="70"/>
              </w:rPr>
              <w:t> </w:t>
            </w:r>
          </w:p>
        </w:tc>
        <w:tc>
          <w:tcPr>
            <w:tcW w:w="6200" w:type="dxa"/>
            <w:vAlign w:val="bottom"/>
          </w:tcPr>
          <w:p>
            <w:pPr>
              <w:ind w:left="120"/>
              <w:spacing w:after="0"/>
              <w:rPr>
                <w:sz w:val="20"/>
                <w:szCs w:val="20"/>
                <w:color w:val="auto"/>
              </w:rPr>
            </w:pPr>
            <w:r>
              <w:rPr>
                <w:rFonts w:ascii="Arial" w:cs="Arial" w:eastAsia="Arial" w:hAnsi="Arial"/>
                <w:sz w:val="16"/>
                <w:szCs w:val="16"/>
                <w:color w:val="B9AFA0"/>
              </w:rPr>
              <w:t>EXPERTISE</w:t>
            </w:r>
          </w:p>
        </w:tc>
      </w:tr>
      <w:tr>
        <w:trPr>
          <w:trHeight w:val="81"/>
        </w:trPr>
        <w:tc>
          <w:tcPr>
            <w:tcW w:w="20" w:type="dxa"/>
            <w:vAlign w:val="bottom"/>
          </w:tcPr>
          <w:p>
            <w:pPr>
              <w:spacing w:after="0"/>
              <w:rPr>
                <w:sz w:val="7"/>
                <w:szCs w:val="7"/>
                <w:color w:val="auto"/>
              </w:rPr>
            </w:pPr>
          </w:p>
        </w:tc>
        <w:tc>
          <w:tcPr>
            <w:tcW w:w="80" w:type="dxa"/>
            <w:vAlign w:val="bottom"/>
            <w:tcBorders>
              <w:top w:val="single" w:sz="8" w:color="F1EFEC"/>
            </w:tcBorders>
            <w:shd w:val="clear" w:color="auto" w:fill="F1EFEC"/>
          </w:tcPr>
          <w:p>
            <w:pPr>
              <w:spacing w:after="0"/>
              <w:rPr>
                <w:sz w:val="7"/>
                <w:szCs w:val="7"/>
                <w:color w:val="auto"/>
              </w:rPr>
            </w:pPr>
          </w:p>
        </w:tc>
        <w:tc>
          <w:tcPr>
            <w:tcW w:w="60" w:type="dxa"/>
            <w:vAlign w:val="bottom"/>
            <w:tcBorders>
              <w:top w:val="single" w:sz="8" w:color="auto"/>
            </w:tcBorders>
            <w:shd w:val="clear" w:color="auto" w:fill="F1EFEC"/>
          </w:tcPr>
          <w:p>
            <w:pPr>
              <w:spacing w:after="0"/>
              <w:rPr>
                <w:sz w:val="7"/>
                <w:szCs w:val="7"/>
                <w:color w:val="auto"/>
              </w:rPr>
            </w:pPr>
          </w:p>
        </w:tc>
        <w:tc>
          <w:tcPr>
            <w:tcW w:w="840" w:type="dxa"/>
            <w:vAlign w:val="bottom"/>
            <w:tcBorders>
              <w:top w:val="single" w:sz="8" w:color="auto"/>
            </w:tcBorders>
            <w:shd w:val="clear" w:color="auto" w:fill="F1EFEC"/>
          </w:tcPr>
          <w:p>
            <w:pPr>
              <w:spacing w:after="0"/>
              <w:rPr>
                <w:sz w:val="7"/>
                <w:szCs w:val="7"/>
                <w:color w:val="auto"/>
              </w:rPr>
            </w:pPr>
          </w:p>
        </w:tc>
        <w:tc>
          <w:tcPr>
            <w:tcW w:w="40" w:type="dxa"/>
            <w:vAlign w:val="bottom"/>
            <w:tcBorders>
              <w:top w:val="single" w:sz="8" w:color="auto"/>
            </w:tcBorders>
            <w:shd w:val="clear" w:color="auto" w:fill="F1EFEC"/>
          </w:tcPr>
          <w:p>
            <w:pPr>
              <w:spacing w:after="0"/>
              <w:rPr>
                <w:sz w:val="7"/>
                <w:szCs w:val="7"/>
                <w:color w:val="auto"/>
              </w:rPr>
            </w:pPr>
          </w:p>
        </w:tc>
        <w:tc>
          <w:tcPr>
            <w:tcW w:w="580" w:type="dxa"/>
            <w:vAlign w:val="bottom"/>
            <w:tcBorders>
              <w:top w:val="single" w:sz="8" w:color="auto"/>
            </w:tcBorders>
            <w:shd w:val="clear" w:color="auto" w:fill="F1EFEC"/>
          </w:tcPr>
          <w:p>
            <w:pPr>
              <w:spacing w:after="0"/>
              <w:rPr>
                <w:sz w:val="7"/>
                <w:szCs w:val="7"/>
                <w:color w:val="auto"/>
              </w:rPr>
            </w:pPr>
          </w:p>
        </w:tc>
        <w:tc>
          <w:tcPr>
            <w:tcW w:w="820" w:type="dxa"/>
            <w:vAlign w:val="bottom"/>
            <w:tcBorders>
              <w:top w:val="single" w:sz="8" w:color="auto"/>
            </w:tcBorders>
            <w:shd w:val="clear" w:color="auto" w:fill="F1EFEC"/>
          </w:tcPr>
          <w:p>
            <w:pPr>
              <w:spacing w:after="0"/>
              <w:rPr>
                <w:sz w:val="7"/>
                <w:szCs w:val="7"/>
                <w:color w:val="auto"/>
              </w:rPr>
            </w:pPr>
          </w:p>
        </w:tc>
        <w:tc>
          <w:tcPr>
            <w:tcW w:w="120" w:type="dxa"/>
            <w:vAlign w:val="bottom"/>
            <w:tcBorders>
              <w:top w:val="single" w:sz="8" w:color="F1EFEC"/>
            </w:tcBorders>
            <w:shd w:val="clear" w:color="auto" w:fill="F1EFEC"/>
          </w:tcPr>
          <w:p>
            <w:pPr>
              <w:spacing w:after="0"/>
              <w:rPr>
                <w:sz w:val="7"/>
                <w:szCs w:val="7"/>
                <w:color w:val="auto"/>
              </w:rPr>
            </w:pPr>
          </w:p>
        </w:tc>
        <w:tc>
          <w:tcPr>
            <w:tcW w:w="6200" w:type="dxa"/>
            <w:vAlign w:val="bottom"/>
          </w:tcPr>
          <w:p>
            <w:pPr>
              <w:ind w:left="120"/>
              <w:spacing w:after="0" w:line="82" w:lineRule="exact"/>
              <w:rPr>
                <w:sz w:val="20"/>
                <w:szCs w:val="20"/>
                <w:color w:val="auto"/>
              </w:rPr>
            </w:pPr>
            <w:r>
              <w:rPr>
                <w:rFonts w:ascii="Arial" w:cs="Arial" w:eastAsia="Arial" w:hAnsi="Arial"/>
                <w:sz w:val="9"/>
                <w:szCs w:val="9"/>
                <w:color w:val="auto"/>
              </w:rPr>
              <w:t>Mr. Satre’s prior experience as an executive in our industry brings the Board extensive understanding of the complex</w:t>
            </w:r>
          </w:p>
        </w:tc>
      </w:tr>
      <w:tr>
        <w:trPr>
          <w:trHeight w:val="129"/>
        </w:trPr>
        <w:tc>
          <w:tcPr>
            <w:tcW w:w="20" w:type="dxa"/>
            <w:vAlign w:val="bottom"/>
          </w:tcPr>
          <w:p>
            <w:pPr>
              <w:spacing w:after="0"/>
              <w:rPr>
                <w:sz w:val="11"/>
                <w:szCs w:val="11"/>
                <w:color w:val="auto"/>
              </w:rPr>
            </w:pPr>
          </w:p>
        </w:tc>
        <w:tc>
          <w:tcPr>
            <w:tcW w:w="80" w:type="dxa"/>
            <w:vAlign w:val="bottom"/>
            <w:shd w:val="clear" w:color="auto" w:fill="F1EFEC"/>
          </w:tcPr>
          <w:p>
            <w:pPr>
              <w:spacing w:after="0"/>
              <w:rPr>
                <w:sz w:val="11"/>
                <w:szCs w:val="11"/>
                <w:color w:val="auto"/>
              </w:rPr>
            </w:pPr>
          </w:p>
        </w:tc>
        <w:tc>
          <w:tcPr>
            <w:tcW w:w="60" w:type="dxa"/>
            <w:vAlign w:val="bottom"/>
            <w:shd w:val="clear" w:color="auto" w:fill="F1EFEC"/>
          </w:tcPr>
          <w:p>
            <w:pPr>
              <w:spacing w:after="0"/>
              <w:rPr>
                <w:sz w:val="11"/>
                <w:szCs w:val="11"/>
                <w:color w:val="auto"/>
              </w:rPr>
            </w:pPr>
          </w:p>
        </w:tc>
        <w:tc>
          <w:tcPr>
            <w:tcW w:w="880" w:type="dxa"/>
            <w:vAlign w:val="bottom"/>
            <w:gridSpan w:val="2"/>
            <w:shd w:val="clear" w:color="auto" w:fill="F1EFEC"/>
          </w:tcPr>
          <w:p>
            <w:pPr>
              <w:spacing w:after="0"/>
              <w:rPr>
                <w:sz w:val="20"/>
                <w:szCs w:val="20"/>
                <w:color w:val="auto"/>
              </w:rPr>
            </w:pPr>
            <w:r>
              <w:rPr>
                <w:rFonts w:ascii="Arial" w:cs="Arial" w:eastAsia="Arial" w:hAnsi="Arial"/>
                <w:sz w:val="10"/>
                <w:szCs w:val="10"/>
                <w:color w:val="auto"/>
              </w:rPr>
              <w:t>Term Expires</w:t>
            </w:r>
          </w:p>
        </w:tc>
        <w:tc>
          <w:tcPr>
            <w:tcW w:w="1520" w:type="dxa"/>
            <w:vAlign w:val="bottom"/>
            <w:gridSpan w:val="3"/>
            <w:shd w:val="clear" w:color="auto" w:fill="F1EFEC"/>
          </w:tcPr>
          <w:p>
            <w:pPr>
              <w:spacing w:after="0"/>
              <w:rPr>
                <w:sz w:val="20"/>
                <w:szCs w:val="20"/>
                <w:color w:val="auto"/>
              </w:rPr>
            </w:pPr>
            <w:r>
              <w:rPr>
                <w:rFonts w:ascii="Arial" w:cs="Arial" w:eastAsia="Arial" w:hAnsi="Arial"/>
                <w:sz w:val="10"/>
                <w:szCs w:val="10"/>
                <w:color w:val="auto"/>
              </w:rPr>
              <w:t>2026 Annual Meeting</w:t>
            </w:r>
          </w:p>
        </w:tc>
        <w:tc>
          <w:tcPr>
            <w:tcW w:w="6200" w:type="dxa"/>
            <w:vAlign w:val="bottom"/>
          </w:tcPr>
          <w:p>
            <w:pPr>
              <w:ind w:left="120"/>
              <w:spacing w:after="0"/>
              <w:rPr>
                <w:sz w:val="20"/>
                <w:szCs w:val="20"/>
                <w:color w:val="auto"/>
              </w:rPr>
            </w:pPr>
            <w:r>
              <w:rPr>
                <w:rFonts w:ascii="Arial" w:cs="Arial" w:eastAsia="Arial" w:hAnsi="Arial"/>
                <w:sz w:val="11"/>
                <w:szCs w:val="11"/>
                <w:color w:val="auto"/>
              </w:rPr>
              <w:t>financial, regulatory, operational, and strategic challenges we face, while his prior experience as a director across a</w:t>
            </w:r>
          </w:p>
        </w:tc>
      </w:tr>
      <w:tr>
        <w:trPr>
          <w:trHeight w:val="114"/>
        </w:trPr>
        <w:tc>
          <w:tcPr>
            <w:tcW w:w="20" w:type="dxa"/>
            <w:vAlign w:val="bottom"/>
          </w:tcPr>
          <w:p>
            <w:pPr>
              <w:spacing w:after="0"/>
              <w:rPr>
                <w:sz w:val="9"/>
                <w:szCs w:val="9"/>
                <w:color w:val="auto"/>
              </w:rPr>
            </w:pPr>
          </w:p>
        </w:tc>
        <w:tc>
          <w:tcPr>
            <w:tcW w:w="80" w:type="dxa"/>
            <w:vAlign w:val="bottom"/>
            <w:tcBorders>
              <w:bottom w:val="single" w:sz="8" w:color="F1EFEC"/>
            </w:tcBorders>
            <w:shd w:val="clear" w:color="auto" w:fill="F1EFEC"/>
          </w:tcPr>
          <w:p>
            <w:pPr>
              <w:spacing w:after="0"/>
              <w:rPr>
                <w:sz w:val="9"/>
                <w:szCs w:val="9"/>
                <w:color w:val="auto"/>
              </w:rPr>
            </w:pPr>
          </w:p>
        </w:tc>
        <w:tc>
          <w:tcPr>
            <w:tcW w:w="60" w:type="dxa"/>
            <w:vAlign w:val="bottom"/>
            <w:tcBorders>
              <w:bottom w:val="single" w:sz="8" w:color="auto"/>
            </w:tcBorders>
            <w:shd w:val="clear" w:color="auto" w:fill="F1EFEC"/>
          </w:tcPr>
          <w:p>
            <w:pPr>
              <w:spacing w:after="0"/>
              <w:rPr>
                <w:sz w:val="9"/>
                <w:szCs w:val="9"/>
                <w:color w:val="auto"/>
              </w:rPr>
            </w:pPr>
          </w:p>
        </w:tc>
        <w:tc>
          <w:tcPr>
            <w:tcW w:w="840" w:type="dxa"/>
            <w:vAlign w:val="bottom"/>
            <w:tcBorders>
              <w:bottom w:val="single" w:sz="8" w:color="auto"/>
            </w:tcBorders>
            <w:shd w:val="clear" w:color="auto" w:fill="F1EFEC"/>
          </w:tcPr>
          <w:p>
            <w:pPr>
              <w:spacing w:after="0"/>
              <w:rPr>
                <w:sz w:val="9"/>
                <w:szCs w:val="9"/>
                <w:color w:val="auto"/>
              </w:rPr>
            </w:pPr>
          </w:p>
        </w:tc>
        <w:tc>
          <w:tcPr>
            <w:tcW w:w="40" w:type="dxa"/>
            <w:vAlign w:val="bottom"/>
            <w:tcBorders>
              <w:bottom w:val="single" w:sz="8" w:color="auto"/>
            </w:tcBorders>
            <w:shd w:val="clear" w:color="auto" w:fill="F1EFEC"/>
          </w:tcPr>
          <w:p>
            <w:pPr>
              <w:spacing w:after="0"/>
              <w:rPr>
                <w:sz w:val="9"/>
                <w:szCs w:val="9"/>
                <w:color w:val="auto"/>
              </w:rPr>
            </w:pPr>
          </w:p>
        </w:tc>
        <w:tc>
          <w:tcPr>
            <w:tcW w:w="580" w:type="dxa"/>
            <w:vAlign w:val="bottom"/>
            <w:tcBorders>
              <w:bottom w:val="single" w:sz="8" w:color="auto"/>
            </w:tcBorders>
            <w:shd w:val="clear" w:color="auto" w:fill="F1EFEC"/>
          </w:tcPr>
          <w:p>
            <w:pPr>
              <w:spacing w:after="0"/>
              <w:rPr>
                <w:sz w:val="9"/>
                <w:szCs w:val="9"/>
                <w:color w:val="auto"/>
              </w:rPr>
            </w:pPr>
          </w:p>
        </w:tc>
        <w:tc>
          <w:tcPr>
            <w:tcW w:w="820" w:type="dxa"/>
            <w:vAlign w:val="bottom"/>
            <w:tcBorders>
              <w:bottom w:val="single" w:sz="8" w:color="auto"/>
            </w:tcBorders>
            <w:shd w:val="clear" w:color="auto" w:fill="F1EFEC"/>
          </w:tcPr>
          <w:p>
            <w:pPr>
              <w:spacing w:after="0"/>
              <w:rPr>
                <w:sz w:val="9"/>
                <w:szCs w:val="9"/>
                <w:color w:val="auto"/>
              </w:rPr>
            </w:pPr>
          </w:p>
        </w:tc>
        <w:tc>
          <w:tcPr>
            <w:tcW w:w="120" w:type="dxa"/>
            <w:vAlign w:val="bottom"/>
            <w:tcBorders>
              <w:bottom w:val="single" w:sz="8" w:color="F1EFEC"/>
            </w:tcBorders>
            <w:shd w:val="clear" w:color="auto" w:fill="F1EFEC"/>
          </w:tcPr>
          <w:p>
            <w:pPr>
              <w:spacing w:after="0"/>
              <w:rPr>
                <w:sz w:val="9"/>
                <w:szCs w:val="9"/>
                <w:color w:val="auto"/>
              </w:rPr>
            </w:pPr>
          </w:p>
        </w:tc>
        <w:tc>
          <w:tcPr>
            <w:tcW w:w="6200" w:type="dxa"/>
            <w:vAlign w:val="bottom"/>
          </w:tcPr>
          <w:p>
            <w:pPr>
              <w:ind w:left="120"/>
              <w:spacing w:after="0" w:line="94" w:lineRule="exact"/>
              <w:rPr>
                <w:sz w:val="20"/>
                <w:szCs w:val="20"/>
                <w:color w:val="auto"/>
              </w:rPr>
            </w:pPr>
            <w:r>
              <w:rPr>
                <w:rFonts w:ascii="Arial" w:cs="Arial" w:eastAsia="Arial" w:hAnsi="Arial"/>
                <w:sz w:val="10"/>
                <w:szCs w:val="10"/>
                <w:color w:val="auto"/>
              </w:rPr>
              <w:t>diversity of industries adds additional expertise in matters of good corporate governance and effective Board oversight.</w:t>
            </w:r>
          </w:p>
        </w:tc>
      </w:tr>
      <w:tr>
        <w:trPr>
          <w:trHeight w:val="227"/>
        </w:trPr>
        <w:tc>
          <w:tcPr>
            <w:tcW w:w="20" w:type="dxa"/>
            <w:vAlign w:val="bottom"/>
          </w:tcPr>
          <w:p>
            <w:pPr>
              <w:spacing w:after="0"/>
              <w:rPr>
                <w:sz w:val="19"/>
                <w:szCs w:val="19"/>
                <w:color w:val="auto"/>
              </w:rPr>
            </w:pPr>
          </w:p>
        </w:tc>
        <w:tc>
          <w:tcPr>
            <w:tcW w:w="80" w:type="dxa"/>
            <w:vAlign w:val="bottom"/>
            <w:shd w:val="clear" w:color="auto" w:fill="F1EFEC"/>
          </w:tcPr>
          <w:p>
            <w:pPr>
              <w:spacing w:after="0"/>
              <w:rPr>
                <w:sz w:val="19"/>
                <w:szCs w:val="19"/>
                <w:color w:val="auto"/>
              </w:rPr>
            </w:pPr>
          </w:p>
        </w:tc>
        <w:tc>
          <w:tcPr>
            <w:tcW w:w="60" w:type="dxa"/>
            <w:vAlign w:val="bottom"/>
            <w:shd w:val="clear" w:color="auto" w:fill="F1EFEC"/>
          </w:tcPr>
          <w:p>
            <w:pPr>
              <w:spacing w:after="0"/>
              <w:rPr>
                <w:sz w:val="19"/>
                <w:szCs w:val="19"/>
                <w:color w:val="auto"/>
              </w:rPr>
            </w:pPr>
          </w:p>
        </w:tc>
        <w:tc>
          <w:tcPr>
            <w:tcW w:w="840" w:type="dxa"/>
            <w:vAlign w:val="bottom"/>
            <w:shd w:val="clear" w:color="auto" w:fill="F1EFEC"/>
          </w:tcPr>
          <w:p>
            <w:pPr>
              <w:spacing w:after="0"/>
              <w:rPr>
                <w:sz w:val="20"/>
                <w:szCs w:val="20"/>
                <w:color w:val="auto"/>
              </w:rPr>
            </w:pPr>
            <w:r>
              <w:rPr>
                <w:rFonts w:ascii="Arial" w:cs="Arial" w:eastAsia="Arial" w:hAnsi="Arial"/>
                <w:sz w:val="10"/>
                <w:szCs w:val="10"/>
                <w:color w:val="auto"/>
              </w:rPr>
              <w:t>Age</w:t>
            </w:r>
          </w:p>
        </w:tc>
        <w:tc>
          <w:tcPr>
            <w:tcW w:w="40" w:type="dxa"/>
            <w:vAlign w:val="bottom"/>
            <w:shd w:val="clear" w:color="auto" w:fill="F1EFEC"/>
          </w:tcPr>
          <w:p>
            <w:pPr>
              <w:spacing w:after="0"/>
              <w:rPr>
                <w:sz w:val="19"/>
                <w:szCs w:val="19"/>
                <w:color w:val="auto"/>
              </w:rPr>
            </w:pPr>
          </w:p>
        </w:tc>
        <w:tc>
          <w:tcPr>
            <w:tcW w:w="580" w:type="dxa"/>
            <w:vAlign w:val="bottom"/>
            <w:shd w:val="clear" w:color="auto" w:fill="F1EFEC"/>
          </w:tcPr>
          <w:p>
            <w:pPr>
              <w:spacing w:after="0"/>
              <w:rPr>
                <w:sz w:val="20"/>
                <w:szCs w:val="20"/>
                <w:color w:val="auto"/>
              </w:rPr>
            </w:pPr>
            <w:r>
              <w:rPr>
                <w:rFonts w:ascii="Arial" w:cs="Arial" w:eastAsia="Arial" w:hAnsi="Arial"/>
                <w:sz w:val="10"/>
                <w:szCs w:val="10"/>
                <w:color w:val="auto"/>
              </w:rPr>
              <w:t>76</w:t>
            </w:r>
          </w:p>
        </w:tc>
        <w:tc>
          <w:tcPr>
            <w:tcW w:w="820" w:type="dxa"/>
            <w:vAlign w:val="bottom"/>
            <w:shd w:val="clear" w:color="auto" w:fill="F1EFEC"/>
          </w:tcPr>
          <w:p>
            <w:pPr>
              <w:spacing w:after="0"/>
              <w:rPr>
                <w:sz w:val="19"/>
                <w:szCs w:val="19"/>
                <w:color w:val="auto"/>
              </w:rPr>
            </w:pPr>
          </w:p>
        </w:tc>
        <w:tc>
          <w:tcPr>
            <w:tcW w:w="120" w:type="dxa"/>
            <w:vAlign w:val="bottom"/>
            <w:shd w:val="clear" w:color="auto" w:fill="F1EFEC"/>
          </w:tcPr>
          <w:p>
            <w:pPr>
              <w:spacing w:after="0"/>
              <w:rPr>
                <w:sz w:val="19"/>
                <w:szCs w:val="19"/>
                <w:color w:val="auto"/>
              </w:rPr>
            </w:pPr>
          </w:p>
        </w:tc>
        <w:tc>
          <w:tcPr>
            <w:tcW w:w="6200" w:type="dxa"/>
            <w:vAlign w:val="bottom"/>
          </w:tcPr>
          <w:p>
            <w:pPr>
              <w:spacing w:after="0"/>
              <w:rPr>
                <w:sz w:val="19"/>
                <w:szCs w:val="19"/>
                <w:color w:val="auto"/>
              </w:rPr>
            </w:pPr>
          </w:p>
        </w:tc>
      </w:tr>
      <w:tr>
        <w:trPr>
          <w:trHeight w:val="97"/>
        </w:trPr>
        <w:tc>
          <w:tcPr>
            <w:tcW w:w="20" w:type="dxa"/>
            <w:vAlign w:val="bottom"/>
          </w:tcPr>
          <w:p>
            <w:pPr>
              <w:spacing w:after="0"/>
              <w:rPr>
                <w:sz w:val="8"/>
                <w:szCs w:val="8"/>
                <w:color w:val="auto"/>
              </w:rPr>
            </w:pPr>
          </w:p>
        </w:tc>
        <w:tc>
          <w:tcPr>
            <w:tcW w:w="80" w:type="dxa"/>
            <w:vAlign w:val="bottom"/>
            <w:tcBorders>
              <w:bottom w:val="single" w:sz="8" w:color="F1EFEC"/>
            </w:tcBorders>
            <w:shd w:val="clear" w:color="auto" w:fill="F1EFEC"/>
          </w:tcPr>
          <w:p>
            <w:pPr>
              <w:spacing w:after="0"/>
              <w:rPr>
                <w:sz w:val="8"/>
                <w:szCs w:val="8"/>
                <w:color w:val="auto"/>
              </w:rPr>
            </w:pPr>
          </w:p>
        </w:tc>
        <w:tc>
          <w:tcPr>
            <w:tcW w:w="60" w:type="dxa"/>
            <w:vAlign w:val="bottom"/>
            <w:tcBorders>
              <w:bottom w:val="single" w:sz="8" w:color="auto"/>
            </w:tcBorders>
            <w:shd w:val="clear" w:color="auto" w:fill="F1EFEC"/>
          </w:tcPr>
          <w:p>
            <w:pPr>
              <w:spacing w:after="0"/>
              <w:rPr>
                <w:sz w:val="8"/>
                <w:szCs w:val="8"/>
                <w:color w:val="auto"/>
              </w:rPr>
            </w:pPr>
          </w:p>
        </w:tc>
        <w:tc>
          <w:tcPr>
            <w:tcW w:w="840" w:type="dxa"/>
            <w:vAlign w:val="bottom"/>
            <w:tcBorders>
              <w:bottom w:val="single" w:sz="8" w:color="auto"/>
            </w:tcBorders>
            <w:shd w:val="clear" w:color="auto" w:fill="F1EFEC"/>
          </w:tcPr>
          <w:p>
            <w:pPr>
              <w:spacing w:after="0"/>
              <w:rPr>
                <w:sz w:val="8"/>
                <w:szCs w:val="8"/>
                <w:color w:val="auto"/>
              </w:rPr>
            </w:pPr>
          </w:p>
        </w:tc>
        <w:tc>
          <w:tcPr>
            <w:tcW w:w="1440" w:type="dxa"/>
            <w:vAlign w:val="bottom"/>
            <w:tcBorders>
              <w:bottom w:val="single" w:sz="8" w:color="auto"/>
            </w:tcBorders>
            <w:gridSpan w:val="3"/>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c>
          <w:tcPr>
            <w:tcW w:w="6200" w:type="dxa"/>
            <w:vAlign w:val="bottom"/>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80" w:type="dxa"/>
            <w:vAlign w:val="bottom"/>
            <w:shd w:val="clear" w:color="auto" w:fill="F1EFEC"/>
          </w:tcPr>
          <w:p>
            <w:pPr>
              <w:spacing w:after="0"/>
              <w:rPr>
                <w:sz w:val="12"/>
                <w:szCs w:val="12"/>
                <w:color w:val="auto"/>
              </w:rPr>
            </w:pPr>
          </w:p>
        </w:tc>
        <w:tc>
          <w:tcPr>
            <w:tcW w:w="60" w:type="dxa"/>
            <w:vAlign w:val="bottom"/>
            <w:shd w:val="clear" w:color="auto" w:fill="F1EFEC"/>
          </w:tcPr>
          <w:p>
            <w:pPr>
              <w:spacing w:after="0"/>
              <w:rPr>
                <w:sz w:val="12"/>
                <w:szCs w:val="12"/>
                <w:color w:val="auto"/>
              </w:rPr>
            </w:pPr>
          </w:p>
        </w:tc>
        <w:tc>
          <w:tcPr>
            <w:tcW w:w="840" w:type="dxa"/>
            <w:vAlign w:val="bottom"/>
            <w:shd w:val="clear" w:color="auto" w:fill="F1EFEC"/>
          </w:tcPr>
          <w:p>
            <w:pPr>
              <w:spacing w:after="0"/>
              <w:rPr>
                <w:sz w:val="20"/>
                <w:szCs w:val="20"/>
                <w:color w:val="auto"/>
              </w:rPr>
            </w:pPr>
            <w:r>
              <w:rPr>
                <w:rFonts w:ascii="Arial" w:cs="Arial" w:eastAsia="Arial" w:hAnsi="Arial"/>
                <w:sz w:val="10"/>
                <w:szCs w:val="10"/>
                <w:color w:val="auto"/>
                <w:w w:val="95"/>
              </w:rPr>
              <w:t>Board Committees:</w:t>
            </w:r>
          </w:p>
        </w:tc>
        <w:tc>
          <w:tcPr>
            <w:tcW w:w="1560" w:type="dxa"/>
            <w:vAlign w:val="bottom"/>
            <w:gridSpan w:val="4"/>
            <w:shd w:val="clear" w:color="auto" w:fill="F1EFEC"/>
          </w:tcPr>
          <w:p>
            <w:pPr>
              <w:ind w:left="40"/>
              <w:spacing w:after="0"/>
              <w:rPr>
                <w:sz w:val="20"/>
                <w:szCs w:val="20"/>
                <w:color w:val="auto"/>
              </w:rPr>
            </w:pPr>
            <w:r>
              <w:rPr>
                <w:rFonts w:ascii="Arial" w:cs="Arial" w:eastAsia="Arial" w:hAnsi="Arial"/>
                <w:sz w:val="10"/>
                <w:szCs w:val="10"/>
                <w:color w:val="auto"/>
              </w:rPr>
              <w:t>Nominating and Corporate</w:t>
            </w:r>
          </w:p>
        </w:tc>
        <w:tc>
          <w:tcPr>
            <w:tcW w:w="620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80" w:type="dxa"/>
            <w:vAlign w:val="bottom"/>
            <w:tcBorders>
              <w:bottom w:val="single" w:sz="8" w:color="F1EFEC"/>
            </w:tcBorders>
            <w:shd w:val="clear" w:color="auto" w:fill="F1EFEC"/>
          </w:tcPr>
          <w:p>
            <w:pPr>
              <w:spacing w:after="0"/>
              <w:rPr>
                <w:sz w:val="11"/>
                <w:szCs w:val="11"/>
                <w:color w:val="auto"/>
              </w:rPr>
            </w:pPr>
          </w:p>
        </w:tc>
        <w:tc>
          <w:tcPr>
            <w:tcW w:w="60" w:type="dxa"/>
            <w:vAlign w:val="bottom"/>
            <w:tcBorders>
              <w:bottom w:val="single" w:sz="8" w:color="F1EFEC"/>
            </w:tcBorders>
            <w:shd w:val="clear" w:color="auto" w:fill="F1EFEC"/>
          </w:tcPr>
          <w:p>
            <w:pPr>
              <w:spacing w:after="0"/>
              <w:rPr>
                <w:sz w:val="11"/>
                <w:szCs w:val="11"/>
                <w:color w:val="auto"/>
              </w:rPr>
            </w:pPr>
          </w:p>
        </w:tc>
        <w:tc>
          <w:tcPr>
            <w:tcW w:w="840" w:type="dxa"/>
            <w:vAlign w:val="bottom"/>
            <w:tcBorders>
              <w:bottom w:val="single" w:sz="8" w:color="F1EFEC"/>
            </w:tcBorders>
            <w:shd w:val="clear" w:color="auto" w:fill="F1EFEC"/>
          </w:tcPr>
          <w:p>
            <w:pPr>
              <w:spacing w:after="0"/>
              <w:rPr>
                <w:sz w:val="11"/>
                <w:szCs w:val="11"/>
                <w:color w:val="auto"/>
              </w:rPr>
            </w:pPr>
          </w:p>
        </w:tc>
        <w:tc>
          <w:tcPr>
            <w:tcW w:w="40" w:type="dxa"/>
            <w:vAlign w:val="bottom"/>
            <w:tcBorders>
              <w:bottom w:val="single" w:sz="8" w:color="F1EFEC"/>
            </w:tcBorders>
            <w:shd w:val="clear" w:color="auto" w:fill="F1EFEC"/>
          </w:tcPr>
          <w:p>
            <w:pPr>
              <w:spacing w:after="0"/>
              <w:rPr>
                <w:sz w:val="11"/>
                <w:szCs w:val="11"/>
                <w:color w:val="auto"/>
              </w:rPr>
            </w:pPr>
          </w:p>
        </w:tc>
        <w:tc>
          <w:tcPr>
            <w:tcW w:w="58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0"/>
                <w:szCs w:val="10"/>
                <w:color w:val="auto"/>
              </w:rPr>
              <w:t>Governance</w:t>
            </w:r>
          </w:p>
        </w:tc>
        <w:tc>
          <w:tcPr>
            <w:tcW w:w="820" w:type="dxa"/>
            <w:vAlign w:val="bottom"/>
            <w:tcBorders>
              <w:bottom w:val="single" w:sz="8" w:color="F1EFEC"/>
            </w:tcBorders>
            <w:shd w:val="clear" w:color="auto" w:fill="F1EFEC"/>
          </w:tcPr>
          <w:p>
            <w:pPr>
              <w:spacing w:after="0"/>
              <w:rPr>
                <w:sz w:val="11"/>
                <w:szCs w:val="11"/>
                <w:color w:val="auto"/>
              </w:rPr>
            </w:pPr>
          </w:p>
        </w:tc>
        <w:tc>
          <w:tcPr>
            <w:tcW w:w="120" w:type="dxa"/>
            <w:vAlign w:val="bottom"/>
            <w:tcBorders>
              <w:bottom w:val="single" w:sz="8" w:color="F1EFEC"/>
            </w:tcBorders>
            <w:shd w:val="clear" w:color="auto" w:fill="F1EFEC"/>
          </w:tcPr>
          <w:p>
            <w:pPr>
              <w:spacing w:after="0"/>
              <w:rPr>
                <w:sz w:val="11"/>
                <w:szCs w:val="11"/>
                <w:color w:val="auto"/>
              </w:rPr>
            </w:pPr>
          </w:p>
        </w:tc>
        <w:tc>
          <w:tcPr>
            <w:tcW w:w="6200" w:type="dxa"/>
            <w:vAlign w:val="bottom"/>
          </w:tcPr>
          <w:p>
            <w:pPr>
              <w:spacing w:after="0"/>
              <w:rPr>
                <w:sz w:val="11"/>
                <w:szCs w:val="11"/>
                <w:color w:val="auto"/>
              </w:rPr>
            </w:pPr>
          </w:p>
        </w:tc>
      </w:tr>
      <w:tr>
        <w:trPr>
          <w:trHeight w:val="315"/>
        </w:trPr>
        <w:tc>
          <w:tcPr>
            <w:tcW w:w="2560" w:type="dxa"/>
            <w:vAlign w:val="bottom"/>
            <w:gridSpan w:val="8"/>
          </w:tcPr>
          <w:p>
            <w:pPr>
              <w:spacing w:after="0"/>
              <w:rPr>
                <w:sz w:val="20"/>
                <w:szCs w:val="20"/>
                <w:color w:val="auto"/>
              </w:rPr>
            </w:pPr>
            <w:r>
              <w:rPr>
                <w:rFonts w:ascii="Arial" w:cs="Arial" w:eastAsia="Arial" w:hAnsi="Arial"/>
                <w:sz w:val="16"/>
                <w:szCs w:val="16"/>
                <w:color w:val="B9AFA0"/>
              </w:rPr>
              <w:t>SKILLS AND QUALIFICATIONS</w:t>
            </w:r>
          </w:p>
        </w:tc>
        <w:tc>
          <w:tcPr>
            <w:tcW w:w="62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020" w:type="dxa"/>
            <w:vAlign w:val="bottom"/>
            <w:gridSpan w:val="4"/>
            <w:shd w:val="clear" w:color="auto" w:fill="F1EFEC"/>
          </w:tcPr>
          <w:p>
            <w:pPr>
              <w:ind w:left="40"/>
              <w:spacing w:after="0"/>
              <w:rPr>
                <w:sz w:val="20"/>
                <w:szCs w:val="20"/>
                <w:color w:val="auto"/>
              </w:rPr>
            </w:pPr>
            <w:r>
              <w:rPr>
                <w:rFonts w:ascii="Arial" w:cs="Arial" w:eastAsia="Arial" w:hAnsi="Arial"/>
                <w:sz w:val="11"/>
                <w:szCs w:val="11"/>
                <w:color w:val="auto"/>
              </w:rPr>
              <w:t>Gaming or Other</w:t>
            </w:r>
          </w:p>
        </w:tc>
        <w:tc>
          <w:tcPr>
            <w:tcW w:w="580" w:type="dxa"/>
            <w:vAlign w:val="bottom"/>
            <w:shd w:val="clear" w:color="auto" w:fill="F1EFEC"/>
          </w:tcPr>
          <w:p>
            <w:pPr>
              <w:spacing w:after="0"/>
              <w:rPr>
                <w:sz w:val="15"/>
                <w:szCs w:val="15"/>
                <w:color w:val="auto"/>
              </w:rPr>
            </w:pPr>
          </w:p>
        </w:tc>
        <w:tc>
          <w:tcPr>
            <w:tcW w:w="7140" w:type="dxa"/>
            <w:vAlign w:val="bottom"/>
            <w:gridSpan w:val="3"/>
            <w:shd w:val="clear" w:color="auto" w:fill="F1EFEC"/>
          </w:tcPr>
          <w:p>
            <w:pPr>
              <w:ind w:left="80"/>
              <w:spacing w:after="0"/>
              <w:rPr>
                <w:sz w:val="20"/>
                <w:szCs w:val="20"/>
                <w:color w:val="auto"/>
              </w:rPr>
            </w:pPr>
            <w:r>
              <w:rPr>
                <w:rFonts w:ascii="Arial" w:cs="Arial" w:eastAsia="Arial" w:hAnsi="Arial"/>
                <w:sz w:val="11"/>
                <w:szCs w:val="11"/>
                <w:color w:val="auto"/>
              </w:rPr>
              <w:t>Harrah’s Entertainment, the publicly traded company where Mr. Satre served as CEO and Chair of the Board, and IGT, a publicly traded</w:t>
            </w:r>
          </w:p>
        </w:tc>
      </w:tr>
      <w:tr>
        <w:trPr>
          <w:trHeight w:val="129"/>
        </w:trPr>
        <w:tc>
          <w:tcPr>
            <w:tcW w:w="20" w:type="dxa"/>
            <w:vAlign w:val="bottom"/>
          </w:tcPr>
          <w:p>
            <w:pPr>
              <w:spacing w:after="0"/>
              <w:rPr>
                <w:sz w:val="11"/>
                <w:szCs w:val="11"/>
                <w:color w:val="auto"/>
              </w:rPr>
            </w:pPr>
          </w:p>
        </w:tc>
        <w:tc>
          <w:tcPr>
            <w:tcW w:w="1020" w:type="dxa"/>
            <w:vAlign w:val="bottom"/>
            <w:gridSpan w:val="4"/>
            <w:shd w:val="clear" w:color="auto" w:fill="F1EFEC"/>
          </w:tcPr>
          <w:p>
            <w:pPr>
              <w:ind w:left="40"/>
              <w:spacing w:after="0"/>
              <w:rPr>
                <w:sz w:val="20"/>
                <w:szCs w:val="20"/>
                <w:color w:val="auto"/>
              </w:rPr>
            </w:pPr>
            <w:r>
              <w:rPr>
                <w:rFonts w:ascii="Arial" w:cs="Arial" w:eastAsia="Arial" w:hAnsi="Arial"/>
                <w:sz w:val="11"/>
                <w:szCs w:val="11"/>
                <w:color w:val="auto"/>
              </w:rPr>
              <w:t>Regulated Industry</w:t>
            </w:r>
          </w:p>
        </w:tc>
        <w:tc>
          <w:tcPr>
            <w:tcW w:w="580" w:type="dxa"/>
            <w:vAlign w:val="bottom"/>
            <w:shd w:val="clear" w:color="auto" w:fill="F1EFEC"/>
          </w:tcPr>
          <w:p>
            <w:pPr>
              <w:spacing w:after="0"/>
              <w:rPr>
                <w:sz w:val="11"/>
                <w:szCs w:val="11"/>
                <w:color w:val="auto"/>
              </w:rPr>
            </w:pPr>
          </w:p>
        </w:tc>
        <w:tc>
          <w:tcPr>
            <w:tcW w:w="7140" w:type="dxa"/>
            <w:vAlign w:val="bottom"/>
            <w:gridSpan w:val="3"/>
            <w:shd w:val="clear" w:color="auto" w:fill="F1EFEC"/>
          </w:tcPr>
          <w:p>
            <w:pPr>
              <w:ind w:left="80"/>
              <w:spacing w:after="0"/>
              <w:rPr>
                <w:sz w:val="20"/>
                <w:szCs w:val="20"/>
                <w:color w:val="auto"/>
              </w:rPr>
            </w:pPr>
            <w:r>
              <w:rPr>
                <w:rFonts w:ascii="Arial" w:cs="Arial" w:eastAsia="Arial" w:hAnsi="Arial"/>
                <w:sz w:val="11"/>
                <w:szCs w:val="11"/>
                <w:color w:val="auto"/>
              </w:rPr>
              <w:t>gaming equipment manufacturer where he served as non-executive Chair of the Board, are regulated by the SEC and by the gaming</w:t>
            </w:r>
          </w:p>
        </w:tc>
      </w:tr>
      <w:tr>
        <w:trPr>
          <w:trHeight w:val="129"/>
        </w:trPr>
        <w:tc>
          <w:tcPr>
            <w:tcW w:w="20" w:type="dxa"/>
            <w:vAlign w:val="bottom"/>
          </w:tcPr>
          <w:p>
            <w:pPr>
              <w:spacing w:after="0"/>
              <w:rPr>
                <w:sz w:val="11"/>
                <w:szCs w:val="11"/>
                <w:color w:val="auto"/>
              </w:rPr>
            </w:pPr>
          </w:p>
        </w:tc>
        <w:tc>
          <w:tcPr>
            <w:tcW w:w="80" w:type="dxa"/>
            <w:vAlign w:val="bottom"/>
            <w:shd w:val="clear" w:color="auto" w:fill="F1EFEC"/>
          </w:tcPr>
          <w:p>
            <w:pPr>
              <w:spacing w:after="0"/>
              <w:rPr>
                <w:sz w:val="11"/>
                <w:szCs w:val="11"/>
                <w:color w:val="auto"/>
              </w:rPr>
            </w:pPr>
          </w:p>
        </w:tc>
        <w:tc>
          <w:tcPr>
            <w:tcW w:w="60" w:type="dxa"/>
            <w:vAlign w:val="bottom"/>
            <w:shd w:val="clear" w:color="auto" w:fill="F1EFEC"/>
          </w:tcPr>
          <w:p>
            <w:pPr>
              <w:spacing w:after="0"/>
              <w:rPr>
                <w:sz w:val="11"/>
                <w:szCs w:val="11"/>
                <w:color w:val="auto"/>
              </w:rPr>
            </w:pPr>
          </w:p>
        </w:tc>
        <w:tc>
          <w:tcPr>
            <w:tcW w:w="840" w:type="dxa"/>
            <w:vAlign w:val="bottom"/>
            <w:shd w:val="clear" w:color="auto" w:fill="F1EFEC"/>
          </w:tcPr>
          <w:p>
            <w:pPr>
              <w:spacing w:after="0"/>
              <w:rPr>
                <w:sz w:val="11"/>
                <w:szCs w:val="11"/>
                <w:color w:val="auto"/>
              </w:rPr>
            </w:pPr>
          </w:p>
        </w:tc>
        <w:tc>
          <w:tcPr>
            <w:tcW w:w="40" w:type="dxa"/>
            <w:vAlign w:val="bottom"/>
            <w:shd w:val="clear" w:color="auto" w:fill="F1EFEC"/>
          </w:tcPr>
          <w:p>
            <w:pPr>
              <w:spacing w:after="0"/>
              <w:rPr>
                <w:sz w:val="11"/>
                <w:szCs w:val="11"/>
                <w:color w:val="auto"/>
              </w:rPr>
            </w:pPr>
          </w:p>
        </w:tc>
        <w:tc>
          <w:tcPr>
            <w:tcW w:w="580" w:type="dxa"/>
            <w:vAlign w:val="bottom"/>
            <w:shd w:val="clear" w:color="auto" w:fill="F1EFEC"/>
          </w:tcPr>
          <w:p>
            <w:pPr>
              <w:spacing w:after="0"/>
              <w:rPr>
                <w:sz w:val="11"/>
                <w:szCs w:val="11"/>
                <w:color w:val="auto"/>
              </w:rPr>
            </w:pPr>
          </w:p>
        </w:tc>
        <w:tc>
          <w:tcPr>
            <w:tcW w:w="7140" w:type="dxa"/>
            <w:vAlign w:val="bottom"/>
            <w:gridSpan w:val="3"/>
            <w:shd w:val="clear" w:color="auto" w:fill="F1EFEC"/>
          </w:tcPr>
          <w:p>
            <w:pPr>
              <w:ind w:left="80"/>
              <w:spacing w:after="0"/>
              <w:rPr>
                <w:sz w:val="20"/>
                <w:szCs w:val="20"/>
                <w:color w:val="auto"/>
              </w:rPr>
            </w:pPr>
            <w:r>
              <w:rPr>
                <w:rFonts w:ascii="Arial" w:cs="Arial" w:eastAsia="Arial" w:hAnsi="Arial"/>
                <w:sz w:val="11"/>
                <w:szCs w:val="11"/>
                <w:color w:val="auto"/>
              </w:rPr>
              <w:t>regulatory agencies in the 28 jurisdictions in which Harrah’s operated casinos at the time of his retirement and the over-250 jurisdictions in</w:t>
            </w:r>
          </w:p>
        </w:tc>
      </w:tr>
      <w:tr>
        <w:trPr>
          <w:trHeight w:val="156"/>
        </w:trPr>
        <w:tc>
          <w:tcPr>
            <w:tcW w:w="20" w:type="dxa"/>
            <w:vAlign w:val="bottom"/>
          </w:tcPr>
          <w:p>
            <w:pPr>
              <w:spacing w:after="0"/>
              <w:rPr>
                <w:sz w:val="13"/>
                <w:szCs w:val="13"/>
                <w:color w:val="auto"/>
              </w:rPr>
            </w:pPr>
          </w:p>
        </w:tc>
        <w:tc>
          <w:tcPr>
            <w:tcW w:w="80" w:type="dxa"/>
            <w:vAlign w:val="bottom"/>
            <w:shd w:val="clear" w:color="auto" w:fill="F1EFEC"/>
          </w:tcPr>
          <w:p>
            <w:pPr>
              <w:spacing w:after="0"/>
              <w:rPr>
                <w:sz w:val="13"/>
                <w:szCs w:val="13"/>
                <w:color w:val="auto"/>
              </w:rPr>
            </w:pPr>
          </w:p>
        </w:tc>
        <w:tc>
          <w:tcPr>
            <w:tcW w:w="60" w:type="dxa"/>
            <w:vAlign w:val="bottom"/>
            <w:shd w:val="clear" w:color="auto" w:fill="F1EFEC"/>
          </w:tcPr>
          <w:p>
            <w:pPr>
              <w:spacing w:after="0"/>
              <w:rPr>
                <w:sz w:val="13"/>
                <w:szCs w:val="13"/>
                <w:color w:val="auto"/>
              </w:rPr>
            </w:pPr>
          </w:p>
        </w:tc>
        <w:tc>
          <w:tcPr>
            <w:tcW w:w="840" w:type="dxa"/>
            <w:vAlign w:val="bottom"/>
            <w:shd w:val="clear" w:color="auto" w:fill="F1EFEC"/>
          </w:tcPr>
          <w:p>
            <w:pPr>
              <w:spacing w:after="0"/>
              <w:rPr>
                <w:sz w:val="13"/>
                <w:szCs w:val="13"/>
                <w:color w:val="auto"/>
              </w:rPr>
            </w:pPr>
          </w:p>
        </w:tc>
        <w:tc>
          <w:tcPr>
            <w:tcW w:w="40" w:type="dxa"/>
            <w:vAlign w:val="bottom"/>
            <w:shd w:val="clear" w:color="auto" w:fill="F1EFEC"/>
          </w:tcPr>
          <w:p>
            <w:pPr>
              <w:spacing w:after="0"/>
              <w:rPr>
                <w:sz w:val="13"/>
                <w:szCs w:val="13"/>
                <w:color w:val="auto"/>
              </w:rPr>
            </w:pPr>
          </w:p>
        </w:tc>
        <w:tc>
          <w:tcPr>
            <w:tcW w:w="580" w:type="dxa"/>
            <w:vAlign w:val="bottom"/>
            <w:shd w:val="clear" w:color="auto" w:fill="F1EFEC"/>
          </w:tcPr>
          <w:p>
            <w:pPr>
              <w:spacing w:after="0"/>
              <w:rPr>
                <w:sz w:val="13"/>
                <w:szCs w:val="13"/>
                <w:color w:val="auto"/>
              </w:rPr>
            </w:pPr>
          </w:p>
        </w:tc>
        <w:tc>
          <w:tcPr>
            <w:tcW w:w="7140" w:type="dxa"/>
            <w:vAlign w:val="bottom"/>
            <w:gridSpan w:val="3"/>
            <w:shd w:val="clear" w:color="auto" w:fill="F1EFEC"/>
          </w:tcPr>
          <w:p>
            <w:pPr>
              <w:ind w:left="80"/>
              <w:spacing w:after="0"/>
              <w:rPr>
                <w:sz w:val="20"/>
                <w:szCs w:val="20"/>
                <w:color w:val="auto"/>
              </w:rPr>
            </w:pPr>
            <w:r>
              <w:rPr>
                <w:rFonts w:ascii="Arial" w:cs="Arial" w:eastAsia="Arial" w:hAnsi="Arial"/>
                <w:sz w:val="11"/>
                <w:szCs w:val="11"/>
                <w:color w:val="auto"/>
              </w:rPr>
              <w:t>which IGT was licensed to manufacture gaming equipment.</w:t>
            </w:r>
          </w:p>
        </w:tc>
      </w:tr>
      <w:tr>
        <w:trPr>
          <w:trHeight w:val="176"/>
        </w:trPr>
        <w:tc>
          <w:tcPr>
            <w:tcW w:w="2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Arial" w:cs="Arial" w:eastAsia="Arial" w:hAnsi="Arial"/>
                <w:sz w:val="11"/>
                <w:szCs w:val="11"/>
                <w:color w:val="auto"/>
              </w:rPr>
              <w:t>Travel, Leisure,</w:t>
            </w:r>
          </w:p>
        </w:tc>
        <w:tc>
          <w:tcPr>
            <w:tcW w:w="580" w:type="dxa"/>
            <w:vAlign w:val="bottom"/>
          </w:tcPr>
          <w:p>
            <w:pPr>
              <w:spacing w:after="0"/>
              <w:rPr>
                <w:sz w:val="15"/>
                <w:szCs w:val="15"/>
                <w:color w:val="auto"/>
              </w:rPr>
            </w:pPr>
          </w:p>
        </w:tc>
        <w:tc>
          <w:tcPr>
            <w:tcW w:w="7140" w:type="dxa"/>
            <w:vAlign w:val="bottom"/>
            <w:gridSpan w:val="3"/>
          </w:tcPr>
          <w:p>
            <w:pPr>
              <w:ind w:left="80"/>
              <w:spacing w:after="0"/>
              <w:rPr>
                <w:sz w:val="20"/>
                <w:szCs w:val="20"/>
                <w:color w:val="auto"/>
              </w:rPr>
            </w:pPr>
            <w:r>
              <w:rPr>
                <w:rFonts w:ascii="Arial" w:cs="Arial" w:eastAsia="Arial" w:hAnsi="Arial"/>
                <w:sz w:val="11"/>
                <w:szCs w:val="11"/>
                <w:color w:val="auto"/>
              </w:rPr>
              <w:t>Mr. Satre was with Harrah’s Entertainment for 25 years, serving ultimately as CEO and Chair of the Board.</w:t>
            </w:r>
          </w:p>
        </w:tc>
      </w:tr>
      <w:tr>
        <w:trPr>
          <w:trHeight w:val="129"/>
        </w:trPr>
        <w:tc>
          <w:tcPr>
            <w:tcW w:w="20" w:type="dxa"/>
            <w:vAlign w:val="bottom"/>
          </w:tcPr>
          <w:p>
            <w:pPr>
              <w:spacing w:after="0"/>
              <w:rPr>
                <w:sz w:val="11"/>
                <w:szCs w:val="11"/>
                <w:color w:val="auto"/>
              </w:rPr>
            </w:pPr>
          </w:p>
        </w:tc>
        <w:tc>
          <w:tcPr>
            <w:tcW w:w="1020" w:type="dxa"/>
            <w:vAlign w:val="bottom"/>
            <w:gridSpan w:val="4"/>
          </w:tcPr>
          <w:p>
            <w:pPr>
              <w:ind w:left="40"/>
              <w:spacing w:after="0"/>
              <w:rPr>
                <w:sz w:val="20"/>
                <w:szCs w:val="20"/>
                <w:color w:val="auto"/>
              </w:rPr>
            </w:pPr>
            <w:r>
              <w:rPr>
                <w:rFonts w:ascii="Arial" w:cs="Arial" w:eastAsia="Arial" w:hAnsi="Arial"/>
                <w:sz w:val="11"/>
                <w:szCs w:val="11"/>
                <w:color w:val="auto"/>
              </w:rPr>
              <w:t>Hospitality &amp;</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0" w:type="dxa"/>
            <w:vAlign w:val="bottom"/>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1020" w:type="dxa"/>
            <w:vAlign w:val="bottom"/>
            <w:gridSpan w:val="4"/>
          </w:tcPr>
          <w:p>
            <w:pPr>
              <w:ind w:left="40"/>
              <w:spacing w:after="0"/>
              <w:rPr>
                <w:sz w:val="20"/>
                <w:szCs w:val="20"/>
                <w:color w:val="auto"/>
              </w:rPr>
            </w:pPr>
            <w:r>
              <w:rPr>
                <w:rFonts w:ascii="Arial" w:cs="Arial" w:eastAsia="Arial" w:hAnsi="Arial"/>
                <w:sz w:val="11"/>
                <w:szCs w:val="11"/>
                <w:color w:val="auto"/>
              </w:rPr>
              <w:t>Entertainment</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1600" w:type="dxa"/>
            <w:vAlign w:val="bottom"/>
            <w:gridSpan w:val="5"/>
            <w:shd w:val="clear" w:color="auto" w:fill="F1EFEC"/>
          </w:tcPr>
          <w:p>
            <w:pPr>
              <w:ind w:left="40"/>
              <w:spacing w:after="0"/>
              <w:rPr>
                <w:sz w:val="20"/>
                <w:szCs w:val="20"/>
                <w:color w:val="auto"/>
              </w:rPr>
            </w:pPr>
            <w:r>
              <w:rPr>
                <w:rFonts w:ascii="Arial" w:cs="Arial" w:eastAsia="Arial" w:hAnsi="Arial"/>
                <w:sz w:val="11"/>
                <w:szCs w:val="11"/>
                <w:color w:val="auto"/>
              </w:rPr>
              <w:t>Executive Leadership</w:t>
            </w:r>
          </w:p>
        </w:tc>
        <w:tc>
          <w:tcPr>
            <w:tcW w:w="7140" w:type="dxa"/>
            <w:vAlign w:val="bottom"/>
            <w:gridSpan w:val="3"/>
            <w:shd w:val="clear" w:color="auto" w:fill="F1EFEC"/>
          </w:tcPr>
          <w:p>
            <w:pPr>
              <w:ind w:left="80"/>
              <w:spacing w:after="0"/>
              <w:rPr>
                <w:sz w:val="20"/>
                <w:szCs w:val="20"/>
                <w:color w:val="auto"/>
              </w:rPr>
            </w:pPr>
            <w:r>
              <w:rPr>
                <w:rFonts w:ascii="Arial" w:cs="Arial" w:eastAsia="Arial" w:hAnsi="Arial"/>
                <w:sz w:val="11"/>
                <w:szCs w:val="11"/>
                <w:color w:val="auto"/>
              </w:rPr>
              <w:t>Mr. Satre was with Harrah’s Entertainment for 25 years, serving ultimately as CEO and Chair of the Board.</w:t>
            </w:r>
          </w:p>
        </w:tc>
      </w:tr>
      <w:tr>
        <w:trPr>
          <w:trHeight w:val="176"/>
        </w:trPr>
        <w:tc>
          <w:tcPr>
            <w:tcW w:w="20" w:type="dxa"/>
            <w:vAlign w:val="bottom"/>
          </w:tcPr>
          <w:p>
            <w:pPr>
              <w:spacing w:after="0"/>
              <w:rPr>
                <w:sz w:val="15"/>
                <w:szCs w:val="15"/>
                <w:color w:val="auto"/>
              </w:rPr>
            </w:pPr>
          </w:p>
        </w:tc>
        <w:tc>
          <w:tcPr>
            <w:tcW w:w="1600" w:type="dxa"/>
            <w:vAlign w:val="bottom"/>
            <w:gridSpan w:val="5"/>
          </w:tcPr>
          <w:p>
            <w:pPr>
              <w:ind w:left="40"/>
              <w:spacing w:after="0"/>
              <w:rPr>
                <w:sz w:val="20"/>
                <w:szCs w:val="20"/>
                <w:color w:val="auto"/>
              </w:rPr>
            </w:pPr>
            <w:r>
              <w:rPr>
                <w:rFonts w:ascii="Arial" w:cs="Arial" w:eastAsia="Arial" w:hAnsi="Arial"/>
                <w:sz w:val="11"/>
                <w:szCs w:val="11"/>
                <w:color w:val="auto"/>
              </w:rPr>
              <w:t>Outside Public Boards</w:t>
            </w:r>
          </w:p>
        </w:tc>
        <w:tc>
          <w:tcPr>
            <w:tcW w:w="7140" w:type="dxa"/>
            <w:vAlign w:val="bottom"/>
            <w:gridSpan w:val="3"/>
          </w:tcPr>
          <w:p>
            <w:pPr>
              <w:ind w:left="80"/>
              <w:spacing w:after="0"/>
              <w:rPr>
                <w:sz w:val="20"/>
                <w:szCs w:val="20"/>
                <w:color w:val="auto"/>
              </w:rPr>
            </w:pPr>
            <w:r>
              <w:rPr>
                <w:rFonts w:ascii="Arial" w:cs="Arial" w:eastAsia="Arial" w:hAnsi="Arial"/>
                <w:sz w:val="11"/>
                <w:szCs w:val="11"/>
                <w:color w:val="auto"/>
              </w:rPr>
              <w:t>Mr. Satre has served on the boards of Harrah’s Entertainment, Inc., IGT, Nordstrom, Inc., NV Energy, Rite Aid Corporation and Tabcorp</w:t>
            </w: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140" w:type="dxa"/>
            <w:vAlign w:val="bottom"/>
            <w:gridSpan w:val="3"/>
          </w:tcPr>
          <w:p>
            <w:pPr>
              <w:ind w:left="80"/>
              <w:spacing w:after="0"/>
              <w:rPr>
                <w:sz w:val="20"/>
                <w:szCs w:val="20"/>
                <w:color w:val="auto"/>
              </w:rPr>
            </w:pPr>
            <w:r>
              <w:rPr>
                <w:rFonts w:ascii="Arial" w:cs="Arial" w:eastAsia="Arial" w:hAnsi="Arial"/>
                <w:sz w:val="11"/>
                <w:szCs w:val="11"/>
                <w:color w:val="auto"/>
              </w:rPr>
              <w:t>Holdings Ltd. (Australia).</w:t>
            </w:r>
          </w:p>
        </w:tc>
      </w:tr>
      <w:tr>
        <w:trPr>
          <w:trHeight w:val="180"/>
        </w:trPr>
        <w:tc>
          <w:tcPr>
            <w:tcW w:w="20" w:type="dxa"/>
            <w:vAlign w:val="bottom"/>
          </w:tcPr>
          <w:p>
            <w:pPr>
              <w:spacing w:after="0"/>
              <w:rPr>
                <w:sz w:val="15"/>
                <w:szCs w:val="15"/>
                <w:color w:val="auto"/>
              </w:rPr>
            </w:pPr>
          </w:p>
        </w:tc>
        <w:tc>
          <w:tcPr>
            <w:tcW w:w="1600" w:type="dxa"/>
            <w:vAlign w:val="bottom"/>
            <w:gridSpan w:val="5"/>
            <w:shd w:val="clear" w:color="auto" w:fill="F1EFEC"/>
          </w:tcPr>
          <w:p>
            <w:pPr>
              <w:ind w:left="40"/>
              <w:spacing w:after="0"/>
              <w:rPr>
                <w:sz w:val="20"/>
                <w:szCs w:val="20"/>
                <w:color w:val="auto"/>
              </w:rPr>
            </w:pPr>
            <w:r>
              <w:rPr>
                <w:rFonts w:ascii="Arial" w:cs="Arial" w:eastAsia="Arial" w:hAnsi="Arial"/>
                <w:sz w:val="11"/>
                <w:szCs w:val="11"/>
                <w:color w:val="auto"/>
              </w:rPr>
              <w:t>Finance &amp; Accounting</w:t>
            </w:r>
          </w:p>
        </w:tc>
        <w:tc>
          <w:tcPr>
            <w:tcW w:w="7140" w:type="dxa"/>
            <w:vAlign w:val="bottom"/>
            <w:gridSpan w:val="3"/>
            <w:shd w:val="clear" w:color="auto" w:fill="F1EFEC"/>
          </w:tcPr>
          <w:p>
            <w:pPr>
              <w:ind w:left="80"/>
              <w:spacing w:after="0"/>
              <w:rPr>
                <w:sz w:val="20"/>
                <w:szCs w:val="20"/>
                <w:color w:val="auto"/>
              </w:rPr>
            </w:pPr>
            <w:r>
              <w:rPr>
                <w:rFonts w:ascii="Arial" w:cs="Arial" w:eastAsia="Arial" w:hAnsi="Arial"/>
                <w:sz w:val="11"/>
                <w:szCs w:val="11"/>
                <w:color w:val="auto"/>
              </w:rPr>
              <w:t>Mr. Satre led all financing efforts at Harrah’s Entertainment, including the successful acquisitions of numerous companies, all while</w:t>
            </w:r>
          </w:p>
        </w:tc>
      </w:tr>
      <w:tr>
        <w:trPr>
          <w:trHeight w:val="156"/>
        </w:trPr>
        <w:tc>
          <w:tcPr>
            <w:tcW w:w="20" w:type="dxa"/>
            <w:vAlign w:val="bottom"/>
          </w:tcPr>
          <w:p>
            <w:pPr>
              <w:spacing w:after="0"/>
              <w:rPr>
                <w:sz w:val="13"/>
                <w:szCs w:val="13"/>
                <w:color w:val="auto"/>
              </w:rPr>
            </w:pPr>
          </w:p>
        </w:tc>
        <w:tc>
          <w:tcPr>
            <w:tcW w:w="80" w:type="dxa"/>
            <w:vAlign w:val="bottom"/>
            <w:shd w:val="clear" w:color="auto" w:fill="F1EFEC"/>
          </w:tcPr>
          <w:p>
            <w:pPr>
              <w:spacing w:after="0"/>
              <w:rPr>
                <w:sz w:val="13"/>
                <w:szCs w:val="13"/>
                <w:color w:val="auto"/>
              </w:rPr>
            </w:pPr>
          </w:p>
        </w:tc>
        <w:tc>
          <w:tcPr>
            <w:tcW w:w="60" w:type="dxa"/>
            <w:vAlign w:val="bottom"/>
            <w:shd w:val="clear" w:color="auto" w:fill="F1EFEC"/>
          </w:tcPr>
          <w:p>
            <w:pPr>
              <w:spacing w:after="0"/>
              <w:rPr>
                <w:sz w:val="13"/>
                <w:szCs w:val="13"/>
                <w:color w:val="auto"/>
              </w:rPr>
            </w:pPr>
          </w:p>
        </w:tc>
        <w:tc>
          <w:tcPr>
            <w:tcW w:w="840" w:type="dxa"/>
            <w:vAlign w:val="bottom"/>
            <w:shd w:val="clear" w:color="auto" w:fill="F1EFEC"/>
          </w:tcPr>
          <w:p>
            <w:pPr>
              <w:spacing w:after="0"/>
              <w:rPr>
                <w:sz w:val="13"/>
                <w:szCs w:val="13"/>
                <w:color w:val="auto"/>
              </w:rPr>
            </w:pPr>
          </w:p>
        </w:tc>
        <w:tc>
          <w:tcPr>
            <w:tcW w:w="40" w:type="dxa"/>
            <w:vAlign w:val="bottom"/>
            <w:shd w:val="clear" w:color="auto" w:fill="F1EFEC"/>
          </w:tcPr>
          <w:p>
            <w:pPr>
              <w:spacing w:after="0"/>
              <w:rPr>
                <w:sz w:val="13"/>
                <w:szCs w:val="13"/>
                <w:color w:val="auto"/>
              </w:rPr>
            </w:pPr>
          </w:p>
        </w:tc>
        <w:tc>
          <w:tcPr>
            <w:tcW w:w="580" w:type="dxa"/>
            <w:vAlign w:val="bottom"/>
            <w:shd w:val="clear" w:color="auto" w:fill="F1EFEC"/>
          </w:tcPr>
          <w:p>
            <w:pPr>
              <w:spacing w:after="0"/>
              <w:rPr>
                <w:sz w:val="13"/>
                <w:szCs w:val="13"/>
                <w:color w:val="auto"/>
              </w:rPr>
            </w:pPr>
          </w:p>
        </w:tc>
        <w:tc>
          <w:tcPr>
            <w:tcW w:w="7140" w:type="dxa"/>
            <w:vAlign w:val="bottom"/>
            <w:gridSpan w:val="3"/>
            <w:shd w:val="clear" w:color="auto" w:fill="F1EFEC"/>
          </w:tcPr>
          <w:p>
            <w:pPr>
              <w:ind w:left="80"/>
              <w:spacing w:after="0"/>
              <w:rPr>
                <w:sz w:val="20"/>
                <w:szCs w:val="20"/>
                <w:color w:val="auto"/>
              </w:rPr>
            </w:pPr>
            <w:r>
              <w:rPr>
                <w:rFonts w:ascii="Arial" w:cs="Arial" w:eastAsia="Arial" w:hAnsi="Arial"/>
                <w:sz w:val="11"/>
                <w:szCs w:val="11"/>
                <w:color w:val="auto"/>
              </w:rPr>
              <w:t>maintaining a strong balance sheet. Mr. Satre built Harrah’s Entertainment into a Fortune 500 company.</w:t>
            </w:r>
          </w:p>
        </w:tc>
      </w:tr>
      <w:tr>
        <w:trPr>
          <w:trHeight w:val="176"/>
        </w:trPr>
        <w:tc>
          <w:tcPr>
            <w:tcW w:w="20" w:type="dxa"/>
            <w:vAlign w:val="bottom"/>
          </w:tcPr>
          <w:p>
            <w:pPr>
              <w:spacing w:after="0"/>
              <w:rPr>
                <w:sz w:val="15"/>
                <w:szCs w:val="15"/>
                <w:color w:val="auto"/>
              </w:rPr>
            </w:pPr>
          </w:p>
        </w:tc>
        <w:tc>
          <w:tcPr>
            <w:tcW w:w="1600" w:type="dxa"/>
            <w:vAlign w:val="bottom"/>
            <w:gridSpan w:val="5"/>
          </w:tcPr>
          <w:p>
            <w:pPr>
              <w:ind w:left="40"/>
              <w:spacing w:after="0"/>
              <w:rPr>
                <w:sz w:val="20"/>
                <w:szCs w:val="20"/>
                <w:color w:val="auto"/>
              </w:rPr>
            </w:pPr>
            <w:r>
              <w:rPr>
                <w:rFonts w:ascii="Arial" w:cs="Arial" w:eastAsia="Arial" w:hAnsi="Arial"/>
                <w:sz w:val="11"/>
                <w:szCs w:val="11"/>
                <w:color w:val="auto"/>
              </w:rPr>
              <w:t>Real Estate &amp; Project</w:t>
            </w:r>
          </w:p>
        </w:tc>
        <w:tc>
          <w:tcPr>
            <w:tcW w:w="7140" w:type="dxa"/>
            <w:vAlign w:val="bottom"/>
            <w:gridSpan w:val="3"/>
          </w:tcPr>
          <w:p>
            <w:pPr>
              <w:ind w:left="80"/>
              <w:spacing w:after="0"/>
              <w:rPr>
                <w:sz w:val="20"/>
                <w:szCs w:val="20"/>
                <w:color w:val="auto"/>
              </w:rPr>
            </w:pPr>
            <w:r>
              <w:rPr>
                <w:rFonts w:ascii="Arial" w:cs="Arial" w:eastAsia="Arial" w:hAnsi="Arial"/>
                <w:sz w:val="11"/>
                <w:szCs w:val="11"/>
                <w:color w:val="auto"/>
              </w:rPr>
              <w:t>Mr. Satre led the transformation of Harrah’s Entertainment from a small regional company with four casinos to one with 28 casinos</w:t>
            </w:r>
          </w:p>
        </w:tc>
      </w:tr>
      <w:tr>
        <w:trPr>
          <w:trHeight w:val="150"/>
        </w:trPr>
        <w:tc>
          <w:tcPr>
            <w:tcW w:w="20" w:type="dxa"/>
            <w:vAlign w:val="bottom"/>
          </w:tcPr>
          <w:p>
            <w:pPr>
              <w:spacing w:after="0"/>
              <w:rPr>
                <w:sz w:val="13"/>
                <w:szCs w:val="13"/>
                <w:color w:val="auto"/>
              </w:rPr>
            </w:pPr>
          </w:p>
        </w:tc>
        <w:tc>
          <w:tcPr>
            <w:tcW w:w="1020" w:type="dxa"/>
            <w:vAlign w:val="bottom"/>
            <w:gridSpan w:val="4"/>
          </w:tcPr>
          <w:p>
            <w:pPr>
              <w:ind w:left="40"/>
              <w:spacing w:after="0"/>
              <w:rPr>
                <w:sz w:val="20"/>
                <w:szCs w:val="20"/>
                <w:color w:val="auto"/>
              </w:rPr>
            </w:pPr>
            <w:r>
              <w:rPr>
                <w:rFonts w:ascii="Arial" w:cs="Arial" w:eastAsia="Arial" w:hAnsi="Arial"/>
                <w:sz w:val="11"/>
                <w:szCs w:val="11"/>
                <w:color w:val="auto"/>
              </w:rPr>
              <w:t>Construction</w:t>
            </w:r>
          </w:p>
        </w:tc>
        <w:tc>
          <w:tcPr>
            <w:tcW w:w="580" w:type="dxa"/>
            <w:vAlign w:val="bottom"/>
          </w:tcPr>
          <w:p>
            <w:pPr>
              <w:spacing w:after="0"/>
              <w:rPr>
                <w:sz w:val="13"/>
                <w:szCs w:val="13"/>
                <w:color w:val="auto"/>
              </w:rPr>
            </w:pPr>
          </w:p>
        </w:tc>
        <w:tc>
          <w:tcPr>
            <w:tcW w:w="7140" w:type="dxa"/>
            <w:vAlign w:val="bottom"/>
            <w:gridSpan w:val="3"/>
          </w:tcPr>
          <w:p>
            <w:pPr>
              <w:ind w:left="80"/>
              <w:spacing w:after="0"/>
              <w:rPr>
                <w:sz w:val="20"/>
                <w:szCs w:val="20"/>
                <w:color w:val="auto"/>
              </w:rPr>
            </w:pPr>
            <w:r>
              <w:rPr>
                <w:rFonts w:ascii="Arial" w:cs="Arial" w:eastAsia="Arial" w:hAnsi="Arial"/>
                <w:sz w:val="11"/>
                <w:szCs w:val="11"/>
                <w:color w:val="auto"/>
              </w:rPr>
              <w:t>throughout the United States and internationally.</w:t>
            </w:r>
          </w:p>
        </w:tc>
      </w:tr>
      <w:tr>
        <w:trPr>
          <w:trHeight w:val="294"/>
        </w:trPr>
        <w:tc>
          <w:tcPr>
            <w:tcW w:w="160" w:type="dxa"/>
            <w:vAlign w:val="bottom"/>
            <w:gridSpan w:val="3"/>
          </w:tcPr>
          <w:p>
            <w:pPr>
              <w:spacing w:after="0"/>
              <w:rPr>
                <w:sz w:val="20"/>
                <w:szCs w:val="20"/>
                <w:color w:val="auto"/>
              </w:rPr>
            </w:pPr>
            <w:r>
              <w:rPr>
                <w:rFonts w:ascii="Arial" w:cs="Arial" w:eastAsia="Arial" w:hAnsi="Arial"/>
                <w:sz w:val="13"/>
                <w:szCs w:val="13"/>
                <w:color w:val="auto"/>
                <w:w w:val="96"/>
              </w:rPr>
              <w:t>12</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tcPr>
          <w:p>
            <w:pPr>
              <w:spacing w:after="0"/>
              <w:rPr>
                <w:sz w:val="24"/>
                <w:szCs w:val="24"/>
                <w:color w:val="auto"/>
              </w:rPr>
            </w:pPr>
          </w:p>
        </w:tc>
      </w:tr>
    </w:tbl>
    <w:p>
      <w:pPr>
        <w:sectPr>
          <w:pgSz w:w="11900" w:h="16838" w:orient="portrait"/>
          <w:cols w:equalWidth="0" w:num="1">
            <w:col w:w="10159"/>
          </w:cols>
          <w:pgMar w:left="300" w:top="41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Darnell O. Strom </w:t>
      </w:r>
      <w:r>
        <w:rPr>
          <w:rFonts w:ascii="Times New Roman" w:cs="Times New Roman" w:eastAsia="Times New Roman" w:hAnsi="Times New Roman"/>
          <w:sz w:val="11"/>
          <w:szCs w:val="11"/>
          <w:i w:val="1"/>
          <w:iCs w:val="1"/>
          <w:color w:val="auto"/>
        </w:rPr>
        <w:t>Partner &amp; Head of UTA UK, UTA</w:t>
      </w:r>
    </w:p>
    <w:p>
      <w:pPr>
        <w:spacing w:after="0" w:line="49" w:lineRule="exact"/>
        <w:rPr>
          <w:sz w:val="20"/>
          <w:szCs w:val="20"/>
          <w:color w:val="auto"/>
        </w:rPr>
      </w:pPr>
    </w:p>
    <w:p>
      <w:pPr>
        <w:ind w:left="1260" w:right="459"/>
        <w:spacing w:after="0" w:line="287" w:lineRule="auto"/>
        <w:rPr>
          <w:sz w:val="20"/>
          <w:szCs w:val="20"/>
          <w:color w:val="auto"/>
        </w:rPr>
      </w:pPr>
      <w:r>
        <w:rPr>
          <w:rFonts w:ascii="Arial" w:cs="Arial" w:eastAsia="Arial" w:hAnsi="Arial"/>
          <w:sz w:val="11"/>
          <w:szCs w:val="11"/>
          <w:color w:val="auto"/>
        </w:rPr>
        <w:t>Mr. Strom is a Partner &amp; Head of the UTA UK at premiere entertainment agency, United Talent Agency (“UTA”). Mr. Strom represents transformative talent, brands, and organizations across entertainment, media, sports, fashion, the arts, entrepreneurship, politics, and thought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50165</wp:posOffset>
            </wp:positionV>
            <wp:extent cx="1594485" cy="1130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94485" cy="1130935"/>
                    </a:xfrm>
                    <a:prstGeom prst="rect">
                      <a:avLst/>
                    </a:prstGeom>
                    <a:noFill/>
                  </pic:spPr>
                </pic:pic>
              </a:graphicData>
            </a:graphic>
          </wp:anchor>
        </w:drawing>
      </w:r>
    </w:p>
    <w:p>
      <w:pPr>
        <w:spacing w:after="0" w:line="139" w:lineRule="exact"/>
        <w:rPr>
          <w:sz w:val="20"/>
          <w:szCs w:val="20"/>
          <w:color w:val="auto"/>
        </w:rPr>
      </w:pPr>
    </w:p>
    <w:p>
      <w:pPr>
        <w:ind w:left="3940"/>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1"/>
          <w:szCs w:val="11"/>
          <w:color w:val="auto"/>
        </w:rPr>
        <w:t>–   2012 to 2019: Agent, Creative Artists Agency</w:t>
      </w:r>
    </w:p>
    <w:p>
      <w:pPr>
        <w:spacing w:after="0" w:line="24" w:lineRule="exact"/>
        <w:rPr>
          <w:sz w:val="20"/>
          <w:szCs w:val="20"/>
          <w:color w:val="auto"/>
        </w:rPr>
      </w:pPr>
    </w:p>
    <w:p>
      <w:pPr>
        <w:ind w:left="3940"/>
        <w:spacing w:after="0"/>
        <w:rPr>
          <w:sz w:val="20"/>
          <w:szCs w:val="20"/>
          <w:color w:val="auto"/>
        </w:rPr>
      </w:pPr>
      <w:r>
        <w:rPr>
          <w:rFonts w:ascii="Arial" w:cs="Arial" w:eastAsia="Arial" w:hAnsi="Arial"/>
          <w:sz w:val="11"/>
          <w:szCs w:val="11"/>
          <w:color w:val="auto"/>
        </w:rPr>
        <w:t>–   2010 to 2012: Executive, Creative Artists Agency Foundation</w:t>
      </w:r>
    </w:p>
    <w:p>
      <w:pPr>
        <w:spacing w:after="0" w:line="34" w:lineRule="exact"/>
        <w:rPr>
          <w:sz w:val="20"/>
          <w:szCs w:val="20"/>
          <w:color w:val="auto"/>
        </w:rPr>
      </w:pPr>
    </w:p>
    <w:p>
      <w:pPr>
        <w:ind w:left="3940"/>
        <w:spacing w:after="0"/>
        <w:rPr>
          <w:sz w:val="20"/>
          <w:szCs w:val="20"/>
          <w:color w:val="auto"/>
        </w:rPr>
      </w:pPr>
      <w:r>
        <w:rPr>
          <w:rFonts w:ascii="Arial" w:cs="Arial" w:eastAsia="Arial" w:hAnsi="Arial"/>
          <w:sz w:val="11"/>
          <w:szCs w:val="11"/>
          <w:color w:val="auto"/>
        </w:rPr>
        <w:t>–   2006 to 2010: Deputy Director of Development, William J. Clinton Foundation</w:t>
      </w:r>
    </w:p>
    <w:p>
      <w:pPr>
        <w:spacing w:after="0" w:line="34" w:lineRule="exact"/>
        <w:rPr>
          <w:sz w:val="20"/>
          <w:szCs w:val="20"/>
          <w:color w:val="auto"/>
        </w:rPr>
      </w:pPr>
    </w:p>
    <w:p>
      <w:pPr>
        <w:ind w:left="3940"/>
        <w:spacing w:after="0"/>
        <w:rPr>
          <w:sz w:val="20"/>
          <w:szCs w:val="20"/>
          <w:color w:val="auto"/>
        </w:rPr>
      </w:pPr>
      <w:r>
        <w:rPr>
          <w:rFonts w:ascii="Arial" w:cs="Arial" w:eastAsia="Arial" w:hAnsi="Arial"/>
          <w:sz w:val="11"/>
          <w:szCs w:val="11"/>
          <w:color w:val="auto"/>
        </w:rPr>
        <w:t>–   2005 to 2006: Deputy Director of Scheduling &amp; Advance, Office of President William J. Clinton</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0" w:type="dxa"/>
            <w:vAlign w:val="bottom"/>
          </w:tcPr>
          <w:p>
            <w:pPr>
              <w:ind w:left="120"/>
              <w:spacing w:after="0"/>
              <w:rPr>
                <w:sz w:val="20"/>
                <w:szCs w:val="20"/>
                <w:color w:val="auto"/>
              </w:rPr>
            </w:pPr>
            <w:r>
              <w:rPr>
                <w:rFonts w:ascii="Arial" w:cs="Arial" w:eastAsia="Arial" w:hAnsi="Arial"/>
                <w:sz w:val="16"/>
                <w:szCs w:val="16"/>
                <w:color w:val="B9AFA0"/>
              </w:rPr>
              <w:t>EDUCATION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0" w:type="dxa"/>
            <w:vAlign w:val="bottom"/>
          </w:tcPr>
          <w:p>
            <w:pPr>
              <w:ind w:left="120"/>
              <w:spacing w:after="0"/>
              <w:rPr>
                <w:sz w:val="20"/>
                <w:szCs w:val="20"/>
                <w:color w:val="auto"/>
              </w:rPr>
            </w:pPr>
            <w:r>
              <w:rPr>
                <w:rFonts w:ascii="Arial" w:cs="Arial" w:eastAsia="Arial" w:hAnsi="Arial"/>
                <w:sz w:val="11"/>
                <w:szCs w:val="11"/>
                <w:color w:val="auto"/>
              </w:rPr>
              <w:t>Mr. Strom graduated with a B.S. (with honors) from Florida A&amp;M University.</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0" w:type="dxa"/>
            <w:vAlign w:val="bottom"/>
          </w:tcPr>
          <w:p>
            <w:pPr>
              <w:ind w:left="120"/>
              <w:spacing w:after="0"/>
              <w:rPr>
                <w:sz w:val="20"/>
                <w:szCs w:val="20"/>
                <w:color w:val="auto"/>
              </w:rPr>
            </w:pPr>
            <w:r>
              <w:rPr>
                <w:rFonts w:ascii="Arial" w:cs="Arial" w:eastAsia="Arial" w:hAnsi="Arial"/>
                <w:sz w:val="16"/>
                <w:szCs w:val="16"/>
                <w:color w:val="B9AFA0"/>
              </w:rPr>
              <w:t>EXPERTISE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0" w:type="dxa"/>
            <w:vAlign w:val="bottom"/>
          </w:tcPr>
          <w:p>
            <w:pPr>
              <w:ind w:left="120"/>
              <w:spacing w:after="0"/>
              <w:rPr>
                <w:sz w:val="20"/>
                <w:szCs w:val="20"/>
                <w:color w:val="auto"/>
              </w:rPr>
            </w:pPr>
            <w:r>
              <w:rPr>
                <w:rFonts w:ascii="Arial" w:cs="Arial" w:eastAsia="Arial" w:hAnsi="Arial"/>
                <w:sz w:val="11"/>
                <w:szCs w:val="11"/>
                <w:color w:val="auto"/>
              </w:rPr>
              <w:t>Mr. Strom’s decades of experience in entertainment, media, and sports, along with the relationships he has established,</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0" w:type="dxa"/>
            <w:vAlign w:val="bottom"/>
            <w:vMerge w:val="restart"/>
          </w:tcPr>
          <w:p>
            <w:pPr>
              <w:ind w:left="120"/>
              <w:spacing w:after="0"/>
              <w:rPr>
                <w:sz w:val="20"/>
                <w:szCs w:val="20"/>
                <w:color w:val="auto"/>
              </w:rPr>
            </w:pPr>
            <w:r>
              <w:rPr>
                <w:rFonts w:ascii="Arial" w:cs="Arial" w:eastAsia="Arial" w:hAnsi="Arial"/>
                <w:sz w:val="11"/>
                <w:szCs w:val="11"/>
                <w:color w:val="auto"/>
              </w:rPr>
              <w:t>is a significant benefit to the Board. Mr. Strom brings to our Board significant industry expertise in media, sports,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shd w:val="clear" w:color="auto" w:fill="F1EFEC"/>
          </w:tcPr>
          <w:p>
            <w:pPr>
              <w:spacing w:after="0"/>
              <w:rPr>
                <w:sz w:val="6"/>
                <w:szCs w:val="6"/>
                <w:color w:val="auto"/>
              </w:rPr>
            </w:pPr>
          </w:p>
        </w:tc>
        <w:tc>
          <w:tcPr>
            <w:tcW w:w="900" w:type="dxa"/>
            <w:vAlign w:val="bottom"/>
            <w:shd w:val="clear" w:color="auto" w:fill="F1EFEC"/>
          </w:tcPr>
          <w:p>
            <w:pPr>
              <w:spacing w:after="0"/>
              <w:rPr>
                <w:sz w:val="6"/>
                <w:szCs w:val="6"/>
                <w:color w:val="auto"/>
              </w:rPr>
            </w:pPr>
          </w:p>
        </w:tc>
        <w:tc>
          <w:tcPr>
            <w:tcW w:w="40" w:type="dxa"/>
            <w:vAlign w:val="bottom"/>
            <w:shd w:val="clear" w:color="auto" w:fill="F1EFEC"/>
          </w:tcPr>
          <w:p>
            <w:pPr>
              <w:spacing w:after="0"/>
              <w:rPr>
                <w:sz w:val="6"/>
                <w:szCs w:val="6"/>
                <w:color w:val="auto"/>
              </w:rPr>
            </w:pPr>
          </w:p>
        </w:tc>
        <w:tc>
          <w:tcPr>
            <w:tcW w:w="660" w:type="dxa"/>
            <w:vAlign w:val="bottom"/>
            <w:shd w:val="clear" w:color="auto" w:fill="F1EFEC"/>
          </w:tcPr>
          <w:p>
            <w:pPr>
              <w:spacing w:after="0"/>
              <w:rPr>
                <w:sz w:val="6"/>
                <w:szCs w:val="6"/>
                <w:color w:val="auto"/>
              </w:rPr>
            </w:pPr>
          </w:p>
        </w:tc>
        <w:tc>
          <w:tcPr>
            <w:tcW w:w="740" w:type="dxa"/>
            <w:vAlign w:val="bottom"/>
            <w:shd w:val="clear" w:color="auto" w:fill="F1EFEC"/>
          </w:tcPr>
          <w:p>
            <w:pPr>
              <w:spacing w:after="0"/>
              <w:rPr>
                <w:sz w:val="6"/>
                <w:szCs w:val="6"/>
                <w:color w:val="auto"/>
              </w:rPr>
            </w:pPr>
          </w:p>
        </w:tc>
        <w:tc>
          <w:tcPr>
            <w:tcW w:w="120" w:type="dxa"/>
            <w:vAlign w:val="bottom"/>
            <w:shd w:val="clear" w:color="auto" w:fill="F1EFEC"/>
          </w:tcPr>
          <w:p>
            <w:pPr>
              <w:spacing w:after="0"/>
              <w:rPr>
                <w:sz w:val="6"/>
                <w:szCs w:val="6"/>
                <w:color w:val="auto"/>
              </w:rPr>
            </w:pPr>
          </w:p>
        </w:tc>
        <w:tc>
          <w:tcPr>
            <w:tcW w:w="6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3"/>
                <w:szCs w:val="13"/>
                <w:color w:val="auto"/>
                <w:w w:val="91"/>
              </w:rPr>
              <w:t xml:space="preserve">   </w:t>
            </w:r>
          </w:p>
        </w:tc>
        <w:tc>
          <w:tcPr>
            <w:tcW w:w="940" w:type="dxa"/>
            <w:vAlign w:val="bottom"/>
            <w:tcBorders>
              <w:bottom w:val="single" w:sz="8" w:color="auto"/>
            </w:tcBorders>
            <w:gridSpan w:val="2"/>
            <w:shd w:val="clear" w:color="auto" w:fill="F1EFEC"/>
          </w:tcPr>
          <w:p>
            <w:pPr>
              <w:ind w:left="40"/>
              <w:spacing w:after="0"/>
              <w:rPr>
                <w:sz w:val="20"/>
                <w:szCs w:val="20"/>
                <w:color w:val="auto"/>
              </w:rPr>
            </w:pPr>
            <w:r>
              <w:rPr>
                <w:rFonts w:ascii="Arial" w:cs="Arial" w:eastAsia="Arial" w:hAnsi="Arial"/>
                <w:sz w:val="10"/>
                <w:szCs w:val="10"/>
                <w:color w:val="auto"/>
              </w:rPr>
              <w:t>Director Since</w:t>
            </w:r>
          </w:p>
        </w:tc>
        <w:tc>
          <w:tcPr>
            <w:tcW w:w="660" w:type="dxa"/>
            <w:vAlign w:val="bottom"/>
            <w:tcBorders>
              <w:bottom w:val="single" w:sz="8" w:color="auto"/>
            </w:tcBorders>
            <w:shd w:val="clear" w:color="auto" w:fill="F1EFEC"/>
          </w:tcPr>
          <w:p>
            <w:pPr>
              <w:spacing w:after="0"/>
              <w:rPr>
                <w:sz w:val="20"/>
                <w:szCs w:val="20"/>
                <w:color w:val="auto"/>
              </w:rPr>
            </w:pPr>
            <w:r>
              <w:rPr>
                <w:rFonts w:ascii="Arial" w:cs="Arial" w:eastAsia="Arial" w:hAnsi="Arial"/>
                <w:sz w:val="10"/>
                <w:szCs w:val="10"/>
                <w:color w:val="auto"/>
              </w:rPr>
              <w:t>October 2020</w:t>
            </w:r>
          </w:p>
        </w:tc>
        <w:tc>
          <w:tcPr>
            <w:tcW w:w="740" w:type="dxa"/>
            <w:vAlign w:val="bottom"/>
            <w:tcBorders>
              <w:bottom w:val="single" w:sz="8" w:color="auto"/>
            </w:tcBorders>
            <w:shd w:val="clear" w:color="auto" w:fill="F1EFEC"/>
          </w:tcPr>
          <w:p>
            <w:pPr>
              <w:spacing w:after="0"/>
              <w:rPr>
                <w:sz w:val="21"/>
                <w:szCs w:val="21"/>
                <w:color w:val="auto"/>
              </w:rPr>
            </w:pPr>
          </w:p>
        </w:tc>
        <w:tc>
          <w:tcPr>
            <w:tcW w:w="120" w:type="dxa"/>
            <w:vAlign w:val="bottom"/>
            <w:tcBorders>
              <w:bottom w:val="single" w:sz="8" w:color="F1EFEC"/>
            </w:tcBorders>
            <w:shd w:val="clear" w:color="auto" w:fill="F1EFEC"/>
          </w:tcPr>
          <w:p>
            <w:pPr>
              <w:ind w:left="80"/>
              <w:spacing w:after="0"/>
              <w:rPr>
                <w:sz w:val="20"/>
                <w:szCs w:val="20"/>
                <w:color w:val="auto"/>
              </w:rPr>
            </w:pPr>
            <w:r>
              <w:rPr>
                <w:rFonts w:ascii="Arial" w:cs="Arial" w:eastAsia="Arial" w:hAnsi="Arial"/>
                <w:sz w:val="11"/>
                <w:szCs w:val="11"/>
                <w:color w:val="auto"/>
                <w:w w:val="70"/>
              </w:rPr>
              <w:t> </w:t>
            </w:r>
          </w:p>
        </w:tc>
        <w:tc>
          <w:tcPr>
            <w:tcW w:w="6200" w:type="dxa"/>
            <w:vAlign w:val="bottom"/>
          </w:tcPr>
          <w:p>
            <w:pPr>
              <w:ind w:left="120"/>
              <w:spacing w:after="0"/>
              <w:rPr>
                <w:sz w:val="20"/>
                <w:szCs w:val="20"/>
                <w:color w:val="auto"/>
              </w:rPr>
            </w:pPr>
            <w:r>
              <w:rPr>
                <w:rFonts w:ascii="Arial" w:cs="Arial" w:eastAsia="Arial" w:hAnsi="Arial"/>
                <w:sz w:val="11"/>
                <w:szCs w:val="11"/>
                <w:color w:val="auto"/>
              </w:rPr>
              <w:t>entertainment, music, fashion, the arts, branding and thought leadership.</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shd w:val="clear" w:color="auto" w:fill="F1EFEC"/>
          </w:tcPr>
          <w:p>
            <w:pPr>
              <w:spacing w:after="0"/>
              <w:rPr>
                <w:sz w:val="20"/>
                <w:szCs w:val="20"/>
                <w:color w:val="auto"/>
              </w:rPr>
            </w:pPr>
          </w:p>
        </w:tc>
        <w:tc>
          <w:tcPr>
            <w:tcW w:w="940" w:type="dxa"/>
            <w:vAlign w:val="bottom"/>
            <w:gridSpan w:val="2"/>
            <w:shd w:val="clear" w:color="auto" w:fill="F1EFEC"/>
          </w:tcPr>
          <w:p>
            <w:pPr>
              <w:ind w:left="60"/>
              <w:spacing w:after="0"/>
              <w:rPr>
                <w:sz w:val="20"/>
                <w:szCs w:val="20"/>
                <w:color w:val="auto"/>
              </w:rPr>
            </w:pPr>
            <w:r>
              <w:rPr>
                <w:rFonts w:ascii="Arial" w:cs="Arial" w:eastAsia="Arial" w:hAnsi="Arial"/>
                <w:sz w:val="10"/>
                <w:szCs w:val="10"/>
                <w:color w:val="auto"/>
              </w:rPr>
              <w:t>Term Expires</w:t>
            </w:r>
          </w:p>
        </w:tc>
        <w:tc>
          <w:tcPr>
            <w:tcW w:w="1520" w:type="dxa"/>
            <w:vAlign w:val="bottom"/>
            <w:gridSpan w:val="3"/>
            <w:shd w:val="clear" w:color="auto" w:fill="F1EFEC"/>
          </w:tcPr>
          <w:p>
            <w:pPr>
              <w:spacing w:after="0"/>
              <w:rPr>
                <w:sz w:val="20"/>
                <w:szCs w:val="20"/>
                <w:color w:val="auto"/>
              </w:rPr>
            </w:pPr>
            <w:r>
              <w:rPr>
                <w:rFonts w:ascii="Arial" w:cs="Arial" w:eastAsia="Arial" w:hAnsi="Arial"/>
                <w:sz w:val="10"/>
                <w:szCs w:val="10"/>
                <w:color w:val="auto"/>
              </w:rPr>
              <w:t>2027 Annual Meeting</w:t>
            </w:r>
          </w:p>
        </w:tc>
        <w:tc>
          <w:tcPr>
            <w:tcW w:w="6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Borders>
              <w:bottom w:val="single" w:sz="8" w:color="F1EFEC"/>
            </w:tcBorders>
            <w:shd w:val="clear" w:color="auto" w:fill="F1EFEC"/>
          </w:tcPr>
          <w:p>
            <w:pPr>
              <w:spacing w:after="0"/>
              <w:rPr>
                <w:sz w:val="8"/>
                <w:szCs w:val="8"/>
                <w:color w:val="auto"/>
              </w:rPr>
            </w:pPr>
          </w:p>
        </w:tc>
        <w:tc>
          <w:tcPr>
            <w:tcW w:w="900" w:type="dxa"/>
            <w:vAlign w:val="bottom"/>
            <w:tcBorders>
              <w:bottom w:val="single" w:sz="8" w:color="auto"/>
            </w:tcBorders>
            <w:shd w:val="clear" w:color="auto" w:fill="F1EFEC"/>
          </w:tcPr>
          <w:p>
            <w:pPr>
              <w:spacing w:after="0"/>
              <w:rPr>
                <w:sz w:val="8"/>
                <w:szCs w:val="8"/>
                <w:color w:val="auto"/>
              </w:rPr>
            </w:pPr>
          </w:p>
        </w:tc>
        <w:tc>
          <w:tcPr>
            <w:tcW w:w="40" w:type="dxa"/>
            <w:vAlign w:val="bottom"/>
            <w:tcBorders>
              <w:bottom w:val="single" w:sz="8" w:color="auto"/>
            </w:tcBorders>
            <w:shd w:val="clear" w:color="auto" w:fill="F1EFEC"/>
          </w:tcPr>
          <w:p>
            <w:pPr>
              <w:spacing w:after="0"/>
              <w:rPr>
                <w:sz w:val="8"/>
                <w:szCs w:val="8"/>
                <w:color w:val="auto"/>
              </w:rPr>
            </w:pPr>
          </w:p>
        </w:tc>
        <w:tc>
          <w:tcPr>
            <w:tcW w:w="660" w:type="dxa"/>
            <w:vAlign w:val="bottom"/>
            <w:tcBorders>
              <w:bottom w:val="single" w:sz="8" w:color="auto"/>
            </w:tcBorders>
            <w:shd w:val="clear" w:color="auto" w:fill="F1EFEC"/>
          </w:tcPr>
          <w:p>
            <w:pPr>
              <w:spacing w:after="0"/>
              <w:rPr>
                <w:sz w:val="8"/>
                <w:szCs w:val="8"/>
                <w:color w:val="auto"/>
              </w:rPr>
            </w:pPr>
          </w:p>
        </w:tc>
        <w:tc>
          <w:tcPr>
            <w:tcW w:w="74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c>
          <w:tcPr>
            <w:tcW w:w="6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shd w:val="clear" w:color="auto" w:fill="F1EFEC"/>
          </w:tcPr>
          <w:p>
            <w:pPr>
              <w:spacing w:after="0"/>
              <w:rPr>
                <w:sz w:val="19"/>
                <w:szCs w:val="19"/>
                <w:color w:val="auto"/>
              </w:rPr>
            </w:pPr>
          </w:p>
        </w:tc>
        <w:tc>
          <w:tcPr>
            <w:tcW w:w="900" w:type="dxa"/>
            <w:vAlign w:val="bottom"/>
            <w:shd w:val="clear" w:color="auto" w:fill="F1EFEC"/>
          </w:tcPr>
          <w:p>
            <w:pPr>
              <w:ind w:left="60"/>
              <w:spacing w:after="0"/>
              <w:rPr>
                <w:sz w:val="20"/>
                <w:szCs w:val="20"/>
                <w:color w:val="auto"/>
              </w:rPr>
            </w:pPr>
            <w:r>
              <w:rPr>
                <w:rFonts w:ascii="Arial" w:cs="Arial" w:eastAsia="Arial" w:hAnsi="Arial"/>
                <w:sz w:val="10"/>
                <w:szCs w:val="10"/>
                <w:color w:val="auto"/>
              </w:rPr>
              <w:t>Age</w:t>
            </w:r>
          </w:p>
        </w:tc>
        <w:tc>
          <w:tcPr>
            <w:tcW w:w="40" w:type="dxa"/>
            <w:vAlign w:val="bottom"/>
            <w:shd w:val="clear" w:color="auto" w:fill="F1EFEC"/>
          </w:tcPr>
          <w:p>
            <w:pPr>
              <w:spacing w:after="0"/>
              <w:rPr>
                <w:sz w:val="19"/>
                <w:szCs w:val="19"/>
                <w:color w:val="auto"/>
              </w:rPr>
            </w:pPr>
          </w:p>
        </w:tc>
        <w:tc>
          <w:tcPr>
            <w:tcW w:w="660" w:type="dxa"/>
            <w:vAlign w:val="bottom"/>
            <w:shd w:val="clear" w:color="auto" w:fill="F1EFEC"/>
          </w:tcPr>
          <w:p>
            <w:pPr>
              <w:spacing w:after="0"/>
              <w:rPr>
                <w:sz w:val="20"/>
                <w:szCs w:val="20"/>
                <w:color w:val="auto"/>
              </w:rPr>
            </w:pPr>
            <w:r>
              <w:rPr>
                <w:rFonts w:ascii="Arial" w:cs="Arial" w:eastAsia="Arial" w:hAnsi="Arial"/>
                <w:sz w:val="10"/>
                <w:szCs w:val="10"/>
                <w:color w:val="auto"/>
              </w:rPr>
              <w:t>44</w:t>
            </w:r>
          </w:p>
        </w:tc>
        <w:tc>
          <w:tcPr>
            <w:tcW w:w="740" w:type="dxa"/>
            <w:vAlign w:val="bottom"/>
            <w:shd w:val="clear" w:color="auto" w:fill="F1EFEC"/>
          </w:tcPr>
          <w:p>
            <w:pPr>
              <w:spacing w:after="0"/>
              <w:rPr>
                <w:sz w:val="19"/>
                <w:szCs w:val="19"/>
                <w:color w:val="auto"/>
              </w:rPr>
            </w:pPr>
          </w:p>
        </w:tc>
        <w:tc>
          <w:tcPr>
            <w:tcW w:w="120" w:type="dxa"/>
            <w:vAlign w:val="bottom"/>
            <w:shd w:val="clear" w:color="auto" w:fill="F1EFEC"/>
          </w:tcPr>
          <w:p>
            <w:pPr>
              <w:spacing w:after="0"/>
              <w:rPr>
                <w:sz w:val="19"/>
                <w:szCs w:val="19"/>
                <w:color w:val="auto"/>
              </w:rPr>
            </w:pPr>
          </w:p>
        </w:tc>
        <w:tc>
          <w:tcPr>
            <w:tcW w:w="6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Borders>
              <w:bottom w:val="single" w:sz="8" w:color="F1EFEC"/>
            </w:tcBorders>
            <w:shd w:val="clear" w:color="auto" w:fill="F1EFEC"/>
          </w:tcPr>
          <w:p>
            <w:pPr>
              <w:spacing w:after="0"/>
              <w:rPr>
                <w:sz w:val="8"/>
                <w:szCs w:val="8"/>
                <w:color w:val="auto"/>
              </w:rPr>
            </w:pPr>
          </w:p>
        </w:tc>
        <w:tc>
          <w:tcPr>
            <w:tcW w:w="900" w:type="dxa"/>
            <w:vAlign w:val="bottom"/>
            <w:tcBorders>
              <w:bottom w:val="single" w:sz="8" w:color="auto"/>
            </w:tcBorders>
            <w:shd w:val="clear" w:color="auto" w:fill="F1EFEC"/>
          </w:tcPr>
          <w:p>
            <w:pPr>
              <w:spacing w:after="0"/>
              <w:rPr>
                <w:sz w:val="8"/>
                <w:szCs w:val="8"/>
                <w:color w:val="auto"/>
              </w:rPr>
            </w:pPr>
          </w:p>
        </w:tc>
        <w:tc>
          <w:tcPr>
            <w:tcW w:w="700" w:type="dxa"/>
            <w:vAlign w:val="bottom"/>
            <w:tcBorders>
              <w:bottom w:val="single" w:sz="8" w:color="auto"/>
            </w:tcBorders>
            <w:gridSpan w:val="2"/>
            <w:shd w:val="clear" w:color="auto" w:fill="F1EFEC"/>
          </w:tcPr>
          <w:p>
            <w:pPr>
              <w:spacing w:after="0"/>
              <w:rPr>
                <w:sz w:val="8"/>
                <w:szCs w:val="8"/>
                <w:color w:val="auto"/>
              </w:rPr>
            </w:pPr>
          </w:p>
        </w:tc>
        <w:tc>
          <w:tcPr>
            <w:tcW w:w="74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c>
          <w:tcPr>
            <w:tcW w:w="6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shd w:val="clear" w:color="auto" w:fill="F1EFEC"/>
          </w:tcPr>
          <w:p>
            <w:pPr>
              <w:spacing w:after="0"/>
              <w:rPr>
                <w:sz w:val="12"/>
                <w:szCs w:val="12"/>
                <w:color w:val="auto"/>
              </w:rPr>
            </w:pPr>
          </w:p>
        </w:tc>
        <w:tc>
          <w:tcPr>
            <w:tcW w:w="900" w:type="dxa"/>
            <w:vAlign w:val="bottom"/>
            <w:shd w:val="clear" w:color="auto" w:fill="F1EFEC"/>
          </w:tcPr>
          <w:p>
            <w:pPr>
              <w:ind w:left="60"/>
              <w:spacing w:after="0"/>
              <w:rPr>
                <w:sz w:val="20"/>
                <w:szCs w:val="20"/>
                <w:color w:val="auto"/>
              </w:rPr>
            </w:pPr>
            <w:r>
              <w:rPr>
                <w:rFonts w:ascii="Arial" w:cs="Arial" w:eastAsia="Arial" w:hAnsi="Arial"/>
                <w:sz w:val="10"/>
                <w:szCs w:val="10"/>
                <w:color w:val="auto"/>
                <w:w w:val="95"/>
              </w:rPr>
              <w:t>Board Committees:</w:t>
            </w:r>
          </w:p>
        </w:tc>
        <w:tc>
          <w:tcPr>
            <w:tcW w:w="700" w:type="dxa"/>
            <w:vAlign w:val="bottom"/>
            <w:gridSpan w:val="2"/>
            <w:shd w:val="clear" w:color="auto" w:fill="F1EFEC"/>
          </w:tcPr>
          <w:p>
            <w:pPr>
              <w:ind w:left="40"/>
              <w:spacing w:after="0"/>
              <w:rPr>
                <w:sz w:val="20"/>
                <w:szCs w:val="20"/>
                <w:color w:val="auto"/>
              </w:rPr>
            </w:pPr>
            <w:r>
              <w:rPr>
                <w:rFonts w:ascii="Arial" w:cs="Arial" w:eastAsia="Arial" w:hAnsi="Arial"/>
                <w:sz w:val="10"/>
                <w:szCs w:val="10"/>
                <w:color w:val="auto"/>
                <w:w w:val="99"/>
              </w:rPr>
              <w:t>Compensation</w:t>
            </w:r>
          </w:p>
        </w:tc>
        <w:tc>
          <w:tcPr>
            <w:tcW w:w="740" w:type="dxa"/>
            <w:vAlign w:val="bottom"/>
            <w:shd w:val="clear" w:color="auto" w:fill="F1EFEC"/>
          </w:tcPr>
          <w:p>
            <w:pPr>
              <w:spacing w:after="0"/>
              <w:rPr>
                <w:sz w:val="12"/>
                <w:szCs w:val="12"/>
                <w:color w:val="auto"/>
              </w:rPr>
            </w:pPr>
          </w:p>
        </w:tc>
        <w:tc>
          <w:tcPr>
            <w:tcW w:w="120" w:type="dxa"/>
            <w:vAlign w:val="bottom"/>
            <w:shd w:val="clear" w:color="auto" w:fill="F1EFEC"/>
          </w:tcPr>
          <w:p>
            <w:pPr>
              <w:spacing w:after="0"/>
              <w:rPr>
                <w:sz w:val="12"/>
                <w:szCs w:val="12"/>
                <w:color w:val="auto"/>
              </w:rPr>
            </w:pPr>
          </w:p>
        </w:tc>
        <w:tc>
          <w:tcPr>
            <w:tcW w:w="6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shd w:val="clear" w:color="auto" w:fill="F1EFEC"/>
          </w:tcPr>
          <w:p>
            <w:pPr>
              <w:spacing w:after="0"/>
              <w:rPr>
                <w:sz w:val="9"/>
                <w:szCs w:val="9"/>
                <w:color w:val="auto"/>
              </w:rPr>
            </w:pPr>
          </w:p>
        </w:tc>
        <w:tc>
          <w:tcPr>
            <w:tcW w:w="900" w:type="dxa"/>
            <w:vAlign w:val="bottom"/>
            <w:shd w:val="clear" w:color="auto" w:fill="F1EFEC"/>
          </w:tcPr>
          <w:p>
            <w:pPr>
              <w:spacing w:after="0"/>
              <w:rPr>
                <w:sz w:val="9"/>
                <w:szCs w:val="9"/>
                <w:color w:val="auto"/>
              </w:rPr>
            </w:pPr>
          </w:p>
        </w:tc>
        <w:tc>
          <w:tcPr>
            <w:tcW w:w="40" w:type="dxa"/>
            <w:vAlign w:val="bottom"/>
            <w:shd w:val="clear" w:color="auto" w:fill="F1EFEC"/>
          </w:tcPr>
          <w:p>
            <w:pPr>
              <w:spacing w:after="0"/>
              <w:rPr>
                <w:sz w:val="9"/>
                <w:szCs w:val="9"/>
                <w:color w:val="auto"/>
              </w:rPr>
            </w:pPr>
          </w:p>
        </w:tc>
        <w:tc>
          <w:tcPr>
            <w:tcW w:w="1520" w:type="dxa"/>
            <w:vAlign w:val="bottom"/>
            <w:gridSpan w:val="3"/>
            <w:shd w:val="clear" w:color="auto" w:fill="F1EFEC"/>
          </w:tcPr>
          <w:p>
            <w:pPr>
              <w:spacing w:after="0" w:line="107" w:lineRule="exact"/>
              <w:rPr>
                <w:sz w:val="20"/>
                <w:szCs w:val="20"/>
                <w:color w:val="auto"/>
              </w:rPr>
            </w:pPr>
            <w:r>
              <w:rPr>
                <w:rFonts w:ascii="Arial" w:cs="Arial" w:eastAsia="Arial" w:hAnsi="Arial"/>
                <w:sz w:val="10"/>
                <w:szCs w:val="10"/>
                <w:color w:val="auto"/>
              </w:rPr>
              <w:t>Nominating and Corporate</w:t>
            </w:r>
          </w:p>
        </w:tc>
        <w:tc>
          <w:tcPr>
            <w:tcW w:w="6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Borders>
              <w:bottom w:val="single" w:sz="8" w:color="F1EFEC"/>
            </w:tcBorders>
            <w:shd w:val="clear" w:color="auto" w:fill="F1EFEC"/>
          </w:tcPr>
          <w:p>
            <w:pPr>
              <w:spacing w:after="0"/>
              <w:rPr>
                <w:sz w:val="11"/>
                <w:szCs w:val="11"/>
                <w:color w:val="auto"/>
              </w:rPr>
            </w:pPr>
          </w:p>
        </w:tc>
        <w:tc>
          <w:tcPr>
            <w:tcW w:w="900" w:type="dxa"/>
            <w:vAlign w:val="bottom"/>
            <w:tcBorders>
              <w:bottom w:val="single" w:sz="8" w:color="F1EFEC"/>
            </w:tcBorders>
            <w:shd w:val="clear" w:color="auto" w:fill="F1EFEC"/>
          </w:tcPr>
          <w:p>
            <w:pPr>
              <w:spacing w:after="0"/>
              <w:rPr>
                <w:sz w:val="11"/>
                <w:szCs w:val="11"/>
                <w:color w:val="auto"/>
              </w:rPr>
            </w:pPr>
          </w:p>
        </w:tc>
        <w:tc>
          <w:tcPr>
            <w:tcW w:w="40" w:type="dxa"/>
            <w:vAlign w:val="bottom"/>
            <w:tcBorders>
              <w:bottom w:val="single" w:sz="8" w:color="F1EFEC"/>
            </w:tcBorders>
            <w:shd w:val="clear" w:color="auto" w:fill="F1EFEC"/>
          </w:tcPr>
          <w:p>
            <w:pPr>
              <w:spacing w:after="0"/>
              <w:rPr>
                <w:sz w:val="11"/>
                <w:szCs w:val="11"/>
                <w:color w:val="auto"/>
              </w:rPr>
            </w:pPr>
          </w:p>
        </w:tc>
        <w:tc>
          <w:tcPr>
            <w:tcW w:w="66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0"/>
                <w:szCs w:val="10"/>
                <w:color w:val="auto"/>
              </w:rPr>
              <w:t>Governance</w:t>
            </w:r>
          </w:p>
        </w:tc>
        <w:tc>
          <w:tcPr>
            <w:tcW w:w="740" w:type="dxa"/>
            <w:vAlign w:val="bottom"/>
            <w:tcBorders>
              <w:bottom w:val="single" w:sz="8" w:color="F1EFEC"/>
            </w:tcBorders>
            <w:shd w:val="clear" w:color="auto" w:fill="F1EFEC"/>
          </w:tcPr>
          <w:p>
            <w:pPr>
              <w:spacing w:after="0"/>
              <w:rPr>
                <w:sz w:val="11"/>
                <w:szCs w:val="11"/>
                <w:color w:val="auto"/>
              </w:rPr>
            </w:pPr>
          </w:p>
        </w:tc>
        <w:tc>
          <w:tcPr>
            <w:tcW w:w="120" w:type="dxa"/>
            <w:vAlign w:val="bottom"/>
            <w:tcBorders>
              <w:bottom w:val="single" w:sz="8" w:color="F1EFEC"/>
            </w:tcBorders>
            <w:shd w:val="clear" w:color="auto" w:fill="F1EFEC"/>
          </w:tcPr>
          <w:p>
            <w:pPr>
              <w:spacing w:after="0"/>
              <w:rPr>
                <w:sz w:val="11"/>
                <w:szCs w:val="11"/>
                <w:color w:val="auto"/>
              </w:rPr>
            </w:pPr>
          </w:p>
        </w:tc>
        <w:tc>
          <w:tcPr>
            <w:tcW w:w="6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760" w:type="dxa"/>
            <w:vAlign w:val="bottom"/>
            <w:gridSpan w:val="8"/>
          </w:tcPr>
          <w:p>
            <w:pPr>
              <w:spacing w:after="0"/>
              <w:rPr>
                <w:sz w:val="20"/>
                <w:szCs w:val="20"/>
                <w:color w:val="auto"/>
              </w:rPr>
            </w:pPr>
            <w:r>
              <w:rPr>
                <w:rFonts w:ascii="Arial" w:cs="Arial" w:eastAsia="Arial" w:hAnsi="Arial"/>
                <w:sz w:val="16"/>
                <w:szCs w:val="16"/>
                <w:color w:val="B9AFA0"/>
              </w:rPr>
              <w:t>SKILLS AND QUALIFICATIONS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gridSpan w:val="3"/>
            <w:shd w:val="clear" w:color="auto" w:fill="F1EFEC"/>
          </w:tcPr>
          <w:p>
            <w:pPr>
              <w:ind w:left="40"/>
              <w:spacing w:after="0"/>
              <w:rPr>
                <w:sz w:val="20"/>
                <w:szCs w:val="20"/>
                <w:color w:val="auto"/>
              </w:rPr>
            </w:pPr>
            <w:r>
              <w:rPr>
                <w:rFonts w:ascii="Arial" w:cs="Arial" w:eastAsia="Arial" w:hAnsi="Arial"/>
                <w:sz w:val="11"/>
                <w:szCs w:val="11"/>
                <w:color w:val="auto"/>
              </w:rPr>
              <w:t>Travel, Leisure,</w:t>
            </w:r>
          </w:p>
        </w:tc>
        <w:tc>
          <w:tcPr>
            <w:tcW w:w="660" w:type="dxa"/>
            <w:vAlign w:val="bottom"/>
            <w:shd w:val="clear" w:color="auto" w:fill="F1EFEC"/>
          </w:tcPr>
          <w:p>
            <w:pPr>
              <w:spacing w:after="0"/>
              <w:rPr>
                <w:sz w:val="15"/>
                <w:szCs w:val="15"/>
                <w:color w:val="auto"/>
              </w:rPr>
            </w:pPr>
          </w:p>
        </w:tc>
        <w:tc>
          <w:tcPr>
            <w:tcW w:w="7060" w:type="dxa"/>
            <w:vAlign w:val="bottom"/>
            <w:gridSpan w:val="3"/>
            <w:shd w:val="clear" w:color="auto" w:fill="F1EFEC"/>
          </w:tcPr>
          <w:p>
            <w:pPr>
              <w:spacing w:after="0"/>
              <w:rPr>
                <w:sz w:val="20"/>
                <w:szCs w:val="20"/>
                <w:color w:val="auto"/>
              </w:rPr>
            </w:pPr>
            <w:r>
              <w:rPr>
                <w:rFonts w:ascii="Arial" w:cs="Arial" w:eastAsia="Arial" w:hAnsi="Arial"/>
                <w:sz w:val="11"/>
                <w:szCs w:val="11"/>
                <w:color w:val="auto"/>
              </w:rPr>
              <w:t>In addition to his representation of transformative talent, over the course of his career, Mr. Strom has advised some of the world’s top luxury,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3"/>
            <w:shd w:val="clear" w:color="auto" w:fill="F1EFEC"/>
          </w:tcPr>
          <w:p>
            <w:pPr>
              <w:ind w:left="40"/>
              <w:spacing w:after="0"/>
              <w:rPr>
                <w:sz w:val="20"/>
                <w:szCs w:val="20"/>
                <w:color w:val="auto"/>
              </w:rPr>
            </w:pPr>
            <w:r>
              <w:rPr>
                <w:rFonts w:ascii="Arial" w:cs="Arial" w:eastAsia="Arial" w:hAnsi="Arial"/>
                <w:sz w:val="11"/>
                <w:szCs w:val="11"/>
                <w:color w:val="auto"/>
              </w:rPr>
              <w:t>Hospitality &amp;</w:t>
            </w:r>
          </w:p>
        </w:tc>
        <w:tc>
          <w:tcPr>
            <w:tcW w:w="660" w:type="dxa"/>
            <w:vAlign w:val="bottom"/>
            <w:shd w:val="clear" w:color="auto" w:fill="F1EFEC"/>
          </w:tcPr>
          <w:p>
            <w:pPr>
              <w:spacing w:after="0"/>
              <w:rPr>
                <w:sz w:val="11"/>
                <w:szCs w:val="11"/>
                <w:color w:val="auto"/>
              </w:rPr>
            </w:pPr>
          </w:p>
        </w:tc>
        <w:tc>
          <w:tcPr>
            <w:tcW w:w="7060" w:type="dxa"/>
            <w:vAlign w:val="bottom"/>
            <w:gridSpan w:val="3"/>
            <w:shd w:val="clear" w:color="auto" w:fill="F1EFEC"/>
          </w:tcPr>
          <w:p>
            <w:pPr>
              <w:spacing w:after="0"/>
              <w:rPr>
                <w:sz w:val="20"/>
                <w:szCs w:val="20"/>
                <w:color w:val="auto"/>
              </w:rPr>
            </w:pPr>
            <w:r>
              <w:rPr>
                <w:rFonts w:ascii="Arial" w:cs="Arial" w:eastAsia="Arial" w:hAnsi="Arial"/>
                <w:sz w:val="11"/>
                <w:szCs w:val="11"/>
                <w:color w:val="auto"/>
              </w:rPr>
              <w:t>hospitality, and lifestyle brands. Mr. Strom has extensive experience working at the cross-section of entertainment, media, sports, music,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3"/>
            <w:shd w:val="clear" w:color="auto" w:fill="F1EFEC"/>
          </w:tcPr>
          <w:p>
            <w:pPr>
              <w:ind w:left="40"/>
              <w:spacing w:after="0"/>
              <w:rPr>
                <w:sz w:val="20"/>
                <w:szCs w:val="20"/>
                <w:color w:val="auto"/>
              </w:rPr>
            </w:pPr>
            <w:r>
              <w:rPr>
                <w:rFonts w:ascii="Arial" w:cs="Arial" w:eastAsia="Arial" w:hAnsi="Arial"/>
                <w:sz w:val="11"/>
                <w:szCs w:val="11"/>
                <w:color w:val="auto"/>
              </w:rPr>
              <w:t>Entertainment</w:t>
            </w:r>
          </w:p>
        </w:tc>
        <w:tc>
          <w:tcPr>
            <w:tcW w:w="660" w:type="dxa"/>
            <w:vAlign w:val="bottom"/>
            <w:shd w:val="clear" w:color="auto" w:fill="F1EFEC"/>
          </w:tcPr>
          <w:p>
            <w:pPr>
              <w:spacing w:after="0"/>
              <w:rPr>
                <w:sz w:val="11"/>
                <w:szCs w:val="11"/>
                <w:color w:val="auto"/>
              </w:rPr>
            </w:pPr>
          </w:p>
        </w:tc>
        <w:tc>
          <w:tcPr>
            <w:tcW w:w="7060" w:type="dxa"/>
            <w:vAlign w:val="bottom"/>
            <w:gridSpan w:val="3"/>
            <w:shd w:val="clear" w:color="auto" w:fill="F1EFEC"/>
          </w:tcPr>
          <w:p>
            <w:pPr>
              <w:spacing w:after="0"/>
              <w:rPr>
                <w:sz w:val="20"/>
                <w:szCs w:val="20"/>
                <w:color w:val="auto"/>
              </w:rPr>
            </w:pPr>
            <w:r>
              <w:rPr>
                <w:rFonts w:ascii="Arial" w:cs="Arial" w:eastAsia="Arial" w:hAnsi="Arial"/>
                <w:sz w:val="11"/>
                <w:szCs w:val="11"/>
                <w:color w:val="auto"/>
              </w:rPr>
              <w:t>fashion, and digital. Mr. Strom has presented at the Aspen Ideas Festival, Sundance Film Festival, Brilliant Minds, Cannes Lion Creativity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shd w:val="clear" w:color="auto" w:fill="F1EFEC"/>
          </w:tcPr>
          <w:p>
            <w:pPr>
              <w:spacing w:after="0"/>
              <w:rPr>
                <w:sz w:val="13"/>
                <w:szCs w:val="13"/>
                <w:color w:val="auto"/>
              </w:rPr>
            </w:pPr>
          </w:p>
        </w:tc>
        <w:tc>
          <w:tcPr>
            <w:tcW w:w="900" w:type="dxa"/>
            <w:vAlign w:val="bottom"/>
            <w:shd w:val="clear" w:color="auto" w:fill="F1EFEC"/>
          </w:tcPr>
          <w:p>
            <w:pPr>
              <w:spacing w:after="0"/>
              <w:rPr>
                <w:sz w:val="13"/>
                <w:szCs w:val="13"/>
                <w:color w:val="auto"/>
              </w:rPr>
            </w:pPr>
          </w:p>
        </w:tc>
        <w:tc>
          <w:tcPr>
            <w:tcW w:w="40" w:type="dxa"/>
            <w:vAlign w:val="bottom"/>
            <w:shd w:val="clear" w:color="auto" w:fill="F1EFEC"/>
          </w:tcPr>
          <w:p>
            <w:pPr>
              <w:spacing w:after="0"/>
              <w:rPr>
                <w:sz w:val="13"/>
                <w:szCs w:val="13"/>
                <w:color w:val="auto"/>
              </w:rPr>
            </w:pPr>
          </w:p>
        </w:tc>
        <w:tc>
          <w:tcPr>
            <w:tcW w:w="660" w:type="dxa"/>
            <w:vAlign w:val="bottom"/>
            <w:shd w:val="clear" w:color="auto" w:fill="F1EFEC"/>
          </w:tcPr>
          <w:p>
            <w:pPr>
              <w:spacing w:after="0"/>
              <w:rPr>
                <w:sz w:val="13"/>
                <w:szCs w:val="13"/>
                <w:color w:val="auto"/>
              </w:rPr>
            </w:pPr>
          </w:p>
        </w:tc>
        <w:tc>
          <w:tcPr>
            <w:tcW w:w="7060" w:type="dxa"/>
            <w:vAlign w:val="bottom"/>
            <w:gridSpan w:val="3"/>
            <w:shd w:val="clear" w:color="auto" w:fill="F1EFEC"/>
          </w:tcPr>
          <w:p>
            <w:pPr>
              <w:spacing w:after="0"/>
              <w:rPr>
                <w:sz w:val="20"/>
                <w:szCs w:val="20"/>
                <w:color w:val="auto"/>
              </w:rPr>
            </w:pPr>
            <w:r>
              <w:rPr>
                <w:rFonts w:ascii="Arial" w:cs="Arial" w:eastAsia="Arial" w:hAnsi="Arial"/>
                <w:sz w:val="11"/>
                <w:szCs w:val="11"/>
                <w:color w:val="auto"/>
              </w:rPr>
              <w:t>Festival, and the UN’s Nexus Global Youth Summit. He also served on President Obama’s White House Entertainment Council.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1"/>
                <w:szCs w:val="11"/>
                <w:color w:val="auto"/>
              </w:rPr>
              <w:t>Geopolitical Affairs</w:t>
            </w:r>
          </w:p>
        </w:tc>
        <w:tc>
          <w:tcPr>
            <w:tcW w:w="660" w:type="dxa"/>
            <w:vAlign w:val="bottom"/>
          </w:tcPr>
          <w:p>
            <w:pPr>
              <w:spacing w:after="0"/>
              <w:rPr>
                <w:sz w:val="15"/>
                <w:szCs w:val="15"/>
                <w:color w:val="auto"/>
              </w:rPr>
            </w:pPr>
          </w:p>
        </w:tc>
        <w:tc>
          <w:tcPr>
            <w:tcW w:w="7060" w:type="dxa"/>
            <w:vAlign w:val="bottom"/>
            <w:gridSpan w:val="3"/>
          </w:tcPr>
          <w:p>
            <w:pPr>
              <w:spacing w:after="0"/>
              <w:rPr>
                <w:sz w:val="20"/>
                <w:szCs w:val="20"/>
                <w:color w:val="auto"/>
              </w:rPr>
            </w:pPr>
            <w:r>
              <w:rPr>
                <w:rFonts w:ascii="Arial" w:cs="Arial" w:eastAsia="Arial" w:hAnsi="Arial"/>
                <w:sz w:val="11"/>
                <w:szCs w:val="11"/>
                <w:color w:val="auto"/>
              </w:rPr>
              <w:t>Mr. Strom’s roles in the Office of President William J. Clinton and with the William J. Clinton Foundation provided him with experience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60" w:type="dxa"/>
            <w:vAlign w:val="bottom"/>
            <w:gridSpan w:val="3"/>
          </w:tcPr>
          <w:p>
            <w:pPr>
              <w:spacing w:after="0"/>
              <w:rPr>
                <w:sz w:val="20"/>
                <w:szCs w:val="20"/>
                <w:color w:val="auto"/>
              </w:rPr>
            </w:pPr>
            <w:r>
              <w:rPr>
                <w:rFonts w:ascii="Arial" w:cs="Arial" w:eastAsia="Arial" w:hAnsi="Arial"/>
                <w:sz w:val="11"/>
                <w:szCs w:val="11"/>
                <w:color w:val="auto"/>
              </w:rPr>
              <w:t>working with foreign governments and organizations.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shd w:val="clear" w:color="auto" w:fill="F1EFEC"/>
          </w:tcPr>
          <w:p>
            <w:pPr>
              <w:ind w:left="40"/>
              <w:spacing w:after="0"/>
              <w:rPr>
                <w:sz w:val="20"/>
                <w:szCs w:val="20"/>
                <w:color w:val="auto"/>
              </w:rPr>
            </w:pPr>
            <w:r>
              <w:rPr>
                <w:rFonts w:ascii="Arial" w:cs="Arial" w:eastAsia="Arial" w:hAnsi="Arial"/>
                <w:sz w:val="11"/>
                <w:szCs w:val="11"/>
                <w:color w:val="auto"/>
              </w:rPr>
              <w:t>Environmental &amp;</w:t>
            </w:r>
          </w:p>
        </w:tc>
        <w:tc>
          <w:tcPr>
            <w:tcW w:w="660" w:type="dxa"/>
            <w:vAlign w:val="bottom"/>
            <w:shd w:val="clear" w:color="auto" w:fill="F1EFEC"/>
          </w:tcPr>
          <w:p>
            <w:pPr>
              <w:spacing w:after="0"/>
              <w:rPr>
                <w:sz w:val="15"/>
                <w:szCs w:val="15"/>
                <w:color w:val="auto"/>
              </w:rPr>
            </w:pPr>
          </w:p>
        </w:tc>
        <w:tc>
          <w:tcPr>
            <w:tcW w:w="7060" w:type="dxa"/>
            <w:vAlign w:val="bottom"/>
            <w:gridSpan w:val="3"/>
            <w:shd w:val="clear" w:color="auto" w:fill="F1EFEC"/>
          </w:tcPr>
          <w:p>
            <w:pPr>
              <w:spacing w:after="0"/>
              <w:rPr>
                <w:sz w:val="20"/>
                <w:szCs w:val="20"/>
                <w:color w:val="auto"/>
              </w:rPr>
            </w:pPr>
            <w:r>
              <w:rPr>
                <w:rFonts w:ascii="Arial" w:cs="Arial" w:eastAsia="Arial" w:hAnsi="Arial"/>
                <w:sz w:val="11"/>
                <w:szCs w:val="11"/>
                <w:color w:val="auto"/>
              </w:rPr>
              <w:t>In his prior roles at the William J. Clinton Foundation and the Creative Artists Agency Foundation, Mr. Strom provided strategic advice to his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gridSpan w:val="3"/>
            <w:shd w:val="clear" w:color="auto" w:fill="F1EFEC"/>
          </w:tcPr>
          <w:p>
            <w:pPr>
              <w:ind w:left="40"/>
              <w:spacing w:after="0"/>
              <w:rPr>
                <w:sz w:val="20"/>
                <w:szCs w:val="20"/>
                <w:color w:val="auto"/>
              </w:rPr>
            </w:pPr>
            <w:r>
              <w:rPr>
                <w:rFonts w:ascii="Arial" w:cs="Arial" w:eastAsia="Arial" w:hAnsi="Arial"/>
                <w:sz w:val="11"/>
                <w:szCs w:val="11"/>
                <w:color w:val="auto"/>
              </w:rPr>
              <w:t>Sustainability</w:t>
            </w:r>
          </w:p>
        </w:tc>
        <w:tc>
          <w:tcPr>
            <w:tcW w:w="660" w:type="dxa"/>
            <w:vAlign w:val="bottom"/>
            <w:shd w:val="clear" w:color="auto" w:fill="F1EFEC"/>
          </w:tcPr>
          <w:p>
            <w:pPr>
              <w:spacing w:after="0"/>
              <w:rPr>
                <w:sz w:val="14"/>
                <w:szCs w:val="14"/>
                <w:color w:val="auto"/>
              </w:rPr>
            </w:pPr>
          </w:p>
        </w:tc>
        <w:tc>
          <w:tcPr>
            <w:tcW w:w="7060" w:type="dxa"/>
            <w:vAlign w:val="bottom"/>
            <w:gridSpan w:val="3"/>
            <w:shd w:val="clear" w:color="auto" w:fill="F1EFEC"/>
          </w:tcPr>
          <w:p>
            <w:pPr>
              <w:spacing w:after="0"/>
              <w:rPr>
                <w:sz w:val="20"/>
                <w:szCs w:val="20"/>
                <w:color w:val="auto"/>
              </w:rPr>
            </w:pPr>
            <w:r>
              <w:rPr>
                <w:rFonts w:ascii="Arial" w:cs="Arial" w:eastAsia="Arial" w:hAnsi="Arial"/>
                <w:sz w:val="11"/>
                <w:szCs w:val="11"/>
                <w:color w:val="auto"/>
              </w:rPr>
              <w:t>clients and non-governmental organizations on a range of issue areas regarding their philanthropy and social initiatives.</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60" w:type="dxa"/>
            <w:vAlign w:val="bottom"/>
            <w:gridSpan w:val="3"/>
          </w:tcPr>
          <w:p>
            <w:pPr>
              <w:ind w:left="6920"/>
              <w:spacing w:after="0"/>
              <w:rPr>
                <w:sz w:val="20"/>
                <w:szCs w:val="20"/>
                <w:color w:val="auto"/>
              </w:rPr>
            </w:pPr>
            <w:r>
              <w:rPr>
                <w:rFonts w:ascii="Arial" w:cs="Arial" w:eastAsia="Arial" w:hAnsi="Arial"/>
                <w:sz w:val="13"/>
                <w:szCs w:val="13"/>
                <w:color w:val="auto"/>
                <w:w w:val="82"/>
              </w:rPr>
              <w:t>13</w:t>
            </w:r>
          </w:p>
        </w:tc>
        <w:tc>
          <w:tcPr>
            <w:tcW w:w="0" w:type="dxa"/>
            <w:vAlign w:val="bottom"/>
          </w:tcPr>
          <w:p>
            <w:pPr>
              <w:spacing w:after="0"/>
              <w:rPr>
                <w:sz w:val="1"/>
                <w:szCs w:val="1"/>
                <w:color w:val="auto"/>
              </w:rPr>
            </w:pPr>
          </w:p>
        </w:tc>
      </w:tr>
    </w:tbl>
    <w:p>
      <w:pPr>
        <w:sectPr>
          <w:pgSz w:w="11900" w:h="16838" w:orient="portrait"/>
          <w:cols w:equalWidth="0" w:num="1">
            <w:col w:w="10159"/>
          </w:cols>
          <w:pgMar w:left="300" w:top="412"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Winifred M. Webb </w:t>
      </w:r>
      <w:r>
        <w:rPr>
          <w:rFonts w:ascii="Times New Roman" w:cs="Times New Roman" w:eastAsia="Times New Roman" w:hAnsi="Times New Roman"/>
          <w:sz w:val="11"/>
          <w:szCs w:val="11"/>
          <w:i w:val="1"/>
          <w:iCs w:val="1"/>
          <w:color w:val="auto"/>
        </w:rPr>
        <w:t>Founder, Kestrel Corporate Advisors</w:t>
      </w:r>
    </w:p>
    <w:p>
      <w:pPr>
        <w:spacing w:after="0" w:line="102" w:lineRule="exact"/>
        <w:rPr>
          <w:sz w:val="20"/>
          <w:szCs w:val="20"/>
          <w:color w:val="auto"/>
        </w:rPr>
      </w:pPr>
    </w:p>
    <w:p>
      <w:pPr>
        <w:ind w:left="1260" w:right="179"/>
        <w:spacing w:after="0" w:line="287" w:lineRule="auto"/>
        <w:rPr>
          <w:sz w:val="20"/>
          <w:szCs w:val="20"/>
          <w:color w:val="auto"/>
        </w:rPr>
      </w:pPr>
      <w:r>
        <w:rPr>
          <w:rFonts w:ascii="Arial" w:cs="Arial" w:eastAsia="Arial" w:hAnsi="Arial"/>
          <w:sz w:val="11"/>
          <w:szCs w:val="11"/>
          <w:color w:val="auto"/>
        </w:rPr>
        <w:t>Ms. Webb founded Kestrel Corporate Advisors, an advisory services firm, in 2013. Ms. Webb currently serves as a trustee of AMH (since January 2019), and as a director of AppFolio, Inc. (since December 2019) and ABM Industries (“ABM”) (since December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50165</wp:posOffset>
            </wp:positionV>
            <wp:extent cx="1594485" cy="11309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94485" cy="113093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26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80" w:type="dxa"/>
            <w:vAlign w:val="bottom"/>
            <w:tcBorders>
              <w:bottom w:val="single" w:sz="8" w:color="F1EFEC"/>
            </w:tcBorders>
            <w:shd w:val="clear" w:color="auto" w:fill="F1EFEC"/>
          </w:tcPr>
          <w:p>
            <w:pPr>
              <w:spacing w:after="0"/>
              <w:rPr>
                <w:sz w:val="20"/>
                <w:szCs w:val="20"/>
                <w:color w:val="auto"/>
              </w:rPr>
            </w:pPr>
            <w:r>
              <w:rPr>
                <w:rFonts w:ascii="Arial" w:cs="Arial" w:eastAsia="Arial" w:hAnsi="Arial"/>
                <w:sz w:val="13"/>
                <w:szCs w:val="13"/>
                <w:color w:val="auto"/>
                <w:w w:val="91"/>
              </w:rPr>
              <w:t xml:space="preserve">   </w:t>
            </w:r>
          </w:p>
        </w:tc>
        <w:tc>
          <w:tcPr>
            <w:tcW w:w="920" w:type="dxa"/>
            <w:vAlign w:val="bottom"/>
            <w:tcBorders>
              <w:bottom w:val="single" w:sz="8" w:color="auto"/>
            </w:tcBorders>
            <w:shd w:val="clear" w:color="auto" w:fill="F1EFEC"/>
          </w:tcPr>
          <w:p>
            <w:pPr>
              <w:ind w:left="40"/>
              <w:spacing w:after="0"/>
              <w:rPr>
                <w:sz w:val="20"/>
                <w:szCs w:val="20"/>
                <w:color w:val="auto"/>
              </w:rPr>
            </w:pPr>
            <w:r>
              <w:rPr>
                <w:rFonts w:ascii="Arial" w:cs="Arial" w:eastAsia="Arial" w:hAnsi="Arial"/>
                <w:sz w:val="10"/>
                <w:szCs w:val="10"/>
                <w:color w:val="auto"/>
              </w:rPr>
              <w:t>Director Since</w:t>
            </w:r>
          </w:p>
        </w:tc>
        <w:tc>
          <w:tcPr>
            <w:tcW w:w="1420" w:type="dxa"/>
            <w:vAlign w:val="bottom"/>
            <w:tcBorders>
              <w:bottom w:val="single" w:sz="8" w:color="auto"/>
            </w:tcBorders>
            <w:shd w:val="clear" w:color="auto" w:fill="F1EFEC"/>
          </w:tcPr>
          <w:p>
            <w:pPr>
              <w:ind w:left="40"/>
              <w:spacing w:after="0"/>
              <w:rPr>
                <w:sz w:val="20"/>
                <w:szCs w:val="20"/>
                <w:color w:val="auto"/>
              </w:rPr>
            </w:pPr>
            <w:r>
              <w:rPr>
                <w:rFonts w:ascii="Arial" w:cs="Arial" w:eastAsia="Arial" w:hAnsi="Arial"/>
                <w:sz w:val="10"/>
                <w:szCs w:val="10"/>
                <w:color w:val="auto"/>
              </w:rPr>
              <w:t>April 2018</w:t>
            </w:r>
          </w:p>
        </w:tc>
        <w:tc>
          <w:tcPr>
            <w:tcW w:w="120" w:type="dxa"/>
            <w:vAlign w:val="bottom"/>
            <w:tcBorders>
              <w:bottom w:val="single" w:sz="8" w:color="F1EFEC"/>
            </w:tcBorders>
            <w:shd w:val="clear" w:color="auto" w:fill="F1EFEC"/>
          </w:tcPr>
          <w:p>
            <w:pPr>
              <w:ind w:left="60"/>
              <w:spacing w:after="0"/>
              <w:rPr>
                <w:sz w:val="20"/>
                <w:szCs w:val="20"/>
                <w:color w:val="auto"/>
              </w:rPr>
            </w:pPr>
            <w:r>
              <w:rPr>
                <w:rFonts w:ascii="Arial" w:cs="Arial" w:eastAsia="Arial" w:hAnsi="Arial"/>
                <w:sz w:val="13"/>
                <w:szCs w:val="13"/>
                <w:color w:val="auto"/>
              </w:rPr>
              <w:t> </w:t>
            </w:r>
          </w:p>
        </w:tc>
      </w:tr>
      <w:tr>
        <w:trPr>
          <w:trHeight w:val="233"/>
        </w:trPr>
        <w:tc>
          <w:tcPr>
            <w:tcW w:w="20" w:type="dxa"/>
            <w:vAlign w:val="bottom"/>
          </w:tcPr>
          <w:p>
            <w:pPr>
              <w:spacing w:after="0"/>
              <w:rPr>
                <w:sz w:val="20"/>
                <w:szCs w:val="20"/>
                <w:color w:val="auto"/>
              </w:rPr>
            </w:pPr>
          </w:p>
        </w:tc>
        <w:tc>
          <w:tcPr>
            <w:tcW w:w="80" w:type="dxa"/>
            <w:vAlign w:val="bottom"/>
            <w:shd w:val="clear" w:color="auto" w:fill="F1EFEC"/>
          </w:tcPr>
          <w:p>
            <w:pPr>
              <w:spacing w:after="0"/>
              <w:rPr>
                <w:sz w:val="20"/>
                <w:szCs w:val="20"/>
                <w:color w:val="auto"/>
              </w:rPr>
            </w:pPr>
          </w:p>
        </w:tc>
        <w:tc>
          <w:tcPr>
            <w:tcW w:w="920" w:type="dxa"/>
            <w:vAlign w:val="bottom"/>
            <w:shd w:val="clear" w:color="auto" w:fill="F1EFEC"/>
          </w:tcPr>
          <w:p>
            <w:pPr>
              <w:ind w:left="60"/>
              <w:spacing w:after="0"/>
              <w:rPr>
                <w:sz w:val="20"/>
                <w:szCs w:val="20"/>
                <w:color w:val="auto"/>
              </w:rPr>
            </w:pPr>
            <w:r>
              <w:rPr>
                <w:rFonts w:ascii="Arial" w:cs="Arial" w:eastAsia="Arial" w:hAnsi="Arial"/>
                <w:sz w:val="10"/>
                <w:szCs w:val="10"/>
                <w:color w:val="auto"/>
              </w:rPr>
              <w:t>Term Expires</w:t>
            </w:r>
          </w:p>
        </w:tc>
        <w:tc>
          <w:tcPr>
            <w:tcW w:w="1420" w:type="dxa"/>
            <w:vAlign w:val="bottom"/>
            <w:shd w:val="clear" w:color="auto" w:fill="F1EFEC"/>
          </w:tcPr>
          <w:p>
            <w:pPr>
              <w:ind w:left="40"/>
              <w:spacing w:after="0"/>
              <w:rPr>
                <w:sz w:val="20"/>
                <w:szCs w:val="20"/>
                <w:color w:val="auto"/>
              </w:rPr>
            </w:pPr>
            <w:r>
              <w:rPr>
                <w:rFonts w:ascii="Arial" w:cs="Arial" w:eastAsia="Arial" w:hAnsi="Arial"/>
                <w:sz w:val="10"/>
                <w:szCs w:val="10"/>
                <w:color w:val="auto"/>
              </w:rPr>
              <w:t>2028 Annual Meeting</w:t>
            </w:r>
          </w:p>
        </w:tc>
        <w:tc>
          <w:tcPr>
            <w:tcW w:w="120" w:type="dxa"/>
            <w:vAlign w:val="bottom"/>
            <w:shd w:val="clear" w:color="auto" w:fill="F1EFEC"/>
          </w:tcPr>
          <w:p>
            <w:pPr>
              <w:spacing w:after="0"/>
              <w:rPr>
                <w:sz w:val="20"/>
                <w:szCs w:val="20"/>
                <w:color w:val="auto"/>
              </w:rPr>
            </w:pPr>
          </w:p>
        </w:tc>
      </w:tr>
      <w:tr>
        <w:trPr>
          <w:trHeight w:val="97"/>
        </w:trPr>
        <w:tc>
          <w:tcPr>
            <w:tcW w:w="20" w:type="dxa"/>
            <w:vAlign w:val="bottom"/>
          </w:tcPr>
          <w:p>
            <w:pPr>
              <w:spacing w:after="0"/>
              <w:rPr>
                <w:sz w:val="8"/>
                <w:szCs w:val="8"/>
                <w:color w:val="auto"/>
              </w:rPr>
            </w:pPr>
          </w:p>
        </w:tc>
        <w:tc>
          <w:tcPr>
            <w:tcW w:w="80" w:type="dxa"/>
            <w:vAlign w:val="bottom"/>
            <w:tcBorders>
              <w:bottom w:val="single" w:sz="8" w:color="F1EFEC"/>
            </w:tcBorders>
            <w:shd w:val="clear" w:color="auto" w:fill="F1EFEC"/>
          </w:tcPr>
          <w:p>
            <w:pPr>
              <w:spacing w:after="0"/>
              <w:rPr>
                <w:sz w:val="8"/>
                <w:szCs w:val="8"/>
                <w:color w:val="auto"/>
              </w:rPr>
            </w:pPr>
          </w:p>
        </w:tc>
        <w:tc>
          <w:tcPr>
            <w:tcW w:w="920" w:type="dxa"/>
            <w:vAlign w:val="bottom"/>
            <w:tcBorders>
              <w:bottom w:val="single" w:sz="8" w:color="auto"/>
            </w:tcBorders>
            <w:shd w:val="clear" w:color="auto" w:fill="F1EFEC"/>
          </w:tcPr>
          <w:p>
            <w:pPr>
              <w:spacing w:after="0"/>
              <w:rPr>
                <w:sz w:val="8"/>
                <w:szCs w:val="8"/>
                <w:color w:val="auto"/>
              </w:rPr>
            </w:pPr>
          </w:p>
        </w:tc>
        <w:tc>
          <w:tcPr>
            <w:tcW w:w="142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r>
      <w:tr>
        <w:trPr>
          <w:trHeight w:val="227"/>
        </w:trPr>
        <w:tc>
          <w:tcPr>
            <w:tcW w:w="20" w:type="dxa"/>
            <w:vAlign w:val="bottom"/>
          </w:tcPr>
          <w:p>
            <w:pPr>
              <w:spacing w:after="0"/>
              <w:rPr>
                <w:sz w:val="19"/>
                <w:szCs w:val="19"/>
                <w:color w:val="auto"/>
              </w:rPr>
            </w:pPr>
          </w:p>
        </w:tc>
        <w:tc>
          <w:tcPr>
            <w:tcW w:w="80" w:type="dxa"/>
            <w:vAlign w:val="bottom"/>
            <w:shd w:val="clear" w:color="auto" w:fill="F1EFEC"/>
          </w:tcPr>
          <w:p>
            <w:pPr>
              <w:spacing w:after="0"/>
              <w:rPr>
                <w:sz w:val="19"/>
                <w:szCs w:val="19"/>
                <w:color w:val="auto"/>
              </w:rPr>
            </w:pPr>
          </w:p>
        </w:tc>
        <w:tc>
          <w:tcPr>
            <w:tcW w:w="920" w:type="dxa"/>
            <w:vAlign w:val="bottom"/>
            <w:shd w:val="clear" w:color="auto" w:fill="F1EFEC"/>
          </w:tcPr>
          <w:p>
            <w:pPr>
              <w:ind w:left="60"/>
              <w:spacing w:after="0"/>
              <w:rPr>
                <w:sz w:val="20"/>
                <w:szCs w:val="20"/>
                <w:color w:val="auto"/>
              </w:rPr>
            </w:pPr>
            <w:r>
              <w:rPr>
                <w:rFonts w:ascii="Arial" w:cs="Arial" w:eastAsia="Arial" w:hAnsi="Arial"/>
                <w:sz w:val="10"/>
                <w:szCs w:val="10"/>
                <w:color w:val="auto"/>
              </w:rPr>
              <w:t>Age</w:t>
            </w:r>
          </w:p>
        </w:tc>
        <w:tc>
          <w:tcPr>
            <w:tcW w:w="1420" w:type="dxa"/>
            <w:vAlign w:val="bottom"/>
            <w:shd w:val="clear" w:color="auto" w:fill="F1EFEC"/>
          </w:tcPr>
          <w:p>
            <w:pPr>
              <w:ind w:left="40"/>
              <w:spacing w:after="0"/>
              <w:rPr>
                <w:sz w:val="20"/>
                <w:szCs w:val="20"/>
                <w:color w:val="auto"/>
              </w:rPr>
            </w:pPr>
            <w:r>
              <w:rPr>
                <w:rFonts w:ascii="Arial" w:cs="Arial" w:eastAsia="Arial" w:hAnsi="Arial"/>
                <w:sz w:val="10"/>
                <w:szCs w:val="10"/>
                <w:color w:val="auto"/>
              </w:rPr>
              <w:t>68</w:t>
            </w:r>
          </w:p>
        </w:tc>
        <w:tc>
          <w:tcPr>
            <w:tcW w:w="120" w:type="dxa"/>
            <w:vAlign w:val="bottom"/>
            <w:shd w:val="clear" w:color="auto" w:fill="F1EFEC"/>
          </w:tcPr>
          <w:p>
            <w:pPr>
              <w:spacing w:after="0"/>
              <w:rPr>
                <w:sz w:val="19"/>
                <w:szCs w:val="19"/>
                <w:color w:val="auto"/>
              </w:rPr>
            </w:pPr>
          </w:p>
        </w:tc>
      </w:tr>
      <w:tr>
        <w:trPr>
          <w:trHeight w:val="97"/>
        </w:trPr>
        <w:tc>
          <w:tcPr>
            <w:tcW w:w="20" w:type="dxa"/>
            <w:vAlign w:val="bottom"/>
          </w:tcPr>
          <w:p>
            <w:pPr>
              <w:spacing w:after="0"/>
              <w:rPr>
                <w:sz w:val="8"/>
                <w:szCs w:val="8"/>
                <w:color w:val="auto"/>
              </w:rPr>
            </w:pPr>
          </w:p>
        </w:tc>
        <w:tc>
          <w:tcPr>
            <w:tcW w:w="80" w:type="dxa"/>
            <w:vAlign w:val="bottom"/>
            <w:tcBorders>
              <w:bottom w:val="single" w:sz="8" w:color="F1EFEC"/>
            </w:tcBorders>
            <w:shd w:val="clear" w:color="auto" w:fill="F1EFEC"/>
          </w:tcPr>
          <w:p>
            <w:pPr>
              <w:spacing w:after="0"/>
              <w:rPr>
                <w:sz w:val="8"/>
                <w:szCs w:val="8"/>
                <w:color w:val="auto"/>
              </w:rPr>
            </w:pPr>
          </w:p>
        </w:tc>
        <w:tc>
          <w:tcPr>
            <w:tcW w:w="920" w:type="dxa"/>
            <w:vAlign w:val="bottom"/>
            <w:tcBorders>
              <w:bottom w:val="single" w:sz="8" w:color="auto"/>
            </w:tcBorders>
            <w:shd w:val="clear" w:color="auto" w:fill="F1EFEC"/>
          </w:tcPr>
          <w:p>
            <w:pPr>
              <w:spacing w:after="0"/>
              <w:rPr>
                <w:sz w:val="8"/>
                <w:szCs w:val="8"/>
                <w:color w:val="auto"/>
              </w:rPr>
            </w:pPr>
          </w:p>
        </w:tc>
        <w:tc>
          <w:tcPr>
            <w:tcW w:w="1420" w:type="dxa"/>
            <w:vAlign w:val="bottom"/>
            <w:tcBorders>
              <w:bottom w:val="single" w:sz="8" w:color="auto"/>
            </w:tcBorders>
            <w:shd w:val="clear" w:color="auto" w:fill="F1EFEC"/>
          </w:tcPr>
          <w:p>
            <w:pPr>
              <w:spacing w:after="0"/>
              <w:rPr>
                <w:sz w:val="8"/>
                <w:szCs w:val="8"/>
                <w:color w:val="auto"/>
              </w:rPr>
            </w:pPr>
          </w:p>
        </w:tc>
        <w:tc>
          <w:tcPr>
            <w:tcW w:w="120" w:type="dxa"/>
            <w:vAlign w:val="bottom"/>
            <w:tcBorders>
              <w:bottom w:val="single" w:sz="8" w:color="F1EFEC"/>
            </w:tcBorders>
            <w:shd w:val="clear" w:color="auto" w:fill="F1EFEC"/>
          </w:tcPr>
          <w:p>
            <w:pPr>
              <w:spacing w:after="0"/>
              <w:rPr>
                <w:sz w:val="8"/>
                <w:szCs w:val="8"/>
                <w:color w:val="auto"/>
              </w:rPr>
            </w:pPr>
          </w:p>
        </w:tc>
      </w:tr>
      <w:tr>
        <w:trPr>
          <w:trHeight w:val="173"/>
        </w:trPr>
        <w:tc>
          <w:tcPr>
            <w:tcW w:w="20" w:type="dxa"/>
            <w:vAlign w:val="bottom"/>
          </w:tcPr>
          <w:p>
            <w:pPr>
              <w:spacing w:after="0"/>
              <w:rPr>
                <w:sz w:val="15"/>
                <w:szCs w:val="15"/>
                <w:color w:val="auto"/>
              </w:rPr>
            </w:pPr>
          </w:p>
        </w:tc>
        <w:tc>
          <w:tcPr>
            <w:tcW w:w="80" w:type="dxa"/>
            <w:vAlign w:val="bottom"/>
            <w:shd w:val="clear" w:color="auto" w:fill="F1EFEC"/>
          </w:tcPr>
          <w:p>
            <w:pPr>
              <w:spacing w:after="0"/>
              <w:rPr>
                <w:sz w:val="15"/>
                <w:szCs w:val="15"/>
                <w:color w:val="auto"/>
              </w:rPr>
            </w:pPr>
          </w:p>
        </w:tc>
        <w:tc>
          <w:tcPr>
            <w:tcW w:w="920" w:type="dxa"/>
            <w:vAlign w:val="bottom"/>
            <w:shd w:val="clear" w:color="auto" w:fill="F1EFEC"/>
          </w:tcPr>
          <w:p>
            <w:pPr>
              <w:ind w:left="60"/>
              <w:spacing w:after="0"/>
              <w:rPr>
                <w:sz w:val="20"/>
                <w:szCs w:val="20"/>
                <w:color w:val="auto"/>
              </w:rPr>
            </w:pPr>
            <w:r>
              <w:rPr>
                <w:rFonts w:ascii="Arial" w:cs="Arial" w:eastAsia="Arial" w:hAnsi="Arial"/>
                <w:sz w:val="10"/>
                <w:szCs w:val="10"/>
                <w:color w:val="auto"/>
                <w:w w:val="98"/>
              </w:rPr>
              <w:t>Board Committees:</w:t>
            </w:r>
          </w:p>
        </w:tc>
        <w:tc>
          <w:tcPr>
            <w:tcW w:w="1420" w:type="dxa"/>
            <w:vAlign w:val="bottom"/>
            <w:shd w:val="clear" w:color="auto" w:fill="F1EFEC"/>
          </w:tcPr>
          <w:p>
            <w:pPr>
              <w:ind w:left="40"/>
              <w:spacing w:after="0"/>
              <w:rPr>
                <w:sz w:val="20"/>
                <w:szCs w:val="20"/>
                <w:color w:val="auto"/>
              </w:rPr>
            </w:pPr>
            <w:r>
              <w:rPr>
                <w:rFonts w:ascii="Arial" w:cs="Arial" w:eastAsia="Arial" w:hAnsi="Arial"/>
                <w:sz w:val="10"/>
                <w:szCs w:val="10"/>
                <w:color w:val="auto"/>
              </w:rPr>
              <w:t>Audit, Chair (Financial Expert)</w:t>
            </w:r>
          </w:p>
        </w:tc>
        <w:tc>
          <w:tcPr>
            <w:tcW w:w="120" w:type="dxa"/>
            <w:vAlign w:val="bottom"/>
            <w:shd w:val="clear" w:color="auto" w:fill="F1EFEC"/>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shd w:val="clear" w:color="auto" w:fill="F1EFEC"/>
          </w:tcPr>
          <w:p>
            <w:pPr>
              <w:spacing w:after="0" w:line="20" w:lineRule="exact"/>
              <w:rPr>
                <w:sz w:val="1"/>
                <w:szCs w:val="1"/>
                <w:color w:val="auto"/>
              </w:rPr>
            </w:pPr>
          </w:p>
        </w:tc>
        <w:tc>
          <w:tcPr>
            <w:tcW w:w="920" w:type="dxa"/>
            <w:vAlign w:val="bottom"/>
            <w:shd w:val="clear" w:color="auto" w:fill="F1EFEC"/>
          </w:tcPr>
          <w:p>
            <w:pPr>
              <w:spacing w:after="0" w:line="20" w:lineRule="exact"/>
              <w:rPr>
                <w:sz w:val="1"/>
                <w:szCs w:val="1"/>
                <w:color w:val="auto"/>
              </w:rPr>
            </w:pPr>
          </w:p>
        </w:tc>
        <w:tc>
          <w:tcPr>
            <w:tcW w:w="1420" w:type="dxa"/>
            <w:vAlign w:val="bottom"/>
            <w:shd w:val="clear" w:color="auto" w:fill="F1EFEC"/>
          </w:tcPr>
          <w:p>
            <w:pPr>
              <w:spacing w:after="0" w:line="20" w:lineRule="exact"/>
              <w:rPr>
                <w:sz w:val="1"/>
                <w:szCs w:val="1"/>
                <w:color w:val="auto"/>
              </w:rPr>
            </w:pPr>
          </w:p>
        </w:tc>
        <w:tc>
          <w:tcPr>
            <w:tcW w:w="120" w:type="dxa"/>
            <w:vAlign w:val="bottom"/>
            <w:shd w:val="clear" w:color="auto" w:fill="F1EFE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2010 to 2013: Managing Director, Tennenbaum Capital Partners, now part of BlackRock</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–   2008 to 2010: Member of the Corporate Executive team and senior advisor, Ticketmaster, now part of LiveNation</w:t>
      </w:r>
    </w:p>
    <w:p>
      <w:pPr>
        <w:spacing w:after="0" w:line="34" w:lineRule="exact"/>
        <w:rPr>
          <w:sz w:val="20"/>
          <w:szCs w:val="20"/>
          <w:color w:val="auto"/>
        </w:rPr>
      </w:pPr>
    </w:p>
    <w:p>
      <w:pPr>
        <w:ind w:left="140" w:right="179" w:hanging="142"/>
        <w:spacing w:after="0" w:line="264" w:lineRule="auto"/>
        <w:rPr>
          <w:sz w:val="20"/>
          <w:szCs w:val="20"/>
          <w:color w:val="auto"/>
        </w:rPr>
      </w:pPr>
      <w:r>
        <w:rPr>
          <w:rFonts w:ascii="Arial" w:cs="Arial" w:eastAsia="Arial" w:hAnsi="Arial"/>
          <w:sz w:val="11"/>
          <w:szCs w:val="11"/>
          <w:color w:val="auto"/>
        </w:rPr>
        <w:t>–   1988 to 2008: Various senior corporate positions, including as Senior Vice President of Investor Relations and Shareholder Services, and governance outreach, The Walt Disney Company (“Disney”); Executive Director, The Walt Disney Company Foundation</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–   Previously held various investment banking positions</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–   Prior service on the boards of TiVo, Jack in the Box, and nonprofit PetSmart Charities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B9AFA0"/>
        </w:rPr>
        <w:t>EDUCATION</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Ms. Webb graduated with a B.A. (with honors) from Smith College and received her M.B.A. from Harvard University.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B9AFA0"/>
        </w:rPr>
        <w:t>EXPERTISE</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Ms. Webb brings to our Board significant industry expertise in travel and tourism, hospitality, food and beverage,</w:t>
      </w:r>
    </w:p>
    <w:p>
      <w:pPr>
        <w:spacing w:after="0" w:line="2" w:lineRule="exact"/>
        <w:rPr>
          <w:sz w:val="20"/>
          <w:szCs w:val="20"/>
          <w:color w:val="auto"/>
        </w:rPr>
      </w:pPr>
    </w:p>
    <w:p>
      <w:pPr>
        <w:ind w:right="159"/>
        <w:spacing w:after="0" w:line="256" w:lineRule="auto"/>
        <w:rPr>
          <w:sz w:val="20"/>
          <w:szCs w:val="20"/>
          <w:color w:val="auto"/>
        </w:rPr>
      </w:pPr>
      <w:r>
        <w:rPr>
          <w:rFonts w:ascii="Arial" w:cs="Arial" w:eastAsia="Arial" w:hAnsi="Arial"/>
          <w:sz w:val="11"/>
          <w:szCs w:val="11"/>
          <w:color w:val="auto"/>
        </w:rPr>
        <w:t>media and entertainment, retailing, real estate, and facilities services. Ms. Webb’s experience developing award-winning investor relations, strategic communications, brand-building programs and extensive, public company board service contribute to the Board’s ability to provide creative solutions in strategic planning and board governance.</w:t>
      </w:r>
    </w:p>
    <w:p>
      <w:pPr>
        <w:spacing w:after="0" w:line="539" w:lineRule="exact"/>
        <w:rPr>
          <w:sz w:val="20"/>
          <w:szCs w:val="20"/>
          <w:color w:val="auto"/>
        </w:rPr>
      </w:pPr>
    </w:p>
    <w:p>
      <w:pPr>
        <w:sectPr>
          <w:pgSz w:w="11900" w:h="16838" w:orient="portrait"/>
          <w:cols w:equalWidth="0" w:num="2">
            <w:col w:w="3820" w:space="120"/>
            <w:col w:w="6219"/>
          </w:cols>
          <w:pgMar w:left="300" w:top="412" w:right="1440" w:bottom="1440" w:gutter="0" w:footer="0" w:header="0"/>
          <w:type w:val="continuous"/>
        </w:sectPr>
      </w:pPr>
    </w:p>
    <w:p>
      <w:pPr>
        <w:ind w:left="1260"/>
        <w:spacing w:after="0"/>
        <w:rPr>
          <w:sz w:val="20"/>
          <w:szCs w:val="20"/>
          <w:color w:val="auto"/>
        </w:rPr>
      </w:pPr>
      <w:r>
        <w:rPr>
          <w:rFonts w:ascii="Arial" w:cs="Arial" w:eastAsia="Arial" w:hAnsi="Arial"/>
          <w:sz w:val="16"/>
          <w:szCs w:val="16"/>
          <w:color w:val="B9AFA0"/>
        </w:rPr>
        <w:t>SKILLS AND QUALIFICATIONS</w:t>
      </w:r>
    </w:p>
    <w:p>
      <w:pPr>
        <w:spacing w:after="0" w:line="42"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Travel, Leisure,</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Ms. Webb has over 20 years of experience with Disney, one of the world’s leading entertainment companies, in addition to several years at</w:t>
            </w:r>
          </w:p>
        </w:tc>
      </w:tr>
      <w:tr>
        <w:trPr>
          <w:trHeight w:val="129"/>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Hospitality &amp;</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Ticketmaster.</w:t>
            </w:r>
          </w:p>
        </w:tc>
      </w:tr>
      <w:tr>
        <w:trPr>
          <w:trHeight w:val="167"/>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Entertainment</w:t>
            </w:r>
          </w:p>
        </w:tc>
        <w:tc>
          <w:tcPr>
            <w:tcW w:w="7140" w:type="dxa"/>
            <w:vAlign w:val="bottom"/>
            <w:shd w:val="clear" w:color="auto" w:fill="F1EFEC"/>
          </w:tcPr>
          <w:p>
            <w:pPr>
              <w:spacing w:after="0"/>
              <w:rPr>
                <w:sz w:val="14"/>
                <w:szCs w:val="14"/>
                <w:color w:val="auto"/>
              </w:rPr>
            </w:pPr>
          </w:p>
        </w:tc>
      </w:tr>
      <w:tr>
        <w:trPr>
          <w:trHeight w:val="200"/>
        </w:trPr>
        <w:tc>
          <w:tcPr>
            <w:tcW w:w="1600" w:type="dxa"/>
            <w:vAlign w:val="bottom"/>
          </w:tcPr>
          <w:p>
            <w:pPr>
              <w:ind w:left="40"/>
              <w:spacing w:after="0"/>
              <w:rPr>
                <w:sz w:val="20"/>
                <w:szCs w:val="20"/>
                <w:color w:val="auto"/>
              </w:rPr>
            </w:pPr>
            <w:r>
              <w:rPr>
                <w:rFonts w:ascii="Arial" w:cs="Arial" w:eastAsia="Arial" w:hAnsi="Arial"/>
                <w:sz w:val="11"/>
                <w:szCs w:val="11"/>
                <w:color w:val="auto"/>
              </w:rPr>
              <w:t>Executive Leadership</w:t>
            </w:r>
          </w:p>
        </w:tc>
        <w:tc>
          <w:tcPr>
            <w:tcW w:w="7140" w:type="dxa"/>
            <w:vAlign w:val="bottom"/>
          </w:tcPr>
          <w:p>
            <w:pPr>
              <w:ind w:left="80"/>
              <w:spacing w:after="0"/>
              <w:rPr>
                <w:sz w:val="20"/>
                <w:szCs w:val="20"/>
                <w:color w:val="auto"/>
              </w:rPr>
            </w:pPr>
            <w:r>
              <w:rPr>
                <w:rFonts w:ascii="Arial" w:cs="Arial" w:eastAsia="Arial" w:hAnsi="Arial"/>
                <w:sz w:val="11"/>
                <w:szCs w:val="11"/>
                <w:color w:val="auto"/>
              </w:rPr>
              <w:t>Ms. Webb was a member of the corporate executive teams of Tennenbaum Capital Partners, Ticketmaster, and Disney.</w:t>
            </w:r>
          </w:p>
        </w:tc>
      </w:tr>
      <w:tr>
        <w:trPr>
          <w:trHeight w:val="207"/>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Outside Public Boards</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Ms. Webb served as a director of Tivo and Jack in the Box. She currently serves on the boards of AMH, AppFolio, and ABM.</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Finance &amp; Accounting</w:t>
            </w:r>
          </w:p>
        </w:tc>
        <w:tc>
          <w:tcPr>
            <w:tcW w:w="7140" w:type="dxa"/>
            <w:vAlign w:val="bottom"/>
          </w:tcPr>
          <w:p>
            <w:pPr>
              <w:ind w:left="80"/>
              <w:spacing w:after="0"/>
              <w:rPr>
                <w:sz w:val="20"/>
                <w:szCs w:val="20"/>
                <w:color w:val="auto"/>
              </w:rPr>
            </w:pPr>
            <w:r>
              <w:rPr>
                <w:rFonts w:ascii="Arial" w:cs="Arial" w:eastAsia="Arial" w:hAnsi="Arial"/>
                <w:sz w:val="11"/>
                <w:szCs w:val="11"/>
                <w:color w:val="auto"/>
              </w:rPr>
              <w:t>Ms. Webb began her career in investment banking. She served as Vice President at PaineWebber in New York and as a Corporate Finance</w:t>
            </w:r>
          </w:p>
        </w:tc>
      </w:tr>
      <w:tr>
        <w:trPr>
          <w:trHeight w:val="129"/>
        </w:trPr>
        <w:tc>
          <w:tcPr>
            <w:tcW w:w="1600" w:type="dxa"/>
            <w:vAlign w:val="bottom"/>
          </w:tcPr>
          <w:p>
            <w:pPr>
              <w:spacing w:after="0"/>
              <w:rPr>
                <w:sz w:val="11"/>
                <w:szCs w:val="11"/>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Analyst at Lehman Brothers. Prior to assuming her role in investor relations with Disney, she was engaged in that company’s capital</w:t>
            </w:r>
          </w:p>
        </w:tc>
      </w:tr>
      <w:tr>
        <w:trPr>
          <w:trHeight w:val="129"/>
        </w:trPr>
        <w:tc>
          <w:tcPr>
            <w:tcW w:w="1600" w:type="dxa"/>
            <w:vAlign w:val="bottom"/>
          </w:tcPr>
          <w:p>
            <w:pPr>
              <w:spacing w:after="0"/>
              <w:rPr>
                <w:sz w:val="11"/>
                <w:szCs w:val="11"/>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markets, treasury and corporate finance activities. She serves on the Audit Committees of ABM and AppFolio (where she chairs such</w:t>
            </w:r>
          </w:p>
        </w:tc>
      </w:tr>
      <w:tr>
        <w:trPr>
          <w:trHeight w:val="153"/>
        </w:trPr>
        <w:tc>
          <w:tcPr>
            <w:tcW w:w="1600" w:type="dxa"/>
            <w:vAlign w:val="bottom"/>
          </w:tcPr>
          <w:p>
            <w:pPr>
              <w:spacing w:after="0"/>
              <w:rPr>
                <w:sz w:val="13"/>
                <w:szCs w:val="13"/>
                <w:color w:val="auto"/>
              </w:rPr>
            </w:pPr>
          </w:p>
        </w:tc>
        <w:tc>
          <w:tcPr>
            <w:tcW w:w="7140" w:type="dxa"/>
            <w:vAlign w:val="bottom"/>
          </w:tcPr>
          <w:p>
            <w:pPr>
              <w:ind w:left="80"/>
              <w:spacing w:after="0"/>
              <w:rPr>
                <w:sz w:val="20"/>
                <w:szCs w:val="20"/>
                <w:color w:val="auto"/>
              </w:rPr>
            </w:pPr>
            <w:r>
              <w:rPr>
                <w:rFonts w:ascii="Arial" w:cs="Arial" w:eastAsia="Arial" w:hAnsi="Arial"/>
                <w:sz w:val="11"/>
                <w:szCs w:val="11"/>
                <w:color w:val="auto"/>
              </w:rPr>
              <w:t>committee).</w:t>
            </w:r>
          </w:p>
        </w:tc>
      </w:tr>
      <w:tr>
        <w:trPr>
          <w:trHeight w:val="180"/>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Cybersecurity &amp; Data</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Ms. Webb is a director at AppFolio, a software, agentic and AI solutions provider. She holds a National Association of Corporate</w:t>
            </w:r>
          </w:p>
        </w:tc>
      </w:tr>
      <w:tr>
        <w:trPr>
          <w:trHeight w:val="167"/>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Privacy</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Directors/Carnegie Mellon Certificate in Cyber-Risk Oversight.</w:t>
            </w:r>
          </w:p>
        </w:tc>
      </w:tr>
      <w:tr>
        <w:trPr>
          <w:trHeight w:val="176"/>
        </w:trPr>
        <w:tc>
          <w:tcPr>
            <w:tcW w:w="1600" w:type="dxa"/>
            <w:vAlign w:val="bottom"/>
          </w:tcPr>
          <w:p>
            <w:pPr>
              <w:ind w:left="40"/>
              <w:spacing w:after="0"/>
              <w:rPr>
                <w:sz w:val="20"/>
                <w:szCs w:val="20"/>
                <w:color w:val="auto"/>
              </w:rPr>
            </w:pPr>
            <w:r>
              <w:rPr>
                <w:rFonts w:ascii="Arial" w:cs="Arial" w:eastAsia="Arial" w:hAnsi="Arial"/>
                <w:sz w:val="11"/>
                <w:szCs w:val="11"/>
                <w:color w:val="auto"/>
              </w:rPr>
              <w:t>Real Estate &amp; Project</w:t>
            </w:r>
          </w:p>
        </w:tc>
        <w:tc>
          <w:tcPr>
            <w:tcW w:w="7140" w:type="dxa"/>
            <w:vAlign w:val="bottom"/>
          </w:tcPr>
          <w:p>
            <w:pPr>
              <w:ind w:left="80"/>
              <w:spacing w:after="0"/>
              <w:rPr>
                <w:sz w:val="20"/>
                <w:szCs w:val="20"/>
                <w:color w:val="auto"/>
              </w:rPr>
            </w:pPr>
            <w:r>
              <w:rPr>
                <w:rFonts w:ascii="Arial" w:cs="Arial" w:eastAsia="Arial" w:hAnsi="Arial"/>
                <w:sz w:val="11"/>
                <w:szCs w:val="11"/>
                <w:color w:val="auto"/>
              </w:rPr>
              <w:t>Ms. Webb is a trustee of AMH, a real estate investment trust. She is also a director of ABM, a facilities services and engineering company,</w:t>
            </w:r>
          </w:p>
        </w:tc>
      </w:tr>
      <w:tr>
        <w:trPr>
          <w:trHeight w:val="158"/>
        </w:trPr>
        <w:tc>
          <w:tcPr>
            <w:tcW w:w="1600" w:type="dxa"/>
            <w:vAlign w:val="bottom"/>
          </w:tcPr>
          <w:p>
            <w:pPr>
              <w:ind w:left="40"/>
              <w:spacing w:after="0"/>
              <w:rPr>
                <w:sz w:val="20"/>
                <w:szCs w:val="20"/>
                <w:color w:val="auto"/>
              </w:rPr>
            </w:pPr>
            <w:r>
              <w:rPr>
                <w:rFonts w:ascii="Arial" w:cs="Arial" w:eastAsia="Arial" w:hAnsi="Arial"/>
                <w:sz w:val="11"/>
                <w:szCs w:val="11"/>
                <w:color w:val="auto"/>
              </w:rPr>
              <w:t>Construction</w:t>
            </w:r>
          </w:p>
        </w:tc>
        <w:tc>
          <w:tcPr>
            <w:tcW w:w="7140" w:type="dxa"/>
            <w:vAlign w:val="bottom"/>
          </w:tcPr>
          <w:p>
            <w:pPr>
              <w:ind w:left="80"/>
              <w:spacing w:after="0"/>
              <w:rPr>
                <w:sz w:val="20"/>
                <w:szCs w:val="20"/>
                <w:color w:val="auto"/>
              </w:rPr>
            </w:pPr>
            <w:r>
              <w:rPr>
                <w:rFonts w:ascii="Arial" w:cs="Arial" w:eastAsia="Arial" w:hAnsi="Arial"/>
                <w:sz w:val="11"/>
                <w:szCs w:val="11"/>
                <w:color w:val="auto"/>
              </w:rPr>
              <w:t>and AppFolio, which provides property management software and services.</w:t>
            </w:r>
          </w:p>
        </w:tc>
      </w:tr>
      <w:tr>
        <w:trPr>
          <w:trHeight w:val="185"/>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Environmental &amp;</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Ms. Webb was Disney’s C-suite executive responsible for governance outreach and was separately the Executive Director of The Walt</w:t>
            </w:r>
          </w:p>
        </w:tc>
      </w:tr>
      <w:tr>
        <w:trPr>
          <w:trHeight w:val="129"/>
        </w:trPr>
        <w:tc>
          <w:tcPr>
            <w:tcW w:w="1600" w:type="dxa"/>
            <w:vAlign w:val="bottom"/>
            <w:shd w:val="clear" w:color="auto" w:fill="F1EFEC"/>
          </w:tcPr>
          <w:p>
            <w:pPr>
              <w:ind w:left="40"/>
              <w:spacing w:after="0"/>
              <w:rPr>
                <w:sz w:val="20"/>
                <w:szCs w:val="20"/>
                <w:color w:val="auto"/>
              </w:rPr>
            </w:pPr>
            <w:r>
              <w:rPr>
                <w:rFonts w:ascii="Arial" w:cs="Arial" w:eastAsia="Arial" w:hAnsi="Arial"/>
                <w:sz w:val="11"/>
                <w:szCs w:val="11"/>
                <w:color w:val="auto"/>
              </w:rPr>
              <w:t>Sustainability</w:t>
            </w: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Disney Company Foundation. She serves on the Nominating and Governance Committees at Appfolio and AMH. She is a member of</w:t>
            </w:r>
          </w:p>
        </w:tc>
      </w:tr>
      <w:tr>
        <w:trPr>
          <w:trHeight w:val="156"/>
        </w:trPr>
        <w:tc>
          <w:tcPr>
            <w:tcW w:w="1600" w:type="dxa"/>
            <w:vAlign w:val="bottom"/>
            <w:shd w:val="clear" w:color="auto" w:fill="F1EFEC"/>
          </w:tcPr>
          <w:p>
            <w:pPr>
              <w:spacing w:after="0"/>
              <w:rPr>
                <w:sz w:val="13"/>
                <w:szCs w:val="13"/>
                <w:color w:val="auto"/>
              </w:rPr>
            </w:pPr>
          </w:p>
        </w:tc>
        <w:tc>
          <w:tcPr>
            <w:tcW w:w="7140" w:type="dxa"/>
            <w:vAlign w:val="bottom"/>
            <w:shd w:val="clear" w:color="auto" w:fill="F1EFEC"/>
          </w:tcPr>
          <w:p>
            <w:pPr>
              <w:ind w:left="80"/>
              <w:spacing w:after="0"/>
              <w:rPr>
                <w:sz w:val="20"/>
                <w:szCs w:val="20"/>
                <w:color w:val="auto"/>
              </w:rPr>
            </w:pPr>
            <w:r>
              <w:rPr>
                <w:rFonts w:ascii="Arial" w:cs="Arial" w:eastAsia="Arial" w:hAnsi="Arial"/>
                <w:sz w:val="11"/>
                <w:szCs w:val="11"/>
                <w:color w:val="auto"/>
              </w:rPr>
              <w:t>ABM’s Stakeholder &amp; Enterprise Risk committee, responsible for oversight of that company’s sustainability efforts.</w:t>
            </w:r>
          </w:p>
        </w:tc>
      </w:tr>
    </w:tbl>
    <w:p>
      <w:pPr>
        <w:spacing w:after="0" w:line="10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159"/>
          </w:cols>
          <w:pgMar w:left="300" w:top="412"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Board Independence</w:t>
      </w:r>
    </w:p>
    <w:p>
      <w:pPr>
        <w:spacing w:after="0" w:line="278" w:lineRule="exact"/>
        <w:rPr>
          <w:sz w:val="20"/>
          <w:szCs w:val="20"/>
          <w:color w:val="auto"/>
        </w:rPr>
      </w:pPr>
    </w:p>
    <w:p>
      <w:pPr>
        <w:ind w:left="1260" w:right="139"/>
        <w:spacing w:after="0" w:line="250" w:lineRule="auto"/>
        <w:rPr>
          <w:sz w:val="20"/>
          <w:szCs w:val="20"/>
          <w:color w:val="auto"/>
        </w:rPr>
      </w:pPr>
      <w:r>
        <w:rPr>
          <w:rFonts w:ascii="Arial" w:cs="Arial" w:eastAsia="Arial" w:hAnsi="Arial"/>
          <w:sz w:val="13"/>
          <w:szCs w:val="13"/>
          <w:color w:val="auto"/>
        </w:rPr>
        <w:t>The Board has affirmatively determined that, with the exception of Mr. Billings, our Chief Executive Officer, each director that served during 2025 was, and continues to qualify as, an independent director in accordance with NASDAQ’s listing standards. In addition, the Board has determined that each of</w:t>
      </w:r>
    </w:p>
    <w:p>
      <w:pPr>
        <w:spacing w:after="0" w:line="1" w:lineRule="exact"/>
        <w:rPr>
          <w:sz w:val="20"/>
          <w:szCs w:val="20"/>
          <w:color w:val="auto"/>
        </w:rPr>
      </w:pPr>
    </w:p>
    <w:p>
      <w:pPr>
        <w:ind w:left="1260" w:right="159"/>
        <w:spacing w:after="0" w:line="243" w:lineRule="auto"/>
        <w:rPr>
          <w:sz w:val="20"/>
          <w:szCs w:val="20"/>
          <w:color w:val="auto"/>
        </w:rPr>
      </w:pPr>
      <w:r>
        <w:rPr>
          <w:rFonts w:ascii="Arial" w:cs="Arial" w:eastAsia="Arial" w:hAnsi="Arial"/>
          <w:sz w:val="13"/>
          <w:szCs w:val="13"/>
          <w:color w:val="auto"/>
        </w:rPr>
        <w:t>Mr. Byrne, Mr. Liu, Mr. Sanfilippo, Ms. Mulroy and Ms. Webb met the heightened independence requirements for Audit Committee membership as set forth in Rule 10A-3 under the Securities and Exchange Act of 1934, as amended (the “Exchange Act”), and the applicable listing standards of NASDAQ, and that each of Ms. Atkins, and Messrs. Byrne and Strom (as well as Ms. Myers up to the end of her term at the Annual Meeting in April 2025) met the heightened independence requirements for Compensation Committee members set forth in Rule 10C-1 under the Exchange Act and the applicable listing standards of Nasdaq.</w:t>
      </w:r>
    </w:p>
    <w:p>
      <w:pPr>
        <w:spacing w:after="0" w:line="154" w:lineRule="exact"/>
        <w:rPr>
          <w:sz w:val="20"/>
          <w:szCs w:val="20"/>
          <w:color w:val="auto"/>
        </w:rPr>
      </w:pPr>
    </w:p>
    <w:p>
      <w:pPr>
        <w:ind w:left="1260" w:right="179"/>
        <w:spacing w:after="0" w:line="251" w:lineRule="auto"/>
        <w:rPr>
          <w:sz w:val="20"/>
          <w:szCs w:val="20"/>
          <w:color w:val="auto"/>
        </w:rPr>
      </w:pPr>
      <w:r>
        <w:rPr>
          <w:rFonts w:ascii="Arial" w:cs="Arial" w:eastAsia="Arial" w:hAnsi="Arial"/>
          <w:sz w:val="13"/>
          <w:szCs w:val="13"/>
          <w:color w:val="auto"/>
        </w:rPr>
        <w:t>In addition, our Code of Conduct requires our employees and directors to avoid situations where their personal interests may, or may appear to, conflict with our interests, and to disclose a potential conflict of interest. In any situation where a director could be perceived as having a potential conflict of interest, that director is expected to recuse themselves from the matter, and the non-interested members of the Board will review and act on the matter or transaction.</w:t>
      </w:r>
    </w:p>
    <w:p>
      <w:pPr>
        <w:spacing w:after="0" w:line="207" w:lineRule="exact"/>
        <w:rPr>
          <w:sz w:val="20"/>
          <w:szCs w:val="20"/>
          <w:color w:val="auto"/>
        </w:rPr>
      </w:pPr>
    </w:p>
    <w:p>
      <w:pPr>
        <w:ind w:left="1260" w:right="619"/>
        <w:spacing w:after="0" w:line="266" w:lineRule="auto"/>
        <w:rPr>
          <w:sz w:val="20"/>
          <w:szCs w:val="20"/>
          <w:color w:val="auto"/>
        </w:rPr>
      </w:pPr>
      <w:r>
        <w:rPr>
          <w:rFonts w:ascii="Times New Roman" w:cs="Times New Roman" w:eastAsia="Times New Roman" w:hAnsi="Times New Roman"/>
          <w:sz w:val="36"/>
          <w:szCs w:val="36"/>
          <w:color w:val="auto"/>
        </w:rPr>
        <w:t>Attendance at Board, Committee and Annual Shareholder Meetings</w:t>
      </w:r>
    </w:p>
    <w:p>
      <w:pPr>
        <w:spacing w:after="0" w:line="182" w:lineRule="exact"/>
        <w:rPr>
          <w:sz w:val="20"/>
          <w:szCs w:val="20"/>
          <w:color w:val="auto"/>
        </w:rPr>
      </w:pPr>
    </w:p>
    <w:p>
      <w:pPr>
        <w:ind w:left="1260" w:right="139"/>
        <w:spacing w:after="0" w:line="248" w:lineRule="auto"/>
        <w:rPr>
          <w:sz w:val="20"/>
          <w:szCs w:val="20"/>
          <w:color w:val="auto"/>
        </w:rPr>
      </w:pPr>
      <w:r>
        <w:rPr>
          <w:rFonts w:ascii="Arial" w:cs="Arial" w:eastAsia="Arial" w:hAnsi="Arial"/>
          <w:sz w:val="13"/>
          <w:szCs w:val="13"/>
          <w:color w:val="auto"/>
        </w:rPr>
        <w:t>During 2025, the Board held five meetings, the Audit Committee held five meetings, the Compensation Committee held six meetings, and the Nominating and Corporate Governance Committee held four meetings. Directors are expected to attend the annual meeting of shareholders and all or substantially all of the Board meetings and meetings of committees on which they serve. All directors then in office attended the annual meeting of shareholders held on April 30, 2025 and, during 2025, each director attended at least 75% of the meetings of the Board during such director’s tenure and the total number of meetings held by the committees of the Board on which the director served.</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HOW WE GOVERN AND ARE GOVERNED</w:t>
      </w:r>
    </w:p>
    <w:p>
      <w:pPr>
        <w:spacing w:after="0" w:line="284" w:lineRule="exact"/>
        <w:rPr>
          <w:sz w:val="20"/>
          <w:szCs w:val="20"/>
          <w:color w:val="auto"/>
        </w:rPr>
      </w:pPr>
    </w:p>
    <w:p>
      <w:pPr>
        <w:ind w:left="1260" w:right="159"/>
        <w:spacing w:after="0" w:line="256" w:lineRule="auto"/>
        <w:rPr>
          <w:sz w:val="20"/>
          <w:szCs w:val="20"/>
          <w:color w:val="auto"/>
        </w:rPr>
      </w:pPr>
      <w:r>
        <w:rPr>
          <w:rFonts w:ascii="Arial" w:cs="Arial" w:eastAsia="Arial" w:hAnsi="Arial"/>
          <w:sz w:val="13"/>
          <w:szCs w:val="13"/>
          <w:color w:val="auto"/>
        </w:rPr>
        <w:t>Our Board considers carefully which of its functions should be delegated to its standing committees and which are better suited for the full Board. We also consider carefully which directors serve on, and chair, each committee, and how reporting between the committees, the Board, the Chair of the Board, and management should take place.</w:t>
      </w:r>
    </w:p>
    <w:p>
      <w:pPr>
        <w:spacing w:after="0" w:line="144" w:lineRule="exact"/>
        <w:rPr>
          <w:sz w:val="20"/>
          <w:szCs w:val="20"/>
          <w:color w:val="auto"/>
        </w:rPr>
      </w:pPr>
    </w:p>
    <w:p>
      <w:pPr>
        <w:ind w:left="1260" w:right="439"/>
        <w:spacing w:after="0" w:line="256" w:lineRule="auto"/>
        <w:rPr>
          <w:sz w:val="20"/>
          <w:szCs w:val="20"/>
          <w:color w:val="auto"/>
        </w:rPr>
      </w:pPr>
      <w:r>
        <w:rPr>
          <w:rFonts w:ascii="Arial" w:cs="Arial" w:eastAsia="Arial" w:hAnsi="Arial"/>
          <w:sz w:val="13"/>
          <w:szCs w:val="13"/>
          <w:color w:val="auto"/>
        </w:rPr>
        <w:t>As part of its commitment to ensuring strong corporate governance, the Nominating and Governance Committee periodically assesses this structure, including monitoring the effectiveness of the committees through the annual self-evaluation process, when and whether new committees or sub-committees are needed and how the committee’s reporting mechanisms to the Board are operating in practice.</w:t>
      </w:r>
    </w:p>
    <w:p>
      <w:pPr>
        <w:spacing w:after="0" w:line="90"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159"/>
          </w:cols>
          <w:pgMar w:left="300" w:top="41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Committees of the Board</w:t>
      </w:r>
    </w:p>
    <w:p>
      <w:pPr>
        <w:spacing w:after="0" w:line="278" w:lineRule="exact"/>
        <w:rPr>
          <w:sz w:val="20"/>
          <w:szCs w:val="20"/>
          <w:color w:val="auto"/>
        </w:rPr>
      </w:pPr>
    </w:p>
    <w:p>
      <w:pPr>
        <w:ind w:left="1260" w:right="579"/>
        <w:spacing w:after="0" w:line="251" w:lineRule="auto"/>
        <w:rPr>
          <w:sz w:val="20"/>
          <w:szCs w:val="20"/>
          <w:color w:val="auto"/>
        </w:rPr>
      </w:pPr>
      <w:r>
        <w:rPr>
          <w:rFonts w:ascii="Arial" w:cs="Arial" w:eastAsia="Arial" w:hAnsi="Arial"/>
          <w:sz w:val="13"/>
          <w:szCs w:val="13"/>
          <w:color w:val="auto"/>
        </w:rPr>
        <w:t>The Board of Directors has three standing committees, each comprised solely of independent directors: the Audit Committee, the Compensation Committee, and the Nominating and Corporate Governance Committee. The charters for these committees are available on our website at http://www.wynnresorts.com under the heading “CORPORATE GOVERNANCE” on the ”COMPANY INFO” page. The current composition and key responsibilities of the three standing committees of the Board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113665</wp:posOffset>
            </wp:positionV>
            <wp:extent cx="6985" cy="22688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85" cy="226885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113665</wp:posOffset>
            </wp:positionV>
            <wp:extent cx="6985" cy="22688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85" cy="22688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113665</wp:posOffset>
            </wp:positionV>
            <wp:extent cx="6985" cy="22688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85" cy="22688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113665</wp:posOffset>
            </wp:positionV>
            <wp:extent cx="6985" cy="22688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85" cy="2268855"/>
                    </a:xfrm>
                    <a:prstGeom prst="rect">
                      <a:avLst/>
                    </a:prstGeom>
                    <a:noFill/>
                  </pic:spPr>
                </pic:pic>
              </a:graphicData>
            </a:graphic>
          </wp:anchor>
        </w:drawing>
      </w:r>
    </w:p>
    <w:p>
      <w:pPr>
        <w:spacing w:after="0" w:line="159"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3860" w:type="dxa"/>
            <w:vAlign w:val="bottom"/>
            <w:shd w:val="clear" w:color="auto" w:fill="B9AFA0"/>
          </w:tcPr>
          <w:p>
            <w:pPr>
              <w:spacing w:after="0"/>
              <w:rPr>
                <w:sz w:val="16"/>
                <w:szCs w:val="16"/>
                <w:color w:val="auto"/>
              </w:rPr>
            </w:pPr>
          </w:p>
        </w:tc>
        <w:tc>
          <w:tcPr>
            <w:tcW w:w="1040" w:type="dxa"/>
            <w:vAlign w:val="bottom"/>
            <w:shd w:val="clear" w:color="auto" w:fill="B9AFA0"/>
          </w:tcPr>
          <w:p>
            <w:pPr>
              <w:spacing w:after="0"/>
              <w:rPr>
                <w:sz w:val="16"/>
                <w:szCs w:val="16"/>
                <w:color w:val="auto"/>
              </w:rPr>
            </w:pPr>
          </w:p>
        </w:tc>
        <w:tc>
          <w:tcPr>
            <w:tcW w:w="900" w:type="dxa"/>
            <w:vAlign w:val="bottom"/>
            <w:shd w:val="clear" w:color="auto" w:fill="B9AFA0"/>
          </w:tcPr>
          <w:p>
            <w:pPr>
              <w:spacing w:after="0"/>
              <w:rPr>
                <w:sz w:val="16"/>
                <w:szCs w:val="16"/>
                <w:color w:val="auto"/>
              </w:rPr>
            </w:pPr>
          </w:p>
        </w:tc>
        <w:tc>
          <w:tcPr>
            <w:tcW w:w="1120" w:type="dxa"/>
            <w:vAlign w:val="bottom"/>
            <w:shd w:val="clear" w:color="auto" w:fill="B9AFA0"/>
          </w:tcPr>
          <w:p>
            <w:pPr>
              <w:spacing w:after="0"/>
              <w:rPr>
                <w:sz w:val="16"/>
                <w:szCs w:val="16"/>
                <w:color w:val="auto"/>
              </w:rPr>
            </w:pPr>
          </w:p>
        </w:tc>
        <w:tc>
          <w:tcPr>
            <w:tcW w:w="18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NOMINATING</w:t>
            </w:r>
          </w:p>
        </w:tc>
      </w:tr>
      <w:tr>
        <w:trPr>
          <w:trHeight w:val="150"/>
        </w:trPr>
        <w:tc>
          <w:tcPr>
            <w:tcW w:w="3860" w:type="dxa"/>
            <w:vAlign w:val="bottom"/>
            <w:shd w:val="clear" w:color="auto" w:fill="B9AFA0"/>
          </w:tcPr>
          <w:p>
            <w:pPr>
              <w:spacing w:after="0"/>
              <w:rPr>
                <w:sz w:val="13"/>
                <w:szCs w:val="13"/>
                <w:color w:val="auto"/>
              </w:rPr>
            </w:pPr>
          </w:p>
        </w:tc>
        <w:tc>
          <w:tcPr>
            <w:tcW w:w="1040" w:type="dxa"/>
            <w:vAlign w:val="bottom"/>
            <w:shd w:val="clear" w:color="auto" w:fill="B9AFA0"/>
          </w:tcPr>
          <w:p>
            <w:pPr>
              <w:jc w:val="center"/>
              <w:spacing w:after="0"/>
              <w:rPr>
                <w:sz w:val="20"/>
                <w:szCs w:val="20"/>
                <w:color w:val="auto"/>
              </w:rPr>
            </w:pPr>
            <w:r>
              <w:rPr>
                <w:rFonts w:ascii="Arial" w:cs="Arial" w:eastAsia="Arial" w:hAnsi="Arial"/>
                <w:sz w:val="13"/>
                <w:szCs w:val="13"/>
                <w:color w:val="FFFFFF"/>
              </w:rPr>
              <w:t> INDEPENDENT</w:t>
            </w:r>
          </w:p>
        </w:tc>
        <w:tc>
          <w:tcPr>
            <w:tcW w:w="90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AUDIT</w:t>
            </w: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 COMPENSATION</w:t>
            </w:r>
          </w:p>
        </w:tc>
        <w:tc>
          <w:tcPr>
            <w:tcW w:w="18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6"/>
              </w:rPr>
              <w:t>AND CORPORATE</w:t>
            </w:r>
          </w:p>
        </w:tc>
      </w:tr>
      <w:tr>
        <w:trPr>
          <w:trHeight w:val="205"/>
        </w:trPr>
        <w:tc>
          <w:tcPr>
            <w:tcW w:w="386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DIRECTOR</w:t>
            </w:r>
          </w:p>
        </w:tc>
        <w:tc>
          <w:tcPr>
            <w:tcW w:w="10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7"/>
              </w:rPr>
              <w:t>DIRECTOR</w:t>
            </w:r>
          </w:p>
        </w:tc>
        <w:tc>
          <w:tcPr>
            <w:tcW w:w="90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8"/>
              </w:rPr>
              <w:t> COMMITTEE </w:t>
            </w:r>
          </w:p>
        </w:tc>
        <w:tc>
          <w:tcPr>
            <w:tcW w:w="11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7"/>
              </w:rPr>
              <w:t>COMMITTEE</w:t>
            </w:r>
          </w:p>
        </w:tc>
        <w:tc>
          <w:tcPr>
            <w:tcW w:w="18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9"/>
              </w:rPr>
              <w:t> GOVERNANCE COMMITTEE</w:t>
            </w:r>
          </w:p>
        </w:tc>
      </w:tr>
      <w:tr>
        <w:trPr>
          <w:trHeight w:val="280"/>
        </w:trPr>
        <w:tc>
          <w:tcPr>
            <w:tcW w:w="3860" w:type="dxa"/>
            <w:vAlign w:val="bottom"/>
            <w:tcBorders>
              <w:bottom w:val="single" w:sz="8" w:color="F1EFEC"/>
            </w:tcBorders>
            <w:shd w:val="clear" w:color="auto" w:fill="F1EFEC"/>
          </w:tcPr>
          <w:p>
            <w:pPr>
              <w:ind w:left="40"/>
              <w:spacing w:after="0"/>
              <w:rPr>
                <w:sz w:val="20"/>
                <w:szCs w:val="20"/>
                <w:color w:val="auto"/>
              </w:rPr>
            </w:pPr>
            <w:r>
              <w:rPr>
                <w:rFonts w:ascii="Arial" w:cs="Arial" w:eastAsia="Arial" w:hAnsi="Arial"/>
                <w:sz w:val="13"/>
                <w:szCs w:val="13"/>
                <w:color w:val="auto"/>
              </w:rPr>
              <w:t>Betsy S. Atkins</w:t>
            </w:r>
          </w:p>
        </w:tc>
        <w:tc>
          <w:tcPr>
            <w:tcW w:w="104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900" w:type="dxa"/>
            <w:vAlign w:val="bottom"/>
            <w:tcBorders>
              <w:bottom w:val="single" w:sz="8" w:color="F1EFEC"/>
            </w:tcBorders>
            <w:shd w:val="clear" w:color="auto" w:fill="F1EFEC"/>
          </w:tcPr>
          <w:p>
            <w:pPr>
              <w:spacing w:after="0"/>
              <w:rPr>
                <w:sz w:val="24"/>
                <w:szCs w:val="24"/>
                <w:color w:val="auto"/>
              </w:rPr>
            </w:pPr>
          </w:p>
        </w:tc>
        <w:tc>
          <w:tcPr>
            <w:tcW w:w="1120" w:type="dxa"/>
            <w:vAlign w:val="bottom"/>
            <w:tcBorders>
              <w:bottom w:val="single" w:sz="8" w:color="F1EFEC"/>
            </w:tcBorders>
            <w:shd w:val="clear" w:color="auto" w:fill="F1EFEC"/>
          </w:tcPr>
          <w:p>
            <w:pPr>
              <w:jc w:val="center"/>
              <w:spacing w:after="0"/>
              <w:rPr>
                <w:sz w:val="20"/>
                <w:szCs w:val="20"/>
                <w:color w:val="auto"/>
              </w:rPr>
            </w:pPr>
            <w:r>
              <w:rPr>
                <w:rFonts w:ascii="Arial" w:cs="Arial" w:eastAsia="Arial" w:hAnsi="Arial"/>
                <w:sz w:val="13"/>
                <w:szCs w:val="13"/>
                <w:color w:val="auto"/>
                <w:w w:val="84"/>
              </w:rPr>
              <w:t>C</w:t>
            </w:r>
          </w:p>
        </w:tc>
        <w:tc>
          <w:tcPr>
            <w:tcW w:w="1820" w:type="dxa"/>
            <w:vAlign w:val="bottom"/>
            <w:tcBorders>
              <w:bottom w:val="single" w:sz="8" w:color="F1EFEC"/>
            </w:tcBorders>
            <w:shd w:val="clear" w:color="auto" w:fill="F1EFEC"/>
          </w:tcPr>
          <w:p>
            <w:pPr>
              <w:jc w:val="center"/>
              <w:spacing w:after="0"/>
              <w:rPr>
                <w:sz w:val="20"/>
                <w:szCs w:val="20"/>
                <w:color w:val="auto"/>
              </w:rPr>
            </w:pPr>
            <w:r>
              <w:rPr>
                <w:rFonts w:ascii="Arial" w:cs="Arial" w:eastAsia="Arial" w:hAnsi="Arial"/>
                <w:sz w:val="13"/>
                <w:szCs w:val="13"/>
                <w:color w:val="auto"/>
              </w:rPr>
              <w:t>•</w:t>
            </w:r>
          </w:p>
        </w:tc>
      </w:tr>
      <w:tr>
        <w:trPr>
          <w:trHeight w:val="233"/>
        </w:trPr>
        <w:tc>
          <w:tcPr>
            <w:tcW w:w="3860" w:type="dxa"/>
            <w:vAlign w:val="bottom"/>
          </w:tcPr>
          <w:p>
            <w:pPr>
              <w:ind w:left="40"/>
              <w:spacing w:after="0"/>
              <w:rPr>
                <w:sz w:val="20"/>
                <w:szCs w:val="20"/>
                <w:color w:val="auto"/>
              </w:rPr>
            </w:pPr>
            <w:r>
              <w:rPr>
                <w:rFonts w:ascii="Arial" w:cs="Arial" w:eastAsia="Arial" w:hAnsi="Arial"/>
                <w:sz w:val="13"/>
                <w:szCs w:val="13"/>
                <w:color w:val="auto"/>
              </w:rPr>
              <w:t>Craig S. Billings</w:t>
            </w: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67"/>
        </w:trPr>
        <w:tc>
          <w:tcPr>
            <w:tcW w:w="3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20" w:type="dxa"/>
            <w:vAlign w:val="bottom"/>
          </w:tcPr>
          <w:p>
            <w:pPr>
              <w:spacing w:after="0"/>
              <w:rPr>
                <w:sz w:val="5"/>
                <w:szCs w:val="5"/>
                <w:color w:val="auto"/>
              </w:rPr>
            </w:pPr>
          </w:p>
        </w:tc>
      </w:tr>
      <w:tr>
        <w:trPr>
          <w:trHeight w:val="280"/>
        </w:trPr>
        <w:tc>
          <w:tcPr>
            <w:tcW w:w="3860" w:type="dxa"/>
            <w:vAlign w:val="bottom"/>
            <w:tcBorders>
              <w:bottom w:val="single" w:sz="8" w:color="F1EFEC"/>
            </w:tcBorders>
            <w:shd w:val="clear" w:color="auto" w:fill="F1EFEC"/>
          </w:tcPr>
          <w:p>
            <w:pPr>
              <w:ind w:left="40"/>
              <w:spacing w:after="0"/>
              <w:rPr>
                <w:sz w:val="20"/>
                <w:szCs w:val="20"/>
                <w:color w:val="auto"/>
              </w:rPr>
            </w:pPr>
            <w:r>
              <w:rPr>
                <w:rFonts w:ascii="Arial" w:cs="Arial" w:eastAsia="Arial" w:hAnsi="Arial"/>
                <w:sz w:val="13"/>
                <w:szCs w:val="13"/>
                <w:color w:val="auto"/>
              </w:rPr>
              <w:t>Richard J. Byrne</w:t>
            </w:r>
          </w:p>
        </w:tc>
        <w:tc>
          <w:tcPr>
            <w:tcW w:w="104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900" w:type="dxa"/>
            <w:vAlign w:val="bottom"/>
            <w:tcBorders>
              <w:bottom w:val="single" w:sz="8" w:color="F1EFEC"/>
            </w:tcBorders>
            <w:shd w:val="clear" w:color="auto" w:fill="F1EFEC"/>
          </w:tcPr>
          <w:p>
            <w:pPr>
              <w:jc w:val="center"/>
              <w:spacing w:after="0"/>
              <w:rPr>
                <w:sz w:val="20"/>
                <w:szCs w:val="20"/>
                <w:color w:val="auto"/>
              </w:rPr>
            </w:pPr>
            <w:r>
              <w:rPr>
                <w:rFonts w:ascii="Arial" w:cs="Arial" w:eastAsia="Arial" w:hAnsi="Arial"/>
                <w:sz w:val="13"/>
                <w:szCs w:val="13"/>
                <w:color w:val="auto"/>
              </w:rPr>
              <w:t>F</w:t>
            </w:r>
          </w:p>
        </w:tc>
        <w:tc>
          <w:tcPr>
            <w:tcW w:w="1120" w:type="dxa"/>
            <w:vAlign w:val="bottom"/>
            <w:tcBorders>
              <w:bottom w:val="single" w:sz="8" w:color="F1EFEC"/>
            </w:tcBorders>
            <w:shd w:val="clear" w:color="auto" w:fill="F1EFEC"/>
          </w:tcPr>
          <w:p>
            <w:pPr>
              <w:jc w:val="center"/>
              <w:spacing w:after="0"/>
              <w:rPr>
                <w:sz w:val="20"/>
                <w:szCs w:val="20"/>
                <w:color w:val="auto"/>
              </w:rPr>
            </w:pPr>
            <w:r>
              <w:rPr>
                <w:rFonts w:ascii="Arial" w:cs="Arial" w:eastAsia="Arial" w:hAnsi="Arial"/>
                <w:sz w:val="13"/>
                <w:szCs w:val="13"/>
                <w:color w:val="auto"/>
                <w:w w:val="86"/>
              </w:rPr>
              <w:t>•</w:t>
            </w:r>
          </w:p>
        </w:tc>
        <w:tc>
          <w:tcPr>
            <w:tcW w:w="1820" w:type="dxa"/>
            <w:vAlign w:val="bottom"/>
            <w:tcBorders>
              <w:bottom w:val="single" w:sz="8" w:color="F1EFEC"/>
            </w:tcBorders>
            <w:shd w:val="clear" w:color="auto" w:fill="F1EFEC"/>
          </w:tcPr>
          <w:p>
            <w:pPr>
              <w:spacing w:after="0"/>
              <w:rPr>
                <w:sz w:val="24"/>
                <w:szCs w:val="24"/>
                <w:color w:val="auto"/>
              </w:rPr>
            </w:pPr>
          </w:p>
        </w:tc>
      </w:tr>
      <w:tr>
        <w:trPr>
          <w:trHeight w:val="251"/>
        </w:trPr>
        <w:tc>
          <w:tcPr>
            <w:tcW w:w="3860" w:type="dxa"/>
            <w:vAlign w:val="bottom"/>
          </w:tcPr>
          <w:p>
            <w:pPr>
              <w:ind w:left="40"/>
              <w:spacing w:after="0"/>
              <w:rPr>
                <w:sz w:val="20"/>
                <w:szCs w:val="20"/>
                <w:color w:val="auto"/>
              </w:rPr>
            </w:pPr>
            <w:r>
              <w:rPr>
                <w:rFonts w:ascii="Arial" w:cs="Arial" w:eastAsia="Arial" w:hAnsi="Arial"/>
                <w:sz w:val="13"/>
                <w:szCs w:val="13"/>
                <w:color w:val="auto"/>
              </w:rPr>
              <w:t>Paul Liu</w:t>
            </w:r>
          </w:p>
        </w:tc>
        <w:tc>
          <w:tcPr>
            <w:tcW w:w="10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9"/>
        </w:trPr>
        <w:tc>
          <w:tcPr>
            <w:tcW w:w="3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80"/>
        </w:trPr>
        <w:tc>
          <w:tcPr>
            <w:tcW w:w="3860" w:type="dxa"/>
            <w:vAlign w:val="bottom"/>
            <w:tcBorders>
              <w:bottom w:val="single" w:sz="8" w:color="F1EFEC"/>
            </w:tcBorders>
            <w:shd w:val="clear" w:color="auto" w:fill="F1EFEC"/>
          </w:tcPr>
          <w:p>
            <w:pPr>
              <w:ind w:left="40"/>
              <w:spacing w:after="0"/>
              <w:rPr>
                <w:sz w:val="20"/>
                <w:szCs w:val="20"/>
                <w:color w:val="auto"/>
              </w:rPr>
            </w:pPr>
            <w:r>
              <w:rPr>
                <w:rFonts w:ascii="Arial" w:cs="Arial" w:eastAsia="Arial" w:hAnsi="Arial"/>
                <w:sz w:val="13"/>
                <w:szCs w:val="13"/>
                <w:color w:val="auto"/>
              </w:rPr>
              <w:t>Patricia Mulroy</w:t>
            </w:r>
          </w:p>
        </w:tc>
        <w:tc>
          <w:tcPr>
            <w:tcW w:w="104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900" w:type="dxa"/>
            <w:vAlign w:val="bottom"/>
            <w:tcBorders>
              <w:bottom w:val="single" w:sz="8" w:color="F1EFEC"/>
            </w:tcBorders>
            <w:shd w:val="clear" w:color="auto" w:fill="F1EFEC"/>
          </w:tcPr>
          <w:p>
            <w:pPr>
              <w:jc w:val="center"/>
              <w:spacing w:after="0"/>
              <w:rPr>
                <w:sz w:val="20"/>
                <w:szCs w:val="20"/>
                <w:color w:val="auto"/>
              </w:rPr>
            </w:pPr>
            <w:r>
              <w:rPr>
                <w:rFonts w:ascii="Arial" w:cs="Arial" w:eastAsia="Arial" w:hAnsi="Arial"/>
                <w:sz w:val="13"/>
                <w:szCs w:val="13"/>
                <w:color w:val="auto"/>
                <w:w w:val="86"/>
              </w:rPr>
              <w:t>•</w:t>
            </w:r>
          </w:p>
        </w:tc>
        <w:tc>
          <w:tcPr>
            <w:tcW w:w="1120" w:type="dxa"/>
            <w:vAlign w:val="bottom"/>
            <w:tcBorders>
              <w:bottom w:val="single" w:sz="8" w:color="F1EFEC"/>
            </w:tcBorders>
            <w:shd w:val="clear" w:color="auto" w:fill="F1EFEC"/>
          </w:tcPr>
          <w:p>
            <w:pPr>
              <w:spacing w:after="0"/>
              <w:rPr>
                <w:sz w:val="24"/>
                <w:szCs w:val="24"/>
                <w:color w:val="auto"/>
              </w:rPr>
            </w:pPr>
          </w:p>
        </w:tc>
        <w:tc>
          <w:tcPr>
            <w:tcW w:w="1820" w:type="dxa"/>
            <w:vAlign w:val="bottom"/>
            <w:tcBorders>
              <w:bottom w:val="single" w:sz="8" w:color="F1EFEC"/>
            </w:tcBorders>
            <w:shd w:val="clear" w:color="auto" w:fill="F1EFEC"/>
          </w:tcPr>
          <w:p>
            <w:pPr>
              <w:jc w:val="center"/>
              <w:spacing w:after="0"/>
              <w:rPr>
                <w:sz w:val="20"/>
                <w:szCs w:val="20"/>
                <w:color w:val="auto"/>
              </w:rPr>
            </w:pPr>
            <w:r>
              <w:rPr>
                <w:rFonts w:ascii="Arial" w:cs="Arial" w:eastAsia="Arial" w:hAnsi="Arial"/>
                <w:sz w:val="13"/>
                <w:szCs w:val="13"/>
                <w:color w:val="auto"/>
              </w:rPr>
              <w:t>C</w:t>
            </w:r>
          </w:p>
        </w:tc>
      </w:tr>
      <w:tr>
        <w:trPr>
          <w:trHeight w:val="251"/>
        </w:trPr>
        <w:tc>
          <w:tcPr>
            <w:tcW w:w="3860" w:type="dxa"/>
            <w:vAlign w:val="bottom"/>
          </w:tcPr>
          <w:p>
            <w:pPr>
              <w:ind w:left="40"/>
              <w:spacing w:after="0"/>
              <w:rPr>
                <w:sz w:val="20"/>
                <w:szCs w:val="20"/>
                <w:color w:val="auto"/>
              </w:rPr>
            </w:pPr>
            <w:r>
              <w:rPr>
                <w:rFonts w:ascii="Arial" w:cs="Arial" w:eastAsia="Arial" w:hAnsi="Arial"/>
                <w:sz w:val="13"/>
                <w:szCs w:val="13"/>
                <w:color w:val="auto"/>
              </w:rPr>
              <w:t>Anthony Sanfilippo</w:t>
            </w:r>
          </w:p>
        </w:tc>
        <w:tc>
          <w:tcPr>
            <w:tcW w:w="10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900" w:type="dxa"/>
            <w:vAlign w:val="bottom"/>
          </w:tcPr>
          <w:p>
            <w:pPr>
              <w:jc w:val="center"/>
              <w:spacing w:after="0"/>
              <w:rPr>
                <w:sz w:val="20"/>
                <w:szCs w:val="20"/>
                <w:color w:val="auto"/>
              </w:rPr>
            </w:pPr>
            <w:r>
              <w:rPr>
                <w:rFonts w:ascii="Arial" w:cs="Arial" w:eastAsia="Arial" w:hAnsi="Arial"/>
                <w:sz w:val="13"/>
                <w:szCs w:val="13"/>
                <w:color w:val="auto"/>
              </w:rPr>
              <w:t>F</w:t>
            </w:r>
          </w:p>
        </w:tc>
        <w:tc>
          <w:tcPr>
            <w:tcW w:w="1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49"/>
        </w:trPr>
        <w:tc>
          <w:tcPr>
            <w:tcW w:w="3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80"/>
        </w:trPr>
        <w:tc>
          <w:tcPr>
            <w:tcW w:w="3860" w:type="dxa"/>
            <w:vAlign w:val="bottom"/>
            <w:tcBorders>
              <w:bottom w:val="single" w:sz="8" w:color="F1EFEC"/>
            </w:tcBorders>
            <w:shd w:val="clear" w:color="auto" w:fill="F1EFEC"/>
          </w:tcPr>
          <w:p>
            <w:pPr>
              <w:ind w:left="40"/>
              <w:spacing w:after="0"/>
              <w:rPr>
                <w:sz w:val="20"/>
                <w:szCs w:val="20"/>
                <w:color w:val="auto"/>
              </w:rPr>
            </w:pPr>
            <w:r>
              <w:rPr>
                <w:rFonts w:ascii="Arial" w:cs="Arial" w:eastAsia="Arial" w:hAnsi="Arial"/>
                <w:sz w:val="13"/>
                <w:szCs w:val="13"/>
                <w:color w:val="auto"/>
              </w:rPr>
              <w:t>Philip G. Satre</w:t>
            </w:r>
          </w:p>
        </w:tc>
        <w:tc>
          <w:tcPr>
            <w:tcW w:w="104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900" w:type="dxa"/>
            <w:vAlign w:val="bottom"/>
            <w:tcBorders>
              <w:bottom w:val="single" w:sz="8" w:color="F1EFEC"/>
            </w:tcBorders>
            <w:shd w:val="clear" w:color="auto" w:fill="F1EFEC"/>
          </w:tcPr>
          <w:p>
            <w:pPr>
              <w:jc w:val="center"/>
              <w:spacing w:after="0"/>
              <w:rPr>
                <w:sz w:val="20"/>
                <w:szCs w:val="20"/>
                <w:color w:val="auto"/>
              </w:rPr>
            </w:pPr>
            <w:r>
              <w:rPr>
                <w:rFonts w:ascii="Arial" w:cs="Arial" w:eastAsia="Arial" w:hAnsi="Arial"/>
                <w:sz w:val="13"/>
                <w:szCs w:val="13"/>
                <w:color w:val="auto"/>
                <w:w w:val="86"/>
              </w:rPr>
              <w:t>•</w:t>
            </w:r>
          </w:p>
        </w:tc>
        <w:tc>
          <w:tcPr>
            <w:tcW w:w="1120" w:type="dxa"/>
            <w:vAlign w:val="bottom"/>
            <w:tcBorders>
              <w:bottom w:val="single" w:sz="8" w:color="F1EFEC"/>
            </w:tcBorders>
            <w:shd w:val="clear" w:color="auto" w:fill="F1EFEC"/>
          </w:tcPr>
          <w:p>
            <w:pPr>
              <w:spacing w:after="0"/>
              <w:rPr>
                <w:sz w:val="24"/>
                <w:szCs w:val="24"/>
                <w:color w:val="auto"/>
              </w:rPr>
            </w:pPr>
          </w:p>
        </w:tc>
        <w:tc>
          <w:tcPr>
            <w:tcW w:w="1820" w:type="dxa"/>
            <w:vAlign w:val="bottom"/>
            <w:tcBorders>
              <w:bottom w:val="single" w:sz="8" w:color="F1EFEC"/>
            </w:tcBorders>
            <w:shd w:val="clear" w:color="auto" w:fill="F1EFEC"/>
          </w:tcPr>
          <w:p>
            <w:pPr>
              <w:jc w:val="center"/>
              <w:spacing w:after="0"/>
              <w:rPr>
                <w:sz w:val="20"/>
                <w:szCs w:val="20"/>
                <w:color w:val="auto"/>
              </w:rPr>
            </w:pPr>
            <w:r>
              <w:rPr>
                <w:rFonts w:ascii="Arial" w:cs="Arial" w:eastAsia="Arial" w:hAnsi="Arial"/>
                <w:sz w:val="13"/>
                <w:szCs w:val="13"/>
                <w:color w:val="auto"/>
              </w:rPr>
              <w:t>•</w:t>
            </w:r>
          </w:p>
        </w:tc>
      </w:tr>
      <w:tr>
        <w:trPr>
          <w:trHeight w:val="251"/>
        </w:trPr>
        <w:tc>
          <w:tcPr>
            <w:tcW w:w="3860" w:type="dxa"/>
            <w:vAlign w:val="bottom"/>
          </w:tcPr>
          <w:p>
            <w:pPr>
              <w:ind w:left="40"/>
              <w:spacing w:after="0"/>
              <w:rPr>
                <w:sz w:val="20"/>
                <w:szCs w:val="20"/>
                <w:color w:val="auto"/>
              </w:rPr>
            </w:pPr>
            <w:r>
              <w:rPr>
                <w:rFonts w:ascii="Arial" w:cs="Arial" w:eastAsia="Arial" w:hAnsi="Arial"/>
                <w:sz w:val="13"/>
                <w:szCs w:val="13"/>
                <w:color w:val="auto"/>
              </w:rPr>
              <w:t>Darnell O. Strom</w:t>
            </w:r>
          </w:p>
        </w:tc>
        <w:tc>
          <w:tcPr>
            <w:tcW w:w="10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9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82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49"/>
        </w:trPr>
        <w:tc>
          <w:tcPr>
            <w:tcW w:w="3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80"/>
        </w:trPr>
        <w:tc>
          <w:tcPr>
            <w:tcW w:w="3860" w:type="dxa"/>
            <w:vAlign w:val="bottom"/>
            <w:tcBorders>
              <w:bottom w:val="single" w:sz="8" w:color="F1EFEC"/>
            </w:tcBorders>
            <w:shd w:val="clear" w:color="auto" w:fill="F1EFEC"/>
          </w:tcPr>
          <w:p>
            <w:pPr>
              <w:ind w:left="40"/>
              <w:spacing w:after="0"/>
              <w:rPr>
                <w:sz w:val="20"/>
                <w:szCs w:val="20"/>
                <w:color w:val="auto"/>
              </w:rPr>
            </w:pPr>
            <w:r>
              <w:rPr>
                <w:rFonts w:ascii="Arial" w:cs="Arial" w:eastAsia="Arial" w:hAnsi="Arial"/>
                <w:sz w:val="13"/>
                <w:szCs w:val="13"/>
                <w:color w:val="auto"/>
              </w:rPr>
              <w:t>Winifred M. Webb</w:t>
            </w:r>
          </w:p>
        </w:tc>
        <w:tc>
          <w:tcPr>
            <w:tcW w:w="104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900" w:type="dxa"/>
            <w:vAlign w:val="bottom"/>
            <w:tcBorders>
              <w:bottom w:val="single" w:sz="8" w:color="F1EFEC"/>
            </w:tcBorders>
            <w:shd w:val="clear" w:color="auto" w:fill="F1EFEC"/>
          </w:tcPr>
          <w:p>
            <w:pPr>
              <w:jc w:val="center"/>
              <w:spacing w:after="0"/>
              <w:rPr>
                <w:sz w:val="20"/>
                <w:szCs w:val="20"/>
                <w:color w:val="auto"/>
              </w:rPr>
            </w:pPr>
            <w:r>
              <w:rPr>
                <w:rFonts w:ascii="Arial" w:cs="Arial" w:eastAsia="Arial" w:hAnsi="Arial"/>
                <w:sz w:val="13"/>
                <w:szCs w:val="13"/>
                <w:color w:val="auto"/>
                <w:w w:val="95"/>
              </w:rPr>
              <w:t>C,F</w:t>
            </w:r>
          </w:p>
        </w:tc>
        <w:tc>
          <w:tcPr>
            <w:tcW w:w="1120" w:type="dxa"/>
            <w:vAlign w:val="bottom"/>
            <w:tcBorders>
              <w:bottom w:val="single" w:sz="8" w:color="F1EFEC"/>
            </w:tcBorders>
            <w:shd w:val="clear" w:color="auto" w:fill="F1EFEC"/>
          </w:tcPr>
          <w:p>
            <w:pPr>
              <w:spacing w:after="0"/>
              <w:rPr>
                <w:sz w:val="24"/>
                <w:szCs w:val="24"/>
                <w:color w:val="auto"/>
              </w:rPr>
            </w:pPr>
          </w:p>
        </w:tc>
        <w:tc>
          <w:tcPr>
            <w:tcW w:w="1820" w:type="dxa"/>
            <w:vAlign w:val="bottom"/>
            <w:tcBorders>
              <w:bottom w:val="single" w:sz="8" w:color="F1EFEC"/>
            </w:tcBorders>
            <w:shd w:val="clear" w:color="auto" w:fill="F1EFEC"/>
          </w:tcPr>
          <w:p>
            <w:pPr>
              <w:spacing w:after="0"/>
              <w:rPr>
                <w:sz w:val="24"/>
                <w:szCs w:val="24"/>
                <w:color w:val="auto"/>
              </w:rPr>
            </w:pPr>
          </w:p>
        </w:tc>
      </w:tr>
      <w:tr>
        <w:trPr>
          <w:trHeight w:val="233"/>
        </w:trPr>
        <w:tc>
          <w:tcPr>
            <w:tcW w:w="3860" w:type="dxa"/>
            <w:vAlign w:val="bottom"/>
          </w:tcPr>
          <w:p>
            <w:pPr>
              <w:ind w:left="40"/>
              <w:spacing w:after="0"/>
              <w:rPr>
                <w:sz w:val="20"/>
                <w:szCs w:val="20"/>
                <w:color w:val="auto"/>
              </w:rPr>
            </w:pPr>
            <w:r>
              <w:rPr>
                <w:rFonts w:ascii="Arial" w:cs="Arial" w:eastAsia="Arial" w:hAnsi="Arial"/>
                <w:sz w:val="13"/>
                <w:szCs w:val="13"/>
                <w:color w:val="auto"/>
              </w:rPr>
              <w:t>Committee Meetings in 2025</w:t>
            </w:r>
          </w:p>
        </w:tc>
        <w:tc>
          <w:tcPr>
            <w:tcW w:w="10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5</w:t>
            </w:r>
          </w:p>
        </w:tc>
        <w:tc>
          <w:tcPr>
            <w:tcW w:w="1120" w:type="dxa"/>
            <w:vAlign w:val="bottom"/>
          </w:tcPr>
          <w:p>
            <w:pPr>
              <w:jc w:val="center"/>
              <w:spacing w:after="0"/>
              <w:rPr>
                <w:sz w:val="20"/>
                <w:szCs w:val="20"/>
                <w:color w:val="auto"/>
              </w:rPr>
            </w:pPr>
            <w:r>
              <w:rPr>
                <w:rFonts w:ascii="Arial" w:cs="Arial" w:eastAsia="Arial" w:hAnsi="Arial"/>
                <w:sz w:val="13"/>
                <w:szCs w:val="13"/>
                <w:color w:val="auto"/>
              </w:rPr>
              <w:t>6</w:t>
            </w:r>
          </w:p>
        </w:tc>
        <w:tc>
          <w:tcPr>
            <w:tcW w:w="1820" w:type="dxa"/>
            <w:vAlign w:val="bottom"/>
          </w:tcPr>
          <w:p>
            <w:pPr>
              <w:jc w:val="center"/>
              <w:spacing w:after="0"/>
              <w:rPr>
                <w:sz w:val="20"/>
                <w:szCs w:val="20"/>
                <w:color w:val="auto"/>
              </w:rPr>
            </w:pPr>
            <w:r>
              <w:rPr>
                <w:rFonts w:ascii="Arial" w:cs="Arial" w:eastAsia="Arial" w:hAnsi="Arial"/>
                <w:sz w:val="13"/>
                <w:szCs w:val="13"/>
                <w:color w:val="auto"/>
                <w:w w:val="82"/>
              </w:rPr>
              <w:t>4</w:t>
            </w:r>
          </w:p>
        </w:tc>
      </w:tr>
    </w:tbl>
    <w:p>
      <w:pPr>
        <w:spacing w:after="0" w:line="138" w:lineRule="exact"/>
        <w:rPr>
          <w:sz w:val="20"/>
          <w:szCs w:val="20"/>
          <w:color w:val="auto"/>
        </w:rPr>
      </w:pPr>
    </w:p>
    <w:p>
      <w:pPr>
        <w:ind w:left="1260"/>
        <w:spacing w:after="0"/>
        <w:rPr>
          <w:sz w:val="20"/>
          <w:szCs w:val="20"/>
          <w:color w:val="auto"/>
        </w:rPr>
      </w:pPr>
      <w:r>
        <w:rPr>
          <w:rFonts w:ascii="Arial" w:cs="Arial" w:eastAsia="Arial" w:hAnsi="Arial"/>
          <w:sz w:val="10"/>
          <w:szCs w:val="10"/>
          <w:color w:val="auto"/>
        </w:rPr>
        <w:t>C Chair; and F Audit Committee Financial Expert within the meaning of Item 407(d)(5) of Regulation S-K.</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AUDIT COMMITTEE</w:t>
      </w:r>
    </w:p>
    <w:p>
      <w:pPr>
        <w:spacing w:after="0" w:line="284" w:lineRule="exact"/>
        <w:rPr>
          <w:sz w:val="20"/>
          <w:szCs w:val="20"/>
          <w:color w:val="auto"/>
        </w:rPr>
      </w:pPr>
    </w:p>
    <w:p>
      <w:pPr>
        <w:ind w:left="1260" w:right="199"/>
        <w:spacing w:after="0" w:line="251" w:lineRule="auto"/>
        <w:rPr>
          <w:sz w:val="20"/>
          <w:szCs w:val="20"/>
          <w:color w:val="auto"/>
        </w:rPr>
      </w:pPr>
      <w:r>
        <w:rPr>
          <w:rFonts w:ascii="Arial" w:cs="Arial" w:eastAsia="Arial" w:hAnsi="Arial"/>
          <w:sz w:val="13"/>
          <w:szCs w:val="13"/>
          <w:color w:val="auto"/>
        </w:rPr>
        <w:t>The Audit Committee meets in executive session with the Company’s independent auditors, General Counsel, Chief Audit Executive, and Chief Financial Officer to discuss accounting principles, financial and accounting controls, the scope of the annual audit, internal controls, regulatory compliance, and other matters. 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KEY RESPONSIBILITIES</w:t>
      </w:r>
    </w:p>
    <w:p>
      <w:pPr>
        <w:spacing w:after="0" w:line="327" w:lineRule="exact"/>
        <w:rPr>
          <w:sz w:val="20"/>
          <w:szCs w:val="20"/>
          <w:color w:val="auto"/>
        </w:rPr>
      </w:pPr>
    </w:p>
    <w:p>
      <w:pPr>
        <w:ind w:left="1440" w:hanging="173"/>
        <w:spacing w:after="0"/>
        <w:tabs>
          <w:tab w:leader="none" w:pos="1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Appointing, retaining, overseeing, and approving the compensation of the independent auditors</w:t>
      </w:r>
    </w:p>
    <w:p>
      <w:pPr>
        <w:spacing w:after="0" w:line="193" w:lineRule="exact"/>
        <w:rPr>
          <w:rFonts w:ascii="Arial" w:cs="Arial" w:eastAsia="Arial" w:hAnsi="Arial"/>
          <w:sz w:val="13"/>
          <w:szCs w:val="13"/>
          <w:color w:val="auto"/>
        </w:rPr>
      </w:pPr>
    </w:p>
    <w:p>
      <w:pPr>
        <w:ind w:left="1440" w:right="319" w:hanging="173"/>
        <w:spacing w:after="0" w:line="271" w:lineRule="auto"/>
        <w:tabs>
          <w:tab w:leader="none" w:pos="1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Reviewing and discussing with the independent auditors and management the Company’s earnings releases and quarterly and annual reports to be filed with the Securities and Exchange Commission (“SEC”)</w:t>
      </w:r>
    </w:p>
    <w:p>
      <w:pPr>
        <w:spacing w:after="0" w:line="155" w:lineRule="exact"/>
        <w:rPr>
          <w:rFonts w:ascii="Arial" w:cs="Arial" w:eastAsia="Arial" w:hAnsi="Arial"/>
          <w:sz w:val="13"/>
          <w:szCs w:val="13"/>
          <w:color w:val="auto"/>
        </w:rPr>
      </w:pPr>
    </w:p>
    <w:p>
      <w:pPr>
        <w:ind w:left="1440" w:hanging="173"/>
        <w:spacing w:after="0"/>
        <w:tabs>
          <w:tab w:leader="none" w:pos="1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Reviewing the adequacy, effectiveness, scope, and results of the Company’s internal auditing procedures and practices</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159"/>
          </w:cols>
          <w:pgMar w:left="300" w:top="41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40" w:right="359" w:hanging="173"/>
        <w:spacing w:after="0" w:line="271" w:lineRule="auto"/>
        <w:tabs>
          <w:tab w:leader="none" w:pos="14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Overseeing the Company’s legal and regulatory compliance programs (in conjunction with the independent Compliance Committee) and its policies and procedures for monitoring compliance as they relate to the Company’s financial statements</w:t>
      </w:r>
    </w:p>
    <w:p>
      <w:pPr>
        <w:spacing w:after="0" w:line="155" w:lineRule="exact"/>
        <w:rPr>
          <w:rFonts w:ascii="Arial" w:cs="Arial" w:eastAsia="Arial" w:hAnsi="Arial"/>
          <w:sz w:val="13"/>
          <w:szCs w:val="13"/>
          <w:color w:val="auto"/>
        </w:rPr>
      </w:pPr>
    </w:p>
    <w:p>
      <w:pPr>
        <w:ind w:left="1440" w:right="399" w:hanging="173"/>
        <w:spacing w:after="0" w:line="271" w:lineRule="auto"/>
        <w:tabs>
          <w:tab w:leader="none" w:pos="14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Meeting periodically with management to review the Company’s major risk exposures and the steps management has taken to monitor and control such exposures</w:t>
      </w:r>
    </w:p>
    <w:p>
      <w:pPr>
        <w:spacing w:after="0" w:line="155" w:lineRule="exact"/>
        <w:rPr>
          <w:rFonts w:ascii="Arial" w:cs="Arial" w:eastAsia="Arial" w:hAnsi="Arial"/>
          <w:sz w:val="13"/>
          <w:szCs w:val="13"/>
          <w:color w:val="auto"/>
        </w:rPr>
      </w:pPr>
    </w:p>
    <w:p>
      <w:pPr>
        <w:ind w:left="1440" w:hanging="173"/>
        <w:spacing w:after="0"/>
        <w:tabs>
          <w:tab w:leader="none" w:pos="14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Reviewing and approving the Company’s decision to enter into certain swaps and other derivative transactions</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COMPENSATION COMMITTEE</w:t>
      </w:r>
    </w:p>
    <w:p>
      <w:pPr>
        <w:spacing w:after="0" w:line="284" w:lineRule="exact"/>
        <w:rPr>
          <w:sz w:val="20"/>
          <w:szCs w:val="20"/>
          <w:color w:val="auto"/>
        </w:rPr>
      </w:pPr>
    </w:p>
    <w:p>
      <w:pPr>
        <w:ind w:left="1260" w:right="239"/>
        <w:spacing w:after="0" w:line="287" w:lineRule="auto"/>
        <w:rPr>
          <w:sz w:val="20"/>
          <w:szCs w:val="20"/>
          <w:color w:val="auto"/>
        </w:rPr>
      </w:pPr>
      <w:r>
        <w:rPr>
          <w:rFonts w:ascii="Arial" w:cs="Arial" w:eastAsia="Arial" w:hAnsi="Arial"/>
          <w:sz w:val="12"/>
          <w:szCs w:val="12"/>
          <w:color w:val="auto"/>
        </w:rPr>
        <w:t>The Compensation Committee sets all elements of compensation for our named executive officers (“NEOs”) based upon consideration of our NEO’s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w:t>
      </w:r>
    </w:p>
    <w:p>
      <w:pPr>
        <w:spacing w:after="0" w:line="127" w:lineRule="exact"/>
        <w:rPr>
          <w:sz w:val="20"/>
          <w:szCs w:val="20"/>
          <w:color w:val="auto"/>
        </w:rPr>
      </w:pPr>
    </w:p>
    <w:p>
      <w:pPr>
        <w:jc w:val="both"/>
        <w:ind w:left="1260" w:right="319"/>
        <w:spacing w:after="0" w:line="256" w:lineRule="auto"/>
        <w:rPr>
          <w:sz w:val="20"/>
          <w:szCs w:val="20"/>
          <w:color w:val="auto"/>
        </w:rPr>
      </w:pPr>
      <w:r>
        <w:rPr>
          <w:rFonts w:ascii="Arial" w:cs="Arial" w:eastAsia="Arial" w:hAnsi="Arial"/>
          <w:sz w:val="13"/>
          <w:szCs w:val="13"/>
          <w:color w:val="auto"/>
        </w:rPr>
        <w:t>The Compensation Committee considers the recommendations of the CEO in establishing compensation for all NEOs, other than the CEO. In addition, the Compensation Committee oversees the CEO’s annual evaluation of our senior management and considers such evaluations when determining the compensation for members of our senior management.</w:t>
      </w:r>
    </w:p>
    <w:p>
      <w:pPr>
        <w:spacing w:after="0" w:line="144" w:lineRule="exact"/>
        <w:rPr>
          <w:sz w:val="20"/>
          <w:szCs w:val="20"/>
          <w:color w:val="auto"/>
        </w:rPr>
      </w:pPr>
    </w:p>
    <w:p>
      <w:pPr>
        <w:ind w:left="1260" w:right="139"/>
        <w:spacing w:after="0" w:line="245" w:lineRule="auto"/>
        <w:rPr>
          <w:sz w:val="20"/>
          <w:szCs w:val="20"/>
          <w:color w:val="auto"/>
        </w:rPr>
      </w:pPr>
      <w:r>
        <w:rPr>
          <w:rFonts w:ascii="Arial" w:cs="Arial" w:eastAsia="Arial" w:hAnsi="Arial"/>
          <w:sz w:val="13"/>
          <w:szCs w:val="13"/>
          <w:color w:val="auto"/>
        </w:rPr>
        <w:t>The Compensation Committee has the sole authority to retain advisors exclusively to assist it in the evaluation of executive officer and employee compensation and benefit programs. In 2025, the Compensation Committee retained Radford, a unit of Aon plc’s Human Capital Solutions (“Radford”), a nationally recognized independent compensation consulting firm, to assist in performing its duties. Radford does not provide services to the Company other than the advice on director and executive compensation that it provides the Compensation Committee when requested. In 2025, Radford provided the Compensation Committee with a peer group review and competitive compensation analysis, in connection with the Compensation Committee’s review of compensation levels of our NEOs. Each of the members of the Compensation Committee brings a wealth of experience from their public and private board experience and their respective executive roles, which helps the Compensation Committee oversee the design and practice of linking executive compensation to company performance.</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KEY RESPONSIBILITIES</w:t>
      </w:r>
    </w:p>
    <w:p>
      <w:pPr>
        <w:spacing w:after="0" w:line="327" w:lineRule="exact"/>
        <w:rPr>
          <w:sz w:val="20"/>
          <w:szCs w:val="20"/>
          <w:color w:val="auto"/>
        </w:rPr>
      </w:pPr>
    </w:p>
    <w:p>
      <w:pPr>
        <w:ind w:left="1440" w:right="499" w:hanging="173"/>
        <w:spacing w:after="0" w:line="271" w:lineRule="auto"/>
        <w:tabs>
          <w:tab w:leader="none" w:pos="1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Reviewing the goals and objectives of the Company’s executive compensation plans, and amending, or recommending that the Board amend an existing plan or adopt a new plan, as appropriate</w:t>
      </w:r>
    </w:p>
    <w:p>
      <w:pPr>
        <w:spacing w:after="0" w:line="155" w:lineRule="exact"/>
        <w:rPr>
          <w:rFonts w:ascii="Arial" w:cs="Arial" w:eastAsia="Arial" w:hAnsi="Arial"/>
          <w:sz w:val="13"/>
          <w:szCs w:val="13"/>
          <w:color w:val="auto"/>
        </w:rPr>
      </w:pPr>
    </w:p>
    <w:p>
      <w:pPr>
        <w:ind w:left="1440" w:hanging="173"/>
        <w:spacing w:after="0"/>
        <w:tabs>
          <w:tab w:leader="none" w:pos="1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Assessing the Company’s most recent advisory vote on executive compensation</w:t>
      </w:r>
    </w:p>
    <w:p>
      <w:pPr>
        <w:spacing w:after="0" w:line="193" w:lineRule="exact"/>
        <w:rPr>
          <w:rFonts w:ascii="Arial" w:cs="Arial" w:eastAsia="Arial" w:hAnsi="Arial"/>
          <w:sz w:val="13"/>
          <w:szCs w:val="13"/>
          <w:color w:val="auto"/>
        </w:rPr>
      </w:pPr>
    </w:p>
    <w:p>
      <w:pPr>
        <w:ind w:left="1440" w:right="319" w:hanging="173"/>
        <w:spacing w:after="0" w:line="271" w:lineRule="auto"/>
        <w:tabs>
          <w:tab w:leader="none" w:pos="1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Appointing advisors to be retained by the Compensation Committee, assessing any potential conflicts of interest with such advisors, and overseeing and approving the compensation of any advisors the Compensation Committee retains</w:t>
      </w:r>
    </w:p>
    <w:p>
      <w:pPr>
        <w:spacing w:after="0" w:line="81"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159"/>
          </w:cols>
          <w:pgMar w:left="300" w:top="412"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40" w:right="599" w:hanging="173"/>
        <w:spacing w:after="0" w:line="271" w:lineRule="auto"/>
        <w:tabs>
          <w:tab w:leader="none" w:pos="1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Annually evaluating the performance of the CEO, overseeing the evaluation of performance of senior management and the other officers of the Company, and setting compensation for the CEO, other NEOs, and other members of senior management</w:t>
      </w:r>
    </w:p>
    <w:p>
      <w:pPr>
        <w:spacing w:after="0" w:line="155" w:lineRule="exact"/>
        <w:rPr>
          <w:rFonts w:ascii="Arial" w:cs="Arial" w:eastAsia="Arial" w:hAnsi="Arial"/>
          <w:sz w:val="13"/>
          <w:szCs w:val="13"/>
          <w:color w:val="auto"/>
        </w:rPr>
      </w:pPr>
    </w:p>
    <w:p>
      <w:pPr>
        <w:ind w:left="1440" w:hanging="173"/>
        <w:spacing w:after="0"/>
        <w:tabs>
          <w:tab w:leader="none" w:pos="1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Reviewing and approving equity awards and supervising administrative functions pursuant to the Company’s equity plans</w:t>
      </w:r>
    </w:p>
    <w:p>
      <w:pPr>
        <w:spacing w:after="0" w:line="193" w:lineRule="exact"/>
        <w:rPr>
          <w:rFonts w:ascii="Arial" w:cs="Arial" w:eastAsia="Arial" w:hAnsi="Arial"/>
          <w:sz w:val="13"/>
          <w:szCs w:val="13"/>
          <w:color w:val="auto"/>
        </w:rPr>
      </w:pPr>
    </w:p>
    <w:p>
      <w:pPr>
        <w:ind w:left="1440" w:right="179" w:hanging="173"/>
        <w:spacing w:after="0" w:line="271" w:lineRule="auto"/>
        <w:tabs>
          <w:tab w:leader="none" w:pos="1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Reviewing and approving compensation arrangements for officers and other key employees in accordance with policies adopted by the Compensation Committee from time to time</w:t>
      </w:r>
    </w:p>
    <w:p>
      <w:pPr>
        <w:spacing w:after="0" w:line="155" w:lineRule="exact"/>
        <w:rPr>
          <w:rFonts w:ascii="Arial" w:cs="Arial" w:eastAsia="Arial" w:hAnsi="Arial"/>
          <w:sz w:val="13"/>
          <w:szCs w:val="13"/>
          <w:color w:val="auto"/>
        </w:rPr>
      </w:pPr>
    </w:p>
    <w:p>
      <w:pPr>
        <w:ind w:left="1440" w:hanging="173"/>
        <w:spacing w:after="0"/>
        <w:tabs>
          <w:tab w:leader="none" w:pos="1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Reviewing and recommending to the full Board the type and amount of compensation for Board and committee service by non-management directors</w:t>
      </w:r>
    </w:p>
    <w:p>
      <w:pPr>
        <w:spacing w:after="0" w:line="205" w:lineRule="exact"/>
        <w:rPr>
          <w:rFonts w:ascii="Arial" w:cs="Arial" w:eastAsia="Arial" w:hAnsi="Arial"/>
          <w:sz w:val="12"/>
          <w:szCs w:val="12"/>
          <w:color w:val="auto"/>
        </w:rPr>
      </w:pPr>
    </w:p>
    <w:p>
      <w:pPr>
        <w:ind w:left="1440" w:hanging="173"/>
        <w:spacing w:after="0"/>
        <w:tabs>
          <w:tab w:leader="none" w:pos="1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Reviewing and discussing with management the Compensation Discussion and Analysis and related disclosures in the Company’s Proxy Statement</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COMPENSATION COMMITTEE INTERLOCKS AND INSIDER PARTICIPATION</w:t>
      </w:r>
    </w:p>
    <w:p>
      <w:pPr>
        <w:spacing w:after="0" w:line="284" w:lineRule="exact"/>
        <w:rPr>
          <w:sz w:val="20"/>
          <w:szCs w:val="20"/>
          <w:color w:val="auto"/>
        </w:rPr>
      </w:pPr>
    </w:p>
    <w:p>
      <w:pPr>
        <w:ind w:left="1260" w:right="439"/>
        <w:spacing w:after="0" w:line="278" w:lineRule="auto"/>
        <w:rPr>
          <w:sz w:val="20"/>
          <w:szCs w:val="20"/>
          <w:color w:val="auto"/>
        </w:rPr>
      </w:pPr>
      <w:r>
        <w:rPr>
          <w:rFonts w:ascii="Arial" w:cs="Arial" w:eastAsia="Arial" w:hAnsi="Arial"/>
          <w:sz w:val="12"/>
          <w:szCs w:val="12"/>
          <w:color w:val="auto"/>
        </w:rPr>
        <w:t>The members of the Compensation Committee are appointed by the Board each year. The members of the Compensation Committee who served in 2025 were Ms. Atkins, Mr. Byrne, Mr. Strom, and Ms. Myers (up to the end of her term at the Annual Meeting in April 2025). No member of the Compensation Committee is, or was, an officer or employee of the Company. No interlocking relationship exists between the Board or Compensation Committee and the board of directors or compensation committee of any other company, nor has any interlocking relationship existed in the past.</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NOMINATING AND CORPORATE GOVERNANCE COMMITTEE</w:t>
      </w:r>
    </w:p>
    <w:p>
      <w:pPr>
        <w:spacing w:after="0" w:line="273" w:lineRule="exact"/>
        <w:rPr>
          <w:sz w:val="20"/>
          <w:szCs w:val="20"/>
          <w:color w:val="auto"/>
        </w:rPr>
      </w:pPr>
    </w:p>
    <w:p>
      <w:pPr>
        <w:ind w:left="1260" w:right="159"/>
        <w:spacing w:after="0" w:line="248" w:lineRule="auto"/>
        <w:rPr>
          <w:sz w:val="20"/>
          <w:szCs w:val="20"/>
          <w:color w:val="auto"/>
        </w:rPr>
      </w:pPr>
      <w:r>
        <w:rPr>
          <w:rFonts w:ascii="Arial" w:cs="Arial" w:eastAsia="Arial" w:hAnsi="Arial"/>
          <w:sz w:val="13"/>
          <w:szCs w:val="13"/>
          <w:color w:val="auto"/>
        </w:rPr>
        <w:t>The Nominating and Corporate Governance Committee regularly assesses the Board’s composition, committee structure and allocation of responsibilities to build a governance structure and processes that enable the Company to grow and thrive. The Committee conducts a thorough review of the current structure and future needs of the Board to ensure that the Board has the appropriate composition of backgrounds and experiences to best serve the Company and its strategic goals, as they evolve and change over time. It is also responsible for identifying and recruiting a highly qualified group of people with the right mix of skills to serve on the Board and evaluating potential nominees in light of the Board’s current size and composition.</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KEY RESPONSIBILITIES</w:t>
      </w:r>
    </w:p>
    <w:p>
      <w:pPr>
        <w:spacing w:after="0" w:line="327" w:lineRule="exact"/>
        <w:rPr>
          <w:sz w:val="20"/>
          <w:szCs w:val="20"/>
          <w:color w:val="auto"/>
        </w:rPr>
      </w:pPr>
    </w:p>
    <w:p>
      <w:pPr>
        <w:ind w:left="1440" w:right="899" w:hanging="173"/>
        <w:spacing w:after="0" w:line="271" w:lineRule="auto"/>
        <w:tabs>
          <w:tab w:leader="none" w:pos="14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Identifying, evaluating and recommending qualified director candidates, including candidates recommended by shareholders, directors, or management</w:t>
      </w:r>
    </w:p>
    <w:p>
      <w:pPr>
        <w:spacing w:after="0" w:line="155" w:lineRule="exact"/>
        <w:rPr>
          <w:rFonts w:ascii="Arial" w:cs="Arial" w:eastAsia="Arial" w:hAnsi="Arial"/>
          <w:sz w:val="13"/>
          <w:szCs w:val="13"/>
          <w:color w:val="auto"/>
        </w:rPr>
      </w:pPr>
    </w:p>
    <w:p>
      <w:pPr>
        <w:ind w:left="1440" w:right="479" w:hanging="173"/>
        <w:spacing w:after="0" w:line="256" w:lineRule="auto"/>
        <w:tabs>
          <w:tab w:leader="none" w:pos="14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Assessing the qualifications, attributes, skills, experience, and independence of Board members, taking into account, among other things, the Company’s current and planned business, the existing membership of the Board, any planned succession of current directors, and the regulatory qualification required of directors under the gaming laws of jurisdictions where the Company operates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159"/>
          </w:cols>
          <w:pgMar w:left="300" w:top="412"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40" w:right="299" w:hanging="173"/>
        <w:spacing w:after="0" w:line="271" w:lineRule="auto"/>
        <w:tabs>
          <w:tab w:leader="none" w:pos="1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Reviewing the composition of the Board and its committees to ensure they represent an appropriate balance of tenure, skills and experience at such time</w:t>
      </w:r>
    </w:p>
    <w:p>
      <w:pPr>
        <w:spacing w:after="0" w:line="155" w:lineRule="exact"/>
        <w:rPr>
          <w:rFonts w:ascii="Arial" w:cs="Arial" w:eastAsia="Arial" w:hAnsi="Arial"/>
          <w:sz w:val="13"/>
          <w:szCs w:val="13"/>
          <w:color w:val="auto"/>
        </w:rPr>
      </w:pPr>
    </w:p>
    <w:p>
      <w:pPr>
        <w:ind w:left="1440" w:hanging="173"/>
        <w:spacing w:after="0"/>
        <w:tabs>
          <w:tab w:leader="none" w:pos="1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Reviewing and making recommendations regarding the Board’s leadership structure</w:t>
      </w:r>
    </w:p>
    <w:p>
      <w:pPr>
        <w:spacing w:after="0" w:line="193" w:lineRule="exact"/>
        <w:rPr>
          <w:rFonts w:ascii="Arial" w:cs="Arial" w:eastAsia="Arial" w:hAnsi="Arial"/>
          <w:sz w:val="13"/>
          <w:szCs w:val="13"/>
          <w:color w:val="auto"/>
        </w:rPr>
      </w:pPr>
    </w:p>
    <w:p>
      <w:pPr>
        <w:ind w:left="1440" w:right="299" w:hanging="173"/>
        <w:spacing w:after="0" w:line="271" w:lineRule="auto"/>
        <w:tabs>
          <w:tab w:leader="none" w:pos="1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Overseeing corporate governance matters generally, including the corporate governance guidelines, and annually reviewing and recommending any changes to the Board, as appropriate</w:t>
      </w:r>
    </w:p>
    <w:p>
      <w:pPr>
        <w:spacing w:after="0" w:line="155" w:lineRule="exact"/>
        <w:rPr>
          <w:rFonts w:ascii="Arial" w:cs="Arial" w:eastAsia="Arial" w:hAnsi="Arial"/>
          <w:sz w:val="13"/>
          <w:szCs w:val="13"/>
          <w:color w:val="auto"/>
        </w:rPr>
      </w:pPr>
    </w:p>
    <w:p>
      <w:pPr>
        <w:ind w:left="1440" w:hanging="173"/>
        <w:spacing w:after="0"/>
        <w:tabs>
          <w:tab w:leader="none" w:pos="1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Overseeing and, as it determines appropriate, designating directors to participate in the Company’s engagement with shareholders</w:t>
      </w:r>
    </w:p>
    <w:p>
      <w:pPr>
        <w:spacing w:after="0" w:line="193" w:lineRule="exact"/>
        <w:rPr>
          <w:rFonts w:ascii="Arial" w:cs="Arial" w:eastAsia="Arial" w:hAnsi="Arial"/>
          <w:sz w:val="13"/>
          <w:szCs w:val="13"/>
          <w:color w:val="auto"/>
        </w:rPr>
      </w:pPr>
    </w:p>
    <w:p>
      <w:pPr>
        <w:ind w:left="1440" w:hanging="173"/>
        <w:spacing w:after="0"/>
        <w:tabs>
          <w:tab w:leader="none" w:pos="1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Overseeing the annual evaluation of the Board and its standing committees</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CONSIDERATION OF CANDIDATES RECOMMENDED BY SHAREHOLDERS</w:t>
      </w:r>
    </w:p>
    <w:p>
      <w:pPr>
        <w:spacing w:after="0" w:line="284" w:lineRule="exact"/>
        <w:rPr>
          <w:sz w:val="20"/>
          <w:szCs w:val="20"/>
          <w:color w:val="auto"/>
        </w:rPr>
      </w:pPr>
    </w:p>
    <w:p>
      <w:pPr>
        <w:ind w:left="1260" w:right="199"/>
        <w:spacing w:after="0" w:line="271" w:lineRule="auto"/>
        <w:rPr>
          <w:sz w:val="20"/>
          <w:szCs w:val="20"/>
          <w:color w:val="auto"/>
        </w:rPr>
      </w:pPr>
      <w:r>
        <w:rPr>
          <w:rFonts w:ascii="Arial" w:cs="Arial" w:eastAsia="Arial" w:hAnsi="Arial"/>
          <w:sz w:val="12"/>
          <w:szCs w:val="12"/>
          <w:color w:val="auto"/>
        </w:rPr>
        <w:t>Our Nominating and Corporate Governance Committee is pleased to consider director candidates recommended by shareholders. The Nominating and Governance Committee also considers self-submitted candidates to the Board. In considering such candidates, the Nominating and Corporate Governance Committee will take into consideration the Board’s current size and composition; the needs of the Board, including the skills and experience of existing directors; and the qualifications of the candidate. To have a candidate considered by the Nominating and Corporate Governance Committee, a shareholder must comply with the provisions of the Company’s Ninth Amended and Restated Bylaws (the “Bylaws”) and send written notice of the nomination to the Company’s Secretary at Wynn Resorts, Limited, c/o Secretary at 3131 Las Vegas Boulevard South, Las Vegas, Nevada 89109.</w:t>
      </w:r>
    </w:p>
    <w:p>
      <w:pPr>
        <w:spacing w:after="0" w:line="138" w:lineRule="exact"/>
        <w:rPr>
          <w:sz w:val="20"/>
          <w:szCs w:val="20"/>
          <w:color w:val="auto"/>
        </w:rPr>
      </w:pPr>
    </w:p>
    <w:p>
      <w:pPr>
        <w:ind w:left="1260" w:right="159"/>
        <w:spacing w:after="0" w:line="246" w:lineRule="auto"/>
        <w:rPr>
          <w:sz w:val="20"/>
          <w:szCs w:val="20"/>
          <w:color w:val="auto"/>
        </w:rPr>
      </w:pPr>
      <w:r>
        <w:rPr>
          <w:rFonts w:ascii="Arial" w:cs="Arial" w:eastAsia="Arial" w:hAnsi="Arial"/>
          <w:sz w:val="13"/>
          <w:szCs w:val="13"/>
          <w:color w:val="auto"/>
        </w:rPr>
        <w:t>If the Nominating and Corporate Governance Committee pursues consideration of a person identified as a potential candidate, the Nominating and Corporate Governance Committee may take any or all of the following steps: collect and review publicly available information regarding the candidate, contact and request information from the candidate, verify the candidate’s credentials, conduct one or more interviews with the candidate and contact one or more references provided by the candidate or other persons who may have greater first-hand knowledge of the candidate’s accomplishments. The Nominating and Corporate Governance Committee’s evaluation process takes into account the candidate’s accomplishments and qualifications, including in comparison to any other candidates that the Nominating and Corporate Governance Committee might be considering, and does not vary based on whether a candidate has been recommended by a shareholder.</w:t>
      </w: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Board Leadership</w:t>
      </w:r>
    </w:p>
    <w:p>
      <w:pPr>
        <w:spacing w:after="0" w:line="278" w:lineRule="exact"/>
        <w:rPr>
          <w:sz w:val="20"/>
          <w:szCs w:val="20"/>
          <w:color w:val="auto"/>
        </w:rPr>
      </w:pPr>
    </w:p>
    <w:p>
      <w:pPr>
        <w:ind w:left="1260" w:right="199"/>
        <w:spacing w:after="0" w:line="251" w:lineRule="auto"/>
        <w:rPr>
          <w:sz w:val="20"/>
          <w:szCs w:val="20"/>
          <w:color w:val="auto"/>
        </w:rPr>
      </w:pPr>
      <w:r>
        <w:rPr>
          <w:rFonts w:ascii="Arial" w:cs="Arial" w:eastAsia="Arial" w:hAnsi="Arial"/>
          <w:sz w:val="13"/>
          <w:szCs w:val="13"/>
          <w:color w:val="auto"/>
        </w:rPr>
        <w:t>On at least an annual basis, our Board assesses its leadership structure, including the appointment of an independent, non-executive Chair of the Board. Currently, our Bylaws and Corporate Governance Guidelines require that an independent, non-executive director be annually elected as Chair of the Board by a majority of directors. We believe the separation of the Chair and the Chief Executive Officer clarifies individual roles and responsibilities, streamlines decision-making, and enhances accountability.</w:t>
      </w:r>
    </w:p>
    <w:p>
      <w:pPr>
        <w:spacing w:after="0" w:line="93"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0159"/>
          </w:cols>
          <w:pgMar w:left="300" w:top="41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59"/>
        <w:spacing w:after="0" w:line="278" w:lineRule="auto"/>
        <w:rPr>
          <w:sz w:val="20"/>
          <w:szCs w:val="20"/>
          <w:color w:val="auto"/>
        </w:rPr>
      </w:pPr>
      <w:r>
        <w:rPr>
          <w:rFonts w:ascii="Arial" w:cs="Arial" w:eastAsia="Arial" w:hAnsi="Arial"/>
          <w:sz w:val="12"/>
          <w:szCs w:val="12"/>
          <w:color w:val="auto"/>
        </w:rPr>
        <w:t>Currently, Mr. Billings serves as our Chief Executive Officer and director, and Mr. Satre serves as our independent, non-executive Chair of the Board. The Board believes that this separation in roles allows Mr. Billings to focus on the management of the Company, day-to-day operations and engagement with external stakeholders and Mr. Satre to focus on the broad strategic issues considered by the Board, leveraging his strong public company and gaming background to provide strategic guidance and effective oversight of management and engaging with the Chief Executive Officer between Board meetings.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Director Qualifications and Nomination Process</w:t>
      </w:r>
    </w:p>
    <w:p>
      <w:pPr>
        <w:spacing w:after="0" w:line="278" w:lineRule="exact"/>
        <w:rPr>
          <w:sz w:val="20"/>
          <w:szCs w:val="20"/>
          <w:color w:val="auto"/>
        </w:rPr>
      </w:pPr>
    </w:p>
    <w:p>
      <w:pPr>
        <w:ind w:left="1260" w:right="159"/>
        <w:spacing w:after="0" w:line="270" w:lineRule="auto"/>
        <w:rPr>
          <w:sz w:val="20"/>
          <w:szCs w:val="20"/>
          <w:color w:val="auto"/>
        </w:rPr>
      </w:pPr>
      <w:r>
        <w:rPr>
          <w:rFonts w:ascii="Arial" w:cs="Arial" w:eastAsia="Arial" w:hAnsi="Arial"/>
          <w:sz w:val="12"/>
          <w:szCs w:val="12"/>
          <w:color w:val="auto"/>
        </w:rPr>
        <w:t>The Nominating and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honesty and ethical conduct in both personal and professional activities. The Nominating and Corporate Governance Committee seeks to align the skills and qualifications of the members of the Board with the Company’s overall long-term strategic goals. This assessment enables the Board to update the skills and experience it seeks in the Board as a whole and in individual directors as the Company’s needs evolve and change over time. The Nominating and Corporate Governance Committee may, from time to time, develop and recommend additional criteria for identifying and evaluating director candidates, including those recommended for consideration by Company shareholders.</w:t>
      </w:r>
    </w:p>
    <w:p>
      <w:pPr>
        <w:spacing w:after="0" w:line="136" w:lineRule="exact"/>
        <w:rPr>
          <w:sz w:val="20"/>
          <w:szCs w:val="20"/>
          <w:color w:val="auto"/>
        </w:rPr>
      </w:pPr>
    </w:p>
    <w:p>
      <w:pPr>
        <w:ind w:left="1260" w:right="239"/>
        <w:spacing w:after="0" w:line="251" w:lineRule="auto"/>
        <w:rPr>
          <w:sz w:val="20"/>
          <w:szCs w:val="20"/>
          <w:color w:val="auto"/>
        </w:rPr>
      </w:pPr>
      <w:r>
        <w:rPr>
          <w:rFonts w:ascii="Arial" w:cs="Arial" w:eastAsia="Arial" w:hAnsi="Arial"/>
          <w:sz w:val="13"/>
          <w:szCs w:val="13"/>
          <w:color w:val="auto"/>
        </w:rPr>
        <w:t>When evaluating candidates for nomination as new Directors, the Nominating and Corporate Governance Committee will consider, among other things (and will ask any search firm that it engages to provide), a set of candidates that includes a range of personal characteristics, backgrounds and personal experiences. In addition, the Nominating and Corporate Governance Committee examines a candidate’s other commitments, potential conflicts of interest, and independence from management and the Company.</w:t>
      </w:r>
    </w:p>
    <w:p>
      <w:pPr>
        <w:spacing w:after="0" w:line="147" w:lineRule="exact"/>
        <w:rPr>
          <w:sz w:val="20"/>
          <w:szCs w:val="20"/>
          <w:color w:val="auto"/>
        </w:rPr>
      </w:pPr>
    </w:p>
    <w:p>
      <w:pPr>
        <w:ind w:left="1260" w:right="139"/>
        <w:spacing w:after="0" w:line="244" w:lineRule="auto"/>
        <w:rPr>
          <w:sz w:val="20"/>
          <w:szCs w:val="20"/>
          <w:color w:val="auto"/>
        </w:rPr>
      </w:pPr>
      <w:r>
        <w:rPr>
          <w:rFonts w:ascii="Arial" w:cs="Arial" w:eastAsia="Arial" w:hAnsi="Arial"/>
          <w:sz w:val="13"/>
          <w:szCs w:val="13"/>
          <w:color w:val="auto"/>
        </w:rPr>
        <w:t>The Nominating and Corporate Governance Committee also annually assesses each director’s time commitment and whether service on other boards will unreasonably detract from the nominee’s ability to fulfill his or her responsibilities and duties to the Company. The evaluation includes an assessment of their primary occupation and other public company and private boards they serve on. Only directors who are assessed to have sufficient availability are considered for initial nomination or nomination for reelection at the end of his or her then-current term. The Company also has a policy, included in its Corporate Governance Guidelines, that limits directors from serving on more than four other boards of public companies in addition to the Board of the Company. The Corporate Governance Guidelines also require that each director advise the Company when their principal occupation or business association changes substantially during the director’s tenure on the Board. The Nominating and Corporate Governance Committee then recommends to the Board and the Chair of the Board if any action is needed in such situation regarding the appropriateness of that director’s continued service on the Board.</w:t>
      </w:r>
    </w:p>
    <w:p>
      <w:pPr>
        <w:spacing w:after="0" w:line="156" w:lineRule="exact"/>
        <w:rPr>
          <w:sz w:val="20"/>
          <w:szCs w:val="20"/>
          <w:color w:val="auto"/>
        </w:rPr>
      </w:pPr>
    </w:p>
    <w:p>
      <w:pPr>
        <w:ind w:left="1260" w:right="179"/>
        <w:spacing w:after="0" w:line="248" w:lineRule="auto"/>
        <w:rPr>
          <w:sz w:val="20"/>
          <w:szCs w:val="20"/>
          <w:color w:val="auto"/>
        </w:rPr>
      </w:pPr>
      <w:r>
        <w:rPr>
          <w:rFonts w:ascii="Arial" w:cs="Arial" w:eastAsia="Arial" w:hAnsi="Arial"/>
          <w:sz w:val="13"/>
          <w:szCs w:val="13"/>
          <w:color w:val="auto"/>
        </w:rPr>
        <w:t>In 2025, as part of its annual corporate governance review, the Nominating and Corporate Governance Committee recommended, and the Board approved, an update to our Corporate Governance Guidelines to eliminate the mandatory retirement age applicable to our directors. This update is aligned with the Board’s belief that age or term limits may result in the forced resignation of highly qualified and engaged directors who have, over the course of their tenure, developed valuable insight into the Company’s operations, contributed extensive expertise and enhanced the Board’s independent oversight of management’s execution of the Company’s strategy. In addition,</w:t>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0159"/>
          </w:cols>
          <w:pgMar w:left="300" w:top="412"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339"/>
        <w:spacing w:after="0" w:line="247" w:lineRule="auto"/>
        <w:rPr>
          <w:sz w:val="20"/>
          <w:szCs w:val="20"/>
          <w:color w:val="auto"/>
        </w:rPr>
      </w:pPr>
      <w:r>
        <w:rPr>
          <w:rFonts w:ascii="Arial" w:cs="Arial" w:eastAsia="Arial" w:hAnsi="Arial"/>
          <w:sz w:val="13"/>
          <w:szCs w:val="13"/>
          <w:color w:val="auto"/>
        </w:rPr>
        <w:t>given the extensive licensing requirements applicable to the Company’s operations, the Board does not believe that such restrictions are in the best interests of the Company. Rather, the Board believes it is more appropriate to assess, at the time of a director’s nomination for re-election, whether the director’s continued service on the Board continues to be in the best interests of the Company and its shareholders and aligns with its goal of ensuring that the composition of the Board represents an appropriate balance of tenure, skills and experience based on the current needs of the Board and the Company at such time, as evidenced by the refreshment of the Board executed in 2023 and 2025 with the additions of Messrs. Liu and Sanfilippo respectively.</w:t>
      </w:r>
    </w:p>
    <w:p>
      <w:pPr>
        <w:spacing w:after="0" w:line="150" w:lineRule="exact"/>
        <w:rPr>
          <w:sz w:val="20"/>
          <w:szCs w:val="20"/>
          <w:color w:val="auto"/>
        </w:rPr>
      </w:pPr>
    </w:p>
    <w:p>
      <w:pPr>
        <w:ind w:left="1260" w:right="199"/>
        <w:spacing w:after="0" w:line="251" w:lineRule="auto"/>
        <w:rPr>
          <w:sz w:val="20"/>
          <w:szCs w:val="20"/>
          <w:color w:val="auto"/>
        </w:rPr>
      </w:pPr>
      <w:r>
        <w:rPr>
          <w:rFonts w:ascii="Arial" w:cs="Arial" w:eastAsia="Arial" w:hAnsi="Arial"/>
          <w:sz w:val="13"/>
          <w:szCs w:val="13"/>
          <w:color w:val="auto"/>
        </w:rPr>
        <w:t>The Nominating and Corporate Governance Committee conducts an annual Board self-evaluation process, while the Board conducts a three-part evaluation process coordinated by the General Counsel. Each director participates in an evaluation of the full Board, each of the committees on which he or she serves, and individual director performance. A summary report of the results is prepared by the General Counsel and presented to the full Board and to each of its committees. The Board uses the results in preparing action items as necessary.</w:t>
      </w:r>
    </w:p>
    <w:p>
      <w:pPr>
        <w:spacing w:after="0" w:line="147" w:lineRule="exact"/>
        <w:rPr>
          <w:sz w:val="20"/>
          <w:szCs w:val="20"/>
          <w:color w:val="auto"/>
        </w:rPr>
      </w:pPr>
    </w:p>
    <w:p>
      <w:pPr>
        <w:ind w:left="1260" w:right="179"/>
        <w:spacing w:after="0" w:line="256" w:lineRule="auto"/>
        <w:rPr>
          <w:sz w:val="20"/>
          <w:szCs w:val="20"/>
          <w:color w:val="auto"/>
        </w:rPr>
      </w:pPr>
      <w:r>
        <w:rPr>
          <w:rFonts w:ascii="Arial" w:cs="Arial" w:eastAsia="Arial" w:hAnsi="Arial"/>
          <w:sz w:val="13"/>
          <w:szCs w:val="13"/>
          <w:color w:val="auto"/>
        </w:rPr>
        <w:t>The Nominating and Corporate Governance Committee believes these processes undertaken on an at least annual basis strike a better balance between retaining directors with deep knowledge of the Company and adding directors with different skills and a fresh perspective rather than simply forcing directors of a certain age to offer their resignation.</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Board Role in Risk Oversight</w:t>
      </w:r>
    </w:p>
    <w:p>
      <w:pPr>
        <w:spacing w:after="0" w:line="278" w:lineRule="exact"/>
        <w:rPr>
          <w:sz w:val="20"/>
          <w:szCs w:val="20"/>
          <w:color w:val="auto"/>
        </w:rPr>
      </w:pPr>
    </w:p>
    <w:p>
      <w:pPr>
        <w:ind w:left="1260" w:right="319"/>
        <w:spacing w:after="0" w:line="271" w:lineRule="auto"/>
        <w:rPr>
          <w:sz w:val="20"/>
          <w:szCs w:val="20"/>
          <w:color w:val="auto"/>
        </w:rPr>
      </w:pPr>
      <w:r>
        <w:rPr>
          <w:rFonts w:ascii="Arial" w:cs="Arial" w:eastAsia="Arial" w:hAnsi="Arial"/>
          <w:sz w:val="13"/>
          <w:szCs w:val="13"/>
          <w:color w:val="auto"/>
        </w:rPr>
        <w:t>The Board is focused on building value for the Company’s shareholders and to promote the vitality and sustainability of the Company for its customers, employees, communities in which it does business, our planet, and the other individuals and organizations that share interests with us.</w:t>
      </w:r>
    </w:p>
    <w:p>
      <w:pPr>
        <w:spacing w:after="0" w:line="134" w:lineRule="exact"/>
        <w:rPr>
          <w:sz w:val="20"/>
          <w:szCs w:val="20"/>
          <w:color w:val="auto"/>
        </w:rPr>
      </w:pPr>
    </w:p>
    <w:p>
      <w:pPr>
        <w:ind w:left="1260" w:right="439"/>
        <w:spacing w:after="0" w:line="256" w:lineRule="auto"/>
        <w:rPr>
          <w:sz w:val="20"/>
          <w:szCs w:val="20"/>
          <w:color w:val="auto"/>
        </w:rPr>
      </w:pPr>
      <w:r>
        <w:rPr>
          <w:rFonts w:ascii="Arial" w:cs="Arial" w:eastAsia="Arial" w:hAnsi="Arial"/>
          <w:sz w:val="13"/>
          <w:szCs w:val="13"/>
          <w:color w:val="auto"/>
        </w:rPr>
        <w:t>To achieve these goals, the Board monitors the performance of the Company (in relation to its goals, strategy, risks and competitors); reviews the Company’s compliance efforts; and, through the Compensation Committee, evaluates and addresses the performance of management, including the Chief Executive Officer.</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Board has an active role in overseeing the Company’s areas of risk:</w:t>
      </w:r>
    </w:p>
    <w:p>
      <w:pPr>
        <w:spacing w:after="0" w:line="194" w:lineRule="exact"/>
        <w:rPr>
          <w:sz w:val="20"/>
          <w:szCs w:val="20"/>
          <w:color w:val="auto"/>
        </w:rPr>
      </w:pPr>
    </w:p>
    <w:p>
      <w:pPr>
        <w:ind w:left="1440" w:right="199" w:hanging="173"/>
        <w:spacing w:after="0" w:line="251" w:lineRule="auto"/>
        <w:tabs>
          <w:tab w:leader="none" w:pos="14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Board and its committees, in consultation with management and the Company’s independent auditors, regularly review the Company’s risk profile and have identified specific areas of risk including: regulatory compliance; legal and human resource matters; legislative and political conditions; capital availability and liquidity; gaming credit extension and collection; cybersecurity, including protection of customer and employee data; construction; catastrophic events; and succession planning.</w:t>
      </w:r>
    </w:p>
    <w:p>
      <w:pPr>
        <w:spacing w:after="0" w:line="168" w:lineRule="exact"/>
        <w:rPr>
          <w:rFonts w:ascii="Arial" w:cs="Arial" w:eastAsia="Arial" w:hAnsi="Arial"/>
          <w:sz w:val="13"/>
          <w:szCs w:val="13"/>
          <w:color w:val="auto"/>
        </w:rPr>
      </w:pPr>
    </w:p>
    <w:p>
      <w:pPr>
        <w:ind w:left="1440" w:right="439" w:hanging="173"/>
        <w:spacing w:after="0" w:line="256" w:lineRule="auto"/>
        <w:tabs>
          <w:tab w:leader="none" w:pos="14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Board directly oversees cybersecurity risk and information security. The Board receives regular reports from the Company’s Chief Information Security Officer on the Company’s cybersecurity risk profile and enterprise cybersecurity programs and from the Chief Privacy and Technology Counsel on data privacy programs.</w:t>
      </w:r>
    </w:p>
    <w:p>
      <w:pPr>
        <w:spacing w:after="0" w:line="165" w:lineRule="exact"/>
        <w:rPr>
          <w:rFonts w:ascii="Arial" w:cs="Arial" w:eastAsia="Arial" w:hAnsi="Arial"/>
          <w:sz w:val="13"/>
          <w:szCs w:val="13"/>
          <w:color w:val="auto"/>
        </w:rPr>
      </w:pPr>
    </w:p>
    <w:p>
      <w:pPr>
        <w:ind w:left="1440" w:right="399" w:hanging="173"/>
        <w:spacing w:after="0" w:line="271" w:lineRule="auto"/>
        <w:tabs>
          <w:tab w:leader="none" w:pos="14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Board assesses risks to the Company’s long-term strategic objectives, including threats related to our people, our communities and our planet (including climate change). The Company addresses these risks through our environmental, social and governance (“ESG”) initiatives.</w:t>
      </w:r>
    </w:p>
    <w:p>
      <w:pPr>
        <w:spacing w:after="0" w:line="274"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0159"/>
          </w:cols>
          <w:pgMar w:left="300" w:top="412"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40" w:right="199" w:hanging="173"/>
        <w:spacing w:after="0" w:line="248" w:lineRule="auto"/>
        <w:tabs>
          <w:tab w:leader="none" w:pos="1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Additionally, certain directors attend meetings or serve as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members of the Company’s Compliance Committee, an independent committee which has responsibility for the Company’s Compliance Program, including managing risks relating to regulatory, workplace conduct and security, and political compliance (as described below).</w:t>
      </w:r>
    </w:p>
    <w:p>
      <w:pPr>
        <w:spacing w:after="0" w:line="171" w:lineRule="exact"/>
        <w:rPr>
          <w:rFonts w:ascii="Arial" w:cs="Arial" w:eastAsia="Arial" w:hAnsi="Arial"/>
          <w:sz w:val="13"/>
          <w:szCs w:val="13"/>
          <w:color w:val="auto"/>
        </w:rPr>
      </w:pPr>
    </w:p>
    <w:p>
      <w:pPr>
        <w:jc w:val="both"/>
        <w:ind w:left="1440" w:right="199" w:hanging="173"/>
        <w:spacing w:after="0" w:line="256" w:lineRule="auto"/>
        <w:tabs>
          <w:tab w:leader="none" w:pos="1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Throughout the year, the Board, its committees and the Company’s Compliance Committee receive reports from management that include information regarding major risks and exposures facing the Company and the steps management has taken to monitor and control such risks and exposures. The Board maintains a process to allow for direct communication of risks and issues from employees to the Board.</w:t>
      </w:r>
    </w:p>
    <w:p>
      <w:pPr>
        <w:spacing w:after="0" w:line="165" w:lineRule="exact"/>
        <w:rPr>
          <w:rFonts w:ascii="Arial" w:cs="Arial" w:eastAsia="Arial" w:hAnsi="Arial"/>
          <w:sz w:val="13"/>
          <w:szCs w:val="13"/>
          <w:color w:val="auto"/>
        </w:rPr>
      </w:pPr>
    </w:p>
    <w:p>
      <w:pPr>
        <w:ind w:left="1440" w:right="299" w:hanging="173"/>
        <w:spacing w:after="0" w:line="271" w:lineRule="auto"/>
        <w:tabs>
          <w:tab w:leader="none" w:pos="1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addition, throughout the year, the Board, its committees and the Company’s Compliance Committee dedicate a portion of their meetings to review and discuss specific risk topics in greater detail.</w:t>
      </w:r>
    </w:p>
    <w:p>
      <w:pPr>
        <w:spacing w:after="0" w:line="155" w:lineRule="exact"/>
        <w:rPr>
          <w:rFonts w:ascii="Arial" w:cs="Arial" w:eastAsia="Arial" w:hAnsi="Arial"/>
          <w:sz w:val="13"/>
          <w:szCs w:val="13"/>
          <w:color w:val="auto"/>
        </w:rPr>
      </w:pPr>
    </w:p>
    <w:p>
      <w:pPr>
        <w:ind w:left="1440" w:right="159" w:hanging="173"/>
        <w:spacing w:after="0" w:line="256" w:lineRule="auto"/>
        <w:tabs>
          <w:tab w:leader="none" w:pos="1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Audit Committee is primarily responsible for the oversight of credit, related party, construction and general financial risks, as well as monitoring the independence of our independent registered public accounting firm, the adequacy of our risk-related internal controls including our internal controls over financial reporting, and legal and compliance matters that may have a material impact on the Company’s financial statements.</w:t>
      </w:r>
    </w:p>
    <w:p>
      <w:pPr>
        <w:spacing w:after="0" w:line="165" w:lineRule="exact"/>
        <w:rPr>
          <w:rFonts w:ascii="Arial" w:cs="Arial" w:eastAsia="Arial" w:hAnsi="Arial"/>
          <w:sz w:val="13"/>
          <w:szCs w:val="13"/>
          <w:color w:val="auto"/>
        </w:rPr>
      </w:pPr>
    </w:p>
    <w:p>
      <w:pPr>
        <w:ind w:left="1440" w:right="339" w:hanging="173"/>
        <w:spacing w:after="0" w:line="256" w:lineRule="auto"/>
        <w:tabs>
          <w:tab w:leader="none" w:pos="1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the 2025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COMPLIANCE COMMITTEE</w:t>
      </w:r>
    </w:p>
    <w:p>
      <w:pPr>
        <w:spacing w:after="0" w:line="284" w:lineRule="exact"/>
        <w:rPr>
          <w:sz w:val="20"/>
          <w:szCs w:val="20"/>
          <w:color w:val="auto"/>
        </w:rPr>
      </w:pPr>
    </w:p>
    <w:p>
      <w:pPr>
        <w:ind w:left="1260" w:right="159"/>
        <w:spacing w:after="0" w:line="245" w:lineRule="auto"/>
        <w:rPr>
          <w:sz w:val="20"/>
          <w:szCs w:val="20"/>
          <w:color w:val="auto"/>
        </w:rPr>
      </w:pPr>
      <w:r>
        <w:rPr>
          <w:rFonts w:ascii="Arial" w:cs="Arial" w:eastAsia="Arial" w:hAnsi="Arial"/>
          <w:sz w:val="13"/>
          <w:szCs w:val="13"/>
          <w:color w:val="auto"/>
        </w:rPr>
        <w:t xml:space="preserve">The Company maintains a Compliance Program that features a completely independent Compliance Committee comprised of individuals who are not otherwise affiliated with the Company and have extensive familiarity with law enforcement, regulated businesses, ethics, and/or gaming compliance, to oversee and promote the Company’s compliance and to ensure that the Company meets its commitments to conduct business at the highest levels of honesty and integrity. The current members of the Compliance Committee are: Edward Davis, former Commissioner of the Boston Police Department (Chair); Thomas Peterman, former Senior Vice President and Chief Compliance Officer for MGM Resorts International; and Cynthia Kiser Murphey, former General Manager of the Palms Casino Resort. Mr. Satre and Ms. Mulroy serve as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members of the Compliance Committee as representatives of the Board. Ms. Webb also attends the meetings of the Compliance Committee in her capacity as the Chair of the Audit Committee. The Compliance Program is subject to review and approval of the Nevada Gaming Control Board and the Massachusetts Gaming Commission.</w:t>
      </w:r>
    </w:p>
    <w:p>
      <w:pPr>
        <w:spacing w:after="0" w:line="9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0159"/>
          </w:cols>
          <w:pgMar w:left="300" w:top="412"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Prohibition on Hedging and Pledging Transactions</w:t>
      </w:r>
    </w:p>
    <w:p>
      <w:pPr>
        <w:spacing w:after="0" w:line="278" w:lineRule="exact"/>
        <w:rPr>
          <w:sz w:val="20"/>
          <w:szCs w:val="20"/>
          <w:color w:val="auto"/>
        </w:rPr>
      </w:pPr>
    </w:p>
    <w:p>
      <w:pPr>
        <w:ind w:left="1260" w:right="259"/>
        <w:spacing w:after="0" w:line="251" w:lineRule="auto"/>
        <w:rPr>
          <w:sz w:val="20"/>
          <w:szCs w:val="20"/>
          <w:color w:val="auto"/>
        </w:rPr>
      </w:pPr>
      <w:r>
        <w:rPr>
          <w:rFonts w:ascii="Arial" w:cs="Arial" w:eastAsia="Arial" w:hAnsi="Arial"/>
          <w:sz w:val="13"/>
          <w:szCs w:val="13"/>
          <w:color w:val="auto"/>
        </w:rPr>
        <w:t>Pursuant to the Company’s Insider Trading Policy, our directors and executive officers are prohibited from engaging in speculative transactions in the Company’s securities, such as trading in puts and calls, or selling securities short, and from all hedging and prospective pledging of Company securities as collateral for any loan, including holding securities in a margin account and obtaining a loan or other margin credit under such account, unless approved in advance by the Board.</w:t>
      </w:r>
    </w:p>
    <w:p>
      <w:pPr>
        <w:spacing w:after="0" w:line="93"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0159"/>
          </w:cols>
          <w:pgMar w:left="300" w:top="412"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Our Commitment to Shareholder Engagement</w:t>
      </w:r>
    </w:p>
    <w:p>
      <w:pPr>
        <w:spacing w:after="0" w:line="278" w:lineRule="exact"/>
        <w:rPr>
          <w:sz w:val="20"/>
          <w:szCs w:val="20"/>
          <w:color w:val="auto"/>
        </w:rPr>
      </w:pPr>
    </w:p>
    <w:p>
      <w:pPr>
        <w:ind w:left="1260" w:right="299"/>
        <w:spacing w:after="0" w:line="248" w:lineRule="auto"/>
        <w:rPr>
          <w:sz w:val="20"/>
          <w:szCs w:val="20"/>
          <w:color w:val="auto"/>
        </w:rPr>
      </w:pPr>
      <w:r>
        <w:rPr>
          <w:rFonts w:ascii="Arial" w:cs="Arial" w:eastAsia="Arial" w:hAnsi="Arial"/>
          <w:sz w:val="13"/>
          <w:szCs w:val="13"/>
          <w:color w:val="auto"/>
        </w:rPr>
        <w:t>We value the perspective of our shareholders and are committed to regular shareholder engagement. The feedback received from shareholders serves as a key input to Board and committee discussions, and informs decisions made by the Board. Each year, our independent directors and executive management reach out to our largest shareholders to understand their perspectives and gather valuable feedback on matters of interest to our shareholders. These conversations include a variety of corporate governance topics including, but not limited to, Board composition, corporate governance, and the continued alignment of executive compensation with Company performance.</w:t>
      </w:r>
    </w:p>
    <w:p>
      <w:pPr>
        <w:spacing w:after="0" w:line="150" w:lineRule="exact"/>
        <w:rPr>
          <w:sz w:val="20"/>
          <w:szCs w:val="20"/>
          <w:color w:val="auto"/>
        </w:rPr>
      </w:pPr>
    </w:p>
    <w:p>
      <w:pPr>
        <w:ind w:left="1260" w:right="199"/>
        <w:spacing w:after="0" w:line="271" w:lineRule="auto"/>
        <w:rPr>
          <w:sz w:val="20"/>
          <w:szCs w:val="20"/>
          <w:color w:val="auto"/>
        </w:rPr>
      </w:pPr>
      <w:r>
        <w:rPr>
          <w:rFonts w:ascii="Arial" w:cs="Arial" w:eastAsia="Arial" w:hAnsi="Arial"/>
          <w:sz w:val="13"/>
          <w:szCs w:val="13"/>
          <w:color w:val="auto"/>
        </w:rPr>
        <w:t>During 2025, the Company reached out to shareholders that held approximately 66% of outstanding shares (“O/S”) and had substantive discussions with shareholders representing approximately 54% of O/S.</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HOW YOU CAN COMMUNICATE WITH US</w:t>
      </w:r>
    </w:p>
    <w:p>
      <w:pPr>
        <w:spacing w:after="0" w:line="284" w:lineRule="exact"/>
        <w:rPr>
          <w:sz w:val="20"/>
          <w:szCs w:val="20"/>
          <w:color w:val="auto"/>
        </w:rPr>
      </w:pPr>
    </w:p>
    <w:p>
      <w:pPr>
        <w:ind w:left="1260" w:right="299"/>
        <w:spacing w:after="0" w:line="256" w:lineRule="auto"/>
        <w:rPr>
          <w:sz w:val="20"/>
          <w:szCs w:val="20"/>
          <w:color w:val="auto"/>
        </w:rPr>
      </w:pPr>
      <w:r>
        <w:rPr>
          <w:rFonts w:ascii="Arial" w:cs="Arial" w:eastAsia="Arial" w:hAnsi="Arial"/>
          <w:sz w:val="13"/>
          <w:szCs w:val="13"/>
          <w:color w:val="auto"/>
        </w:rPr>
        <w:t>The Board values shareholder and stakeholder feedback as it informs our deliberations and our decision making. We therefore cast a wide net for input from management, employees, customers, potential disrupters, thought leaders, regulators, lenders and insurers and, perhaps most critically, from investors: those of you who have a financial stake in us have every reason to share insights essential to our operations and resilience.</w:t>
      </w:r>
    </w:p>
    <w:p>
      <w:pPr>
        <w:spacing w:after="0" w:line="144" w:lineRule="exact"/>
        <w:rPr>
          <w:sz w:val="20"/>
          <w:szCs w:val="20"/>
          <w:color w:val="auto"/>
        </w:rPr>
      </w:pPr>
    </w:p>
    <w:p>
      <w:pPr>
        <w:ind w:left="1260" w:right="199"/>
        <w:spacing w:after="0" w:line="248" w:lineRule="auto"/>
        <w:rPr>
          <w:sz w:val="20"/>
          <w:szCs w:val="20"/>
          <w:color w:val="auto"/>
        </w:rPr>
      </w:pPr>
      <w:r>
        <w:rPr>
          <w:rFonts w:ascii="Arial" w:cs="Arial" w:eastAsia="Arial" w:hAnsi="Arial"/>
          <w:sz w:val="13"/>
          <w:szCs w:val="13"/>
          <w:color w:val="auto"/>
        </w:rPr>
        <w:t>Because investor input is important to our functioning and accountability, you can write to us, as a Board, a board committee or an individual director by sending a letter to: Wynn Resorts, Limited, c/o Secretary, 3131 Las Vegas Boulevard South, Las Vegas, Nevada 89109. 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sure each addressee receives the communication.</w:t>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0159"/>
          </w:cols>
          <w:pgMar w:left="300" w:top="412"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How We are Paid</w:t>
      </w: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For the 2025 Board service year, non-employee directors of the Company received fees for service on the Board and its committees, as follows:</w:t>
      </w:r>
    </w:p>
    <w:p>
      <w:pPr>
        <w:spacing w:after="0" w:line="204" w:lineRule="exact"/>
        <w:rPr>
          <w:sz w:val="20"/>
          <w:szCs w:val="20"/>
          <w:color w:val="auto"/>
        </w:rPr>
      </w:pPr>
    </w:p>
    <w:tbl>
      <w:tblPr>
        <w:tblLayout w:type="fixed"/>
        <w:tblInd w:w="1280" w:type="dxa"/>
        <w:tblCellMar>
          <w:top w:w="0" w:type="dxa"/>
          <w:left w:w="0" w:type="dxa"/>
          <w:bottom w:w="0" w:type="dxa"/>
          <w:right w:w="0" w:type="dxa"/>
        </w:tblCellMar>
      </w:tblPr>
      <w:tr>
        <w:trPr>
          <w:trHeight w:val="247"/>
        </w:trPr>
        <w:tc>
          <w:tcPr>
            <w:tcW w:w="4020" w:type="dxa"/>
            <w:vAlign w:val="bottom"/>
            <w:shd w:val="clear" w:color="auto" w:fill="F1EFEC"/>
          </w:tcPr>
          <w:p>
            <w:pPr>
              <w:ind w:left="40"/>
              <w:spacing w:after="0"/>
              <w:rPr>
                <w:sz w:val="20"/>
                <w:szCs w:val="20"/>
                <w:color w:val="auto"/>
              </w:rPr>
            </w:pPr>
            <w:r>
              <w:rPr>
                <w:rFonts w:ascii="Arial" w:cs="Arial" w:eastAsia="Arial" w:hAnsi="Arial"/>
                <w:sz w:val="13"/>
                <w:szCs w:val="13"/>
                <w:color w:val="auto"/>
              </w:rPr>
              <w:t>Board Service</w:t>
            </w:r>
          </w:p>
        </w:tc>
        <w:tc>
          <w:tcPr>
            <w:tcW w:w="300" w:type="dxa"/>
            <w:vAlign w:val="bottom"/>
            <w:shd w:val="clear" w:color="auto" w:fill="F1EFEC"/>
          </w:tcPr>
          <w:p>
            <w:pPr>
              <w:ind w:left="220"/>
              <w:spacing w:after="0"/>
              <w:rPr>
                <w:sz w:val="20"/>
                <w:szCs w:val="20"/>
                <w:color w:val="auto"/>
              </w:rPr>
            </w:pPr>
            <w:r>
              <w:rPr>
                <w:rFonts w:ascii="Arial" w:cs="Arial" w:eastAsia="Arial" w:hAnsi="Arial"/>
                <w:sz w:val="13"/>
                <w:szCs w:val="13"/>
                <w:color w:val="auto"/>
              </w:rPr>
              <w:t>-</w:t>
            </w:r>
          </w:p>
        </w:tc>
        <w:tc>
          <w:tcPr>
            <w:tcW w:w="4420" w:type="dxa"/>
            <w:vAlign w:val="bottom"/>
            <w:shd w:val="clear" w:color="auto" w:fill="F1EFEC"/>
          </w:tcPr>
          <w:p>
            <w:pPr>
              <w:ind w:left="40"/>
              <w:spacing w:after="0"/>
              <w:rPr>
                <w:sz w:val="20"/>
                <w:szCs w:val="20"/>
                <w:color w:val="auto"/>
              </w:rPr>
            </w:pPr>
            <w:r>
              <w:rPr>
                <w:rFonts w:ascii="Arial" w:cs="Arial" w:eastAsia="Arial" w:hAnsi="Arial"/>
                <w:sz w:val="13"/>
                <w:szCs w:val="13"/>
                <w:color w:val="auto"/>
              </w:rPr>
              <w:t>Member annual fee retainer of $115,000</w:t>
            </w:r>
          </w:p>
        </w:tc>
      </w:tr>
      <w:tr>
        <w:trPr>
          <w:trHeight w:val="150"/>
        </w:trPr>
        <w:tc>
          <w:tcPr>
            <w:tcW w:w="4020" w:type="dxa"/>
            <w:vAlign w:val="bottom"/>
            <w:shd w:val="clear" w:color="auto" w:fill="F1EFEC"/>
          </w:tcPr>
          <w:p>
            <w:pPr>
              <w:spacing w:after="0"/>
              <w:rPr>
                <w:sz w:val="13"/>
                <w:szCs w:val="13"/>
                <w:color w:val="auto"/>
              </w:rPr>
            </w:pPr>
          </w:p>
        </w:tc>
        <w:tc>
          <w:tcPr>
            <w:tcW w:w="4720" w:type="dxa"/>
            <w:vAlign w:val="bottom"/>
            <w:gridSpan w:val="2"/>
            <w:shd w:val="clear" w:color="auto" w:fill="F1EFEC"/>
          </w:tcPr>
          <w:p>
            <w:pPr>
              <w:ind w:left="220"/>
              <w:spacing w:after="0"/>
              <w:rPr>
                <w:sz w:val="20"/>
                <w:szCs w:val="20"/>
                <w:color w:val="auto"/>
              </w:rPr>
            </w:pPr>
            <w:r>
              <w:rPr>
                <w:rFonts w:ascii="Arial" w:cs="Arial" w:eastAsia="Arial" w:hAnsi="Arial"/>
                <w:sz w:val="13"/>
                <w:szCs w:val="13"/>
                <w:color w:val="auto"/>
              </w:rPr>
              <w:t>- Chair annual retainer fee of $340,000</w:t>
            </w:r>
          </w:p>
        </w:tc>
      </w:tr>
      <w:tr>
        <w:trPr>
          <w:trHeight w:val="150"/>
        </w:trPr>
        <w:tc>
          <w:tcPr>
            <w:tcW w:w="4020" w:type="dxa"/>
            <w:vAlign w:val="bottom"/>
            <w:shd w:val="clear" w:color="auto" w:fill="F1EFEC"/>
          </w:tcPr>
          <w:p>
            <w:pPr>
              <w:spacing w:after="0"/>
              <w:rPr>
                <w:sz w:val="13"/>
                <w:szCs w:val="13"/>
                <w:color w:val="auto"/>
              </w:rPr>
            </w:pPr>
          </w:p>
        </w:tc>
        <w:tc>
          <w:tcPr>
            <w:tcW w:w="4720" w:type="dxa"/>
            <w:vAlign w:val="bottom"/>
            <w:gridSpan w:val="2"/>
            <w:shd w:val="clear" w:color="auto" w:fill="F1EFEC"/>
          </w:tcPr>
          <w:p>
            <w:pPr>
              <w:ind w:left="220"/>
              <w:spacing w:after="0"/>
              <w:rPr>
                <w:sz w:val="20"/>
                <w:szCs w:val="20"/>
                <w:color w:val="auto"/>
              </w:rPr>
            </w:pPr>
            <w:r>
              <w:rPr>
                <w:rFonts w:ascii="Arial" w:cs="Arial" w:eastAsia="Arial" w:hAnsi="Arial"/>
                <w:sz w:val="13"/>
                <w:szCs w:val="13"/>
                <w:color w:val="auto"/>
              </w:rPr>
              <w:t>- Grant of restricted stock or stock options equal in value to $250,000 that</w:t>
            </w:r>
          </w:p>
        </w:tc>
      </w:tr>
      <w:tr>
        <w:trPr>
          <w:trHeight w:val="169"/>
        </w:trPr>
        <w:tc>
          <w:tcPr>
            <w:tcW w:w="4020" w:type="dxa"/>
            <w:vAlign w:val="bottom"/>
            <w:shd w:val="clear" w:color="auto" w:fill="F1EFEC"/>
          </w:tcPr>
          <w:p>
            <w:pPr>
              <w:spacing w:after="0"/>
              <w:rPr>
                <w:sz w:val="14"/>
                <w:szCs w:val="14"/>
                <w:color w:val="auto"/>
              </w:rPr>
            </w:pPr>
          </w:p>
        </w:tc>
        <w:tc>
          <w:tcPr>
            <w:tcW w:w="300" w:type="dxa"/>
            <w:vAlign w:val="bottom"/>
            <w:shd w:val="clear" w:color="auto" w:fill="F1EFEC"/>
          </w:tcPr>
          <w:p>
            <w:pPr>
              <w:spacing w:after="0"/>
              <w:rPr>
                <w:sz w:val="14"/>
                <w:szCs w:val="14"/>
                <w:color w:val="auto"/>
              </w:rPr>
            </w:pPr>
          </w:p>
        </w:tc>
        <w:tc>
          <w:tcPr>
            <w:tcW w:w="4420" w:type="dxa"/>
            <w:vAlign w:val="bottom"/>
            <w:shd w:val="clear" w:color="auto" w:fill="F1EFEC"/>
          </w:tcPr>
          <w:p>
            <w:pPr>
              <w:ind w:left="40"/>
              <w:spacing w:after="0"/>
              <w:rPr>
                <w:sz w:val="20"/>
                <w:szCs w:val="20"/>
                <w:color w:val="auto"/>
              </w:rPr>
            </w:pPr>
            <w:r>
              <w:rPr>
                <w:rFonts w:ascii="Arial" w:cs="Arial" w:eastAsia="Arial" w:hAnsi="Arial"/>
                <w:sz w:val="13"/>
                <w:szCs w:val="13"/>
                <w:color w:val="auto"/>
              </w:rPr>
              <w:t>vests 100% on the first anniversary of the grant date (1)</w:t>
            </w:r>
          </w:p>
        </w:tc>
      </w:tr>
      <w:tr>
        <w:trPr>
          <w:trHeight w:val="78"/>
        </w:trPr>
        <w:tc>
          <w:tcPr>
            <w:tcW w:w="4020" w:type="dxa"/>
            <w:vAlign w:val="bottom"/>
            <w:shd w:val="clear" w:color="auto" w:fill="F1EFEC"/>
          </w:tcPr>
          <w:p>
            <w:pPr>
              <w:spacing w:after="0"/>
              <w:rPr>
                <w:sz w:val="6"/>
                <w:szCs w:val="6"/>
                <w:color w:val="auto"/>
              </w:rPr>
            </w:pPr>
          </w:p>
        </w:tc>
        <w:tc>
          <w:tcPr>
            <w:tcW w:w="300" w:type="dxa"/>
            <w:vAlign w:val="bottom"/>
            <w:shd w:val="clear" w:color="auto" w:fill="F1EFEC"/>
          </w:tcPr>
          <w:p>
            <w:pPr>
              <w:spacing w:after="0"/>
              <w:rPr>
                <w:sz w:val="6"/>
                <w:szCs w:val="6"/>
                <w:color w:val="auto"/>
              </w:rPr>
            </w:pPr>
          </w:p>
        </w:tc>
        <w:tc>
          <w:tcPr>
            <w:tcW w:w="4420" w:type="dxa"/>
            <w:vAlign w:val="bottom"/>
            <w:shd w:val="clear" w:color="auto" w:fill="F1EFEC"/>
          </w:tcPr>
          <w:p>
            <w:pPr>
              <w:spacing w:after="0"/>
              <w:rPr>
                <w:sz w:val="6"/>
                <w:szCs w:val="6"/>
                <w:color w:val="auto"/>
              </w:rPr>
            </w:pPr>
          </w:p>
        </w:tc>
      </w:tr>
      <w:tr>
        <w:trPr>
          <w:trHeight w:val="183"/>
        </w:trPr>
        <w:tc>
          <w:tcPr>
            <w:tcW w:w="4020" w:type="dxa"/>
            <w:vAlign w:val="bottom"/>
          </w:tcPr>
          <w:p>
            <w:pPr>
              <w:ind w:left="40"/>
              <w:spacing w:after="0"/>
              <w:rPr>
                <w:sz w:val="20"/>
                <w:szCs w:val="20"/>
                <w:color w:val="auto"/>
              </w:rPr>
            </w:pPr>
            <w:r>
              <w:rPr>
                <w:rFonts w:ascii="Arial" w:cs="Arial" w:eastAsia="Arial" w:hAnsi="Arial"/>
                <w:sz w:val="13"/>
                <w:szCs w:val="13"/>
                <w:color w:val="auto"/>
              </w:rPr>
              <w:t>Audit Committee Service</w:t>
            </w:r>
          </w:p>
        </w:tc>
        <w:tc>
          <w:tcPr>
            <w:tcW w:w="300" w:type="dxa"/>
            <w:vAlign w:val="bottom"/>
          </w:tcPr>
          <w:p>
            <w:pPr>
              <w:ind w:left="220"/>
              <w:spacing w:after="0"/>
              <w:rPr>
                <w:sz w:val="20"/>
                <w:szCs w:val="20"/>
                <w:color w:val="auto"/>
              </w:rPr>
            </w:pPr>
            <w:r>
              <w:rPr>
                <w:rFonts w:ascii="Arial" w:cs="Arial" w:eastAsia="Arial" w:hAnsi="Arial"/>
                <w:sz w:val="13"/>
                <w:szCs w:val="13"/>
                <w:color w:val="auto"/>
              </w:rPr>
              <w:t>-</w:t>
            </w:r>
          </w:p>
        </w:tc>
        <w:tc>
          <w:tcPr>
            <w:tcW w:w="4420" w:type="dxa"/>
            <w:vAlign w:val="bottom"/>
          </w:tcPr>
          <w:p>
            <w:pPr>
              <w:ind w:left="40"/>
              <w:spacing w:after="0"/>
              <w:rPr>
                <w:sz w:val="20"/>
                <w:szCs w:val="20"/>
                <w:color w:val="auto"/>
              </w:rPr>
            </w:pPr>
            <w:r>
              <w:rPr>
                <w:rFonts w:ascii="Arial" w:cs="Arial" w:eastAsia="Arial" w:hAnsi="Arial"/>
                <w:sz w:val="13"/>
                <w:szCs w:val="13"/>
                <w:color w:val="auto"/>
              </w:rPr>
              <w:t>Member monthly fee of $1,667</w:t>
            </w:r>
          </w:p>
        </w:tc>
      </w:tr>
      <w:tr>
        <w:trPr>
          <w:trHeight w:val="169"/>
        </w:trPr>
        <w:tc>
          <w:tcPr>
            <w:tcW w:w="402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Arial" w:cs="Arial" w:eastAsia="Arial" w:hAnsi="Arial"/>
                <w:sz w:val="13"/>
                <w:szCs w:val="13"/>
                <w:color w:val="auto"/>
              </w:rPr>
              <w:t>-</w:t>
            </w:r>
          </w:p>
        </w:tc>
        <w:tc>
          <w:tcPr>
            <w:tcW w:w="4420" w:type="dxa"/>
            <w:vAlign w:val="bottom"/>
          </w:tcPr>
          <w:p>
            <w:pPr>
              <w:ind w:left="40"/>
              <w:spacing w:after="0"/>
              <w:rPr>
                <w:sz w:val="20"/>
                <w:szCs w:val="20"/>
                <w:color w:val="auto"/>
              </w:rPr>
            </w:pPr>
            <w:r>
              <w:rPr>
                <w:rFonts w:ascii="Arial" w:cs="Arial" w:eastAsia="Arial" w:hAnsi="Arial"/>
                <w:sz w:val="13"/>
                <w:szCs w:val="13"/>
                <w:color w:val="auto"/>
              </w:rPr>
              <w:t>Chair monthly fee of $3,333</w:t>
            </w:r>
          </w:p>
        </w:tc>
      </w:tr>
      <w:tr>
        <w:trPr>
          <w:trHeight w:val="57"/>
        </w:trPr>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20" w:type="dxa"/>
            <w:vAlign w:val="bottom"/>
          </w:tcPr>
          <w:p>
            <w:pPr>
              <w:spacing w:after="0"/>
              <w:rPr>
                <w:sz w:val="4"/>
                <w:szCs w:val="4"/>
                <w:color w:val="auto"/>
              </w:rPr>
            </w:pPr>
          </w:p>
        </w:tc>
      </w:tr>
      <w:tr>
        <w:trPr>
          <w:trHeight w:val="183"/>
        </w:trPr>
        <w:tc>
          <w:tcPr>
            <w:tcW w:w="4020" w:type="dxa"/>
            <w:vAlign w:val="bottom"/>
            <w:shd w:val="clear" w:color="auto" w:fill="F1EFEC"/>
          </w:tcPr>
          <w:p>
            <w:pPr>
              <w:ind w:left="40"/>
              <w:spacing w:after="0"/>
              <w:rPr>
                <w:sz w:val="20"/>
                <w:szCs w:val="20"/>
                <w:color w:val="auto"/>
              </w:rPr>
            </w:pPr>
            <w:r>
              <w:rPr>
                <w:rFonts w:ascii="Arial" w:cs="Arial" w:eastAsia="Arial" w:hAnsi="Arial"/>
                <w:sz w:val="13"/>
                <w:szCs w:val="13"/>
                <w:color w:val="auto"/>
              </w:rPr>
              <w:t>Compensation Committee Service</w:t>
            </w:r>
          </w:p>
        </w:tc>
        <w:tc>
          <w:tcPr>
            <w:tcW w:w="300" w:type="dxa"/>
            <w:vAlign w:val="bottom"/>
            <w:shd w:val="clear" w:color="auto" w:fill="F1EFEC"/>
          </w:tcPr>
          <w:p>
            <w:pPr>
              <w:ind w:left="220"/>
              <w:spacing w:after="0"/>
              <w:rPr>
                <w:sz w:val="20"/>
                <w:szCs w:val="20"/>
                <w:color w:val="auto"/>
              </w:rPr>
            </w:pPr>
            <w:r>
              <w:rPr>
                <w:rFonts w:ascii="Arial" w:cs="Arial" w:eastAsia="Arial" w:hAnsi="Arial"/>
                <w:sz w:val="13"/>
                <w:szCs w:val="13"/>
                <w:color w:val="auto"/>
              </w:rPr>
              <w:t>-</w:t>
            </w:r>
          </w:p>
        </w:tc>
        <w:tc>
          <w:tcPr>
            <w:tcW w:w="4420" w:type="dxa"/>
            <w:vAlign w:val="bottom"/>
            <w:shd w:val="clear" w:color="auto" w:fill="F1EFEC"/>
          </w:tcPr>
          <w:p>
            <w:pPr>
              <w:ind w:left="40"/>
              <w:spacing w:after="0"/>
              <w:rPr>
                <w:sz w:val="20"/>
                <w:szCs w:val="20"/>
                <w:color w:val="auto"/>
              </w:rPr>
            </w:pPr>
            <w:r>
              <w:rPr>
                <w:rFonts w:ascii="Arial" w:cs="Arial" w:eastAsia="Arial" w:hAnsi="Arial"/>
                <w:sz w:val="13"/>
                <w:szCs w:val="13"/>
                <w:color w:val="auto"/>
              </w:rPr>
              <w:t>Member monthly fee of $1,000</w:t>
            </w:r>
          </w:p>
        </w:tc>
      </w:tr>
      <w:tr>
        <w:trPr>
          <w:trHeight w:val="205"/>
        </w:trPr>
        <w:tc>
          <w:tcPr>
            <w:tcW w:w="4020" w:type="dxa"/>
            <w:vAlign w:val="bottom"/>
            <w:tcBorders>
              <w:bottom w:val="single" w:sz="8" w:color="F1EFEC"/>
            </w:tcBorders>
            <w:shd w:val="clear" w:color="auto" w:fill="F1EFEC"/>
          </w:tcPr>
          <w:p>
            <w:pPr>
              <w:spacing w:after="0"/>
              <w:rPr>
                <w:sz w:val="17"/>
                <w:szCs w:val="17"/>
                <w:color w:val="auto"/>
              </w:rPr>
            </w:pPr>
          </w:p>
        </w:tc>
        <w:tc>
          <w:tcPr>
            <w:tcW w:w="300" w:type="dxa"/>
            <w:vAlign w:val="bottom"/>
            <w:tcBorders>
              <w:bottom w:val="single" w:sz="8" w:color="F1EFEC"/>
            </w:tcBorders>
            <w:shd w:val="clear" w:color="auto" w:fill="F1EFEC"/>
          </w:tcPr>
          <w:p>
            <w:pPr>
              <w:ind w:left="220"/>
              <w:spacing w:after="0"/>
              <w:rPr>
                <w:sz w:val="20"/>
                <w:szCs w:val="20"/>
                <w:color w:val="auto"/>
              </w:rPr>
            </w:pPr>
            <w:r>
              <w:rPr>
                <w:rFonts w:ascii="Arial" w:cs="Arial" w:eastAsia="Arial" w:hAnsi="Arial"/>
                <w:sz w:val="13"/>
                <w:szCs w:val="13"/>
                <w:color w:val="auto"/>
              </w:rPr>
              <w:t>-</w:t>
            </w:r>
          </w:p>
        </w:tc>
        <w:tc>
          <w:tcPr>
            <w:tcW w:w="4420" w:type="dxa"/>
            <w:vAlign w:val="bottom"/>
            <w:tcBorders>
              <w:bottom w:val="single" w:sz="8" w:color="F1EFEC"/>
            </w:tcBorders>
            <w:shd w:val="clear" w:color="auto" w:fill="F1EFEC"/>
          </w:tcPr>
          <w:p>
            <w:pPr>
              <w:ind w:left="40"/>
              <w:spacing w:after="0"/>
              <w:rPr>
                <w:sz w:val="20"/>
                <w:szCs w:val="20"/>
                <w:color w:val="auto"/>
              </w:rPr>
            </w:pPr>
            <w:r>
              <w:rPr>
                <w:rFonts w:ascii="Arial" w:cs="Arial" w:eastAsia="Arial" w:hAnsi="Arial"/>
                <w:sz w:val="13"/>
                <w:szCs w:val="13"/>
                <w:color w:val="auto"/>
              </w:rPr>
              <w:t>Chair monthly fee of $2,500</w:t>
            </w:r>
          </w:p>
        </w:tc>
      </w:tr>
      <w:tr>
        <w:trPr>
          <w:trHeight w:val="183"/>
        </w:trPr>
        <w:tc>
          <w:tcPr>
            <w:tcW w:w="4020" w:type="dxa"/>
            <w:vAlign w:val="bottom"/>
          </w:tcPr>
          <w:p>
            <w:pPr>
              <w:ind w:left="40"/>
              <w:spacing w:after="0"/>
              <w:rPr>
                <w:sz w:val="20"/>
                <w:szCs w:val="20"/>
                <w:color w:val="auto"/>
              </w:rPr>
            </w:pPr>
            <w:r>
              <w:rPr>
                <w:rFonts w:ascii="Arial" w:cs="Arial" w:eastAsia="Arial" w:hAnsi="Arial"/>
                <w:sz w:val="13"/>
                <w:szCs w:val="13"/>
                <w:color w:val="auto"/>
              </w:rPr>
              <w:t>Nominating and Corporate Governance Committee Service</w:t>
            </w:r>
          </w:p>
        </w:tc>
        <w:tc>
          <w:tcPr>
            <w:tcW w:w="300" w:type="dxa"/>
            <w:vAlign w:val="bottom"/>
          </w:tcPr>
          <w:p>
            <w:pPr>
              <w:ind w:left="220"/>
              <w:spacing w:after="0"/>
              <w:rPr>
                <w:sz w:val="20"/>
                <w:szCs w:val="20"/>
                <w:color w:val="auto"/>
              </w:rPr>
            </w:pPr>
            <w:r>
              <w:rPr>
                <w:rFonts w:ascii="Arial" w:cs="Arial" w:eastAsia="Arial" w:hAnsi="Arial"/>
                <w:sz w:val="13"/>
                <w:szCs w:val="13"/>
                <w:color w:val="auto"/>
              </w:rPr>
              <w:t>-</w:t>
            </w:r>
          </w:p>
        </w:tc>
        <w:tc>
          <w:tcPr>
            <w:tcW w:w="4420" w:type="dxa"/>
            <w:vAlign w:val="bottom"/>
          </w:tcPr>
          <w:p>
            <w:pPr>
              <w:ind w:left="40"/>
              <w:spacing w:after="0"/>
              <w:rPr>
                <w:sz w:val="20"/>
                <w:szCs w:val="20"/>
                <w:color w:val="auto"/>
              </w:rPr>
            </w:pPr>
            <w:r>
              <w:rPr>
                <w:rFonts w:ascii="Arial" w:cs="Arial" w:eastAsia="Arial" w:hAnsi="Arial"/>
                <w:sz w:val="13"/>
                <w:szCs w:val="13"/>
                <w:color w:val="auto"/>
              </w:rPr>
              <w:t>Member monthly fee of $1,000</w:t>
            </w:r>
          </w:p>
        </w:tc>
      </w:tr>
      <w:tr>
        <w:trPr>
          <w:trHeight w:val="169"/>
        </w:trPr>
        <w:tc>
          <w:tcPr>
            <w:tcW w:w="402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Arial" w:cs="Arial" w:eastAsia="Arial" w:hAnsi="Arial"/>
                <w:sz w:val="13"/>
                <w:szCs w:val="13"/>
                <w:color w:val="auto"/>
              </w:rPr>
              <w:t>-</w:t>
            </w:r>
          </w:p>
        </w:tc>
        <w:tc>
          <w:tcPr>
            <w:tcW w:w="4420" w:type="dxa"/>
            <w:vAlign w:val="bottom"/>
          </w:tcPr>
          <w:p>
            <w:pPr>
              <w:ind w:left="40"/>
              <w:spacing w:after="0"/>
              <w:rPr>
                <w:sz w:val="20"/>
                <w:szCs w:val="20"/>
                <w:color w:val="auto"/>
              </w:rPr>
            </w:pPr>
            <w:r>
              <w:rPr>
                <w:rFonts w:ascii="Arial" w:cs="Arial" w:eastAsia="Arial" w:hAnsi="Arial"/>
                <w:sz w:val="13"/>
                <w:szCs w:val="13"/>
                <w:color w:val="auto"/>
              </w:rPr>
              <w:t>Chair monthly fee of $2,000</w:t>
            </w:r>
          </w:p>
        </w:tc>
      </w:tr>
    </w:tbl>
    <w:p>
      <w:pPr>
        <w:spacing w:after="0" w:line="74" w:lineRule="exact"/>
        <w:rPr>
          <w:sz w:val="20"/>
          <w:szCs w:val="20"/>
          <w:color w:val="auto"/>
        </w:rPr>
      </w:pPr>
    </w:p>
    <w:p>
      <w:pPr>
        <w:ind w:left="1260"/>
        <w:spacing w:after="0"/>
        <w:rPr>
          <w:sz w:val="20"/>
          <w:szCs w:val="20"/>
          <w:color w:val="auto"/>
        </w:rPr>
      </w:pPr>
      <w:r>
        <w:rPr>
          <w:rFonts w:ascii="Arial" w:cs="Arial" w:eastAsia="Arial" w:hAnsi="Arial"/>
          <w:sz w:val="10"/>
          <w:szCs w:val="10"/>
          <w:color w:val="auto"/>
        </w:rPr>
        <w:t>(1) Amount and vesting period determined annually by the Board. The annual equity award he or she will receive consists of either restricted stock or stock options (as elected by the director).</w:t>
      </w:r>
    </w:p>
    <w:p>
      <w:pPr>
        <w:spacing w:after="0" w:line="168" w:lineRule="exact"/>
        <w:rPr>
          <w:sz w:val="20"/>
          <w:szCs w:val="20"/>
          <w:color w:val="auto"/>
        </w:rPr>
      </w:pPr>
    </w:p>
    <w:p>
      <w:pPr>
        <w:jc w:val="both"/>
        <w:ind w:left="1260" w:right="159"/>
        <w:spacing w:after="0" w:line="256" w:lineRule="auto"/>
        <w:rPr>
          <w:sz w:val="20"/>
          <w:szCs w:val="20"/>
          <w:color w:val="auto"/>
        </w:rPr>
      </w:pPr>
      <w:r>
        <w:rPr>
          <w:rFonts w:ascii="Arial" w:cs="Arial" w:eastAsia="Arial" w:hAnsi="Arial"/>
          <w:sz w:val="13"/>
          <w:szCs w:val="13"/>
          <w:color w:val="auto"/>
        </w:rPr>
        <w:t>Notwithstanding the foregoing, prior to May 2025, Board compensation consisted of an annual member and chair fee of $100,000 and $200,000 per year, respectively. In addition, the Audit Committee member and chair fees were $1,250 and $3,000 per month, respectively, and the Compensation Committee chair fee was $2,000 per month. All other fees were consistent throughout the 2025 calendar year.</w:t>
      </w:r>
    </w:p>
    <w:p>
      <w:pPr>
        <w:spacing w:after="0" w:line="144" w:lineRule="exact"/>
        <w:rPr>
          <w:sz w:val="20"/>
          <w:szCs w:val="20"/>
          <w:color w:val="auto"/>
        </w:rPr>
      </w:pPr>
    </w:p>
    <w:p>
      <w:pPr>
        <w:ind w:left="1260" w:right="199"/>
        <w:spacing w:after="0" w:line="247" w:lineRule="auto"/>
        <w:rPr>
          <w:sz w:val="20"/>
          <w:szCs w:val="20"/>
          <w:color w:val="auto"/>
        </w:rPr>
      </w:pPr>
      <w:r>
        <w:rPr>
          <w:rFonts w:ascii="Arial" w:cs="Arial" w:eastAsia="Arial" w:hAnsi="Arial"/>
          <w:sz w:val="13"/>
          <w:szCs w:val="13"/>
          <w:color w:val="auto"/>
        </w:rPr>
        <w:t xml:space="preserve">In addition to the fees set forth in the table above, non-employee directors who serve as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members of the Compliance Committee receive an annual retainer fee of $75,000, and the Chair of the Audit Committee receives an attendance fee of $1,000 per month for their participation in the meetings of the Compliance Committee. All of our non-employee directors are provided complimentary room, food and beverage privileges at our properties and are reimbursed for any other out-of-pocket expenses related to their attendance at Board or committee meetings or other corporate events. From time to time our non-employee directors may receive other benefits as is discussed in the table below under “All Other Compensation.” The Company does not provide non-equity incentive plan awards or deferred compensation or retirement plans for its non-employee directors.</w:t>
      </w:r>
    </w:p>
    <w:p>
      <w:pPr>
        <w:spacing w:after="0" w:line="96"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0159"/>
          </w:cols>
          <w:pgMar w:left="300" w:top="412"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NON-EMPLOYEE DIRECTOR COMPENSATION TABLE</w:t>
      </w:r>
    </w:p>
    <w:p>
      <w:pPr>
        <w:spacing w:after="0" w:line="284" w:lineRule="exact"/>
        <w:rPr>
          <w:sz w:val="20"/>
          <w:szCs w:val="20"/>
          <w:color w:val="auto"/>
        </w:rPr>
      </w:pPr>
    </w:p>
    <w:p>
      <w:pPr>
        <w:ind w:left="1260" w:right="459"/>
        <w:spacing w:after="0" w:line="251" w:lineRule="auto"/>
        <w:rPr>
          <w:sz w:val="20"/>
          <w:szCs w:val="20"/>
          <w:color w:val="auto"/>
        </w:rPr>
      </w:pPr>
      <w:r>
        <w:rPr>
          <w:rFonts w:ascii="Arial" w:cs="Arial" w:eastAsia="Arial" w:hAnsi="Arial"/>
          <w:sz w:val="13"/>
          <w:szCs w:val="13"/>
          <w:color w:val="auto"/>
        </w:rPr>
        <w:t>The table below summarizes the total compensation awarded to, earned by or paid to each of our non-employee directors for the fiscal year ended December 31, 2025. As an employee of the Company, Mr. Billings is not entitled to receive additional compensation for his service as a director and, therefore, is not included in this table. The compensation received by Mr. Billings as an employee of the Company is presented in the Summary Compensation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113665</wp:posOffset>
            </wp:positionV>
            <wp:extent cx="6985" cy="2077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85" cy="207772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113665</wp:posOffset>
            </wp:positionV>
            <wp:extent cx="6985" cy="2077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5" cy="207772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113665</wp:posOffset>
            </wp:positionV>
            <wp:extent cx="6985" cy="2077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85" cy="2077720"/>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113665</wp:posOffset>
            </wp:positionV>
            <wp:extent cx="6985" cy="2077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5" cy="207772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113665</wp:posOffset>
            </wp:positionV>
            <wp:extent cx="6985" cy="2077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85" cy="2077720"/>
                    </a:xfrm>
                    <a:prstGeom prst="rect">
                      <a:avLst/>
                    </a:prstGeom>
                    <a:noFill/>
                  </pic:spPr>
                </pic:pic>
              </a:graphicData>
            </a:graphic>
          </wp:anchor>
        </w:drawing>
      </w:r>
    </w:p>
    <w:p>
      <w:pPr>
        <w:spacing w:after="0" w:line="159"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2340" w:type="dxa"/>
            <w:vAlign w:val="bottom"/>
            <w:shd w:val="clear" w:color="auto" w:fill="B9AFA0"/>
          </w:tcPr>
          <w:p>
            <w:pPr>
              <w:spacing w:after="0"/>
              <w:rPr>
                <w:sz w:val="16"/>
                <w:szCs w:val="16"/>
                <w:color w:val="auto"/>
              </w:rPr>
            </w:pPr>
          </w:p>
        </w:tc>
        <w:tc>
          <w:tcPr>
            <w:tcW w:w="1800" w:type="dxa"/>
            <w:vAlign w:val="bottom"/>
            <w:shd w:val="clear" w:color="auto" w:fill="B9AFA0"/>
          </w:tcPr>
          <w:p>
            <w:pPr>
              <w:spacing w:after="0"/>
              <w:rPr>
                <w:sz w:val="16"/>
                <w:szCs w:val="16"/>
                <w:color w:val="auto"/>
              </w:rPr>
            </w:pPr>
          </w:p>
        </w:tc>
        <w:tc>
          <w:tcPr>
            <w:tcW w:w="1500" w:type="dxa"/>
            <w:vAlign w:val="bottom"/>
            <w:shd w:val="clear" w:color="auto" w:fill="B9AFA0"/>
          </w:tcPr>
          <w:p>
            <w:pPr>
              <w:spacing w:after="0"/>
              <w:rPr>
                <w:sz w:val="16"/>
                <w:szCs w:val="16"/>
                <w:color w:val="auto"/>
              </w:rPr>
            </w:pPr>
          </w:p>
        </w:tc>
        <w:tc>
          <w:tcPr>
            <w:tcW w:w="1080" w:type="dxa"/>
            <w:vAlign w:val="bottom"/>
            <w:shd w:val="clear" w:color="auto" w:fill="B9AFA0"/>
          </w:tcPr>
          <w:p>
            <w:pPr>
              <w:jc w:val="center"/>
              <w:ind w:left="36"/>
              <w:spacing w:after="0"/>
              <w:rPr>
                <w:sz w:val="20"/>
                <w:szCs w:val="20"/>
                <w:color w:val="auto"/>
              </w:rPr>
            </w:pPr>
            <w:r>
              <w:rPr>
                <w:rFonts w:ascii="Arial" w:cs="Arial" w:eastAsia="Arial" w:hAnsi="Arial"/>
                <w:sz w:val="13"/>
                <w:szCs w:val="13"/>
                <w:color w:val="FFFFFF"/>
              </w:rPr>
              <w:t>OPTION</w:t>
            </w:r>
          </w:p>
        </w:tc>
        <w:tc>
          <w:tcPr>
            <w:tcW w:w="1320" w:type="dxa"/>
            <w:vAlign w:val="bottom"/>
            <w:shd w:val="clear" w:color="auto" w:fill="B9AFA0"/>
          </w:tcPr>
          <w:p>
            <w:pPr>
              <w:jc w:val="center"/>
              <w:ind w:left="56"/>
              <w:spacing w:after="0"/>
              <w:rPr>
                <w:sz w:val="20"/>
                <w:szCs w:val="20"/>
                <w:color w:val="auto"/>
              </w:rPr>
            </w:pPr>
            <w:r>
              <w:rPr>
                <w:rFonts w:ascii="Arial" w:cs="Arial" w:eastAsia="Arial" w:hAnsi="Arial"/>
                <w:sz w:val="13"/>
                <w:szCs w:val="13"/>
                <w:color w:val="FFFFFF"/>
                <w:w w:val="99"/>
              </w:rPr>
              <w:t>ALL OTHER</w:t>
            </w:r>
          </w:p>
        </w:tc>
        <w:tc>
          <w:tcPr>
            <w:tcW w:w="700" w:type="dxa"/>
            <w:vAlign w:val="bottom"/>
            <w:shd w:val="clear" w:color="auto" w:fill="B9AFA0"/>
          </w:tcPr>
          <w:p>
            <w:pPr>
              <w:spacing w:after="0"/>
              <w:rPr>
                <w:sz w:val="16"/>
                <w:szCs w:val="16"/>
                <w:color w:val="auto"/>
              </w:rPr>
            </w:pPr>
          </w:p>
        </w:tc>
      </w:tr>
      <w:tr>
        <w:trPr>
          <w:trHeight w:val="150"/>
        </w:trPr>
        <w:tc>
          <w:tcPr>
            <w:tcW w:w="2340" w:type="dxa"/>
            <w:vAlign w:val="bottom"/>
            <w:shd w:val="clear" w:color="auto" w:fill="B9AFA0"/>
          </w:tcPr>
          <w:p>
            <w:pPr>
              <w:spacing w:after="0"/>
              <w:rPr>
                <w:sz w:val="13"/>
                <w:szCs w:val="13"/>
                <w:color w:val="auto"/>
              </w:rPr>
            </w:pPr>
          </w:p>
        </w:tc>
        <w:tc>
          <w:tcPr>
            <w:tcW w:w="1800" w:type="dxa"/>
            <w:vAlign w:val="bottom"/>
            <w:shd w:val="clear" w:color="auto" w:fill="B9AFA0"/>
          </w:tcPr>
          <w:p>
            <w:pPr>
              <w:jc w:val="right"/>
              <w:ind w:right="276"/>
              <w:spacing w:after="0"/>
              <w:rPr>
                <w:sz w:val="20"/>
                <w:szCs w:val="20"/>
                <w:color w:val="auto"/>
              </w:rPr>
            </w:pPr>
            <w:r>
              <w:rPr>
                <w:rFonts w:ascii="Arial" w:cs="Arial" w:eastAsia="Arial" w:hAnsi="Arial"/>
                <w:sz w:val="13"/>
                <w:szCs w:val="13"/>
                <w:color w:val="FFFFFF"/>
              </w:rPr>
              <w:t>FEES EARNED OR</w:t>
            </w:r>
          </w:p>
        </w:tc>
        <w:tc>
          <w:tcPr>
            <w:tcW w:w="1500" w:type="dxa"/>
            <w:vAlign w:val="bottom"/>
            <w:shd w:val="clear" w:color="auto" w:fill="B9AFA0"/>
          </w:tcPr>
          <w:p>
            <w:pPr>
              <w:jc w:val="right"/>
              <w:ind w:right="496"/>
              <w:spacing w:after="0"/>
              <w:rPr>
                <w:sz w:val="20"/>
                <w:szCs w:val="20"/>
                <w:color w:val="auto"/>
              </w:rPr>
            </w:pPr>
            <w:r>
              <w:rPr>
                <w:rFonts w:ascii="Arial" w:cs="Arial" w:eastAsia="Arial" w:hAnsi="Arial"/>
                <w:sz w:val="13"/>
                <w:szCs w:val="13"/>
                <w:color w:val="FFFFFF"/>
              </w:rPr>
              <w:t>STOCK</w:t>
            </w:r>
          </w:p>
        </w:tc>
        <w:tc>
          <w:tcPr>
            <w:tcW w:w="1080" w:type="dxa"/>
            <w:vAlign w:val="bottom"/>
            <w:shd w:val="clear" w:color="auto" w:fill="B9AFA0"/>
          </w:tcPr>
          <w:p>
            <w:pPr>
              <w:jc w:val="center"/>
              <w:ind w:left="56"/>
              <w:spacing w:after="0"/>
              <w:rPr>
                <w:sz w:val="20"/>
                <w:szCs w:val="20"/>
                <w:color w:val="auto"/>
              </w:rPr>
            </w:pPr>
            <w:r>
              <w:rPr>
                <w:rFonts w:ascii="Arial" w:cs="Arial" w:eastAsia="Arial" w:hAnsi="Arial"/>
                <w:sz w:val="13"/>
                <w:szCs w:val="13"/>
                <w:color w:val="FFFFFF"/>
              </w:rPr>
              <w:t>  AWARDS  </w:t>
            </w:r>
          </w:p>
        </w:tc>
        <w:tc>
          <w:tcPr>
            <w:tcW w:w="1320" w:type="dxa"/>
            <w:vAlign w:val="bottom"/>
            <w:shd w:val="clear" w:color="auto" w:fill="B9AFA0"/>
          </w:tcPr>
          <w:p>
            <w:pPr>
              <w:jc w:val="center"/>
              <w:ind w:left="56"/>
              <w:spacing w:after="0"/>
              <w:rPr>
                <w:sz w:val="20"/>
                <w:szCs w:val="20"/>
                <w:color w:val="auto"/>
              </w:rPr>
            </w:pPr>
            <w:r>
              <w:rPr>
                <w:rFonts w:ascii="Arial" w:cs="Arial" w:eastAsia="Arial" w:hAnsi="Arial"/>
                <w:sz w:val="13"/>
                <w:szCs w:val="13"/>
                <w:color w:val="FFFFFF"/>
              </w:rPr>
              <w:t>  COMPENSATION  </w:t>
            </w:r>
          </w:p>
        </w:tc>
        <w:tc>
          <w:tcPr>
            <w:tcW w:w="700" w:type="dxa"/>
            <w:vAlign w:val="bottom"/>
            <w:shd w:val="clear" w:color="auto" w:fill="B9AFA0"/>
          </w:tcPr>
          <w:p>
            <w:pPr>
              <w:spacing w:after="0"/>
              <w:rPr>
                <w:sz w:val="13"/>
                <w:szCs w:val="13"/>
                <w:color w:val="auto"/>
              </w:rPr>
            </w:pPr>
          </w:p>
        </w:tc>
      </w:tr>
      <w:tr>
        <w:trPr>
          <w:trHeight w:val="205"/>
        </w:trPr>
        <w:tc>
          <w:tcPr>
            <w:tcW w:w="234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NAME</w:t>
            </w:r>
          </w:p>
        </w:tc>
        <w:tc>
          <w:tcPr>
            <w:tcW w:w="1800" w:type="dxa"/>
            <w:vAlign w:val="bottom"/>
            <w:tcBorders>
              <w:bottom w:val="single" w:sz="8" w:color="B9AFA0"/>
            </w:tcBorders>
            <w:shd w:val="clear" w:color="auto" w:fill="B9AFA0"/>
          </w:tcPr>
          <w:p>
            <w:pPr>
              <w:jc w:val="right"/>
              <w:ind w:right="176"/>
              <w:spacing w:after="0"/>
              <w:rPr>
                <w:sz w:val="20"/>
                <w:szCs w:val="20"/>
                <w:color w:val="auto"/>
              </w:rPr>
            </w:pPr>
            <w:r>
              <w:rPr>
                <w:rFonts w:ascii="Arial" w:cs="Arial" w:eastAsia="Arial" w:hAnsi="Arial"/>
                <w:sz w:val="13"/>
                <w:szCs w:val="13"/>
                <w:color w:val="FFFFFF"/>
              </w:rPr>
              <w:t>  PAID IN CASH($) (1)  </w:t>
            </w:r>
          </w:p>
        </w:tc>
        <w:tc>
          <w:tcPr>
            <w:tcW w:w="1500" w:type="dxa"/>
            <w:vAlign w:val="bottom"/>
            <w:tcBorders>
              <w:bottom w:val="single" w:sz="8" w:color="B9AFA0"/>
            </w:tcBorders>
            <w:shd w:val="clear" w:color="auto" w:fill="B9AFA0"/>
          </w:tcPr>
          <w:p>
            <w:pPr>
              <w:jc w:val="right"/>
              <w:ind w:right="196"/>
              <w:spacing w:after="0"/>
              <w:rPr>
                <w:sz w:val="20"/>
                <w:szCs w:val="20"/>
                <w:color w:val="auto"/>
              </w:rPr>
            </w:pPr>
            <w:r>
              <w:rPr>
                <w:rFonts w:ascii="Arial" w:cs="Arial" w:eastAsia="Arial" w:hAnsi="Arial"/>
                <w:sz w:val="13"/>
                <w:szCs w:val="13"/>
                <w:color w:val="FFFFFF"/>
              </w:rPr>
              <w:t>  AWARDS($) (2)  </w:t>
            </w:r>
          </w:p>
        </w:tc>
        <w:tc>
          <w:tcPr>
            <w:tcW w:w="1080" w:type="dxa"/>
            <w:vAlign w:val="bottom"/>
            <w:tcBorders>
              <w:bottom w:val="single" w:sz="8" w:color="B9AFA0"/>
            </w:tcBorders>
            <w:shd w:val="clear" w:color="auto" w:fill="B9AFA0"/>
          </w:tcPr>
          <w:p>
            <w:pPr>
              <w:jc w:val="center"/>
              <w:ind w:left="36"/>
              <w:spacing w:after="0"/>
              <w:rPr>
                <w:sz w:val="20"/>
                <w:szCs w:val="20"/>
                <w:color w:val="auto"/>
              </w:rPr>
            </w:pPr>
            <w:r>
              <w:rPr>
                <w:rFonts w:ascii="Arial" w:cs="Arial" w:eastAsia="Arial" w:hAnsi="Arial"/>
                <w:sz w:val="13"/>
                <w:szCs w:val="13"/>
                <w:color w:val="FFFFFF"/>
                <w:w w:val="95"/>
              </w:rPr>
              <w:t>($) (3)</w:t>
            </w:r>
          </w:p>
        </w:tc>
        <w:tc>
          <w:tcPr>
            <w:tcW w:w="1320" w:type="dxa"/>
            <w:vAlign w:val="bottom"/>
            <w:tcBorders>
              <w:bottom w:val="single" w:sz="8" w:color="B9AFA0"/>
            </w:tcBorders>
            <w:shd w:val="clear" w:color="auto" w:fill="B9AFA0"/>
          </w:tcPr>
          <w:p>
            <w:pPr>
              <w:jc w:val="center"/>
              <w:ind w:left="56"/>
              <w:spacing w:after="0"/>
              <w:rPr>
                <w:sz w:val="20"/>
                <w:szCs w:val="20"/>
                <w:color w:val="auto"/>
              </w:rPr>
            </w:pPr>
            <w:r>
              <w:rPr>
                <w:rFonts w:ascii="Arial" w:cs="Arial" w:eastAsia="Arial" w:hAnsi="Arial"/>
                <w:sz w:val="13"/>
                <w:szCs w:val="13"/>
                <w:color w:val="FFFFFF"/>
              </w:rPr>
              <w:t>($)</w:t>
            </w:r>
          </w:p>
        </w:tc>
        <w:tc>
          <w:tcPr>
            <w:tcW w:w="700" w:type="dxa"/>
            <w:vAlign w:val="bottom"/>
            <w:tcBorders>
              <w:bottom w:val="single" w:sz="8" w:color="B9AFA0"/>
            </w:tcBorders>
            <w:shd w:val="clear" w:color="auto" w:fill="B9AFA0"/>
          </w:tcPr>
          <w:p>
            <w:pPr>
              <w:jc w:val="right"/>
              <w:spacing w:after="0"/>
              <w:rPr>
                <w:sz w:val="20"/>
                <w:szCs w:val="20"/>
                <w:color w:val="auto"/>
              </w:rPr>
            </w:pPr>
            <w:r>
              <w:rPr>
                <w:rFonts w:ascii="Arial" w:cs="Arial" w:eastAsia="Arial" w:hAnsi="Arial"/>
                <w:sz w:val="13"/>
                <w:szCs w:val="13"/>
                <w:color w:val="FFFFFF"/>
                <w:w w:val="99"/>
              </w:rPr>
              <w:t>  TOTAL($)  </w:t>
            </w:r>
          </w:p>
        </w:tc>
      </w:tr>
      <w:tr>
        <w:trPr>
          <w:trHeight w:val="233"/>
        </w:trPr>
        <w:tc>
          <w:tcPr>
            <w:tcW w:w="2340" w:type="dxa"/>
            <w:vAlign w:val="bottom"/>
            <w:shd w:val="clear" w:color="auto" w:fill="F1EFEC"/>
          </w:tcPr>
          <w:p>
            <w:pPr>
              <w:ind w:left="40"/>
              <w:spacing w:after="0"/>
              <w:rPr>
                <w:sz w:val="20"/>
                <w:szCs w:val="20"/>
                <w:color w:val="auto"/>
              </w:rPr>
            </w:pPr>
            <w:r>
              <w:rPr>
                <w:rFonts w:ascii="Arial" w:cs="Arial" w:eastAsia="Arial" w:hAnsi="Arial"/>
                <w:sz w:val="13"/>
                <w:szCs w:val="13"/>
                <w:color w:val="auto"/>
              </w:rPr>
              <w:t>Betsy S. Atkins</w:t>
            </w:r>
          </w:p>
        </w:tc>
        <w:tc>
          <w:tcPr>
            <w:tcW w:w="1800" w:type="dxa"/>
            <w:vAlign w:val="bottom"/>
            <w:shd w:val="clear" w:color="auto" w:fill="F1EFEC"/>
          </w:tcPr>
          <w:p>
            <w:pPr>
              <w:jc w:val="right"/>
              <w:ind w:right="576"/>
              <w:spacing w:after="0"/>
              <w:rPr>
                <w:sz w:val="20"/>
                <w:szCs w:val="20"/>
                <w:color w:val="auto"/>
              </w:rPr>
            </w:pPr>
            <w:r>
              <w:rPr>
                <w:rFonts w:ascii="Arial" w:cs="Arial" w:eastAsia="Arial" w:hAnsi="Arial"/>
                <w:sz w:val="13"/>
                <w:szCs w:val="13"/>
                <w:color w:val="auto"/>
              </w:rPr>
              <w:t>150,000</w:t>
            </w:r>
          </w:p>
        </w:tc>
        <w:tc>
          <w:tcPr>
            <w:tcW w:w="1500" w:type="dxa"/>
            <w:vAlign w:val="bottom"/>
            <w:shd w:val="clear" w:color="auto" w:fill="F1EFEC"/>
          </w:tcPr>
          <w:p>
            <w:pPr>
              <w:jc w:val="right"/>
              <w:ind w:right="456"/>
              <w:spacing w:after="0"/>
              <w:rPr>
                <w:sz w:val="20"/>
                <w:szCs w:val="20"/>
                <w:color w:val="auto"/>
              </w:rPr>
            </w:pPr>
            <w:r>
              <w:rPr>
                <w:rFonts w:ascii="Arial" w:cs="Arial" w:eastAsia="Arial" w:hAnsi="Arial"/>
                <w:sz w:val="13"/>
                <w:szCs w:val="13"/>
                <w:color w:val="auto"/>
              </w:rPr>
              <w:t>125,000</w:t>
            </w:r>
          </w:p>
        </w:tc>
        <w:tc>
          <w:tcPr>
            <w:tcW w:w="1080" w:type="dxa"/>
            <w:vAlign w:val="bottom"/>
            <w:shd w:val="clear" w:color="auto" w:fill="F1EFEC"/>
          </w:tcPr>
          <w:p>
            <w:pPr>
              <w:jc w:val="right"/>
              <w:ind w:right="176"/>
              <w:spacing w:after="0"/>
              <w:rPr>
                <w:sz w:val="20"/>
                <w:szCs w:val="20"/>
                <w:color w:val="auto"/>
              </w:rPr>
            </w:pPr>
            <w:r>
              <w:rPr>
                <w:rFonts w:ascii="Arial" w:cs="Arial" w:eastAsia="Arial" w:hAnsi="Arial"/>
                <w:sz w:val="13"/>
                <w:szCs w:val="13"/>
                <w:color w:val="auto"/>
              </w:rPr>
              <w:t>125,000</w:t>
            </w:r>
          </w:p>
        </w:tc>
        <w:tc>
          <w:tcPr>
            <w:tcW w:w="1320" w:type="dxa"/>
            <w:vAlign w:val="bottom"/>
            <w:shd w:val="clear" w:color="auto" w:fill="F1EFEC"/>
          </w:tcPr>
          <w:p>
            <w:pPr>
              <w:jc w:val="right"/>
              <w:ind w:right="496"/>
              <w:spacing w:after="0"/>
              <w:rPr>
                <w:sz w:val="20"/>
                <w:szCs w:val="20"/>
                <w:color w:val="auto"/>
              </w:rPr>
            </w:pPr>
            <w:r>
              <w:rPr>
                <w:rFonts w:ascii="Arial" w:cs="Arial" w:eastAsia="Arial" w:hAnsi="Arial"/>
                <w:sz w:val="13"/>
                <w:szCs w:val="13"/>
                <w:color w:val="auto"/>
              </w:rPr>
              <w:t>-</w:t>
            </w:r>
          </w:p>
        </w:tc>
        <w:tc>
          <w:tcPr>
            <w:tcW w:w="700" w:type="dxa"/>
            <w:vAlign w:val="bottom"/>
            <w:shd w:val="clear" w:color="auto" w:fill="F1EFEC"/>
          </w:tcPr>
          <w:p>
            <w:pPr>
              <w:jc w:val="right"/>
              <w:spacing w:after="0"/>
              <w:rPr>
                <w:sz w:val="20"/>
                <w:szCs w:val="20"/>
                <w:color w:val="auto"/>
              </w:rPr>
            </w:pPr>
            <w:r>
              <w:rPr>
                <w:rFonts w:ascii="Arial" w:cs="Arial" w:eastAsia="Arial" w:hAnsi="Arial"/>
                <w:sz w:val="13"/>
                <w:szCs w:val="13"/>
                <w:color w:val="auto"/>
              </w:rPr>
              <w:t>400,000</w:t>
            </w:r>
          </w:p>
        </w:tc>
      </w:tr>
      <w:tr>
        <w:trPr>
          <w:trHeight w:val="67"/>
        </w:trPr>
        <w:tc>
          <w:tcPr>
            <w:tcW w:w="2340" w:type="dxa"/>
            <w:vAlign w:val="bottom"/>
            <w:shd w:val="clear" w:color="auto" w:fill="F1EFEC"/>
          </w:tcPr>
          <w:p>
            <w:pPr>
              <w:spacing w:after="0"/>
              <w:rPr>
                <w:sz w:val="5"/>
                <w:szCs w:val="5"/>
                <w:color w:val="auto"/>
              </w:rPr>
            </w:pPr>
          </w:p>
        </w:tc>
        <w:tc>
          <w:tcPr>
            <w:tcW w:w="1800" w:type="dxa"/>
            <w:vAlign w:val="bottom"/>
            <w:shd w:val="clear" w:color="auto" w:fill="F1EFEC"/>
          </w:tcPr>
          <w:p>
            <w:pPr>
              <w:spacing w:after="0"/>
              <w:rPr>
                <w:sz w:val="5"/>
                <w:szCs w:val="5"/>
                <w:color w:val="auto"/>
              </w:rPr>
            </w:pPr>
          </w:p>
        </w:tc>
        <w:tc>
          <w:tcPr>
            <w:tcW w:w="1500" w:type="dxa"/>
            <w:vAlign w:val="bottom"/>
            <w:shd w:val="clear" w:color="auto" w:fill="F1EFEC"/>
          </w:tcPr>
          <w:p>
            <w:pPr>
              <w:spacing w:after="0"/>
              <w:rPr>
                <w:sz w:val="5"/>
                <w:szCs w:val="5"/>
                <w:color w:val="auto"/>
              </w:rPr>
            </w:pPr>
          </w:p>
        </w:tc>
        <w:tc>
          <w:tcPr>
            <w:tcW w:w="108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700" w:type="dxa"/>
            <w:vAlign w:val="bottom"/>
            <w:shd w:val="clear" w:color="auto" w:fill="F1EFEC"/>
          </w:tcPr>
          <w:p>
            <w:pPr>
              <w:spacing w:after="0"/>
              <w:rPr>
                <w:sz w:val="5"/>
                <w:szCs w:val="5"/>
                <w:color w:val="auto"/>
              </w:rPr>
            </w:pPr>
          </w:p>
        </w:tc>
      </w:tr>
      <w:tr>
        <w:trPr>
          <w:trHeight w:val="233"/>
        </w:trPr>
        <w:tc>
          <w:tcPr>
            <w:tcW w:w="2340" w:type="dxa"/>
            <w:vAlign w:val="bottom"/>
          </w:tcPr>
          <w:p>
            <w:pPr>
              <w:ind w:left="40"/>
              <w:spacing w:after="0"/>
              <w:rPr>
                <w:sz w:val="20"/>
                <w:szCs w:val="20"/>
                <w:color w:val="auto"/>
              </w:rPr>
            </w:pPr>
            <w:r>
              <w:rPr>
                <w:rFonts w:ascii="Arial" w:cs="Arial" w:eastAsia="Arial" w:hAnsi="Arial"/>
                <w:sz w:val="13"/>
                <w:szCs w:val="13"/>
                <w:color w:val="auto"/>
              </w:rPr>
              <w:t>Richard J. Byrne</w:t>
            </w:r>
          </w:p>
        </w:tc>
        <w:tc>
          <w:tcPr>
            <w:tcW w:w="1800" w:type="dxa"/>
            <w:vAlign w:val="bottom"/>
          </w:tcPr>
          <w:p>
            <w:pPr>
              <w:jc w:val="right"/>
              <w:ind w:right="576"/>
              <w:spacing w:after="0"/>
              <w:rPr>
                <w:sz w:val="20"/>
                <w:szCs w:val="20"/>
                <w:color w:val="auto"/>
              </w:rPr>
            </w:pPr>
            <w:r>
              <w:rPr>
                <w:rFonts w:ascii="Arial" w:cs="Arial" w:eastAsia="Arial" w:hAnsi="Arial"/>
                <w:sz w:val="13"/>
                <w:szCs w:val="13"/>
                <w:color w:val="auto"/>
              </w:rPr>
              <w:t>140,333</w:t>
            </w:r>
          </w:p>
        </w:tc>
        <w:tc>
          <w:tcPr>
            <w:tcW w:w="1500" w:type="dxa"/>
            <w:vAlign w:val="bottom"/>
          </w:tcPr>
          <w:p>
            <w:pPr>
              <w:jc w:val="right"/>
              <w:ind w:right="456"/>
              <w:spacing w:after="0"/>
              <w:rPr>
                <w:sz w:val="20"/>
                <w:szCs w:val="20"/>
                <w:color w:val="auto"/>
              </w:rPr>
            </w:pPr>
            <w:r>
              <w:rPr>
                <w:rFonts w:ascii="Arial" w:cs="Arial" w:eastAsia="Arial" w:hAnsi="Arial"/>
                <w:sz w:val="13"/>
                <w:szCs w:val="13"/>
                <w:color w:val="auto"/>
              </w:rPr>
              <w:t>250,000</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390,333</w:t>
            </w:r>
          </w:p>
        </w:tc>
      </w:tr>
      <w:tr>
        <w:trPr>
          <w:trHeight w:val="67"/>
        </w:trPr>
        <w:tc>
          <w:tcPr>
            <w:tcW w:w="23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33"/>
        </w:trPr>
        <w:tc>
          <w:tcPr>
            <w:tcW w:w="2340" w:type="dxa"/>
            <w:vAlign w:val="bottom"/>
            <w:shd w:val="clear" w:color="auto" w:fill="F1EFEC"/>
          </w:tcPr>
          <w:p>
            <w:pPr>
              <w:ind w:left="40"/>
              <w:spacing w:after="0"/>
              <w:rPr>
                <w:sz w:val="20"/>
                <w:szCs w:val="20"/>
                <w:color w:val="auto"/>
              </w:rPr>
            </w:pPr>
            <w:r>
              <w:rPr>
                <w:rFonts w:ascii="Arial" w:cs="Arial" w:eastAsia="Arial" w:hAnsi="Arial"/>
                <w:sz w:val="13"/>
                <w:szCs w:val="13"/>
                <w:color w:val="auto"/>
              </w:rPr>
              <w:t>Paul Liu</w:t>
            </w:r>
          </w:p>
        </w:tc>
        <w:tc>
          <w:tcPr>
            <w:tcW w:w="1800" w:type="dxa"/>
            <w:vAlign w:val="bottom"/>
            <w:shd w:val="clear" w:color="auto" w:fill="F1EFEC"/>
          </w:tcPr>
          <w:p>
            <w:pPr>
              <w:jc w:val="right"/>
              <w:ind w:right="576"/>
              <w:spacing w:after="0"/>
              <w:rPr>
                <w:sz w:val="20"/>
                <w:szCs w:val="20"/>
                <w:color w:val="auto"/>
              </w:rPr>
            </w:pPr>
            <w:r>
              <w:rPr>
                <w:rFonts w:ascii="Arial" w:cs="Arial" w:eastAsia="Arial" w:hAnsi="Arial"/>
                <w:sz w:val="13"/>
                <w:szCs w:val="13"/>
                <w:color w:val="auto"/>
              </w:rPr>
              <w:t>128,333</w:t>
            </w:r>
          </w:p>
        </w:tc>
        <w:tc>
          <w:tcPr>
            <w:tcW w:w="1500" w:type="dxa"/>
            <w:vAlign w:val="bottom"/>
            <w:shd w:val="clear" w:color="auto" w:fill="F1EFEC"/>
          </w:tcPr>
          <w:p>
            <w:pPr>
              <w:jc w:val="right"/>
              <w:ind w:right="456"/>
              <w:spacing w:after="0"/>
              <w:rPr>
                <w:sz w:val="20"/>
                <w:szCs w:val="20"/>
                <w:color w:val="auto"/>
              </w:rPr>
            </w:pPr>
            <w:r>
              <w:rPr>
                <w:rFonts w:ascii="Arial" w:cs="Arial" w:eastAsia="Arial" w:hAnsi="Arial"/>
                <w:sz w:val="13"/>
                <w:szCs w:val="13"/>
                <w:color w:val="auto"/>
              </w:rPr>
              <w:t>250,000</w:t>
            </w:r>
          </w:p>
        </w:tc>
        <w:tc>
          <w:tcPr>
            <w:tcW w:w="1080" w:type="dxa"/>
            <w:vAlign w:val="bottom"/>
            <w:shd w:val="clear" w:color="auto" w:fill="F1EFEC"/>
          </w:tcPr>
          <w:p>
            <w:pPr>
              <w:jc w:val="right"/>
              <w:ind w:right="176"/>
              <w:spacing w:after="0"/>
              <w:rPr>
                <w:sz w:val="20"/>
                <w:szCs w:val="20"/>
                <w:color w:val="auto"/>
              </w:rPr>
            </w:pPr>
            <w:r>
              <w:rPr>
                <w:rFonts w:ascii="Arial" w:cs="Arial" w:eastAsia="Arial" w:hAnsi="Arial"/>
                <w:sz w:val="13"/>
                <w:szCs w:val="13"/>
                <w:color w:val="auto"/>
              </w:rPr>
              <w:t>-</w:t>
            </w:r>
          </w:p>
        </w:tc>
        <w:tc>
          <w:tcPr>
            <w:tcW w:w="1320" w:type="dxa"/>
            <w:vAlign w:val="bottom"/>
            <w:shd w:val="clear" w:color="auto" w:fill="F1EFEC"/>
          </w:tcPr>
          <w:p>
            <w:pPr>
              <w:jc w:val="right"/>
              <w:ind w:right="496"/>
              <w:spacing w:after="0"/>
              <w:rPr>
                <w:sz w:val="20"/>
                <w:szCs w:val="20"/>
                <w:color w:val="auto"/>
              </w:rPr>
            </w:pPr>
            <w:r>
              <w:rPr>
                <w:rFonts w:ascii="Arial" w:cs="Arial" w:eastAsia="Arial" w:hAnsi="Arial"/>
                <w:sz w:val="13"/>
                <w:szCs w:val="13"/>
                <w:color w:val="auto"/>
              </w:rPr>
              <w:t>-</w:t>
            </w:r>
          </w:p>
        </w:tc>
        <w:tc>
          <w:tcPr>
            <w:tcW w:w="700" w:type="dxa"/>
            <w:vAlign w:val="bottom"/>
            <w:shd w:val="clear" w:color="auto" w:fill="F1EFEC"/>
          </w:tcPr>
          <w:p>
            <w:pPr>
              <w:jc w:val="right"/>
              <w:spacing w:after="0"/>
              <w:rPr>
                <w:sz w:val="20"/>
                <w:szCs w:val="20"/>
                <w:color w:val="auto"/>
              </w:rPr>
            </w:pPr>
            <w:r>
              <w:rPr>
                <w:rFonts w:ascii="Arial" w:cs="Arial" w:eastAsia="Arial" w:hAnsi="Arial"/>
                <w:sz w:val="13"/>
                <w:szCs w:val="13"/>
                <w:color w:val="auto"/>
              </w:rPr>
              <w:t>378,333</w:t>
            </w:r>
          </w:p>
        </w:tc>
      </w:tr>
      <w:tr>
        <w:trPr>
          <w:trHeight w:val="67"/>
        </w:trPr>
        <w:tc>
          <w:tcPr>
            <w:tcW w:w="2340" w:type="dxa"/>
            <w:vAlign w:val="bottom"/>
            <w:shd w:val="clear" w:color="auto" w:fill="F1EFEC"/>
          </w:tcPr>
          <w:p>
            <w:pPr>
              <w:spacing w:after="0"/>
              <w:rPr>
                <w:sz w:val="5"/>
                <w:szCs w:val="5"/>
                <w:color w:val="auto"/>
              </w:rPr>
            </w:pPr>
          </w:p>
        </w:tc>
        <w:tc>
          <w:tcPr>
            <w:tcW w:w="1800" w:type="dxa"/>
            <w:vAlign w:val="bottom"/>
            <w:shd w:val="clear" w:color="auto" w:fill="F1EFEC"/>
          </w:tcPr>
          <w:p>
            <w:pPr>
              <w:spacing w:after="0"/>
              <w:rPr>
                <w:sz w:val="5"/>
                <w:szCs w:val="5"/>
                <w:color w:val="auto"/>
              </w:rPr>
            </w:pPr>
          </w:p>
        </w:tc>
        <w:tc>
          <w:tcPr>
            <w:tcW w:w="1500" w:type="dxa"/>
            <w:vAlign w:val="bottom"/>
            <w:shd w:val="clear" w:color="auto" w:fill="F1EFEC"/>
          </w:tcPr>
          <w:p>
            <w:pPr>
              <w:spacing w:after="0"/>
              <w:rPr>
                <w:sz w:val="5"/>
                <w:szCs w:val="5"/>
                <w:color w:val="auto"/>
              </w:rPr>
            </w:pPr>
          </w:p>
        </w:tc>
        <w:tc>
          <w:tcPr>
            <w:tcW w:w="108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700" w:type="dxa"/>
            <w:vAlign w:val="bottom"/>
            <w:shd w:val="clear" w:color="auto" w:fill="F1EFEC"/>
          </w:tcPr>
          <w:p>
            <w:pPr>
              <w:spacing w:after="0"/>
              <w:rPr>
                <w:sz w:val="5"/>
                <w:szCs w:val="5"/>
                <w:color w:val="auto"/>
              </w:rPr>
            </w:pPr>
          </w:p>
        </w:tc>
      </w:tr>
      <w:tr>
        <w:trPr>
          <w:trHeight w:val="233"/>
        </w:trPr>
        <w:tc>
          <w:tcPr>
            <w:tcW w:w="2340" w:type="dxa"/>
            <w:vAlign w:val="bottom"/>
          </w:tcPr>
          <w:p>
            <w:pPr>
              <w:ind w:left="40"/>
              <w:spacing w:after="0"/>
              <w:rPr>
                <w:sz w:val="20"/>
                <w:szCs w:val="20"/>
                <w:color w:val="auto"/>
              </w:rPr>
            </w:pPr>
            <w:r>
              <w:rPr>
                <w:rFonts w:ascii="Arial" w:cs="Arial" w:eastAsia="Arial" w:hAnsi="Arial"/>
                <w:sz w:val="13"/>
                <w:szCs w:val="13"/>
                <w:color w:val="auto"/>
              </w:rPr>
              <w:t>Patricia Mulroy</w:t>
            </w:r>
          </w:p>
        </w:tc>
        <w:tc>
          <w:tcPr>
            <w:tcW w:w="1800" w:type="dxa"/>
            <w:vAlign w:val="bottom"/>
          </w:tcPr>
          <w:p>
            <w:pPr>
              <w:jc w:val="right"/>
              <w:ind w:right="576"/>
              <w:spacing w:after="0"/>
              <w:rPr>
                <w:sz w:val="20"/>
                <w:szCs w:val="20"/>
                <w:color w:val="auto"/>
              </w:rPr>
            </w:pPr>
            <w:r>
              <w:rPr>
                <w:rFonts w:ascii="Arial" w:cs="Arial" w:eastAsia="Arial" w:hAnsi="Arial"/>
                <w:sz w:val="13"/>
                <w:szCs w:val="13"/>
                <w:color w:val="auto"/>
              </w:rPr>
              <w:t>227,333</w:t>
            </w:r>
          </w:p>
        </w:tc>
        <w:tc>
          <w:tcPr>
            <w:tcW w:w="1500" w:type="dxa"/>
            <w:vAlign w:val="bottom"/>
          </w:tcPr>
          <w:p>
            <w:pPr>
              <w:jc w:val="right"/>
              <w:ind w:right="456"/>
              <w:spacing w:after="0"/>
              <w:rPr>
                <w:sz w:val="20"/>
                <w:szCs w:val="20"/>
                <w:color w:val="auto"/>
              </w:rPr>
            </w:pPr>
            <w:r>
              <w:rPr>
                <w:rFonts w:ascii="Arial" w:cs="Arial" w:eastAsia="Arial" w:hAnsi="Arial"/>
                <w:sz w:val="13"/>
                <w:szCs w:val="13"/>
                <w:color w:val="auto"/>
              </w:rPr>
              <w:t>250,000</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477,333</w:t>
            </w:r>
          </w:p>
        </w:tc>
      </w:tr>
      <w:tr>
        <w:trPr>
          <w:trHeight w:val="67"/>
        </w:trPr>
        <w:tc>
          <w:tcPr>
            <w:tcW w:w="23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33"/>
        </w:trPr>
        <w:tc>
          <w:tcPr>
            <w:tcW w:w="2340" w:type="dxa"/>
            <w:vAlign w:val="bottom"/>
            <w:shd w:val="clear" w:color="auto" w:fill="F1EFEC"/>
          </w:tcPr>
          <w:p>
            <w:pPr>
              <w:ind w:left="40"/>
              <w:spacing w:after="0"/>
              <w:rPr>
                <w:sz w:val="20"/>
                <w:szCs w:val="20"/>
                <w:color w:val="auto"/>
              </w:rPr>
            </w:pPr>
            <w:r>
              <w:rPr>
                <w:rFonts w:ascii="Arial" w:cs="Arial" w:eastAsia="Arial" w:hAnsi="Arial"/>
                <w:sz w:val="13"/>
                <w:szCs w:val="13"/>
                <w:color w:val="auto"/>
              </w:rPr>
              <w:t>Anthony Sanfilippo</w:t>
            </w:r>
          </w:p>
        </w:tc>
        <w:tc>
          <w:tcPr>
            <w:tcW w:w="1800" w:type="dxa"/>
            <w:vAlign w:val="bottom"/>
            <w:shd w:val="clear" w:color="auto" w:fill="F1EFEC"/>
          </w:tcPr>
          <w:p>
            <w:pPr>
              <w:jc w:val="right"/>
              <w:ind w:right="576"/>
              <w:spacing w:after="0"/>
              <w:rPr>
                <w:sz w:val="20"/>
                <w:szCs w:val="20"/>
                <w:color w:val="auto"/>
              </w:rPr>
            </w:pPr>
            <w:r>
              <w:rPr>
                <w:rFonts w:ascii="Arial" w:cs="Arial" w:eastAsia="Arial" w:hAnsi="Arial"/>
                <w:sz w:val="13"/>
                <w:szCs w:val="13"/>
                <w:color w:val="auto"/>
              </w:rPr>
              <w:t>98,000</w:t>
            </w:r>
          </w:p>
        </w:tc>
        <w:tc>
          <w:tcPr>
            <w:tcW w:w="1500" w:type="dxa"/>
            <w:vAlign w:val="bottom"/>
            <w:shd w:val="clear" w:color="auto" w:fill="F1EFEC"/>
          </w:tcPr>
          <w:p>
            <w:pPr>
              <w:jc w:val="right"/>
              <w:ind w:right="456"/>
              <w:spacing w:after="0"/>
              <w:rPr>
                <w:sz w:val="20"/>
                <w:szCs w:val="20"/>
                <w:color w:val="auto"/>
              </w:rPr>
            </w:pPr>
            <w:r>
              <w:rPr>
                <w:rFonts w:ascii="Arial" w:cs="Arial" w:eastAsia="Arial" w:hAnsi="Arial"/>
                <w:sz w:val="13"/>
                <w:szCs w:val="13"/>
                <w:color w:val="auto"/>
              </w:rPr>
              <w:t>494,650</w:t>
            </w:r>
          </w:p>
        </w:tc>
        <w:tc>
          <w:tcPr>
            <w:tcW w:w="1080" w:type="dxa"/>
            <w:vAlign w:val="bottom"/>
            <w:shd w:val="clear" w:color="auto" w:fill="F1EFEC"/>
          </w:tcPr>
          <w:p>
            <w:pPr>
              <w:jc w:val="right"/>
              <w:ind w:right="176"/>
              <w:spacing w:after="0"/>
              <w:rPr>
                <w:sz w:val="20"/>
                <w:szCs w:val="20"/>
                <w:color w:val="auto"/>
              </w:rPr>
            </w:pPr>
            <w:r>
              <w:rPr>
                <w:rFonts w:ascii="Arial" w:cs="Arial" w:eastAsia="Arial" w:hAnsi="Arial"/>
                <w:sz w:val="13"/>
                <w:szCs w:val="13"/>
                <w:color w:val="auto"/>
              </w:rPr>
              <w:t>-</w:t>
            </w:r>
          </w:p>
        </w:tc>
        <w:tc>
          <w:tcPr>
            <w:tcW w:w="1320" w:type="dxa"/>
            <w:vAlign w:val="bottom"/>
            <w:shd w:val="clear" w:color="auto" w:fill="F1EFEC"/>
          </w:tcPr>
          <w:p>
            <w:pPr>
              <w:jc w:val="right"/>
              <w:ind w:right="496"/>
              <w:spacing w:after="0"/>
              <w:rPr>
                <w:sz w:val="20"/>
                <w:szCs w:val="20"/>
                <w:color w:val="auto"/>
              </w:rPr>
            </w:pPr>
            <w:r>
              <w:rPr>
                <w:rFonts w:ascii="Arial" w:cs="Arial" w:eastAsia="Arial" w:hAnsi="Arial"/>
                <w:sz w:val="13"/>
                <w:szCs w:val="13"/>
                <w:color w:val="auto"/>
              </w:rPr>
              <w:t>-</w:t>
            </w:r>
          </w:p>
        </w:tc>
        <w:tc>
          <w:tcPr>
            <w:tcW w:w="700" w:type="dxa"/>
            <w:vAlign w:val="bottom"/>
            <w:shd w:val="clear" w:color="auto" w:fill="F1EFEC"/>
          </w:tcPr>
          <w:p>
            <w:pPr>
              <w:jc w:val="right"/>
              <w:spacing w:after="0"/>
              <w:rPr>
                <w:sz w:val="20"/>
                <w:szCs w:val="20"/>
                <w:color w:val="auto"/>
              </w:rPr>
            </w:pPr>
            <w:r>
              <w:rPr>
                <w:rFonts w:ascii="Arial" w:cs="Arial" w:eastAsia="Arial" w:hAnsi="Arial"/>
                <w:sz w:val="13"/>
                <w:szCs w:val="13"/>
                <w:color w:val="auto"/>
              </w:rPr>
              <w:t>592,650</w:t>
            </w:r>
          </w:p>
        </w:tc>
      </w:tr>
      <w:tr>
        <w:trPr>
          <w:trHeight w:val="67"/>
        </w:trPr>
        <w:tc>
          <w:tcPr>
            <w:tcW w:w="2340" w:type="dxa"/>
            <w:vAlign w:val="bottom"/>
            <w:shd w:val="clear" w:color="auto" w:fill="F1EFEC"/>
          </w:tcPr>
          <w:p>
            <w:pPr>
              <w:spacing w:after="0"/>
              <w:rPr>
                <w:sz w:val="5"/>
                <w:szCs w:val="5"/>
                <w:color w:val="auto"/>
              </w:rPr>
            </w:pPr>
          </w:p>
        </w:tc>
        <w:tc>
          <w:tcPr>
            <w:tcW w:w="1800" w:type="dxa"/>
            <w:vAlign w:val="bottom"/>
            <w:shd w:val="clear" w:color="auto" w:fill="F1EFEC"/>
          </w:tcPr>
          <w:p>
            <w:pPr>
              <w:spacing w:after="0"/>
              <w:rPr>
                <w:sz w:val="5"/>
                <w:szCs w:val="5"/>
                <w:color w:val="auto"/>
              </w:rPr>
            </w:pPr>
          </w:p>
        </w:tc>
        <w:tc>
          <w:tcPr>
            <w:tcW w:w="1500" w:type="dxa"/>
            <w:vAlign w:val="bottom"/>
            <w:shd w:val="clear" w:color="auto" w:fill="F1EFEC"/>
          </w:tcPr>
          <w:p>
            <w:pPr>
              <w:spacing w:after="0"/>
              <w:rPr>
                <w:sz w:val="5"/>
                <w:szCs w:val="5"/>
                <w:color w:val="auto"/>
              </w:rPr>
            </w:pPr>
          </w:p>
        </w:tc>
        <w:tc>
          <w:tcPr>
            <w:tcW w:w="108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700" w:type="dxa"/>
            <w:vAlign w:val="bottom"/>
            <w:shd w:val="clear" w:color="auto" w:fill="F1EFEC"/>
          </w:tcPr>
          <w:p>
            <w:pPr>
              <w:spacing w:after="0"/>
              <w:rPr>
                <w:sz w:val="5"/>
                <w:szCs w:val="5"/>
                <w:color w:val="auto"/>
              </w:rPr>
            </w:pPr>
          </w:p>
        </w:tc>
      </w:tr>
      <w:tr>
        <w:trPr>
          <w:trHeight w:val="233"/>
        </w:trPr>
        <w:tc>
          <w:tcPr>
            <w:tcW w:w="2340" w:type="dxa"/>
            <w:vAlign w:val="bottom"/>
          </w:tcPr>
          <w:p>
            <w:pPr>
              <w:ind w:left="40"/>
              <w:spacing w:after="0"/>
              <w:rPr>
                <w:sz w:val="20"/>
                <w:szCs w:val="20"/>
                <w:color w:val="auto"/>
              </w:rPr>
            </w:pPr>
            <w:r>
              <w:rPr>
                <w:rFonts w:ascii="Arial" w:cs="Arial" w:eastAsia="Arial" w:hAnsi="Arial"/>
                <w:sz w:val="13"/>
                <w:szCs w:val="13"/>
                <w:color w:val="auto"/>
              </w:rPr>
              <w:t>Philip G. Satre</w:t>
            </w:r>
          </w:p>
        </w:tc>
        <w:tc>
          <w:tcPr>
            <w:tcW w:w="1800" w:type="dxa"/>
            <w:vAlign w:val="bottom"/>
          </w:tcPr>
          <w:p>
            <w:pPr>
              <w:jc w:val="right"/>
              <w:ind w:right="576"/>
              <w:spacing w:after="0"/>
              <w:rPr>
                <w:sz w:val="20"/>
                <w:szCs w:val="20"/>
                <w:color w:val="auto"/>
              </w:rPr>
            </w:pPr>
            <w:r>
              <w:rPr>
                <w:rFonts w:ascii="Arial" w:cs="Arial" w:eastAsia="Arial" w:hAnsi="Arial"/>
                <w:sz w:val="13"/>
                <w:szCs w:val="13"/>
                <w:color w:val="auto"/>
              </w:rPr>
              <w:t>385,333</w:t>
            </w:r>
          </w:p>
        </w:tc>
        <w:tc>
          <w:tcPr>
            <w:tcW w:w="150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250,000</w:t>
            </w:r>
          </w:p>
        </w:tc>
        <w:tc>
          <w:tcPr>
            <w:tcW w:w="132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635,333</w:t>
            </w:r>
          </w:p>
        </w:tc>
      </w:tr>
      <w:tr>
        <w:trPr>
          <w:trHeight w:val="67"/>
        </w:trPr>
        <w:tc>
          <w:tcPr>
            <w:tcW w:w="23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33"/>
        </w:trPr>
        <w:tc>
          <w:tcPr>
            <w:tcW w:w="2340" w:type="dxa"/>
            <w:vAlign w:val="bottom"/>
            <w:shd w:val="clear" w:color="auto" w:fill="F1EFEC"/>
          </w:tcPr>
          <w:p>
            <w:pPr>
              <w:ind w:left="40"/>
              <w:spacing w:after="0"/>
              <w:rPr>
                <w:sz w:val="20"/>
                <w:szCs w:val="20"/>
                <w:color w:val="auto"/>
              </w:rPr>
            </w:pPr>
            <w:r>
              <w:rPr>
                <w:rFonts w:ascii="Arial" w:cs="Arial" w:eastAsia="Arial" w:hAnsi="Arial"/>
                <w:sz w:val="13"/>
                <w:szCs w:val="13"/>
                <w:color w:val="auto"/>
              </w:rPr>
              <w:t>Darnell O. Strom</w:t>
            </w:r>
          </w:p>
        </w:tc>
        <w:tc>
          <w:tcPr>
            <w:tcW w:w="1800" w:type="dxa"/>
            <w:vAlign w:val="bottom"/>
            <w:shd w:val="clear" w:color="auto" w:fill="F1EFEC"/>
          </w:tcPr>
          <w:p>
            <w:pPr>
              <w:jc w:val="right"/>
              <w:ind w:right="576"/>
              <w:spacing w:after="0"/>
              <w:rPr>
                <w:sz w:val="20"/>
                <w:szCs w:val="20"/>
                <w:color w:val="auto"/>
              </w:rPr>
            </w:pPr>
            <w:r>
              <w:rPr>
                <w:rFonts w:ascii="Arial" w:cs="Arial" w:eastAsia="Arial" w:hAnsi="Arial"/>
                <w:sz w:val="13"/>
                <w:szCs w:val="13"/>
                <w:color w:val="auto"/>
              </w:rPr>
              <w:t>134,000</w:t>
            </w:r>
          </w:p>
        </w:tc>
        <w:tc>
          <w:tcPr>
            <w:tcW w:w="1500" w:type="dxa"/>
            <w:vAlign w:val="bottom"/>
            <w:shd w:val="clear" w:color="auto" w:fill="F1EFEC"/>
          </w:tcPr>
          <w:p>
            <w:pPr>
              <w:jc w:val="right"/>
              <w:ind w:right="456"/>
              <w:spacing w:after="0"/>
              <w:rPr>
                <w:sz w:val="20"/>
                <w:szCs w:val="20"/>
                <w:color w:val="auto"/>
              </w:rPr>
            </w:pPr>
            <w:r>
              <w:rPr>
                <w:rFonts w:ascii="Arial" w:cs="Arial" w:eastAsia="Arial" w:hAnsi="Arial"/>
                <w:sz w:val="13"/>
                <w:szCs w:val="13"/>
                <w:color w:val="auto"/>
              </w:rPr>
              <w:t>250,000</w:t>
            </w:r>
          </w:p>
        </w:tc>
        <w:tc>
          <w:tcPr>
            <w:tcW w:w="1080" w:type="dxa"/>
            <w:vAlign w:val="bottom"/>
            <w:shd w:val="clear" w:color="auto" w:fill="F1EFEC"/>
          </w:tcPr>
          <w:p>
            <w:pPr>
              <w:jc w:val="right"/>
              <w:ind w:right="176"/>
              <w:spacing w:after="0"/>
              <w:rPr>
                <w:sz w:val="20"/>
                <w:szCs w:val="20"/>
                <w:color w:val="auto"/>
              </w:rPr>
            </w:pPr>
            <w:r>
              <w:rPr>
                <w:rFonts w:ascii="Arial" w:cs="Arial" w:eastAsia="Arial" w:hAnsi="Arial"/>
                <w:sz w:val="13"/>
                <w:szCs w:val="13"/>
                <w:color w:val="auto"/>
              </w:rPr>
              <w:t>-</w:t>
            </w:r>
          </w:p>
        </w:tc>
        <w:tc>
          <w:tcPr>
            <w:tcW w:w="1320" w:type="dxa"/>
            <w:vAlign w:val="bottom"/>
            <w:shd w:val="clear" w:color="auto" w:fill="F1EFEC"/>
          </w:tcPr>
          <w:p>
            <w:pPr>
              <w:jc w:val="right"/>
              <w:ind w:right="496"/>
              <w:spacing w:after="0"/>
              <w:rPr>
                <w:sz w:val="20"/>
                <w:szCs w:val="20"/>
                <w:color w:val="auto"/>
              </w:rPr>
            </w:pPr>
            <w:r>
              <w:rPr>
                <w:rFonts w:ascii="Arial" w:cs="Arial" w:eastAsia="Arial" w:hAnsi="Arial"/>
                <w:sz w:val="13"/>
                <w:szCs w:val="13"/>
                <w:color w:val="auto"/>
              </w:rPr>
              <w:t>-</w:t>
            </w:r>
          </w:p>
        </w:tc>
        <w:tc>
          <w:tcPr>
            <w:tcW w:w="700" w:type="dxa"/>
            <w:vAlign w:val="bottom"/>
            <w:shd w:val="clear" w:color="auto" w:fill="F1EFEC"/>
          </w:tcPr>
          <w:p>
            <w:pPr>
              <w:jc w:val="right"/>
              <w:spacing w:after="0"/>
              <w:rPr>
                <w:sz w:val="20"/>
                <w:szCs w:val="20"/>
                <w:color w:val="auto"/>
              </w:rPr>
            </w:pPr>
            <w:r>
              <w:rPr>
                <w:rFonts w:ascii="Arial" w:cs="Arial" w:eastAsia="Arial" w:hAnsi="Arial"/>
                <w:sz w:val="13"/>
                <w:szCs w:val="13"/>
                <w:color w:val="auto"/>
              </w:rPr>
              <w:t>384,000</w:t>
            </w:r>
          </w:p>
        </w:tc>
      </w:tr>
      <w:tr>
        <w:trPr>
          <w:trHeight w:val="67"/>
        </w:trPr>
        <w:tc>
          <w:tcPr>
            <w:tcW w:w="2340" w:type="dxa"/>
            <w:vAlign w:val="bottom"/>
            <w:shd w:val="clear" w:color="auto" w:fill="F1EFEC"/>
          </w:tcPr>
          <w:p>
            <w:pPr>
              <w:spacing w:after="0"/>
              <w:rPr>
                <w:sz w:val="5"/>
                <w:szCs w:val="5"/>
                <w:color w:val="auto"/>
              </w:rPr>
            </w:pPr>
          </w:p>
        </w:tc>
        <w:tc>
          <w:tcPr>
            <w:tcW w:w="1800" w:type="dxa"/>
            <w:vAlign w:val="bottom"/>
            <w:shd w:val="clear" w:color="auto" w:fill="F1EFEC"/>
          </w:tcPr>
          <w:p>
            <w:pPr>
              <w:spacing w:after="0"/>
              <w:rPr>
                <w:sz w:val="5"/>
                <w:szCs w:val="5"/>
                <w:color w:val="auto"/>
              </w:rPr>
            </w:pPr>
          </w:p>
        </w:tc>
        <w:tc>
          <w:tcPr>
            <w:tcW w:w="1500" w:type="dxa"/>
            <w:vAlign w:val="bottom"/>
            <w:shd w:val="clear" w:color="auto" w:fill="F1EFEC"/>
          </w:tcPr>
          <w:p>
            <w:pPr>
              <w:spacing w:after="0"/>
              <w:rPr>
                <w:sz w:val="5"/>
                <w:szCs w:val="5"/>
                <w:color w:val="auto"/>
              </w:rPr>
            </w:pPr>
          </w:p>
        </w:tc>
        <w:tc>
          <w:tcPr>
            <w:tcW w:w="108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700" w:type="dxa"/>
            <w:vAlign w:val="bottom"/>
            <w:shd w:val="clear" w:color="auto" w:fill="F1EFEC"/>
          </w:tcPr>
          <w:p>
            <w:pPr>
              <w:spacing w:after="0"/>
              <w:rPr>
                <w:sz w:val="5"/>
                <w:szCs w:val="5"/>
                <w:color w:val="auto"/>
              </w:rPr>
            </w:pPr>
          </w:p>
        </w:tc>
      </w:tr>
      <w:tr>
        <w:trPr>
          <w:trHeight w:val="233"/>
        </w:trPr>
        <w:tc>
          <w:tcPr>
            <w:tcW w:w="2340" w:type="dxa"/>
            <w:vAlign w:val="bottom"/>
          </w:tcPr>
          <w:p>
            <w:pPr>
              <w:ind w:left="40"/>
              <w:spacing w:after="0"/>
              <w:rPr>
                <w:sz w:val="20"/>
                <w:szCs w:val="20"/>
                <w:color w:val="auto"/>
              </w:rPr>
            </w:pPr>
            <w:r>
              <w:rPr>
                <w:rFonts w:ascii="Arial" w:cs="Arial" w:eastAsia="Arial" w:hAnsi="Arial"/>
                <w:sz w:val="13"/>
                <w:szCs w:val="13"/>
                <w:color w:val="auto"/>
              </w:rPr>
              <w:t>Winifred M. Webb</w:t>
            </w:r>
          </w:p>
        </w:tc>
        <w:tc>
          <w:tcPr>
            <w:tcW w:w="1800" w:type="dxa"/>
            <w:vAlign w:val="bottom"/>
          </w:tcPr>
          <w:p>
            <w:pPr>
              <w:jc w:val="right"/>
              <w:ind w:right="576"/>
              <w:spacing w:after="0"/>
              <w:rPr>
                <w:sz w:val="20"/>
                <w:szCs w:val="20"/>
                <w:color w:val="auto"/>
              </w:rPr>
            </w:pPr>
            <w:r>
              <w:rPr>
                <w:rFonts w:ascii="Arial" w:cs="Arial" w:eastAsia="Arial" w:hAnsi="Arial"/>
                <w:sz w:val="13"/>
                <w:szCs w:val="13"/>
                <w:color w:val="auto"/>
              </w:rPr>
              <w:t>161,667</w:t>
            </w:r>
          </w:p>
        </w:tc>
        <w:tc>
          <w:tcPr>
            <w:tcW w:w="1500" w:type="dxa"/>
            <w:vAlign w:val="bottom"/>
          </w:tcPr>
          <w:p>
            <w:pPr>
              <w:jc w:val="right"/>
              <w:ind w:right="456"/>
              <w:spacing w:after="0"/>
              <w:rPr>
                <w:sz w:val="20"/>
                <w:szCs w:val="20"/>
                <w:color w:val="auto"/>
              </w:rPr>
            </w:pPr>
            <w:r>
              <w:rPr>
                <w:rFonts w:ascii="Arial" w:cs="Arial" w:eastAsia="Arial" w:hAnsi="Arial"/>
                <w:sz w:val="13"/>
                <w:szCs w:val="13"/>
                <w:color w:val="auto"/>
              </w:rPr>
              <w:t>250,000</w:t>
            </w:r>
          </w:p>
        </w:tc>
        <w:tc>
          <w:tcPr>
            <w:tcW w:w="108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411,667</w:t>
            </w:r>
          </w:p>
        </w:tc>
      </w:tr>
      <w:tr>
        <w:trPr>
          <w:trHeight w:val="67"/>
        </w:trPr>
        <w:tc>
          <w:tcPr>
            <w:tcW w:w="23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33"/>
        </w:trPr>
        <w:tc>
          <w:tcPr>
            <w:tcW w:w="2340" w:type="dxa"/>
            <w:vAlign w:val="bottom"/>
            <w:shd w:val="clear" w:color="auto" w:fill="F1EFEC"/>
          </w:tcPr>
          <w:p>
            <w:pPr>
              <w:ind w:left="40"/>
              <w:spacing w:after="0"/>
              <w:rPr>
                <w:sz w:val="20"/>
                <w:szCs w:val="20"/>
                <w:color w:val="auto"/>
              </w:rPr>
            </w:pPr>
            <w:r>
              <w:rPr>
                <w:rFonts w:ascii="Arial" w:cs="Arial" w:eastAsia="Arial" w:hAnsi="Arial"/>
                <w:sz w:val="13"/>
                <w:szCs w:val="13"/>
                <w:color w:val="auto"/>
              </w:rPr>
              <w:t>Margaret J. Myers (4)</w:t>
            </w:r>
          </w:p>
        </w:tc>
        <w:tc>
          <w:tcPr>
            <w:tcW w:w="1800" w:type="dxa"/>
            <w:vAlign w:val="bottom"/>
            <w:shd w:val="clear" w:color="auto" w:fill="F1EFEC"/>
          </w:tcPr>
          <w:p>
            <w:pPr>
              <w:jc w:val="right"/>
              <w:ind w:right="576"/>
              <w:spacing w:after="0"/>
              <w:rPr>
                <w:sz w:val="20"/>
                <w:szCs w:val="20"/>
                <w:color w:val="auto"/>
              </w:rPr>
            </w:pPr>
            <w:r>
              <w:rPr>
                <w:rFonts w:ascii="Arial" w:cs="Arial" w:eastAsia="Arial" w:hAnsi="Arial"/>
                <w:sz w:val="13"/>
                <w:szCs w:val="13"/>
                <w:color w:val="auto"/>
              </w:rPr>
              <w:t>41,333</w:t>
            </w:r>
          </w:p>
        </w:tc>
        <w:tc>
          <w:tcPr>
            <w:tcW w:w="1500" w:type="dxa"/>
            <w:vAlign w:val="bottom"/>
            <w:shd w:val="clear" w:color="auto" w:fill="F1EFEC"/>
          </w:tcPr>
          <w:p>
            <w:pPr>
              <w:jc w:val="right"/>
              <w:ind w:right="4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F1EFEC"/>
          </w:tcPr>
          <w:p>
            <w:pPr>
              <w:jc w:val="right"/>
              <w:ind w:right="176"/>
              <w:spacing w:after="0"/>
              <w:rPr>
                <w:sz w:val="20"/>
                <w:szCs w:val="20"/>
                <w:color w:val="auto"/>
              </w:rPr>
            </w:pPr>
            <w:r>
              <w:rPr>
                <w:rFonts w:ascii="Arial" w:cs="Arial" w:eastAsia="Arial" w:hAnsi="Arial"/>
                <w:sz w:val="13"/>
                <w:szCs w:val="13"/>
                <w:color w:val="auto"/>
              </w:rPr>
              <w:t>-</w:t>
            </w:r>
          </w:p>
        </w:tc>
        <w:tc>
          <w:tcPr>
            <w:tcW w:w="1320" w:type="dxa"/>
            <w:vAlign w:val="bottom"/>
            <w:shd w:val="clear" w:color="auto" w:fill="F1EFEC"/>
          </w:tcPr>
          <w:p>
            <w:pPr>
              <w:jc w:val="right"/>
              <w:ind w:right="496"/>
              <w:spacing w:after="0"/>
              <w:rPr>
                <w:sz w:val="20"/>
                <w:szCs w:val="20"/>
                <w:color w:val="auto"/>
              </w:rPr>
            </w:pPr>
            <w:r>
              <w:rPr>
                <w:rFonts w:ascii="Arial" w:cs="Arial" w:eastAsia="Arial" w:hAnsi="Arial"/>
                <w:sz w:val="13"/>
                <w:szCs w:val="13"/>
                <w:color w:val="auto"/>
              </w:rPr>
              <w:t>-</w:t>
            </w:r>
          </w:p>
        </w:tc>
        <w:tc>
          <w:tcPr>
            <w:tcW w:w="700" w:type="dxa"/>
            <w:vAlign w:val="bottom"/>
            <w:shd w:val="clear" w:color="auto" w:fill="F1EFEC"/>
          </w:tcPr>
          <w:p>
            <w:pPr>
              <w:jc w:val="right"/>
              <w:spacing w:after="0"/>
              <w:rPr>
                <w:sz w:val="20"/>
                <w:szCs w:val="20"/>
                <w:color w:val="auto"/>
              </w:rPr>
            </w:pPr>
            <w:r>
              <w:rPr>
                <w:rFonts w:ascii="Arial" w:cs="Arial" w:eastAsia="Arial" w:hAnsi="Arial"/>
                <w:sz w:val="13"/>
                <w:szCs w:val="13"/>
                <w:color w:val="auto"/>
              </w:rPr>
              <w:t>41,333</w:t>
            </w:r>
          </w:p>
        </w:tc>
      </w:tr>
      <w:tr>
        <w:trPr>
          <w:trHeight w:val="67"/>
        </w:trPr>
        <w:tc>
          <w:tcPr>
            <w:tcW w:w="2340" w:type="dxa"/>
            <w:vAlign w:val="bottom"/>
            <w:shd w:val="clear" w:color="auto" w:fill="F1EFEC"/>
          </w:tcPr>
          <w:p>
            <w:pPr>
              <w:spacing w:after="0"/>
              <w:rPr>
                <w:sz w:val="5"/>
                <w:szCs w:val="5"/>
                <w:color w:val="auto"/>
              </w:rPr>
            </w:pPr>
          </w:p>
        </w:tc>
        <w:tc>
          <w:tcPr>
            <w:tcW w:w="1800" w:type="dxa"/>
            <w:vAlign w:val="bottom"/>
            <w:shd w:val="clear" w:color="auto" w:fill="F1EFEC"/>
          </w:tcPr>
          <w:p>
            <w:pPr>
              <w:spacing w:after="0"/>
              <w:rPr>
                <w:sz w:val="5"/>
                <w:szCs w:val="5"/>
                <w:color w:val="auto"/>
              </w:rPr>
            </w:pPr>
          </w:p>
        </w:tc>
        <w:tc>
          <w:tcPr>
            <w:tcW w:w="1500" w:type="dxa"/>
            <w:vAlign w:val="bottom"/>
            <w:shd w:val="clear" w:color="auto" w:fill="F1EFEC"/>
          </w:tcPr>
          <w:p>
            <w:pPr>
              <w:spacing w:after="0"/>
              <w:rPr>
                <w:sz w:val="5"/>
                <w:szCs w:val="5"/>
                <w:color w:val="auto"/>
              </w:rPr>
            </w:pPr>
          </w:p>
        </w:tc>
        <w:tc>
          <w:tcPr>
            <w:tcW w:w="108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700" w:type="dxa"/>
            <w:vAlign w:val="bottom"/>
            <w:shd w:val="clear" w:color="auto" w:fill="F1EFEC"/>
          </w:tcPr>
          <w:p>
            <w:pPr>
              <w:spacing w:after="0"/>
              <w:rPr>
                <w:sz w:val="5"/>
                <w:szCs w:val="5"/>
                <w:color w:val="auto"/>
              </w:rPr>
            </w:pPr>
          </w:p>
        </w:tc>
      </w:tr>
    </w:tbl>
    <w:p>
      <w:pPr>
        <w:spacing w:after="0" w:line="71" w:lineRule="exact"/>
        <w:rPr>
          <w:sz w:val="20"/>
          <w:szCs w:val="20"/>
          <w:color w:val="auto"/>
        </w:rPr>
      </w:pPr>
    </w:p>
    <w:p>
      <w:pPr>
        <w:ind w:left="1420" w:hanging="153"/>
        <w:spacing w:after="0"/>
        <w:tabs>
          <w:tab w:leader="none" w:pos="14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The amounts set forth in this column reflects each non-employee director’s total annual fees, inclusive of their respective total annual retainer fees.</w:t>
      </w:r>
    </w:p>
    <w:p>
      <w:pPr>
        <w:spacing w:after="0" w:line="78" w:lineRule="exact"/>
        <w:rPr>
          <w:rFonts w:ascii="Arial" w:cs="Arial" w:eastAsia="Arial" w:hAnsi="Arial"/>
          <w:sz w:val="10"/>
          <w:szCs w:val="10"/>
          <w:color w:val="auto"/>
        </w:rPr>
      </w:pPr>
    </w:p>
    <w:p>
      <w:pPr>
        <w:ind w:left="1260" w:right="199" w:firstLine="7"/>
        <w:spacing w:after="0" w:line="234" w:lineRule="auto"/>
        <w:tabs>
          <w:tab w:leader="none" w:pos="1410"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The amounts set forth in this column are computed in accordance with FASB ASC Topic 718 and reflect the aggregate grant date fair value of 1) 3,066 shares of restricted stock granted to each non-employee director, except for Ms. Atkins and Mr. Satre; 2) 1,533 shares of restricted stock granted to Ms. Atkins; and 3) 3,000 shares of immediately vested stock granted to Mr. Sanfilippo upon his appointment to the Board of Directors. The aggregate number of unvested restricted stock awards held by each director as of December 31, 2025, was 3,066 shares of restricted stock each, except for Ms. Atkins and Mr. Satre, who each held 1,533 and zero unvested restricted stock awards as of December 31, 2025, respectively. Ms. Myers had zero unvested restricted stock awards upon her departure from the Board of Directors.</w:t>
      </w:r>
    </w:p>
    <w:p>
      <w:pPr>
        <w:spacing w:after="0" w:line="61" w:lineRule="exact"/>
        <w:rPr>
          <w:rFonts w:ascii="Arial" w:cs="Arial" w:eastAsia="Arial" w:hAnsi="Arial"/>
          <w:sz w:val="10"/>
          <w:szCs w:val="10"/>
          <w:color w:val="auto"/>
        </w:rPr>
      </w:pPr>
    </w:p>
    <w:p>
      <w:pPr>
        <w:ind w:left="1260" w:right="239" w:firstLine="7"/>
        <w:spacing w:after="0" w:line="242" w:lineRule="auto"/>
        <w:tabs>
          <w:tab w:leader="none" w:pos="1410"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The amounts set forth in this column are computed in accordance with FASB ASC Topic 718 and reflect the aggregate grant date fair value of 1) 5,414 options awards granted to Ms. Atkins and 2) 10,827 option awards granted to Mr. Satre. Ms. Atkins’ and Mr. Satre’s options vest on April 30, 2026, have an exercise price of $81.55, and a remaining term of 4.3 years. There are no vested options outstanding as of December 31, 2025.</w:t>
      </w:r>
    </w:p>
    <w:p>
      <w:pPr>
        <w:spacing w:after="0" w:line="59" w:lineRule="exact"/>
        <w:rPr>
          <w:rFonts w:ascii="Arial" w:cs="Arial" w:eastAsia="Arial" w:hAnsi="Arial"/>
          <w:sz w:val="10"/>
          <w:szCs w:val="10"/>
          <w:color w:val="auto"/>
        </w:rPr>
      </w:pPr>
    </w:p>
    <w:p>
      <w:pPr>
        <w:ind w:left="1420" w:hanging="153"/>
        <w:spacing w:after="0"/>
        <w:tabs>
          <w:tab w:leader="none" w:pos="14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Ms. Myers’ service on the Board ceased effective April 30, 2025.</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0159"/>
          </w:cols>
          <w:pgMar w:left="300" w:top="412"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0159"/>
          </w:cols>
          <w:pgMar w:left="300" w:top="41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722620" cy="73577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22620" cy="735774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4" w:lineRule="exact"/>
        <w:rPr>
          <w:sz w:val="20"/>
          <w:szCs w:val="20"/>
          <w:color w:val="auto"/>
        </w:rPr>
      </w:pPr>
    </w:p>
    <w:p>
      <w:pPr>
        <w:ind w:left="7540"/>
        <w:spacing w:after="0"/>
        <w:rPr>
          <w:sz w:val="20"/>
          <w:szCs w:val="20"/>
          <w:color w:val="auto"/>
        </w:rPr>
      </w:pP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0</w:t>
      </w:r>
      <w:r>
        <w:rPr>
          <w:rFonts w:ascii="Arial" w:cs="Arial" w:eastAsia="Arial" w:hAnsi="Arial"/>
          <w:sz w:val="7"/>
          <w:szCs w:val="7"/>
          <w:color w:val="B9AFA0"/>
        </w:rPr>
        <w:t xml:space="preserve"> </w:t>
      </w: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6 PROXY STATEMENT</w:t>
      </w:r>
    </w:p>
    <w:p>
      <w:pPr>
        <w:spacing w:after="0" w:line="3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Our Company</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WHO WE ARE</w:t>
      </w:r>
    </w:p>
    <w:p>
      <w:pPr>
        <w:spacing w:after="0" w:line="284" w:lineRule="exact"/>
        <w:rPr>
          <w:sz w:val="20"/>
          <w:szCs w:val="20"/>
          <w:color w:val="auto"/>
        </w:rPr>
      </w:pPr>
    </w:p>
    <w:p>
      <w:pPr>
        <w:ind w:left="1260" w:right="259"/>
        <w:spacing w:after="0" w:line="256" w:lineRule="auto"/>
        <w:rPr>
          <w:sz w:val="20"/>
          <w:szCs w:val="20"/>
          <w:color w:val="auto"/>
        </w:rPr>
      </w:pPr>
      <w:r>
        <w:rPr>
          <w:rFonts w:ascii="Arial" w:cs="Arial" w:eastAsia="Arial" w:hAnsi="Arial"/>
          <w:sz w:val="13"/>
          <w:szCs w:val="13"/>
          <w:color w:val="auto"/>
        </w:rPr>
        <w:t>We are a US-based global company whose approximately 28,500 employees in the United States, the United Kingdom and Macau provide the experiences that place all of our global entertainment properties at the top of the most respected rankings, which in turn, support our brand, our stability, and our ability to create value for all our stakeholders.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As a company, we are acutely aware that it is our five-star employees who create five-star experiences.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Here are some quick facts about us as a team:</w:t>
      </w:r>
    </w:p>
    <w:p>
      <w:pPr>
        <w:spacing w:after="0" w:line="194" w:lineRule="exact"/>
        <w:rPr>
          <w:sz w:val="20"/>
          <w:szCs w:val="20"/>
          <w:color w:val="auto"/>
        </w:rPr>
      </w:pPr>
    </w:p>
    <w:p>
      <w:pPr>
        <w:ind w:left="1440" w:hanging="173"/>
        <w:spacing w:after="0"/>
        <w:tabs>
          <w:tab w:leader="none" w:pos="1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provide approximately 22,500 full time jobs across all our properties.</w:t>
      </w:r>
    </w:p>
    <w:p>
      <w:pPr>
        <w:spacing w:after="0" w:line="193" w:lineRule="exact"/>
        <w:rPr>
          <w:rFonts w:ascii="Arial" w:cs="Arial" w:eastAsia="Arial" w:hAnsi="Arial"/>
          <w:sz w:val="13"/>
          <w:szCs w:val="13"/>
          <w:color w:val="auto"/>
        </w:rPr>
      </w:pPr>
    </w:p>
    <w:p>
      <w:pPr>
        <w:ind w:left="1440" w:hanging="173"/>
        <w:spacing w:after="0"/>
        <w:tabs>
          <w:tab w:leader="none" w:pos="1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100% of our full-time employee positions come with benefits.</w:t>
      </w:r>
    </w:p>
    <w:p>
      <w:pPr>
        <w:spacing w:after="0" w:line="193" w:lineRule="exact"/>
        <w:rPr>
          <w:rFonts w:ascii="Arial" w:cs="Arial" w:eastAsia="Arial" w:hAnsi="Arial"/>
          <w:sz w:val="13"/>
          <w:szCs w:val="13"/>
          <w:color w:val="auto"/>
        </w:rPr>
      </w:pPr>
    </w:p>
    <w:p>
      <w:pPr>
        <w:ind w:left="1440" w:right="219" w:hanging="173"/>
        <w:spacing w:after="0" w:line="271" w:lineRule="auto"/>
        <w:tabs>
          <w:tab w:leader="none" w:pos="1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retain our employees longer than our industry’s average. Approximately 19% of our full-time Wynn Las Vegas employees have been with us since we opened that property in 2005.</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offer exclusive educational opportunities so our employees may advance their careers.</w:t>
      </w:r>
    </w:p>
    <w:p>
      <w:pPr>
        <w:spacing w:after="0" w:line="172" w:lineRule="exact"/>
        <w:rPr>
          <w:sz w:val="20"/>
          <w:szCs w:val="20"/>
          <w:color w:val="auto"/>
        </w:rPr>
      </w:pPr>
    </w:p>
    <w:p>
      <w:pPr>
        <w:ind w:left="1260" w:right="239"/>
        <w:spacing w:after="0" w:line="248" w:lineRule="auto"/>
        <w:rPr>
          <w:sz w:val="20"/>
          <w:szCs w:val="20"/>
          <w:color w:val="auto"/>
        </w:rPr>
      </w:pPr>
      <w:r>
        <w:rPr>
          <w:rFonts w:ascii="Arial" w:cs="Arial" w:eastAsia="Arial" w:hAnsi="Arial"/>
          <w:sz w:val="13"/>
          <w:szCs w:val="13"/>
          <w:color w:val="auto"/>
        </w:rPr>
        <w:t>When we talk about who we are, we are not only thinking about our employees and executives, we touch lives more broadly than that. We seek opportunities to enrich our communities and advance responsible initiatives in several areas such as executing a comprehensive human trafficking prevention program with industry-leading partnerships and local organizations. We believe in hiring and training a local workforce to create strong and engaged communities surrounding our properties. We are recognized for building award-winning community volunteer and donation programs, including matching dollar-for-dollar charitable donations of up to $75,000 per employee, the highest match offered in the industry.</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HOW WE DO IT—OUR PEOPLE AND OUR PROPERTIES</w:t>
      </w:r>
    </w:p>
    <w:p>
      <w:pPr>
        <w:spacing w:after="0" w:line="284" w:lineRule="exact"/>
        <w:rPr>
          <w:sz w:val="20"/>
          <w:szCs w:val="20"/>
          <w:color w:val="auto"/>
        </w:rPr>
      </w:pPr>
    </w:p>
    <w:p>
      <w:pPr>
        <w:ind w:left="1260" w:right="299"/>
        <w:spacing w:after="0" w:line="251" w:lineRule="auto"/>
        <w:rPr>
          <w:sz w:val="20"/>
          <w:szCs w:val="20"/>
          <w:color w:val="auto"/>
        </w:rPr>
      </w:pPr>
      <w:r>
        <w:rPr>
          <w:rFonts w:ascii="Arial" w:cs="Arial" w:eastAsia="Arial" w:hAnsi="Arial"/>
          <w:sz w:val="13"/>
          <w:szCs w:val="13"/>
          <w:color w:val="auto"/>
        </w:rPr>
        <w:t>We purposefully speak first about our people. Our employees are everyday creators of unforgettable experiences, which our customers return for. They are also the ones who identify, design, build, maintain, and create ‘magic’ at our resorts. These resorts allow us to showcase our ability to surprise and delight customers while respectfully stewarding our planet and driving financial efficiency for our investors. To that end, we have committed to three sustainability goals that guide our company growth and address climate change:</w:t>
      </w:r>
    </w:p>
    <w:p>
      <w:pPr>
        <w:spacing w:after="0" w:line="169" w:lineRule="exact"/>
        <w:rPr>
          <w:sz w:val="20"/>
          <w:szCs w:val="20"/>
          <w:color w:val="auto"/>
        </w:rPr>
      </w:pPr>
    </w:p>
    <w:p>
      <w:pPr>
        <w:ind w:left="1440" w:hanging="173"/>
        <w:spacing w:after="0"/>
        <w:tabs>
          <w:tab w:leader="none" w:pos="1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Net-Zero by 2050: To reduce or offset all carbon dioxide (CO2) produced by our operations no later than 2050.</w:t>
      </w:r>
    </w:p>
    <w:p>
      <w:pPr>
        <w:spacing w:after="0" w:line="193" w:lineRule="exact"/>
        <w:rPr>
          <w:rFonts w:ascii="Arial" w:cs="Arial" w:eastAsia="Arial" w:hAnsi="Arial"/>
          <w:sz w:val="13"/>
          <w:szCs w:val="13"/>
          <w:color w:val="auto"/>
        </w:rPr>
      </w:pPr>
    </w:p>
    <w:p>
      <w:pPr>
        <w:ind w:left="1440" w:hanging="173"/>
        <w:spacing w:after="0"/>
        <w:tabs>
          <w:tab w:leader="none" w:pos="1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CO2 Peak by 2030: To stop and reverse year-over-year growth of operational CO2 emissions by 2030.</w:t>
      </w:r>
    </w:p>
    <w:p>
      <w:pPr>
        <w:spacing w:after="0" w:line="193" w:lineRule="exact"/>
        <w:rPr>
          <w:rFonts w:ascii="Arial" w:cs="Arial" w:eastAsia="Arial" w:hAnsi="Arial"/>
          <w:sz w:val="13"/>
          <w:szCs w:val="13"/>
          <w:color w:val="auto"/>
        </w:rPr>
      </w:pPr>
    </w:p>
    <w:p>
      <w:pPr>
        <w:ind w:left="1440" w:hanging="173"/>
        <w:spacing w:after="0"/>
        <w:tabs>
          <w:tab w:leader="none" w:pos="1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50% Renewable Energy by 2030: To increase the renewable energy we produce or procure to 50% or more of total consumption by 2030.</w:t>
      </w:r>
    </w:p>
    <w:p>
      <w:pPr>
        <w:spacing w:after="0" w:line="172" w:lineRule="exact"/>
        <w:rPr>
          <w:sz w:val="20"/>
          <w:szCs w:val="20"/>
          <w:color w:val="auto"/>
        </w:rPr>
      </w:pPr>
    </w:p>
    <w:p>
      <w:pPr>
        <w:ind w:left="1260" w:right="319"/>
        <w:spacing w:after="0" w:line="271" w:lineRule="auto"/>
        <w:rPr>
          <w:sz w:val="20"/>
          <w:szCs w:val="20"/>
          <w:color w:val="auto"/>
        </w:rPr>
      </w:pPr>
      <w:r>
        <w:rPr>
          <w:rFonts w:ascii="Arial" w:cs="Arial" w:eastAsia="Arial" w:hAnsi="Arial"/>
          <w:sz w:val="13"/>
          <w:szCs w:val="13"/>
          <w:color w:val="auto"/>
        </w:rPr>
        <w:t>To achieve these objectives, we have invested heavily in renewable energy, publish annual emissions inventories, implemented zero-waste convention offerings, and consistently build our global resorts according to top-tier green building standards.</w:t>
      </w:r>
    </w:p>
    <w:p>
      <w:pPr>
        <w:spacing w:after="0" w:line="134" w:lineRule="exact"/>
        <w:rPr>
          <w:sz w:val="20"/>
          <w:szCs w:val="20"/>
          <w:color w:val="auto"/>
        </w:rPr>
      </w:pPr>
    </w:p>
    <w:p>
      <w:pPr>
        <w:jc w:val="both"/>
        <w:ind w:left="1260" w:right="159"/>
        <w:spacing w:after="0" w:line="256" w:lineRule="auto"/>
        <w:rPr>
          <w:sz w:val="20"/>
          <w:szCs w:val="20"/>
          <w:color w:val="auto"/>
        </w:rPr>
      </w:pPr>
      <w:r>
        <w:rPr>
          <w:rFonts w:ascii="Arial" w:cs="Arial" w:eastAsia="Arial" w:hAnsi="Arial"/>
          <w:sz w:val="13"/>
          <w:szCs w:val="13"/>
          <w:color w:val="auto"/>
        </w:rPr>
        <w:t>For more information on our environmental and social efforts see our annual Environmental, Social, and Governance Reports and Responsibility Reports at https://wynnresorts.com/esg/reports. The information contained on or accessible throughout our website, including our ESG reports, is not incorporated by reference into this Proxy Statement or any of our other filings with the SEC or considered to be part of this document.</w:t>
      </w:r>
    </w:p>
    <w:p>
      <w:pPr>
        <w:spacing w:after="0" w:line="90"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0159"/>
          </w:cols>
          <w:pgMar w:left="300" w:top="412"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EXECUTIVE OFFICERS</w:t>
      </w: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Executive Officers as of March 25, 2026,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129540</wp:posOffset>
            </wp:positionV>
            <wp:extent cx="6985" cy="926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85" cy="92646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129540</wp:posOffset>
            </wp:positionV>
            <wp:extent cx="6985" cy="926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85" cy="926465"/>
                    </a:xfrm>
                    <a:prstGeom prst="rect">
                      <a:avLst/>
                    </a:prstGeom>
                    <a:noFill/>
                  </pic:spPr>
                </pic:pic>
              </a:graphicData>
            </a:graphic>
          </wp:anchor>
        </w:drawing>
      </w:r>
    </w:p>
    <w:p>
      <w:pPr>
        <w:spacing w:after="0" w:line="184" w:lineRule="exact"/>
        <w:rPr>
          <w:sz w:val="20"/>
          <w:szCs w:val="20"/>
          <w:color w:val="auto"/>
        </w:rPr>
      </w:pPr>
    </w:p>
    <w:tbl>
      <w:tblPr>
        <w:tblLayout w:type="fixed"/>
        <w:tblInd w:w="1280" w:type="dxa"/>
        <w:tblCellMar>
          <w:top w:w="0" w:type="dxa"/>
          <w:left w:w="0" w:type="dxa"/>
          <w:bottom w:w="0" w:type="dxa"/>
          <w:right w:w="0" w:type="dxa"/>
        </w:tblCellMar>
      </w:tblPr>
      <w:tr>
        <w:trPr>
          <w:trHeight w:val="265"/>
        </w:trPr>
        <w:tc>
          <w:tcPr>
            <w:tcW w:w="2060" w:type="dxa"/>
            <w:vAlign w:val="bottom"/>
            <w:shd w:val="clear" w:color="auto" w:fill="B9AFA0"/>
          </w:tcPr>
          <w:p>
            <w:pPr>
              <w:ind w:left="40"/>
              <w:spacing w:after="0"/>
              <w:rPr>
                <w:sz w:val="20"/>
                <w:szCs w:val="20"/>
                <w:color w:val="auto"/>
              </w:rPr>
            </w:pPr>
            <w:r>
              <w:rPr>
                <w:rFonts w:ascii="Arial" w:cs="Arial" w:eastAsia="Arial" w:hAnsi="Arial"/>
                <w:sz w:val="13"/>
                <w:szCs w:val="13"/>
                <w:color w:val="FFFFFF"/>
              </w:rPr>
              <w:t>NAME</w:t>
            </w:r>
          </w:p>
        </w:tc>
        <w:tc>
          <w:tcPr>
            <w:tcW w:w="400" w:type="dxa"/>
            <w:vAlign w:val="bottom"/>
            <w:shd w:val="clear" w:color="auto" w:fill="B9AFA0"/>
          </w:tcPr>
          <w:p>
            <w:pPr>
              <w:jc w:val="center"/>
              <w:ind w:left="20"/>
              <w:spacing w:after="0"/>
              <w:rPr>
                <w:sz w:val="20"/>
                <w:szCs w:val="20"/>
                <w:color w:val="auto"/>
              </w:rPr>
            </w:pPr>
            <w:r>
              <w:rPr>
                <w:rFonts w:ascii="Arial" w:cs="Arial" w:eastAsia="Arial" w:hAnsi="Arial"/>
                <w:sz w:val="13"/>
                <w:szCs w:val="13"/>
                <w:color w:val="FFFFFF"/>
                <w:w w:val="78"/>
              </w:rPr>
              <w:t>AGE </w:t>
            </w:r>
          </w:p>
        </w:tc>
        <w:tc>
          <w:tcPr>
            <w:tcW w:w="80" w:type="dxa"/>
            <w:vAlign w:val="bottom"/>
            <w:shd w:val="clear" w:color="auto" w:fill="B9AFA0"/>
          </w:tcPr>
          <w:p>
            <w:pPr>
              <w:spacing w:after="0"/>
              <w:rPr>
                <w:sz w:val="23"/>
                <w:szCs w:val="23"/>
                <w:color w:val="auto"/>
              </w:rPr>
            </w:pPr>
          </w:p>
        </w:tc>
        <w:tc>
          <w:tcPr>
            <w:tcW w:w="6200" w:type="dxa"/>
            <w:vAlign w:val="bottom"/>
            <w:shd w:val="clear" w:color="auto" w:fill="B9AFA0"/>
          </w:tcPr>
          <w:p>
            <w:pPr>
              <w:spacing w:after="0"/>
              <w:rPr>
                <w:sz w:val="20"/>
                <w:szCs w:val="20"/>
                <w:color w:val="auto"/>
              </w:rPr>
            </w:pPr>
            <w:r>
              <w:rPr>
                <w:rFonts w:ascii="Arial" w:cs="Arial" w:eastAsia="Arial" w:hAnsi="Arial"/>
                <w:sz w:val="13"/>
                <w:szCs w:val="13"/>
                <w:color w:val="FFFFFF"/>
              </w:rPr>
              <w:t>  POSITION</w:t>
            </w:r>
          </w:p>
        </w:tc>
      </w:tr>
      <w:tr>
        <w:trPr>
          <w:trHeight w:val="99"/>
        </w:trPr>
        <w:tc>
          <w:tcPr>
            <w:tcW w:w="2060" w:type="dxa"/>
            <w:vAlign w:val="bottom"/>
            <w:shd w:val="clear" w:color="auto" w:fill="B9AFA0"/>
          </w:tcPr>
          <w:p>
            <w:pPr>
              <w:spacing w:after="0"/>
              <w:rPr>
                <w:sz w:val="8"/>
                <w:szCs w:val="8"/>
                <w:color w:val="auto"/>
              </w:rPr>
            </w:pPr>
          </w:p>
        </w:tc>
        <w:tc>
          <w:tcPr>
            <w:tcW w:w="400" w:type="dxa"/>
            <w:vAlign w:val="bottom"/>
            <w:shd w:val="clear" w:color="auto" w:fill="B9AFA0"/>
          </w:tcPr>
          <w:p>
            <w:pPr>
              <w:spacing w:after="0"/>
              <w:rPr>
                <w:sz w:val="8"/>
                <w:szCs w:val="8"/>
                <w:color w:val="auto"/>
              </w:rPr>
            </w:pPr>
          </w:p>
        </w:tc>
        <w:tc>
          <w:tcPr>
            <w:tcW w:w="80" w:type="dxa"/>
            <w:vAlign w:val="bottom"/>
            <w:shd w:val="clear" w:color="auto" w:fill="B9AFA0"/>
          </w:tcPr>
          <w:p>
            <w:pPr>
              <w:spacing w:after="0"/>
              <w:rPr>
                <w:sz w:val="8"/>
                <w:szCs w:val="8"/>
                <w:color w:val="auto"/>
              </w:rPr>
            </w:pPr>
          </w:p>
        </w:tc>
        <w:tc>
          <w:tcPr>
            <w:tcW w:w="6200" w:type="dxa"/>
            <w:vAlign w:val="bottom"/>
            <w:shd w:val="clear" w:color="auto" w:fill="B9AFA0"/>
          </w:tcPr>
          <w:p>
            <w:pPr>
              <w:spacing w:after="0"/>
              <w:rPr>
                <w:sz w:val="8"/>
                <w:szCs w:val="8"/>
                <w:color w:val="auto"/>
              </w:rPr>
            </w:pPr>
          </w:p>
        </w:tc>
      </w:tr>
      <w:tr>
        <w:trPr>
          <w:trHeight w:val="265"/>
        </w:trPr>
        <w:tc>
          <w:tcPr>
            <w:tcW w:w="2060" w:type="dxa"/>
            <w:vAlign w:val="bottom"/>
            <w:shd w:val="clear" w:color="auto" w:fill="F1EFEC"/>
          </w:tcPr>
          <w:p>
            <w:pPr>
              <w:ind w:left="40"/>
              <w:spacing w:after="0"/>
              <w:rPr>
                <w:sz w:val="20"/>
                <w:szCs w:val="20"/>
                <w:color w:val="auto"/>
              </w:rPr>
            </w:pPr>
            <w:r>
              <w:rPr>
                <w:rFonts w:ascii="Arial" w:cs="Arial" w:eastAsia="Arial" w:hAnsi="Arial"/>
                <w:sz w:val="13"/>
                <w:szCs w:val="13"/>
                <w:color w:val="auto"/>
              </w:rPr>
              <w:t>Craig S. Billings</w:t>
            </w:r>
          </w:p>
        </w:tc>
        <w:tc>
          <w:tcPr>
            <w:tcW w:w="400" w:type="dxa"/>
            <w:vAlign w:val="bottom"/>
            <w:shd w:val="clear" w:color="auto" w:fill="F1EFEC"/>
          </w:tcPr>
          <w:p>
            <w:pPr>
              <w:jc w:val="center"/>
              <w:ind w:left="40"/>
              <w:spacing w:after="0"/>
              <w:rPr>
                <w:sz w:val="20"/>
                <w:szCs w:val="20"/>
                <w:color w:val="auto"/>
              </w:rPr>
            </w:pPr>
            <w:r>
              <w:rPr>
                <w:rFonts w:ascii="Arial" w:cs="Arial" w:eastAsia="Arial" w:hAnsi="Arial"/>
                <w:sz w:val="12"/>
                <w:szCs w:val="12"/>
                <w:color w:val="auto"/>
                <w:w w:val="70"/>
              </w:rPr>
              <w:t>53 </w:t>
            </w:r>
          </w:p>
        </w:tc>
        <w:tc>
          <w:tcPr>
            <w:tcW w:w="80" w:type="dxa"/>
            <w:vAlign w:val="bottom"/>
            <w:shd w:val="clear" w:color="auto" w:fill="F1EFEC"/>
          </w:tcPr>
          <w:p>
            <w:pPr>
              <w:ind w:left="20"/>
              <w:spacing w:after="0"/>
              <w:rPr>
                <w:sz w:val="20"/>
                <w:szCs w:val="20"/>
                <w:color w:val="auto"/>
              </w:rPr>
            </w:pPr>
            <w:r>
              <w:rPr>
                <w:rFonts w:ascii="Arial" w:cs="Arial" w:eastAsia="Arial" w:hAnsi="Arial"/>
                <w:sz w:val="13"/>
                <w:szCs w:val="13"/>
                <w:color w:val="auto"/>
              </w:rPr>
              <w:t> </w:t>
            </w:r>
          </w:p>
        </w:tc>
        <w:tc>
          <w:tcPr>
            <w:tcW w:w="6200" w:type="dxa"/>
            <w:vAlign w:val="bottom"/>
            <w:shd w:val="clear" w:color="auto" w:fill="F1EFEC"/>
          </w:tcPr>
          <w:p>
            <w:pPr>
              <w:ind w:left="100"/>
              <w:spacing w:after="0"/>
              <w:rPr>
                <w:sz w:val="20"/>
                <w:szCs w:val="20"/>
                <w:color w:val="auto"/>
              </w:rPr>
            </w:pPr>
            <w:r>
              <w:rPr>
                <w:rFonts w:ascii="Arial" w:cs="Arial" w:eastAsia="Arial" w:hAnsi="Arial"/>
                <w:sz w:val="13"/>
                <w:szCs w:val="13"/>
                <w:color w:val="auto"/>
              </w:rPr>
              <w:t>Director and Chief Executive Officer</w:t>
            </w:r>
          </w:p>
        </w:tc>
      </w:tr>
      <w:tr>
        <w:trPr>
          <w:trHeight w:val="99"/>
        </w:trPr>
        <w:tc>
          <w:tcPr>
            <w:tcW w:w="2060" w:type="dxa"/>
            <w:vAlign w:val="bottom"/>
            <w:shd w:val="clear" w:color="auto" w:fill="F1EFEC"/>
          </w:tcPr>
          <w:p>
            <w:pPr>
              <w:spacing w:after="0"/>
              <w:rPr>
                <w:sz w:val="8"/>
                <w:szCs w:val="8"/>
                <w:color w:val="auto"/>
              </w:rPr>
            </w:pPr>
          </w:p>
        </w:tc>
        <w:tc>
          <w:tcPr>
            <w:tcW w:w="400" w:type="dxa"/>
            <w:vAlign w:val="bottom"/>
            <w:shd w:val="clear" w:color="auto" w:fill="F1EFEC"/>
          </w:tcPr>
          <w:p>
            <w:pPr>
              <w:spacing w:after="0"/>
              <w:rPr>
                <w:sz w:val="8"/>
                <w:szCs w:val="8"/>
                <w:color w:val="auto"/>
              </w:rPr>
            </w:pPr>
          </w:p>
        </w:tc>
        <w:tc>
          <w:tcPr>
            <w:tcW w:w="80" w:type="dxa"/>
            <w:vAlign w:val="bottom"/>
            <w:shd w:val="clear" w:color="auto" w:fill="F1EFEC"/>
          </w:tcPr>
          <w:p>
            <w:pPr>
              <w:spacing w:after="0"/>
              <w:rPr>
                <w:sz w:val="8"/>
                <w:szCs w:val="8"/>
                <w:color w:val="auto"/>
              </w:rPr>
            </w:pPr>
          </w:p>
        </w:tc>
        <w:tc>
          <w:tcPr>
            <w:tcW w:w="6200" w:type="dxa"/>
            <w:vAlign w:val="bottom"/>
            <w:shd w:val="clear" w:color="auto" w:fill="F1EFEC"/>
          </w:tcPr>
          <w:p>
            <w:pPr>
              <w:spacing w:after="0"/>
              <w:rPr>
                <w:sz w:val="8"/>
                <w:szCs w:val="8"/>
                <w:color w:val="auto"/>
              </w:rPr>
            </w:pPr>
          </w:p>
        </w:tc>
      </w:tr>
      <w:tr>
        <w:trPr>
          <w:trHeight w:val="265"/>
        </w:trPr>
        <w:tc>
          <w:tcPr>
            <w:tcW w:w="2060" w:type="dxa"/>
            <w:vAlign w:val="bottom"/>
          </w:tcPr>
          <w:p>
            <w:pPr>
              <w:ind w:left="40"/>
              <w:spacing w:after="0"/>
              <w:rPr>
                <w:sz w:val="20"/>
                <w:szCs w:val="20"/>
                <w:color w:val="auto"/>
              </w:rPr>
            </w:pPr>
            <w:r>
              <w:rPr>
                <w:rFonts w:ascii="Arial" w:cs="Arial" w:eastAsia="Arial" w:hAnsi="Arial"/>
                <w:sz w:val="13"/>
                <w:szCs w:val="13"/>
                <w:color w:val="auto"/>
              </w:rPr>
              <w:t>Julie M. Cameron-Doe (1)</w:t>
            </w:r>
          </w:p>
        </w:tc>
        <w:tc>
          <w:tcPr>
            <w:tcW w:w="400" w:type="dxa"/>
            <w:vAlign w:val="bottom"/>
          </w:tcPr>
          <w:p>
            <w:pPr>
              <w:jc w:val="center"/>
              <w:ind w:left="40"/>
              <w:spacing w:after="0"/>
              <w:rPr>
                <w:sz w:val="20"/>
                <w:szCs w:val="20"/>
                <w:color w:val="auto"/>
              </w:rPr>
            </w:pPr>
            <w:r>
              <w:rPr>
                <w:rFonts w:ascii="Arial" w:cs="Arial" w:eastAsia="Arial" w:hAnsi="Arial"/>
                <w:sz w:val="12"/>
                <w:szCs w:val="12"/>
                <w:color w:val="auto"/>
                <w:w w:val="70"/>
              </w:rPr>
              <w:t>56 </w:t>
            </w:r>
          </w:p>
        </w:tc>
        <w:tc>
          <w:tcPr>
            <w:tcW w:w="80" w:type="dxa"/>
            <w:vAlign w:val="bottom"/>
          </w:tcPr>
          <w:p>
            <w:pPr>
              <w:ind w:left="20"/>
              <w:spacing w:after="0"/>
              <w:rPr>
                <w:sz w:val="20"/>
                <w:szCs w:val="20"/>
                <w:color w:val="auto"/>
              </w:rPr>
            </w:pPr>
            <w:r>
              <w:rPr>
                <w:rFonts w:ascii="Arial" w:cs="Arial" w:eastAsia="Arial" w:hAnsi="Arial"/>
                <w:sz w:val="13"/>
                <w:szCs w:val="13"/>
                <w:color w:val="auto"/>
              </w:rPr>
              <w:t> </w:t>
            </w:r>
          </w:p>
        </w:tc>
        <w:tc>
          <w:tcPr>
            <w:tcW w:w="6200" w:type="dxa"/>
            <w:vAlign w:val="bottom"/>
          </w:tcPr>
          <w:p>
            <w:pPr>
              <w:ind w:left="100"/>
              <w:spacing w:after="0"/>
              <w:rPr>
                <w:sz w:val="20"/>
                <w:szCs w:val="20"/>
                <w:color w:val="auto"/>
              </w:rPr>
            </w:pPr>
            <w:r>
              <w:rPr>
                <w:rFonts w:ascii="Arial" w:cs="Arial" w:eastAsia="Arial" w:hAnsi="Arial"/>
                <w:sz w:val="13"/>
                <w:szCs w:val="13"/>
                <w:color w:val="auto"/>
              </w:rPr>
              <w:t>Chief Financial Officer</w:t>
            </w:r>
          </w:p>
        </w:tc>
      </w:tr>
      <w:tr>
        <w:trPr>
          <w:trHeight w:val="99"/>
        </w:trPr>
        <w:tc>
          <w:tcPr>
            <w:tcW w:w="2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0" w:type="dxa"/>
            <w:vAlign w:val="bottom"/>
          </w:tcPr>
          <w:p>
            <w:pPr>
              <w:spacing w:after="0"/>
              <w:rPr>
                <w:sz w:val="8"/>
                <w:szCs w:val="8"/>
                <w:color w:val="auto"/>
              </w:rPr>
            </w:pPr>
          </w:p>
        </w:tc>
      </w:tr>
      <w:tr>
        <w:trPr>
          <w:trHeight w:val="265"/>
        </w:trPr>
        <w:tc>
          <w:tcPr>
            <w:tcW w:w="2060" w:type="dxa"/>
            <w:vAlign w:val="bottom"/>
            <w:shd w:val="clear" w:color="auto" w:fill="F1EFEC"/>
          </w:tcPr>
          <w:p>
            <w:pPr>
              <w:ind w:left="40"/>
              <w:spacing w:after="0"/>
              <w:rPr>
                <w:sz w:val="20"/>
                <w:szCs w:val="20"/>
                <w:color w:val="auto"/>
              </w:rPr>
            </w:pPr>
            <w:r>
              <w:rPr>
                <w:rFonts w:ascii="Arial" w:cs="Arial" w:eastAsia="Arial" w:hAnsi="Arial"/>
                <w:sz w:val="13"/>
                <w:szCs w:val="13"/>
                <w:color w:val="auto"/>
              </w:rPr>
              <w:t>Jacqui Krum</w:t>
            </w:r>
          </w:p>
        </w:tc>
        <w:tc>
          <w:tcPr>
            <w:tcW w:w="400" w:type="dxa"/>
            <w:vAlign w:val="bottom"/>
            <w:shd w:val="clear" w:color="auto" w:fill="F1EFEC"/>
          </w:tcPr>
          <w:p>
            <w:pPr>
              <w:jc w:val="center"/>
              <w:ind w:left="40"/>
              <w:spacing w:after="0"/>
              <w:rPr>
                <w:sz w:val="20"/>
                <w:szCs w:val="20"/>
                <w:color w:val="auto"/>
              </w:rPr>
            </w:pPr>
            <w:r>
              <w:rPr>
                <w:rFonts w:ascii="Arial" w:cs="Arial" w:eastAsia="Arial" w:hAnsi="Arial"/>
                <w:sz w:val="12"/>
                <w:szCs w:val="12"/>
                <w:color w:val="auto"/>
                <w:w w:val="70"/>
              </w:rPr>
              <w:t>51 </w:t>
            </w:r>
          </w:p>
        </w:tc>
        <w:tc>
          <w:tcPr>
            <w:tcW w:w="80" w:type="dxa"/>
            <w:vAlign w:val="bottom"/>
            <w:shd w:val="clear" w:color="auto" w:fill="F1EFEC"/>
          </w:tcPr>
          <w:p>
            <w:pPr>
              <w:ind w:left="20"/>
              <w:spacing w:after="0"/>
              <w:rPr>
                <w:sz w:val="20"/>
                <w:szCs w:val="20"/>
                <w:color w:val="auto"/>
              </w:rPr>
            </w:pPr>
            <w:r>
              <w:rPr>
                <w:rFonts w:ascii="Arial" w:cs="Arial" w:eastAsia="Arial" w:hAnsi="Arial"/>
                <w:sz w:val="13"/>
                <w:szCs w:val="13"/>
                <w:color w:val="auto"/>
              </w:rPr>
              <w:t> </w:t>
            </w:r>
          </w:p>
        </w:tc>
        <w:tc>
          <w:tcPr>
            <w:tcW w:w="6200" w:type="dxa"/>
            <w:vAlign w:val="bottom"/>
            <w:shd w:val="clear" w:color="auto" w:fill="F1EFEC"/>
          </w:tcPr>
          <w:p>
            <w:pPr>
              <w:ind w:left="100"/>
              <w:spacing w:after="0"/>
              <w:rPr>
                <w:sz w:val="20"/>
                <w:szCs w:val="20"/>
                <w:color w:val="auto"/>
              </w:rPr>
            </w:pPr>
            <w:r>
              <w:rPr>
                <w:rFonts w:ascii="Arial" w:cs="Arial" w:eastAsia="Arial" w:hAnsi="Arial"/>
                <w:sz w:val="13"/>
                <w:szCs w:val="13"/>
                <w:color w:val="auto"/>
              </w:rPr>
              <w:t>Executive Vice President, General Counsel and Secretary</w:t>
            </w:r>
          </w:p>
        </w:tc>
      </w:tr>
      <w:tr>
        <w:trPr>
          <w:trHeight w:val="99"/>
        </w:trPr>
        <w:tc>
          <w:tcPr>
            <w:tcW w:w="2060" w:type="dxa"/>
            <w:vAlign w:val="bottom"/>
            <w:shd w:val="clear" w:color="auto" w:fill="F1EFEC"/>
          </w:tcPr>
          <w:p>
            <w:pPr>
              <w:spacing w:after="0"/>
              <w:rPr>
                <w:sz w:val="8"/>
                <w:szCs w:val="8"/>
                <w:color w:val="auto"/>
              </w:rPr>
            </w:pPr>
          </w:p>
        </w:tc>
        <w:tc>
          <w:tcPr>
            <w:tcW w:w="400" w:type="dxa"/>
            <w:vAlign w:val="bottom"/>
            <w:shd w:val="clear" w:color="auto" w:fill="F1EFEC"/>
          </w:tcPr>
          <w:p>
            <w:pPr>
              <w:spacing w:after="0"/>
              <w:rPr>
                <w:sz w:val="8"/>
                <w:szCs w:val="8"/>
                <w:color w:val="auto"/>
              </w:rPr>
            </w:pPr>
          </w:p>
        </w:tc>
        <w:tc>
          <w:tcPr>
            <w:tcW w:w="80" w:type="dxa"/>
            <w:vAlign w:val="bottom"/>
            <w:shd w:val="clear" w:color="auto" w:fill="F1EFEC"/>
          </w:tcPr>
          <w:p>
            <w:pPr>
              <w:spacing w:after="0"/>
              <w:rPr>
                <w:sz w:val="8"/>
                <w:szCs w:val="8"/>
                <w:color w:val="auto"/>
              </w:rPr>
            </w:pPr>
          </w:p>
        </w:tc>
        <w:tc>
          <w:tcPr>
            <w:tcW w:w="6200" w:type="dxa"/>
            <w:vAlign w:val="bottom"/>
            <w:shd w:val="clear" w:color="auto" w:fill="F1EFEC"/>
          </w:tcPr>
          <w:p>
            <w:pPr>
              <w:spacing w:after="0"/>
              <w:rPr>
                <w:sz w:val="8"/>
                <w:szCs w:val="8"/>
                <w:color w:val="auto"/>
              </w:rPr>
            </w:pPr>
          </w:p>
        </w:tc>
      </w:tr>
    </w:tbl>
    <w:p>
      <w:pPr>
        <w:spacing w:after="0" w:line="71" w:lineRule="exact"/>
        <w:rPr>
          <w:sz w:val="20"/>
          <w:szCs w:val="20"/>
          <w:color w:val="auto"/>
        </w:rPr>
      </w:pPr>
    </w:p>
    <w:p>
      <w:pPr>
        <w:ind w:left="1260" w:right="299" w:firstLine="7"/>
        <w:spacing w:after="0" w:line="271" w:lineRule="auto"/>
        <w:tabs>
          <w:tab w:leader="none" w:pos="1410" w:val="left"/>
        </w:tabs>
        <w:numPr>
          <w:ilvl w:val="0"/>
          <w:numId w:val="20"/>
        </w:numPr>
        <w:rPr>
          <w:rFonts w:ascii="Arial" w:cs="Arial" w:eastAsia="Arial" w:hAnsi="Arial"/>
          <w:sz w:val="9"/>
          <w:szCs w:val="9"/>
          <w:color w:val="auto"/>
        </w:rPr>
      </w:pPr>
      <w:r>
        <w:rPr>
          <w:rFonts w:ascii="Arial" w:cs="Arial" w:eastAsia="Arial" w:hAnsi="Arial"/>
          <w:sz w:val="9"/>
          <w:szCs w:val="9"/>
          <w:color w:val="auto"/>
        </w:rPr>
        <w:t>On January 7, 2026, Ms. Cameron-Doe notified the Company of her decision to retire from her role as Chief Financial Officer of the Company, effective as of March 31, 2026, and to retire from her role as an officer of the Company, effective as of June 1, 2026. On January 9, 2026, the Company announced the appointment of Craig Fullalove as Chief Financial Officer of the Company, effective as of April 1, 2026. As of March 25, 2026, Mr. Fullalove served as Chief Financial Officer and Chief Administrative Officer of Wynn Macau, Limited, which includes the operations of the Wynn Palace and Wynn Macau resorts, a position which he has held since July 2022, and prior to that, served as the Chief Financial Officer of Wynn Macau, Limited, since January 2020.</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NON-DIRECTOR EXECUTIVE OFFICERS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Julie M. Cameron-Doe </w:t>
      </w:r>
      <w:r>
        <w:rPr>
          <w:rFonts w:ascii="Times New Roman" w:cs="Times New Roman" w:eastAsia="Times New Roman" w:hAnsi="Times New Roman"/>
          <w:sz w:val="11"/>
          <w:szCs w:val="11"/>
          <w:i w:val="1"/>
          <w:iCs w:val="1"/>
          <w:color w:val="auto"/>
        </w:rPr>
        <w:t>Chief Financial Officer</w:t>
      </w:r>
    </w:p>
    <w:p>
      <w:pPr>
        <w:spacing w:after="0" w:line="60" w:lineRule="exact"/>
        <w:rPr>
          <w:sz w:val="20"/>
          <w:szCs w:val="20"/>
          <w:color w:val="auto"/>
        </w:rPr>
      </w:pPr>
    </w:p>
    <w:p>
      <w:pPr>
        <w:ind w:left="1260" w:right="279"/>
        <w:spacing w:after="0" w:line="266" w:lineRule="auto"/>
        <w:rPr>
          <w:sz w:val="20"/>
          <w:szCs w:val="20"/>
          <w:color w:val="auto"/>
        </w:rPr>
      </w:pPr>
      <w:r>
        <w:rPr>
          <w:rFonts w:ascii="Arial" w:cs="Arial" w:eastAsia="Arial" w:hAnsi="Arial"/>
          <w:sz w:val="11"/>
          <w:szCs w:val="11"/>
          <w:color w:val="auto"/>
        </w:rPr>
        <w:t>Ms. Cameron-Doe is the Company’s Chief Financial Officer, a position she has held since April 2022. Ms. Cameron-Doe is a Non-Executive Director of Wynn Macau, Limited, a majority-owned subsidiary of the Company and a Non-Executive Director of the Western Union Company which is unrelated to the Company and is listed on the NYSE. Ms. Cameron-Doe serves as a member of the board of the Center for Las Vegas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57150</wp:posOffset>
            </wp:positionV>
            <wp:extent cx="1512570" cy="1410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12570" cy="1410335"/>
                    </a:xfrm>
                    <a:prstGeom prst="rect">
                      <a:avLst/>
                    </a:prstGeom>
                    <a:noFill/>
                  </pic:spPr>
                </pic:pic>
              </a:graphicData>
            </a:graphic>
          </wp:anchor>
        </w:drawing>
      </w:r>
    </w:p>
    <w:p>
      <w:pPr>
        <w:spacing w:after="0" w:line="150" w:lineRule="exact"/>
        <w:rPr>
          <w:sz w:val="20"/>
          <w:szCs w:val="20"/>
          <w:color w:val="auto"/>
        </w:rPr>
      </w:pPr>
    </w:p>
    <w:p>
      <w:pPr>
        <w:ind w:left="3880"/>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ind w:left="4020" w:right="279" w:hanging="142"/>
        <w:spacing w:after="0" w:line="265" w:lineRule="auto"/>
        <w:rPr>
          <w:sz w:val="20"/>
          <w:szCs w:val="20"/>
          <w:color w:val="auto"/>
        </w:rPr>
      </w:pPr>
      <w:r>
        <w:rPr>
          <w:rFonts w:ascii="Arial" w:cs="Arial" w:eastAsia="Arial" w:hAnsi="Arial"/>
          <w:sz w:val="11"/>
          <w:szCs w:val="11"/>
          <w:color w:val="auto"/>
        </w:rPr>
        <w:t>–   2018 to 2022: CFO of Aristocrat Leisure Ltd, the world’s leading gaming manufacturer, listed on the Australian Stock Exchange</w:t>
      </w:r>
    </w:p>
    <w:p>
      <w:pPr>
        <w:ind w:left="4020" w:right="199" w:hanging="142"/>
        <w:spacing w:after="0" w:line="274" w:lineRule="auto"/>
        <w:rPr>
          <w:sz w:val="20"/>
          <w:szCs w:val="20"/>
          <w:color w:val="auto"/>
        </w:rPr>
      </w:pPr>
      <w:r>
        <w:rPr>
          <w:rFonts w:ascii="Arial" w:cs="Arial" w:eastAsia="Arial" w:hAnsi="Arial"/>
          <w:sz w:val="11"/>
          <w:szCs w:val="11"/>
          <w:color w:val="auto"/>
        </w:rPr>
        <w:t>–   2013 to 2018: Group General Manager - Finance at Aristocrat, where she was responsible for group finance including planning, reporting, financial control, tax, treasury, M&amp;A, risk &amp; internal audit</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1"/>
          <w:szCs w:val="11"/>
          <w:color w:val="auto"/>
        </w:rPr>
        <w:t>–   Previously, senior finance lead for entertainment and ecommerce companies in the United Kingdom and Australia</w:t>
      </w:r>
    </w:p>
    <w:p>
      <w:pPr>
        <w:spacing w:after="0" w:line="120" w:lineRule="exact"/>
        <w:rPr>
          <w:sz w:val="20"/>
          <w:szCs w:val="20"/>
          <w:color w:val="auto"/>
        </w:rPr>
      </w:pPr>
    </w:p>
    <w:p>
      <w:pPr>
        <w:ind w:left="3880"/>
        <w:spacing w:after="0"/>
        <w:rPr>
          <w:sz w:val="20"/>
          <w:szCs w:val="20"/>
          <w:color w:val="auto"/>
        </w:rPr>
      </w:pPr>
      <w:r>
        <w:rPr>
          <w:rFonts w:ascii="Arial" w:cs="Arial" w:eastAsia="Arial" w:hAnsi="Arial"/>
          <w:sz w:val="16"/>
          <w:szCs w:val="16"/>
          <w:color w:val="B9AFA0"/>
        </w:rPr>
        <w:t>EDUCATION</w:t>
      </w:r>
    </w:p>
    <w:p>
      <w:pPr>
        <w:spacing w:after="0" w:line="8" w:lineRule="exact"/>
        <w:rPr>
          <w:sz w:val="20"/>
          <w:szCs w:val="20"/>
          <w:color w:val="auto"/>
        </w:rPr>
      </w:pPr>
    </w:p>
    <w:p>
      <w:pPr>
        <w:ind w:left="3880" w:right="379"/>
        <w:spacing w:after="0" w:line="269" w:lineRule="auto"/>
        <w:rPr>
          <w:sz w:val="20"/>
          <w:szCs w:val="20"/>
          <w:color w:val="auto"/>
        </w:rPr>
      </w:pPr>
      <w:r>
        <w:rPr>
          <w:rFonts w:ascii="Arial" w:cs="Arial" w:eastAsia="Arial" w:hAnsi="Arial"/>
          <w:sz w:val="11"/>
          <w:szCs w:val="11"/>
          <w:color w:val="auto"/>
        </w:rPr>
        <w:t>Ms. Cameron-Doe graduated with a B.A. (Economics) from the University of Durham in the United Kingdom. She is a Fellow Chartered Accountant.</w:t>
      </w:r>
    </w:p>
    <w:p>
      <w:pPr>
        <w:spacing w:after="0" w:line="131" w:lineRule="exact"/>
        <w:rPr>
          <w:sz w:val="20"/>
          <w:szCs w:val="20"/>
          <w:color w:val="auto"/>
        </w:rPr>
      </w:pPr>
    </w:p>
    <w:p>
      <w:pPr>
        <w:ind w:left="1260"/>
        <w:spacing w:after="0"/>
        <w:tabs>
          <w:tab w:leader="none" w:pos="1500" w:val="left"/>
          <w:tab w:leader="none" w:pos="2640" w:val="left"/>
          <w:tab w:leader="none" w:pos="3560" w:val="left"/>
        </w:tabs>
        <w:rPr>
          <w:sz w:val="20"/>
          <w:szCs w:val="20"/>
          <w:color w:val="auto"/>
        </w:rPr>
      </w:pPr>
      <w:r>
        <w:rPr>
          <w:rFonts w:ascii="Arial" w:cs="Arial" w:eastAsia="Arial" w:hAnsi="Arial"/>
          <w:sz w:val="13"/>
          <w:szCs w:val="13"/>
          <w:color w:val="auto"/>
        </w:rPr>
        <w:t xml:space="preserve">   </w:t>
      </w:r>
      <w:r>
        <w:rPr>
          <w:sz w:val="20"/>
          <w:szCs w:val="20"/>
          <w:color w:val="auto"/>
        </w:rPr>
        <w:tab/>
      </w:r>
      <w:r>
        <w:rPr>
          <w:rFonts w:ascii="Arial" w:cs="Arial" w:eastAsia="Arial" w:hAnsi="Arial"/>
          <w:sz w:val="10"/>
          <w:szCs w:val="10"/>
          <w:color w:val="auto"/>
        </w:rPr>
        <w:t>Joined Wynn</w:t>
      </w:r>
      <w:r>
        <w:rPr>
          <w:sz w:val="20"/>
          <w:szCs w:val="20"/>
          <w:color w:val="auto"/>
        </w:rPr>
        <w:tab/>
      </w:r>
      <w:r>
        <w:rPr>
          <w:rFonts w:ascii="Arial" w:cs="Arial" w:eastAsia="Arial" w:hAnsi="Arial"/>
          <w:sz w:val="10"/>
          <w:szCs w:val="10"/>
          <w:color w:val="auto"/>
        </w:rPr>
        <w:t>April 2022</w:t>
      </w:r>
      <w:r>
        <w:rPr>
          <w:sz w:val="20"/>
          <w:szCs w:val="20"/>
          <w:color w:val="auto"/>
        </w:rPr>
        <w:tab/>
      </w:r>
      <w:r>
        <w:rPr>
          <w:rFonts w:ascii="Arial" w:cs="Arial" w:eastAsia="Arial" w:hAnsi="Arial"/>
          <w:sz w:val="13"/>
          <w:szCs w:val="13"/>
          <w:color w:val="auto"/>
        </w:rPr>
        <w:t> </w:t>
      </w:r>
    </w:p>
    <w:p>
      <w:pPr>
        <w:spacing w:after="0" w:line="147" w:lineRule="exact"/>
        <w:rPr>
          <w:sz w:val="20"/>
          <w:szCs w:val="20"/>
          <w:color w:val="auto"/>
        </w:rPr>
      </w:pPr>
    </w:p>
    <w:p>
      <w:pPr>
        <w:ind w:left="1520"/>
        <w:spacing w:after="0"/>
        <w:tabs>
          <w:tab w:leader="none" w:pos="2640" w:val="left"/>
        </w:tabs>
        <w:rPr>
          <w:sz w:val="20"/>
          <w:szCs w:val="20"/>
          <w:color w:val="auto"/>
        </w:rPr>
      </w:pPr>
      <w:r>
        <w:rPr>
          <w:rFonts w:ascii="Arial" w:cs="Arial" w:eastAsia="Arial" w:hAnsi="Arial"/>
          <w:sz w:val="10"/>
          <w:szCs w:val="10"/>
          <w:color w:val="auto"/>
        </w:rPr>
        <w:t>Age</w:t>
      </w:r>
      <w:r>
        <w:rPr>
          <w:sz w:val="20"/>
          <w:szCs w:val="20"/>
          <w:color w:val="auto"/>
        </w:rPr>
        <w:tab/>
      </w:r>
      <w:r>
        <w:rPr>
          <w:rFonts w:ascii="Arial" w:cs="Arial" w:eastAsia="Arial" w:hAnsi="Arial"/>
          <w:sz w:val="10"/>
          <w:szCs w:val="10"/>
          <w:color w:val="auto"/>
        </w:rPr>
        <w:t>56</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0159"/>
          </w:cols>
          <w:pgMar w:left="300" w:top="412"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6"/>
          <w:szCs w:val="26"/>
          <w:color w:val="auto"/>
        </w:rPr>
        <w:t xml:space="preserve">Jacqui Krum </w:t>
      </w:r>
      <w:r>
        <w:rPr>
          <w:rFonts w:ascii="Times New Roman" w:cs="Times New Roman" w:eastAsia="Times New Roman" w:hAnsi="Times New Roman"/>
          <w:sz w:val="11"/>
          <w:szCs w:val="11"/>
          <w:i w:val="1"/>
          <w:iCs w:val="1"/>
          <w:color w:val="auto"/>
        </w:rPr>
        <w:t>Executive Vice President, General Counsel and Secretary</w:t>
      </w:r>
    </w:p>
    <w:p>
      <w:pPr>
        <w:spacing w:after="0" w:line="60" w:lineRule="exact"/>
        <w:rPr>
          <w:sz w:val="20"/>
          <w:szCs w:val="20"/>
          <w:color w:val="auto"/>
        </w:rPr>
      </w:pPr>
    </w:p>
    <w:p>
      <w:pPr>
        <w:ind w:left="1260" w:right="219"/>
        <w:spacing w:after="0" w:line="258" w:lineRule="auto"/>
        <w:rPr>
          <w:sz w:val="20"/>
          <w:szCs w:val="20"/>
          <w:color w:val="auto"/>
        </w:rPr>
      </w:pPr>
      <w:r>
        <w:rPr>
          <w:rFonts w:ascii="Arial" w:cs="Arial" w:eastAsia="Arial" w:hAnsi="Arial"/>
          <w:sz w:val="11"/>
          <w:szCs w:val="11"/>
          <w:color w:val="auto"/>
        </w:rPr>
        <w:t>Ms. Krum is the Company’s Executive Vice President, General Counsel and Secretary, a position she has held since December 1, 2024. Ms. Krum originally joined Wynn Resorts in 2013 to assist with the development of gaming projects in the U.S. and abroad and was a member of the team that won the competitive gaming license bid in the Eastern Massachusetts area for Wynn Resorts. In 2015, she moved from Las Vegas to Boston to become the Senior Vice President and General Counsel at Encore Boston Harbor, helping to lead the opening of that resort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60325</wp:posOffset>
            </wp:positionV>
            <wp:extent cx="1457960" cy="13696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57960" cy="1369695"/>
                    </a:xfrm>
                    <a:prstGeom prst="rect">
                      <a:avLst/>
                    </a:prstGeom>
                    <a:noFill/>
                  </pic:spPr>
                </pic:pic>
              </a:graphicData>
            </a:graphic>
          </wp:anchor>
        </w:drawing>
      </w:r>
    </w:p>
    <w:p>
      <w:pPr>
        <w:spacing w:after="0" w:line="155" w:lineRule="exact"/>
        <w:rPr>
          <w:sz w:val="20"/>
          <w:szCs w:val="20"/>
          <w:color w:val="auto"/>
        </w:rPr>
      </w:pPr>
    </w:p>
    <w:p>
      <w:pPr>
        <w:ind w:left="3780"/>
        <w:spacing w:after="0"/>
        <w:rPr>
          <w:sz w:val="20"/>
          <w:szCs w:val="20"/>
          <w:color w:val="auto"/>
        </w:rPr>
      </w:pPr>
      <w:r>
        <w:rPr>
          <w:rFonts w:ascii="Arial" w:cs="Arial" w:eastAsia="Arial" w:hAnsi="Arial"/>
          <w:sz w:val="16"/>
          <w:szCs w:val="16"/>
          <w:color w:val="B9AFA0"/>
        </w:rPr>
        <w:t>PREVIOUS EXPERIENCE</w:t>
      </w:r>
    </w:p>
    <w:p>
      <w:pPr>
        <w:spacing w:after="0" w:line="8" w:lineRule="exact"/>
        <w:rPr>
          <w:sz w:val="20"/>
          <w:szCs w:val="20"/>
          <w:color w:val="auto"/>
        </w:rPr>
      </w:pPr>
    </w:p>
    <w:p>
      <w:pPr>
        <w:ind w:left="3780"/>
        <w:spacing w:after="0"/>
        <w:rPr>
          <w:sz w:val="20"/>
          <w:szCs w:val="20"/>
          <w:color w:val="auto"/>
        </w:rPr>
      </w:pPr>
      <w:r>
        <w:rPr>
          <w:rFonts w:ascii="Arial" w:cs="Arial" w:eastAsia="Arial" w:hAnsi="Arial"/>
          <w:sz w:val="11"/>
          <w:szCs w:val="11"/>
          <w:color w:val="auto"/>
        </w:rPr>
        <w:t>–   2010 to 2013: Vice President and General Counsel, MGM Hospitality, a division of MGM Resorts International</w:t>
      </w:r>
    </w:p>
    <w:p>
      <w:pPr>
        <w:spacing w:after="0" w:line="24" w:lineRule="exact"/>
        <w:rPr>
          <w:sz w:val="20"/>
          <w:szCs w:val="20"/>
          <w:color w:val="auto"/>
        </w:rPr>
      </w:pPr>
    </w:p>
    <w:p>
      <w:pPr>
        <w:ind w:left="3780"/>
        <w:spacing w:after="0"/>
        <w:rPr>
          <w:sz w:val="20"/>
          <w:szCs w:val="20"/>
          <w:color w:val="auto"/>
        </w:rPr>
      </w:pPr>
      <w:r>
        <w:rPr>
          <w:rFonts w:ascii="Arial" w:cs="Arial" w:eastAsia="Arial" w:hAnsi="Arial"/>
          <w:sz w:val="11"/>
          <w:szCs w:val="11"/>
          <w:color w:val="auto"/>
        </w:rPr>
        <w:t>–   1999 to 2010: Associate and Partner, Glaser, Weil, Fink, Jacobs, Howard &amp; Shapiro, LLP, Los Angeles</w:t>
      </w:r>
    </w:p>
    <w:p>
      <w:pPr>
        <w:spacing w:after="0" w:line="217" w:lineRule="exact"/>
        <w:rPr>
          <w:sz w:val="20"/>
          <w:szCs w:val="20"/>
          <w:color w:val="auto"/>
        </w:rPr>
      </w:pPr>
    </w:p>
    <w:p>
      <w:pPr>
        <w:ind w:left="3780"/>
        <w:spacing w:after="0"/>
        <w:rPr>
          <w:sz w:val="20"/>
          <w:szCs w:val="20"/>
          <w:color w:val="auto"/>
        </w:rPr>
      </w:pPr>
      <w:r>
        <w:rPr>
          <w:rFonts w:ascii="Arial" w:cs="Arial" w:eastAsia="Arial" w:hAnsi="Arial"/>
          <w:sz w:val="16"/>
          <w:szCs w:val="16"/>
          <w:color w:val="B9AFA0"/>
        </w:rPr>
        <w:t>EDUCATION</w:t>
      </w:r>
    </w:p>
    <w:p>
      <w:pPr>
        <w:spacing w:after="0" w:line="8" w:lineRule="exact"/>
        <w:rPr>
          <w:sz w:val="20"/>
          <w:szCs w:val="20"/>
          <w:color w:val="auto"/>
        </w:rPr>
      </w:pPr>
    </w:p>
    <w:p>
      <w:pPr>
        <w:jc w:val="both"/>
        <w:ind w:left="3780" w:right="159"/>
        <w:spacing w:after="0" w:line="256" w:lineRule="auto"/>
        <w:rPr>
          <w:sz w:val="20"/>
          <w:szCs w:val="20"/>
          <w:color w:val="auto"/>
        </w:rPr>
      </w:pPr>
      <w:r>
        <w:rPr>
          <w:rFonts w:ascii="Arial" w:cs="Arial" w:eastAsia="Arial" w:hAnsi="Arial"/>
          <w:sz w:val="11"/>
          <w:szCs w:val="11"/>
          <w:color w:val="auto"/>
        </w:rPr>
        <w:t>Ms. Krum received her Juris Doctor degree from the University of California, Los Angeles, and a Bachelor of Arts degree in political science, international relations, as well as a Bachelor of Arts in cultural anthropology, summa cum laude, from the University of California, Santa Barbara.</w:t>
      </w:r>
    </w:p>
    <w:p>
      <w:pPr>
        <w:spacing w:after="0" w:line="268" w:lineRule="exact"/>
        <w:rPr>
          <w:sz w:val="20"/>
          <w:szCs w:val="20"/>
          <w:color w:val="auto"/>
        </w:rPr>
      </w:pPr>
    </w:p>
    <w:p>
      <w:pPr>
        <w:ind w:left="1260"/>
        <w:spacing w:after="0"/>
        <w:tabs>
          <w:tab w:leader="none" w:pos="1480" w:val="left"/>
          <w:tab w:leader="none" w:pos="2580" w:val="left"/>
          <w:tab w:leader="none" w:pos="3480" w:val="left"/>
        </w:tabs>
        <w:rPr>
          <w:sz w:val="20"/>
          <w:szCs w:val="20"/>
          <w:color w:val="auto"/>
        </w:rPr>
      </w:pPr>
      <w:r>
        <w:rPr>
          <w:rFonts w:ascii="Arial" w:cs="Arial" w:eastAsia="Arial" w:hAnsi="Arial"/>
          <w:sz w:val="13"/>
          <w:szCs w:val="13"/>
          <w:color w:val="auto"/>
        </w:rPr>
        <w:t xml:space="preserve">   </w:t>
      </w:r>
      <w:r>
        <w:rPr>
          <w:sz w:val="20"/>
          <w:szCs w:val="20"/>
          <w:color w:val="auto"/>
        </w:rPr>
        <w:tab/>
      </w:r>
      <w:r>
        <w:rPr>
          <w:rFonts w:ascii="Arial" w:cs="Arial" w:eastAsia="Arial" w:hAnsi="Arial"/>
          <w:sz w:val="10"/>
          <w:szCs w:val="10"/>
          <w:color w:val="auto"/>
        </w:rPr>
        <w:t>Joined Wynn</w:t>
      </w:r>
      <w:r>
        <w:rPr>
          <w:sz w:val="20"/>
          <w:szCs w:val="20"/>
          <w:color w:val="auto"/>
        </w:rPr>
        <w:tab/>
      </w:r>
      <w:r>
        <w:rPr>
          <w:rFonts w:ascii="Arial" w:cs="Arial" w:eastAsia="Arial" w:hAnsi="Arial"/>
          <w:sz w:val="10"/>
          <w:szCs w:val="10"/>
          <w:color w:val="auto"/>
        </w:rPr>
        <w:t>April 2013</w:t>
      </w:r>
      <w:r>
        <w:rPr>
          <w:sz w:val="20"/>
          <w:szCs w:val="20"/>
          <w:color w:val="auto"/>
        </w:rPr>
        <w:tab/>
      </w:r>
      <w:r>
        <w:rPr>
          <w:rFonts w:ascii="Arial" w:cs="Arial" w:eastAsia="Arial" w:hAnsi="Arial"/>
          <w:sz w:val="13"/>
          <w:szCs w:val="13"/>
          <w:color w:val="auto"/>
        </w:rPr>
        <w:t> </w:t>
      </w:r>
    </w:p>
    <w:p>
      <w:pPr>
        <w:spacing w:after="0" w:line="147" w:lineRule="exact"/>
        <w:rPr>
          <w:sz w:val="20"/>
          <w:szCs w:val="20"/>
          <w:color w:val="auto"/>
        </w:rPr>
      </w:pPr>
    </w:p>
    <w:p>
      <w:pPr>
        <w:ind w:left="1500"/>
        <w:spacing w:after="0"/>
        <w:tabs>
          <w:tab w:leader="none" w:pos="2580" w:val="left"/>
        </w:tabs>
        <w:rPr>
          <w:sz w:val="20"/>
          <w:szCs w:val="20"/>
          <w:color w:val="auto"/>
        </w:rPr>
      </w:pPr>
      <w:r>
        <w:rPr>
          <w:rFonts w:ascii="Arial" w:cs="Arial" w:eastAsia="Arial" w:hAnsi="Arial"/>
          <w:sz w:val="10"/>
          <w:szCs w:val="10"/>
          <w:color w:val="auto"/>
        </w:rPr>
        <w:t>Age</w:t>
      </w:r>
      <w:r>
        <w:rPr>
          <w:sz w:val="20"/>
          <w:szCs w:val="20"/>
          <w:color w:val="auto"/>
        </w:rPr>
        <w:tab/>
      </w:r>
      <w:r>
        <w:rPr>
          <w:rFonts w:ascii="Arial" w:cs="Arial" w:eastAsia="Arial" w:hAnsi="Arial"/>
          <w:sz w:val="10"/>
          <w:szCs w:val="10"/>
          <w:color w:val="auto"/>
        </w:rPr>
        <w:t>51</w:t>
      </w:r>
    </w:p>
    <w:p>
      <w:pPr>
        <w:spacing w:after="0" w:line="340"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0159"/>
          </w:cols>
          <w:pgMar w:left="300" w:top="412"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722620" cy="73577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22620" cy="7357745"/>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4" w:lineRule="exact"/>
        <w:rPr>
          <w:sz w:val="20"/>
          <w:szCs w:val="20"/>
          <w:color w:val="auto"/>
        </w:rPr>
      </w:pPr>
    </w:p>
    <w:p>
      <w:pPr>
        <w:ind w:left="7540"/>
        <w:spacing w:after="0"/>
        <w:rPr>
          <w:sz w:val="20"/>
          <w:szCs w:val="20"/>
          <w:color w:val="auto"/>
        </w:rPr>
      </w:pP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0</w:t>
      </w:r>
      <w:r>
        <w:rPr>
          <w:rFonts w:ascii="Arial" w:cs="Arial" w:eastAsia="Arial" w:hAnsi="Arial"/>
          <w:sz w:val="7"/>
          <w:szCs w:val="7"/>
          <w:color w:val="B9AFA0"/>
        </w:rPr>
        <w:t xml:space="preserve"> </w:t>
      </w: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6 PROXY STATEMENT</w:t>
      </w:r>
    </w:p>
    <w:p>
      <w:pPr>
        <w:spacing w:after="0" w:line="398" w:lineRule="exact"/>
        <w:rPr>
          <w:sz w:val="20"/>
          <w:szCs w:val="20"/>
          <w:color w:val="auto"/>
        </w:rPr>
      </w:pPr>
    </w:p>
    <w:p>
      <w:pPr>
        <w:ind w:left="1260" w:right="159"/>
        <w:spacing w:after="0" w:line="251" w:lineRule="auto"/>
        <w:rPr>
          <w:sz w:val="20"/>
          <w:szCs w:val="20"/>
          <w:color w:val="auto"/>
        </w:rPr>
      </w:pPr>
      <w:r>
        <w:rPr>
          <w:rFonts w:ascii="Arial" w:cs="Arial" w:eastAsia="Arial" w:hAnsi="Arial"/>
          <w:sz w:val="13"/>
          <w:szCs w:val="13"/>
          <w:color w:val="auto"/>
        </w:rPr>
        <w:t>We believe Wynn Resorts is the world’s preeminent designer, developer, and operator of integrated resorts. The Company’s business model integrates luxury hotel rooms, high-end retail, an array of dining and entertainment options, meeting space, and gaming, all supported by superior levels of customer service provided by our approximately 28,500 employees. Our operations in Las Vegas, Macau, Boston, and London are designed to attract a wide range of domestic and international customers.</w:t>
      </w:r>
    </w:p>
    <w:p>
      <w:pPr>
        <w:spacing w:after="0" w:line="147" w:lineRule="exact"/>
        <w:rPr>
          <w:sz w:val="20"/>
          <w:szCs w:val="20"/>
          <w:color w:val="auto"/>
        </w:rPr>
      </w:pPr>
    </w:p>
    <w:p>
      <w:pPr>
        <w:ind w:left="1260" w:right="279"/>
        <w:spacing w:after="0" w:line="248" w:lineRule="auto"/>
        <w:rPr>
          <w:sz w:val="20"/>
          <w:szCs w:val="20"/>
          <w:color w:val="auto"/>
        </w:rPr>
      </w:pPr>
      <w:r>
        <w:rPr>
          <w:rFonts w:ascii="Arial" w:cs="Arial" w:eastAsia="Arial" w:hAnsi="Arial"/>
          <w:sz w:val="13"/>
          <w:szCs w:val="13"/>
          <w:color w:val="auto"/>
        </w:rPr>
        <w:t>The Compensation Committee relies on practices that are designed to incentivize and reward executives and all employees for actions that create long-term shareholder value. As a result, our executive compensation practices promote accountability for performance and align incentives with long-term shareholder value. In addition, the Compensation Committee has designed our executive compensation program to attract and retain the best-in-class talent across our business. In this compensation discussion and analysis, or CD&amp;A, we describe our philosophy and approach to executive compensation.</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For fiscal 2025, our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129540</wp:posOffset>
            </wp:positionV>
            <wp:extent cx="6985" cy="783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85" cy="783590"/>
                    </a:xfrm>
                    <a:prstGeom prst="rect">
                      <a:avLst/>
                    </a:prstGeom>
                    <a:noFill/>
                  </pic:spPr>
                </pic:pic>
              </a:graphicData>
            </a:graphic>
          </wp:anchor>
        </w:drawing>
      </w:r>
    </w:p>
    <w:p>
      <w:pPr>
        <w:spacing w:after="0" w:line="184" w:lineRule="exact"/>
        <w:rPr>
          <w:sz w:val="20"/>
          <w:szCs w:val="20"/>
          <w:color w:val="auto"/>
        </w:rPr>
      </w:pPr>
    </w:p>
    <w:tbl>
      <w:tblPr>
        <w:tblLayout w:type="fixed"/>
        <w:tblInd w:w="1280" w:type="dxa"/>
        <w:tblCellMar>
          <w:top w:w="0" w:type="dxa"/>
          <w:left w:w="0" w:type="dxa"/>
          <w:bottom w:w="0" w:type="dxa"/>
          <w:right w:w="0" w:type="dxa"/>
        </w:tblCellMar>
      </w:tblPr>
      <w:tr>
        <w:trPr>
          <w:trHeight w:val="313"/>
        </w:trPr>
        <w:tc>
          <w:tcPr>
            <w:tcW w:w="194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NAME</w:t>
            </w:r>
          </w:p>
        </w:tc>
        <w:tc>
          <w:tcPr>
            <w:tcW w:w="6800" w:type="dxa"/>
            <w:vAlign w:val="bottom"/>
            <w:tcBorders>
              <w:bottom w:val="single" w:sz="8" w:color="B9AFA0"/>
            </w:tcBorders>
            <w:shd w:val="clear" w:color="auto" w:fill="B9AFA0"/>
          </w:tcPr>
          <w:p>
            <w:pPr>
              <w:ind w:left="80"/>
              <w:spacing w:after="0"/>
              <w:rPr>
                <w:sz w:val="20"/>
                <w:szCs w:val="20"/>
                <w:color w:val="auto"/>
              </w:rPr>
            </w:pPr>
            <w:r>
              <w:rPr>
                <w:rFonts w:ascii="Arial" w:cs="Arial" w:eastAsia="Arial" w:hAnsi="Arial"/>
                <w:sz w:val="13"/>
                <w:szCs w:val="13"/>
                <w:color w:val="FFFFFF"/>
              </w:rPr>
              <w:t>TITLE</w:t>
            </w:r>
          </w:p>
        </w:tc>
      </w:tr>
      <w:tr>
        <w:trPr>
          <w:trHeight w:val="233"/>
        </w:trPr>
        <w:tc>
          <w:tcPr>
            <w:tcW w:w="1940" w:type="dxa"/>
            <w:vAlign w:val="bottom"/>
            <w:shd w:val="clear" w:color="auto" w:fill="F1EFEC"/>
          </w:tcPr>
          <w:p>
            <w:pPr>
              <w:ind w:left="40"/>
              <w:spacing w:after="0"/>
              <w:rPr>
                <w:sz w:val="20"/>
                <w:szCs w:val="20"/>
                <w:color w:val="auto"/>
              </w:rPr>
            </w:pPr>
            <w:r>
              <w:rPr>
                <w:rFonts w:ascii="Arial" w:cs="Arial" w:eastAsia="Arial" w:hAnsi="Arial"/>
                <w:sz w:val="13"/>
                <w:szCs w:val="13"/>
                <w:color w:val="auto"/>
              </w:rPr>
              <w:t>Craig S. Billings</w:t>
            </w:r>
          </w:p>
        </w:tc>
        <w:tc>
          <w:tcPr>
            <w:tcW w:w="6800" w:type="dxa"/>
            <w:vAlign w:val="bottom"/>
            <w:shd w:val="clear" w:color="auto" w:fill="F1EFEC"/>
          </w:tcPr>
          <w:p>
            <w:pPr>
              <w:ind w:left="80"/>
              <w:spacing w:after="0"/>
              <w:rPr>
                <w:sz w:val="20"/>
                <w:szCs w:val="20"/>
                <w:color w:val="auto"/>
              </w:rPr>
            </w:pPr>
            <w:r>
              <w:rPr>
                <w:rFonts w:ascii="Arial" w:cs="Arial" w:eastAsia="Arial" w:hAnsi="Arial"/>
                <w:sz w:val="13"/>
                <w:szCs w:val="13"/>
                <w:color w:val="auto"/>
              </w:rPr>
              <w:t>Chief Executive Officer</w:t>
            </w:r>
          </w:p>
        </w:tc>
      </w:tr>
      <w:tr>
        <w:trPr>
          <w:trHeight w:val="67"/>
        </w:trPr>
        <w:tc>
          <w:tcPr>
            <w:tcW w:w="1940" w:type="dxa"/>
            <w:vAlign w:val="bottom"/>
            <w:shd w:val="clear" w:color="auto" w:fill="F1EFEC"/>
          </w:tcPr>
          <w:p>
            <w:pPr>
              <w:spacing w:after="0"/>
              <w:rPr>
                <w:sz w:val="5"/>
                <w:szCs w:val="5"/>
                <w:color w:val="auto"/>
              </w:rPr>
            </w:pPr>
          </w:p>
        </w:tc>
        <w:tc>
          <w:tcPr>
            <w:tcW w:w="6800" w:type="dxa"/>
            <w:vAlign w:val="bottom"/>
            <w:shd w:val="clear" w:color="auto" w:fill="F1EFEC"/>
          </w:tcPr>
          <w:p>
            <w:pPr>
              <w:spacing w:after="0"/>
              <w:rPr>
                <w:sz w:val="5"/>
                <w:szCs w:val="5"/>
                <w:color w:val="auto"/>
              </w:rPr>
            </w:pPr>
          </w:p>
        </w:tc>
      </w:tr>
      <w:tr>
        <w:trPr>
          <w:trHeight w:val="233"/>
        </w:trPr>
        <w:tc>
          <w:tcPr>
            <w:tcW w:w="1940" w:type="dxa"/>
            <w:vAlign w:val="bottom"/>
          </w:tcPr>
          <w:p>
            <w:pPr>
              <w:ind w:left="40"/>
              <w:spacing w:after="0"/>
              <w:rPr>
                <w:sz w:val="20"/>
                <w:szCs w:val="20"/>
                <w:color w:val="auto"/>
              </w:rPr>
            </w:pPr>
            <w:r>
              <w:rPr>
                <w:rFonts w:ascii="Arial" w:cs="Arial" w:eastAsia="Arial" w:hAnsi="Arial"/>
                <w:sz w:val="13"/>
                <w:szCs w:val="13"/>
                <w:color w:val="auto"/>
              </w:rPr>
              <w:t xml:space="preserve">Julie M. Cameron-Doe       </w:t>
            </w:r>
          </w:p>
        </w:tc>
        <w:tc>
          <w:tcPr>
            <w:tcW w:w="6800" w:type="dxa"/>
            <w:vAlign w:val="bottom"/>
          </w:tcPr>
          <w:p>
            <w:pPr>
              <w:ind w:left="80"/>
              <w:spacing w:after="0"/>
              <w:rPr>
                <w:sz w:val="20"/>
                <w:szCs w:val="20"/>
                <w:color w:val="auto"/>
              </w:rPr>
            </w:pPr>
            <w:r>
              <w:rPr>
                <w:rFonts w:ascii="Arial" w:cs="Arial" w:eastAsia="Arial" w:hAnsi="Arial"/>
                <w:sz w:val="13"/>
                <w:szCs w:val="13"/>
                <w:color w:val="auto"/>
              </w:rPr>
              <w:t>Chief Financial Officer</w:t>
            </w:r>
          </w:p>
        </w:tc>
      </w:tr>
      <w:tr>
        <w:trPr>
          <w:trHeight w:val="67"/>
        </w:trPr>
        <w:tc>
          <w:tcPr>
            <w:tcW w:w="1940" w:type="dxa"/>
            <w:vAlign w:val="bottom"/>
          </w:tcPr>
          <w:p>
            <w:pPr>
              <w:spacing w:after="0"/>
              <w:rPr>
                <w:sz w:val="5"/>
                <w:szCs w:val="5"/>
                <w:color w:val="auto"/>
              </w:rPr>
            </w:pPr>
          </w:p>
        </w:tc>
        <w:tc>
          <w:tcPr>
            <w:tcW w:w="6800" w:type="dxa"/>
            <w:vAlign w:val="bottom"/>
          </w:tcPr>
          <w:p>
            <w:pPr>
              <w:spacing w:after="0"/>
              <w:rPr>
                <w:sz w:val="5"/>
                <w:szCs w:val="5"/>
                <w:color w:val="auto"/>
              </w:rPr>
            </w:pPr>
          </w:p>
        </w:tc>
      </w:tr>
      <w:tr>
        <w:trPr>
          <w:trHeight w:val="233"/>
        </w:trPr>
        <w:tc>
          <w:tcPr>
            <w:tcW w:w="1940" w:type="dxa"/>
            <w:vAlign w:val="bottom"/>
            <w:shd w:val="clear" w:color="auto" w:fill="F1EFEC"/>
          </w:tcPr>
          <w:p>
            <w:pPr>
              <w:ind w:left="40"/>
              <w:spacing w:after="0"/>
              <w:rPr>
                <w:sz w:val="20"/>
                <w:szCs w:val="20"/>
                <w:color w:val="auto"/>
              </w:rPr>
            </w:pPr>
            <w:r>
              <w:rPr>
                <w:rFonts w:ascii="Arial" w:cs="Arial" w:eastAsia="Arial" w:hAnsi="Arial"/>
                <w:sz w:val="13"/>
                <w:szCs w:val="13"/>
                <w:color w:val="auto"/>
              </w:rPr>
              <w:t>Jacqui Krum</w:t>
            </w:r>
          </w:p>
        </w:tc>
        <w:tc>
          <w:tcPr>
            <w:tcW w:w="6800" w:type="dxa"/>
            <w:vAlign w:val="bottom"/>
            <w:shd w:val="clear" w:color="auto" w:fill="F1EFEC"/>
          </w:tcPr>
          <w:p>
            <w:pPr>
              <w:ind w:left="80"/>
              <w:spacing w:after="0"/>
              <w:rPr>
                <w:sz w:val="20"/>
                <w:szCs w:val="20"/>
                <w:color w:val="auto"/>
              </w:rPr>
            </w:pPr>
            <w:r>
              <w:rPr>
                <w:rFonts w:ascii="Arial" w:cs="Arial" w:eastAsia="Arial" w:hAnsi="Arial"/>
                <w:sz w:val="13"/>
                <w:szCs w:val="13"/>
                <w:color w:val="auto"/>
              </w:rPr>
              <w:t>Executive Vice President, General Counsel and Secretary</w:t>
            </w:r>
          </w:p>
        </w:tc>
      </w:tr>
      <w:tr>
        <w:trPr>
          <w:trHeight w:val="67"/>
        </w:trPr>
        <w:tc>
          <w:tcPr>
            <w:tcW w:w="1940" w:type="dxa"/>
            <w:vAlign w:val="bottom"/>
            <w:shd w:val="clear" w:color="auto" w:fill="F1EFEC"/>
          </w:tcPr>
          <w:p>
            <w:pPr>
              <w:spacing w:after="0"/>
              <w:rPr>
                <w:sz w:val="5"/>
                <w:szCs w:val="5"/>
                <w:color w:val="auto"/>
              </w:rPr>
            </w:pPr>
          </w:p>
        </w:tc>
        <w:tc>
          <w:tcPr>
            <w:tcW w:w="6800" w:type="dxa"/>
            <w:vAlign w:val="bottom"/>
            <w:shd w:val="clear" w:color="auto" w:fill="F1EFEC"/>
          </w:tcPr>
          <w:p>
            <w:pPr>
              <w:spacing w:after="0"/>
              <w:rPr>
                <w:sz w:val="5"/>
                <w:szCs w:val="5"/>
                <w:color w:val="auto"/>
              </w:rPr>
            </w:pPr>
          </w:p>
        </w:tc>
      </w:tr>
    </w:tbl>
    <w:p>
      <w:pPr>
        <w:spacing w:after="0" w:line="108"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0159"/>
          </w:cols>
          <w:pgMar w:left="300" w:top="41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How We Approach Executive Compensation</w:t>
      </w:r>
    </w:p>
    <w:p>
      <w:pPr>
        <w:spacing w:after="0" w:line="278" w:lineRule="exact"/>
        <w:rPr>
          <w:sz w:val="20"/>
          <w:szCs w:val="20"/>
          <w:color w:val="auto"/>
        </w:rPr>
      </w:pPr>
    </w:p>
    <w:p>
      <w:pPr>
        <w:ind w:left="1260" w:right="319"/>
        <w:spacing w:after="0" w:line="271" w:lineRule="auto"/>
        <w:rPr>
          <w:sz w:val="20"/>
          <w:szCs w:val="20"/>
          <w:color w:val="auto"/>
        </w:rPr>
      </w:pPr>
      <w:r>
        <w:rPr>
          <w:rFonts w:ascii="Arial" w:cs="Arial" w:eastAsia="Arial" w:hAnsi="Arial"/>
          <w:sz w:val="13"/>
          <w:szCs w:val="13"/>
          <w:color w:val="auto"/>
        </w:rPr>
        <w:t>Our executive compensation philosophy is to align the interests of our executives with those of our long-term shareholders by designing incentives that are directly tied to actions that create sustainable long-term shareholder value.</w:t>
      </w:r>
    </w:p>
    <w:p>
      <w:pPr>
        <w:spacing w:after="0" w:line="134" w:lineRule="exact"/>
        <w:rPr>
          <w:sz w:val="20"/>
          <w:szCs w:val="20"/>
          <w:color w:val="auto"/>
        </w:rPr>
      </w:pPr>
    </w:p>
    <w:p>
      <w:pPr>
        <w:ind w:left="1260" w:right="719"/>
        <w:spacing w:after="0" w:line="271" w:lineRule="auto"/>
        <w:rPr>
          <w:sz w:val="20"/>
          <w:szCs w:val="20"/>
          <w:color w:val="auto"/>
        </w:rPr>
      </w:pPr>
      <w:r>
        <w:rPr>
          <w:rFonts w:ascii="Arial" w:cs="Arial" w:eastAsia="Arial" w:hAnsi="Arial"/>
          <w:sz w:val="13"/>
          <w:szCs w:val="13"/>
          <w:color w:val="auto"/>
        </w:rPr>
        <w:t>We, the Compensation Committee, believe that our ability to oversee the delivery of operational excellence and sustainable long-term returns to shareholders is inexorably linked to attracting and retaining a high-performing management team.</w:t>
      </w:r>
    </w:p>
    <w:p>
      <w:pPr>
        <w:spacing w:after="0" w:line="134" w:lineRule="exact"/>
        <w:rPr>
          <w:sz w:val="20"/>
          <w:szCs w:val="20"/>
          <w:color w:val="auto"/>
        </w:rPr>
      </w:pPr>
    </w:p>
    <w:p>
      <w:pPr>
        <w:ind w:left="1260" w:right="199"/>
        <w:spacing w:after="0" w:line="251" w:lineRule="auto"/>
        <w:rPr>
          <w:sz w:val="20"/>
          <w:szCs w:val="20"/>
          <w:color w:val="auto"/>
        </w:rPr>
      </w:pPr>
      <w:r>
        <w:rPr>
          <w:rFonts w:ascii="Arial" w:cs="Arial" w:eastAsia="Arial" w:hAnsi="Arial"/>
          <w:sz w:val="13"/>
          <w:szCs w:val="13"/>
          <w:color w:val="auto"/>
        </w:rPr>
        <w:t>Hence, we have designed our executive compensation program to attract, reward, and retain executive officers who create continual near- and long-term shareholder value by achieving the Company’s strategic goals, as established by the Compensation Committee. We also believe that stability at the executive level is key to the strength of the Company, particularly given the relatively small pool of executives with gaming experience for whom we compete.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To achieve this, we rely on the following principles:</w:t>
      </w:r>
    </w:p>
    <w:p>
      <w:pPr>
        <w:spacing w:after="0" w:line="172" w:lineRule="exact"/>
        <w:rPr>
          <w:sz w:val="20"/>
          <w:szCs w:val="20"/>
          <w:color w:val="auto"/>
        </w:rPr>
      </w:pPr>
    </w:p>
    <w:p>
      <w:pPr>
        <w:ind w:left="1260" w:right="219"/>
        <w:spacing w:after="0" w:line="256" w:lineRule="auto"/>
        <w:rPr>
          <w:sz w:val="20"/>
          <w:szCs w:val="20"/>
          <w:color w:val="auto"/>
        </w:rPr>
      </w:pPr>
      <w:r>
        <w:rPr>
          <w:rFonts w:ascii="Arial" w:cs="Arial" w:eastAsia="Arial" w:hAnsi="Arial"/>
          <w:sz w:val="13"/>
          <w:szCs w:val="13"/>
          <w:color w:val="B9AFA0"/>
        </w:rPr>
        <w:t xml:space="preserve">PAY-FOR-SUSTAINABLE PERFORMANCE: </w:t>
      </w:r>
      <w:r>
        <w:rPr>
          <w:rFonts w:ascii="Arial" w:cs="Arial" w:eastAsia="Arial" w:hAnsi="Arial"/>
          <w:sz w:val="13"/>
          <w:szCs w:val="13"/>
          <w:color w:val="000000"/>
        </w:rPr>
        <w:t>The majority of our executives’ total compensation is tied to achieving annual and long-term goals that</w:t>
      </w:r>
      <w:r>
        <w:rPr>
          <w:rFonts w:ascii="Arial" w:cs="Arial" w:eastAsia="Arial" w:hAnsi="Arial"/>
          <w:sz w:val="13"/>
          <w:szCs w:val="13"/>
          <w:color w:val="B9AFA0"/>
        </w:rPr>
        <w:t xml:space="preserve"> </w:t>
      </w:r>
      <w:r>
        <w:rPr>
          <w:rFonts w:ascii="Arial" w:cs="Arial" w:eastAsia="Arial" w:hAnsi="Arial"/>
          <w:sz w:val="13"/>
          <w:szCs w:val="13"/>
          <w:color w:val="000000"/>
        </w:rPr>
        <w:t>enhance the value of our reputation and brand, sustain the performance and attractiveness of our resorts and thereby drive long-term shareholder value. The Compensation Committee retains discretion to reduce amounts earned and payable when doing so will further these goals.</w:t>
      </w:r>
    </w:p>
    <w:p>
      <w:pPr>
        <w:spacing w:after="0" w:line="144" w:lineRule="exact"/>
        <w:rPr>
          <w:sz w:val="20"/>
          <w:szCs w:val="20"/>
          <w:color w:val="auto"/>
        </w:rPr>
      </w:pPr>
    </w:p>
    <w:p>
      <w:pPr>
        <w:ind w:left="1260" w:right="379"/>
        <w:spacing w:after="0" w:line="247" w:lineRule="auto"/>
        <w:rPr>
          <w:sz w:val="20"/>
          <w:szCs w:val="20"/>
          <w:color w:val="auto"/>
        </w:rPr>
      </w:pPr>
      <w:r>
        <w:rPr>
          <w:rFonts w:ascii="Arial" w:cs="Arial" w:eastAsia="Arial" w:hAnsi="Arial"/>
          <w:sz w:val="13"/>
          <w:szCs w:val="13"/>
          <w:color w:val="B9AFA0"/>
        </w:rPr>
        <w:t xml:space="preserve">SHAREHOLDER ALIGNMENT: </w:t>
      </w:r>
      <w:r>
        <w:rPr>
          <w:rFonts w:ascii="Arial" w:cs="Arial" w:eastAsia="Arial" w:hAnsi="Arial"/>
          <w:sz w:val="13"/>
          <w:szCs w:val="13"/>
          <w:color w:val="000000"/>
        </w:rPr>
        <w:t>Our long-term equity incentives align our executives’ interests with those of our long-term shareholders and other</w:t>
      </w:r>
      <w:r>
        <w:rPr>
          <w:rFonts w:ascii="Arial" w:cs="Arial" w:eastAsia="Arial" w:hAnsi="Arial"/>
          <w:sz w:val="13"/>
          <w:szCs w:val="13"/>
          <w:color w:val="B9AFA0"/>
        </w:rPr>
        <w:t xml:space="preserve"> </w:t>
      </w:r>
      <w:r>
        <w:rPr>
          <w:rFonts w:ascii="Arial" w:cs="Arial" w:eastAsia="Arial" w:hAnsi="Arial"/>
          <w:sz w:val="13"/>
          <w:szCs w:val="13"/>
          <w:color w:val="000000"/>
        </w:rPr>
        <w:t>stakeholders. Our executive compensation program focuses on key metrics that are critical drivers for realizing our strategic objectives and achieving long-term results. By focusing on performance-based awards and on regular equity grants that vest over three years, we believe that the alignment of interest is strengthened, especially when coupled with stock ownership requirements for executives (which is 6x base salary for our CEO and 3x base salary for our other NEOs). To further enhance the alignment, one-third of our NEO’s annual incentive compensation is paid in equity (rather than all cash), with the equity being subject to our robust stock ownership requirements.</w:t>
      </w:r>
    </w:p>
    <w:p>
      <w:pPr>
        <w:spacing w:after="0" w:line="150" w:lineRule="exact"/>
        <w:rPr>
          <w:sz w:val="20"/>
          <w:szCs w:val="20"/>
          <w:color w:val="auto"/>
        </w:rPr>
      </w:pPr>
    </w:p>
    <w:p>
      <w:pPr>
        <w:ind w:left="1260" w:right="379"/>
        <w:spacing w:after="0" w:line="271" w:lineRule="auto"/>
        <w:rPr>
          <w:sz w:val="20"/>
          <w:szCs w:val="20"/>
          <w:color w:val="auto"/>
        </w:rPr>
      </w:pPr>
      <w:r>
        <w:rPr>
          <w:rFonts w:ascii="Arial" w:cs="Arial" w:eastAsia="Arial" w:hAnsi="Arial"/>
          <w:sz w:val="13"/>
          <w:szCs w:val="13"/>
          <w:color w:val="B9AFA0"/>
        </w:rPr>
        <w:t xml:space="preserve">SIMPLICITY AND CLARITY: </w:t>
      </w:r>
      <w:r>
        <w:rPr>
          <w:rFonts w:ascii="Arial" w:cs="Arial" w:eastAsia="Arial" w:hAnsi="Arial"/>
          <w:sz w:val="13"/>
          <w:szCs w:val="13"/>
          <w:color w:val="000000"/>
        </w:rPr>
        <w:t>We value pay structures that are simple and clear. We believe pay simplicity promotes transparency, avoids incentivizing</w:t>
      </w:r>
      <w:r>
        <w:rPr>
          <w:rFonts w:ascii="Arial" w:cs="Arial" w:eastAsia="Arial" w:hAnsi="Arial"/>
          <w:sz w:val="13"/>
          <w:szCs w:val="13"/>
          <w:color w:val="B9AFA0"/>
        </w:rPr>
        <w:t xml:space="preserve"> </w:t>
      </w:r>
      <w:r>
        <w:rPr>
          <w:rFonts w:ascii="Arial" w:cs="Arial" w:eastAsia="Arial" w:hAnsi="Arial"/>
          <w:sz w:val="13"/>
          <w:szCs w:val="13"/>
          <w:color w:val="000000"/>
        </w:rPr>
        <w:t>pay goals at the expense of ongoing excellence and performance, minimizes compensation risk, and promotes teamwork.</w:t>
      </w:r>
    </w:p>
    <w:p>
      <w:pPr>
        <w:spacing w:after="0" w:line="134" w:lineRule="exact"/>
        <w:rPr>
          <w:sz w:val="20"/>
          <w:szCs w:val="20"/>
          <w:color w:val="auto"/>
        </w:rPr>
      </w:pPr>
    </w:p>
    <w:p>
      <w:pPr>
        <w:ind w:left="1260" w:right="159"/>
        <w:spacing w:after="0" w:line="251" w:lineRule="auto"/>
        <w:rPr>
          <w:sz w:val="20"/>
          <w:szCs w:val="20"/>
          <w:color w:val="auto"/>
        </w:rPr>
      </w:pPr>
      <w:r>
        <w:rPr>
          <w:rFonts w:ascii="Arial" w:cs="Arial" w:eastAsia="Arial" w:hAnsi="Arial"/>
          <w:sz w:val="13"/>
          <w:szCs w:val="13"/>
          <w:color w:val="B9AFA0"/>
        </w:rPr>
        <w:t xml:space="preserve">ATTRACT AND RETAIN TOP TALENT: </w:t>
      </w:r>
      <w:r>
        <w:rPr>
          <w:rFonts w:ascii="Arial" w:cs="Arial" w:eastAsia="Arial" w:hAnsi="Arial"/>
          <w:sz w:val="13"/>
          <w:szCs w:val="13"/>
          <w:color w:val="000000"/>
        </w:rPr>
        <w:t>Our business spans continents, can be subject to meaningful volatility, requires tight coordination with regulators,</w:t>
      </w:r>
      <w:r>
        <w:rPr>
          <w:rFonts w:ascii="Arial" w:cs="Arial" w:eastAsia="Arial" w:hAnsi="Arial"/>
          <w:sz w:val="13"/>
          <w:szCs w:val="13"/>
          <w:color w:val="B9AFA0"/>
        </w:rPr>
        <w:t xml:space="preserve"> </w:t>
      </w:r>
      <w:r>
        <w:rPr>
          <w:rFonts w:ascii="Arial" w:cs="Arial" w:eastAsia="Arial" w:hAnsi="Arial"/>
          <w:sz w:val="13"/>
          <w:szCs w:val="13"/>
          <w:color w:val="000000"/>
        </w:rPr>
        <w:t>depends on knowledge of numerous types of complex operations, requires diligent investment over many years and across business cycles, and is highly dependent on a reputation for excellence and integrity. Hence, finding and retaining top talent is a critical element of our executive compensation program.</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0159"/>
          </w:cols>
          <w:pgMar w:left="300" w:top="412"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How We Designed Incentives for 2025</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2025 PAY PROGRAM HIGHLIGHTS:</w:t>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In 2025, the Compensation Committee:</w:t>
      </w:r>
    </w:p>
    <w:p>
      <w:pPr>
        <w:spacing w:after="0" w:line="194" w:lineRule="exact"/>
        <w:rPr>
          <w:sz w:val="20"/>
          <w:szCs w:val="20"/>
          <w:color w:val="auto"/>
        </w:rPr>
      </w:pPr>
    </w:p>
    <w:p>
      <w:pPr>
        <w:ind w:left="1440" w:right="299" w:hanging="173"/>
        <w:spacing w:after="0" w:line="271" w:lineRule="auto"/>
        <w:tabs>
          <w:tab w:leader="none" w:pos="1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Set rigorous financial metrics for annual incentives including robust Adjusted Property EBITDAR targets at each of our properties and other strategic performance goals.</w:t>
      </w:r>
    </w:p>
    <w:p>
      <w:pPr>
        <w:spacing w:after="0" w:line="155" w:lineRule="exact"/>
        <w:rPr>
          <w:rFonts w:ascii="Arial" w:cs="Arial" w:eastAsia="Arial" w:hAnsi="Arial"/>
          <w:sz w:val="13"/>
          <w:szCs w:val="13"/>
          <w:color w:val="auto"/>
        </w:rPr>
      </w:pPr>
    </w:p>
    <w:p>
      <w:pPr>
        <w:ind w:left="1440" w:hanging="173"/>
        <w:spacing w:after="0"/>
        <w:tabs>
          <w:tab w:leader="none" w:pos="1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Paid one-third of our NEO’s annual incentive compensation in equity.</w:t>
      </w:r>
    </w:p>
    <w:p>
      <w:pPr>
        <w:spacing w:after="0" w:line="193" w:lineRule="exact"/>
        <w:rPr>
          <w:rFonts w:ascii="Arial" w:cs="Arial" w:eastAsia="Arial" w:hAnsi="Arial"/>
          <w:sz w:val="13"/>
          <w:szCs w:val="13"/>
          <w:color w:val="auto"/>
        </w:rPr>
      </w:pPr>
    </w:p>
    <w:p>
      <w:pPr>
        <w:ind w:left="1440" w:right="199" w:hanging="173"/>
        <w:spacing w:after="0" w:line="251" w:lineRule="auto"/>
        <w:tabs>
          <w:tab w:leader="none" w:pos="1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Awarded 55% of our long-term incentive stock compensation in performance-based equity that vests upon (i) achievement of pre-established financial performance goals that are based on the Company’s ability to achieve a premium revenue “fair share” relative to its peers (see discussion of this metric below), on a one-, two- and three-year basis (30%); and (ii) a three-year absolute total shareholder return hurdle rate (25%). Please see “Compensation Discussion and Analysis”—“2025 Long-term Incentive Grants” for further discussion of the 2025 stock grants.</w:t>
      </w:r>
    </w:p>
    <w:p>
      <w:pPr>
        <w:spacing w:after="0" w:line="168" w:lineRule="exact"/>
        <w:rPr>
          <w:rFonts w:ascii="Arial" w:cs="Arial" w:eastAsia="Arial" w:hAnsi="Arial"/>
          <w:sz w:val="13"/>
          <w:szCs w:val="13"/>
          <w:color w:val="auto"/>
        </w:rPr>
      </w:pPr>
    </w:p>
    <w:p>
      <w:pPr>
        <w:ind w:left="1440" w:right="659" w:hanging="173"/>
        <w:spacing w:after="0" w:line="271" w:lineRule="auto"/>
        <w:tabs>
          <w:tab w:leader="none" w:pos="1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Reaffirmed its commitment to keep our executives’ total compensation around peer median and conducted an overall analysis of all NEO total compensation to confirm compliance.</w:t>
      </w:r>
    </w:p>
    <w:p>
      <w:pPr>
        <w:spacing w:after="0" w:line="81"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0159"/>
          </w:cols>
          <w:pgMar w:left="300" w:top="41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Executive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142240</wp:posOffset>
            </wp:positionV>
            <wp:extent cx="6985" cy="27254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85" cy="272542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142240</wp:posOffset>
            </wp:positionV>
            <wp:extent cx="6985" cy="27254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85" cy="2725420"/>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142240</wp:posOffset>
            </wp:positionV>
            <wp:extent cx="6985" cy="27254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85" cy="2725420"/>
                    </a:xfrm>
                    <a:prstGeom prst="rect">
                      <a:avLst/>
                    </a:prstGeom>
                    <a:noFill/>
                  </pic:spPr>
                </pic:pic>
              </a:graphicData>
            </a:graphic>
          </wp:anchor>
        </w:drawing>
      </w: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360" w:type="dxa"/>
            <w:vAlign w:val="bottom"/>
            <w:shd w:val="clear" w:color="auto" w:fill="B9AFA0"/>
          </w:tcPr>
          <w:p>
            <w:pPr>
              <w:spacing w:after="0"/>
              <w:rPr>
                <w:sz w:val="16"/>
                <w:szCs w:val="16"/>
                <w:color w:val="auto"/>
              </w:rPr>
            </w:pPr>
          </w:p>
        </w:tc>
        <w:tc>
          <w:tcPr>
            <w:tcW w:w="1480" w:type="dxa"/>
            <w:vAlign w:val="bottom"/>
            <w:shd w:val="clear" w:color="auto" w:fill="B9AFA0"/>
          </w:tcPr>
          <w:p>
            <w:pPr>
              <w:jc w:val="center"/>
              <w:spacing w:after="0"/>
              <w:rPr>
                <w:sz w:val="20"/>
                <w:szCs w:val="20"/>
                <w:color w:val="auto"/>
              </w:rPr>
            </w:pPr>
            <w:r>
              <w:rPr>
                <w:rFonts w:ascii="Arial" w:cs="Arial" w:eastAsia="Arial" w:hAnsi="Arial"/>
                <w:sz w:val="13"/>
                <w:szCs w:val="13"/>
                <w:color w:val="FFFFFF"/>
              </w:rPr>
              <w:t xml:space="preserve">% OF TOTAL   </w:t>
            </w:r>
          </w:p>
        </w:tc>
        <w:tc>
          <w:tcPr>
            <w:tcW w:w="580" w:type="dxa"/>
            <w:vAlign w:val="bottom"/>
            <w:shd w:val="clear" w:color="auto" w:fill="B9AFA0"/>
          </w:tcPr>
          <w:p>
            <w:pPr>
              <w:spacing w:after="0"/>
              <w:rPr>
                <w:sz w:val="16"/>
                <w:szCs w:val="16"/>
                <w:color w:val="auto"/>
              </w:rPr>
            </w:pPr>
          </w:p>
        </w:tc>
        <w:tc>
          <w:tcPr>
            <w:tcW w:w="5320" w:type="dxa"/>
            <w:vAlign w:val="bottom"/>
            <w:shd w:val="clear" w:color="auto" w:fill="B9AFA0"/>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shd w:val="clear" w:color="auto" w:fill="B9AFA0"/>
          </w:tcPr>
          <w:p>
            <w:pPr>
              <w:spacing w:after="0"/>
              <w:rPr>
                <w:sz w:val="13"/>
                <w:szCs w:val="13"/>
                <w:color w:val="auto"/>
              </w:rPr>
            </w:pPr>
          </w:p>
        </w:tc>
        <w:tc>
          <w:tcPr>
            <w:tcW w:w="1480" w:type="dxa"/>
            <w:vAlign w:val="bottom"/>
            <w:shd w:val="clear" w:color="auto" w:fill="B9AFA0"/>
          </w:tcPr>
          <w:p>
            <w:pPr>
              <w:jc w:val="center"/>
              <w:spacing w:after="0"/>
              <w:rPr>
                <w:sz w:val="20"/>
                <w:szCs w:val="20"/>
                <w:color w:val="auto"/>
              </w:rPr>
            </w:pPr>
            <w:r>
              <w:rPr>
                <w:rFonts w:ascii="Arial" w:cs="Arial" w:eastAsia="Arial" w:hAnsi="Arial"/>
                <w:sz w:val="13"/>
                <w:szCs w:val="13"/>
                <w:color w:val="FFFFFF"/>
              </w:rPr>
              <w:t xml:space="preserve">ANNUAL   </w:t>
            </w:r>
          </w:p>
        </w:tc>
        <w:tc>
          <w:tcPr>
            <w:tcW w:w="580" w:type="dxa"/>
            <w:vAlign w:val="bottom"/>
            <w:shd w:val="clear" w:color="auto" w:fill="B9AFA0"/>
          </w:tcPr>
          <w:p>
            <w:pPr>
              <w:jc w:val="right"/>
              <w:ind w:right="176"/>
              <w:spacing w:after="0"/>
              <w:rPr>
                <w:sz w:val="20"/>
                <w:szCs w:val="20"/>
                <w:color w:val="auto"/>
              </w:rPr>
            </w:pPr>
            <w:r>
              <w:rPr>
                <w:rFonts w:ascii="Arial" w:cs="Arial" w:eastAsia="Arial" w:hAnsi="Arial"/>
                <w:sz w:val="13"/>
                <w:szCs w:val="13"/>
                <w:color w:val="FFFFFF"/>
              </w:rPr>
              <w:t>AT-</w:t>
            </w:r>
          </w:p>
        </w:tc>
        <w:tc>
          <w:tcPr>
            <w:tcW w:w="5320" w:type="dxa"/>
            <w:vAlign w:val="bottom"/>
            <w:shd w:val="clear" w:color="auto" w:fill="B9AFA0"/>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ELEMENT</w:t>
            </w:r>
          </w:p>
        </w:tc>
        <w:tc>
          <w:tcPr>
            <w:tcW w:w="14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 xml:space="preserve">COMPENSATION (1)   </w:t>
            </w:r>
          </w:p>
        </w:tc>
        <w:tc>
          <w:tcPr>
            <w:tcW w:w="580" w:type="dxa"/>
            <w:vAlign w:val="bottom"/>
            <w:tcBorders>
              <w:bottom w:val="single" w:sz="8" w:color="B9AFA0"/>
            </w:tcBorders>
            <w:shd w:val="clear" w:color="auto" w:fill="B9AFA0"/>
          </w:tcPr>
          <w:p>
            <w:pPr>
              <w:jc w:val="right"/>
              <w:ind w:right="76"/>
              <w:spacing w:after="0"/>
              <w:rPr>
                <w:sz w:val="20"/>
                <w:szCs w:val="20"/>
                <w:color w:val="auto"/>
              </w:rPr>
            </w:pPr>
            <w:r>
              <w:rPr>
                <w:rFonts w:ascii="Arial" w:cs="Arial" w:eastAsia="Arial" w:hAnsi="Arial"/>
                <w:sz w:val="13"/>
                <w:szCs w:val="13"/>
                <w:color w:val="FFFFFF"/>
              </w:rPr>
              <w:t>RISK?</w:t>
            </w:r>
          </w:p>
        </w:tc>
        <w:tc>
          <w:tcPr>
            <w:tcW w:w="5320" w:type="dxa"/>
            <w:vAlign w:val="bottom"/>
            <w:tcBorders>
              <w:bottom w:val="single" w:sz="8" w:color="B9AFA0"/>
            </w:tcBorders>
            <w:shd w:val="clear" w:color="auto" w:fill="B9AFA0"/>
          </w:tcPr>
          <w:p>
            <w:pPr>
              <w:ind w:left="2400"/>
              <w:spacing w:after="0"/>
              <w:rPr>
                <w:sz w:val="20"/>
                <w:szCs w:val="20"/>
                <w:color w:val="auto"/>
              </w:rPr>
            </w:pPr>
            <w:r>
              <w:rPr>
                <w:rFonts w:ascii="Arial" w:cs="Arial" w:eastAsia="Arial" w:hAnsi="Arial"/>
                <w:sz w:val="13"/>
                <w:szCs w:val="13"/>
                <w:color w:val="FFFFFF"/>
              </w:rPr>
              <w:t>FEATURES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shd w:val="clear" w:color="auto" w:fill="F1EFEC"/>
          </w:tcPr>
          <w:p>
            <w:pPr>
              <w:ind w:left="40"/>
              <w:spacing w:after="0"/>
              <w:rPr>
                <w:sz w:val="20"/>
                <w:szCs w:val="20"/>
                <w:color w:val="auto"/>
              </w:rPr>
            </w:pPr>
            <w:r>
              <w:rPr>
                <w:rFonts w:ascii="Arial" w:cs="Arial" w:eastAsia="Arial" w:hAnsi="Arial"/>
                <w:sz w:val="13"/>
                <w:szCs w:val="13"/>
                <w:color w:val="auto"/>
              </w:rPr>
              <w:t>Base salary</w:t>
            </w:r>
          </w:p>
        </w:tc>
        <w:tc>
          <w:tcPr>
            <w:tcW w:w="148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9"/>
              </w:rPr>
              <w:t>16%</w:t>
            </w:r>
          </w:p>
        </w:tc>
        <w:tc>
          <w:tcPr>
            <w:tcW w:w="580" w:type="dxa"/>
            <w:vAlign w:val="bottom"/>
            <w:shd w:val="clear" w:color="auto" w:fill="F1EFEC"/>
          </w:tcPr>
          <w:p>
            <w:pPr>
              <w:spacing w:after="0"/>
              <w:rPr>
                <w:sz w:val="16"/>
                <w:szCs w:val="16"/>
                <w:color w:val="auto"/>
              </w:rPr>
            </w:pPr>
          </w:p>
        </w:tc>
        <w:tc>
          <w:tcPr>
            <w:tcW w:w="5320" w:type="dxa"/>
            <w:vAlign w:val="bottom"/>
            <w:shd w:val="clear" w:color="auto" w:fill="F1EFEC"/>
          </w:tcPr>
          <w:p>
            <w:pPr>
              <w:ind w:left="140"/>
              <w:spacing w:after="0"/>
              <w:rPr>
                <w:sz w:val="20"/>
                <w:szCs w:val="20"/>
                <w:color w:val="auto"/>
              </w:rPr>
            </w:pPr>
            <w:r>
              <w:rPr>
                <w:rFonts w:ascii="Arial" w:cs="Arial" w:eastAsia="Arial" w:hAnsi="Arial"/>
                <w:sz w:val="13"/>
                <w:szCs w:val="13"/>
                <w:color w:val="auto"/>
              </w:rPr>
              <w:t>Competitive cash compensation serves to attract and retain top employees and recognize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60" w:type="dxa"/>
            <w:vAlign w:val="bottom"/>
            <w:tcBorders>
              <w:bottom w:val="single" w:sz="8" w:color="F1EFEC"/>
            </w:tcBorders>
            <w:shd w:val="clear" w:color="auto" w:fill="F1EFEC"/>
          </w:tcPr>
          <w:p>
            <w:pPr>
              <w:spacing w:after="0"/>
              <w:rPr>
                <w:sz w:val="15"/>
                <w:szCs w:val="15"/>
                <w:color w:val="auto"/>
              </w:rPr>
            </w:pPr>
          </w:p>
        </w:tc>
        <w:tc>
          <w:tcPr>
            <w:tcW w:w="1480" w:type="dxa"/>
            <w:vAlign w:val="bottom"/>
            <w:tcBorders>
              <w:bottom w:val="single" w:sz="8" w:color="F1EFEC"/>
            </w:tcBorders>
            <w:shd w:val="clear" w:color="auto" w:fill="F1EFEC"/>
          </w:tcPr>
          <w:p>
            <w:pPr>
              <w:spacing w:after="0"/>
              <w:rPr>
                <w:sz w:val="15"/>
                <w:szCs w:val="15"/>
                <w:color w:val="auto"/>
              </w:rPr>
            </w:pPr>
          </w:p>
        </w:tc>
        <w:tc>
          <w:tcPr>
            <w:tcW w:w="580" w:type="dxa"/>
            <w:vAlign w:val="bottom"/>
            <w:tcBorders>
              <w:bottom w:val="single" w:sz="8" w:color="F1EFEC"/>
            </w:tcBorders>
            <w:shd w:val="clear" w:color="auto" w:fill="F1EFEC"/>
          </w:tcPr>
          <w:p>
            <w:pPr>
              <w:spacing w:after="0"/>
              <w:rPr>
                <w:sz w:val="15"/>
                <w:szCs w:val="15"/>
                <w:color w:val="auto"/>
              </w:rPr>
            </w:pPr>
          </w:p>
        </w:tc>
        <w:tc>
          <w:tcPr>
            <w:tcW w:w="5320" w:type="dxa"/>
            <w:vAlign w:val="bottom"/>
            <w:tcBorders>
              <w:bottom w:val="single" w:sz="8" w:color="F1EFEC"/>
            </w:tcBorders>
            <w:shd w:val="clear" w:color="auto" w:fill="F1EFEC"/>
          </w:tcPr>
          <w:p>
            <w:pPr>
              <w:ind w:left="140"/>
              <w:spacing w:after="0"/>
              <w:rPr>
                <w:sz w:val="20"/>
                <w:szCs w:val="20"/>
                <w:color w:val="auto"/>
              </w:rPr>
            </w:pPr>
            <w:r>
              <w:rPr>
                <w:rFonts w:ascii="Arial" w:cs="Arial" w:eastAsia="Arial" w:hAnsi="Arial"/>
                <w:sz w:val="13"/>
                <w:szCs w:val="13"/>
                <w:color w:val="auto"/>
              </w:rPr>
              <w:t>sustained performance, job scope and experience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3"/>
                <w:szCs w:val="13"/>
                <w:color w:val="auto"/>
              </w:rPr>
              <w:t>Annual incentives</w:t>
            </w:r>
          </w:p>
        </w:tc>
        <w:tc>
          <w:tcPr>
            <w:tcW w:w="1480" w:type="dxa"/>
            <w:vAlign w:val="bottom"/>
          </w:tcPr>
          <w:p>
            <w:pPr>
              <w:jc w:val="center"/>
              <w:spacing w:after="0"/>
              <w:rPr>
                <w:sz w:val="20"/>
                <w:szCs w:val="20"/>
                <w:color w:val="auto"/>
              </w:rPr>
            </w:pPr>
            <w:r>
              <w:rPr>
                <w:rFonts w:ascii="Arial" w:cs="Arial" w:eastAsia="Arial" w:hAnsi="Arial"/>
                <w:sz w:val="13"/>
                <w:szCs w:val="13"/>
                <w:color w:val="auto"/>
                <w:w w:val="99"/>
              </w:rPr>
              <w:t>38%</w:t>
            </w:r>
          </w:p>
        </w:tc>
        <w:tc>
          <w:tcPr>
            <w:tcW w:w="580" w:type="dxa"/>
            <w:vAlign w:val="bottom"/>
          </w:tcPr>
          <w:p>
            <w:pPr>
              <w:jc w:val="right"/>
              <w:ind w:right="176"/>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t>
            </w:r>
          </w:p>
        </w:tc>
        <w:tc>
          <w:tcPr>
            <w:tcW w:w="5320" w:type="dxa"/>
            <w:vAlign w:val="bottom"/>
          </w:tcPr>
          <w:p>
            <w:pPr>
              <w:ind w:left="140"/>
              <w:spacing w:after="0"/>
              <w:rPr>
                <w:sz w:val="20"/>
                <w:szCs w:val="20"/>
                <w:color w:val="auto"/>
              </w:rPr>
            </w:pPr>
            <w:r>
              <w:rPr>
                <w:rFonts w:ascii="Arial" w:cs="Arial" w:eastAsia="Arial" w:hAnsi="Arial"/>
                <w:sz w:val="13"/>
                <w:szCs w:val="13"/>
                <w:color w:val="auto"/>
              </w:rPr>
              <w:t>Entirely performance-based annual incentive which: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320" w:type="dxa"/>
            <w:vAlign w:val="bottom"/>
          </w:tcPr>
          <w:p>
            <w:pPr>
              <w:ind w:left="140"/>
              <w:spacing w:after="0"/>
              <w:rPr>
                <w:sz w:val="20"/>
                <w:szCs w:val="20"/>
                <w:color w:val="auto"/>
              </w:rPr>
            </w:pPr>
            <w:r>
              <w:rPr>
                <w:rFonts w:ascii="Arial" w:cs="Arial" w:eastAsia="Arial" w:hAnsi="Arial"/>
                <w:sz w:val="13"/>
                <w:szCs w:val="13"/>
                <w:color w:val="auto"/>
              </w:rPr>
              <w:t>–  Is earned based on Company performance on multiple metrics against pre-set goals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3"/>
                <w:szCs w:val="13"/>
                <w:color w:val="auto"/>
                <w:w w:val="99"/>
              </w:rPr>
              <w:t>–  Incentivizes executives, enforces accountability and motivate and rewards achievement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320" w:type="dxa"/>
            <w:vAlign w:val="bottom"/>
          </w:tcPr>
          <w:p>
            <w:pPr>
              <w:ind w:left="260"/>
              <w:spacing w:after="0"/>
              <w:rPr>
                <w:sz w:val="20"/>
                <w:szCs w:val="20"/>
                <w:color w:val="auto"/>
              </w:rPr>
            </w:pPr>
            <w:r>
              <w:rPr>
                <w:rFonts w:ascii="Arial" w:cs="Arial" w:eastAsia="Arial" w:hAnsi="Arial"/>
                <w:sz w:val="13"/>
                <w:szCs w:val="13"/>
                <w:color w:val="auto"/>
              </w:rPr>
              <w:t>of annual goals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3"/>
                <w:szCs w:val="13"/>
                <w:color w:val="auto"/>
              </w:rPr>
              <w:t>One-third of annual incentive awards earned is paid in stock and subject to NEO stock</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320" w:type="dxa"/>
            <w:vAlign w:val="bottom"/>
          </w:tcPr>
          <w:p>
            <w:pPr>
              <w:ind w:left="140"/>
              <w:spacing w:after="0"/>
              <w:rPr>
                <w:sz w:val="20"/>
                <w:szCs w:val="20"/>
                <w:color w:val="auto"/>
              </w:rPr>
            </w:pPr>
            <w:r>
              <w:rPr>
                <w:rFonts w:ascii="Arial" w:cs="Arial" w:eastAsia="Arial" w:hAnsi="Arial"/>
                <w:sz w:val="13"/>
                <w:szCs w:val="13"/>
                <w:color w:val="auto"/>
              </w:rPr>
              <w:t>ownership requirements, further aligning executive and long-term shareholder interests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shd w:val="clear" w:color="auto" w:fill="F1EFEC"/>
          </w:tcPr>
          <w:p>
            <w:pPr>
              <w:ind w:left="40"/>
              <w:spacing w:after="0"/>
              <w:rPr>
                <w:sz w:val="20"/>
                <w:szCs w:val="20"/>
                <w:color w:val="auto"/>
              </w:rPr>
            </w:pPr>
            <w:r>
              <w:rPr>
                <w:rFonts w:ascii="Arial" w:cs="Arial" w:eastAsia="Arial" w:hAnsi="Arial"/>
                <w:sz w:val="13"/>
                <w:szCs w:val="13"/>
                <w:color w:val="auto"/>
              </w:rPr>
              <w:t>Long-term incentives:</w:t>
            </w:r>
          </w:p>
        </w:tc>
        <w:tc>
          <w:tcPr>
            <w:tcW w:w="148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9"/>
              </w:rPr>
              <w:t>14%</w:t>
            </w:r>
          </w:p>
        </w:tc>
        <w:tc>
          <w:tcPr>
            <w:tcW w:w="580" w:type="dxa"/>
            <w:vAlign w:val="bottom"/>
            <w:shd w:val="clear" w:color="auto" w:fill="F1EFEC"/>
          </w:tcPr>
          <w:p>
            <w:pPr>
              <w:jc w:val="right"/>
              <w:ind w:right="176"/>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t>
            </w:r>
          </w:p>
        </w:tc>
        <w:tc>
          <w:tcPr>
            <w:tcW w:w="5320" w:type="dxa"/>
            <w:vAlign w:val="bottom"/>
            <w:shd w:val="clear" w:color="auto" w:fill="F1EFEC"/>
          </w:tcPr>
          <w:p>
            <w:pPr>
              <w:ind w:left="140"/>
              <w:spacing w:after="0"/>
              <w:rPr>
                <w:sz w:val="20"/>
                <w:szCs w:val="20"/>
                <w:color w:val="auto"/>
              </w:rPr>
            </w:pPr>
            <w:r>
              <w:rPr>
                <w:rFonts w:ascii="Arial" w:cs="Arial" w:eastAsia="Arial" w:hAnsi="Arial"/>
                <w:sz w:val="13"/>
                <w:szCs w:val="13"/>
                <w:color w:val="auto"/>
              </w:rPr>
              <w:t>Performance-based restricted stock awards that vest solely based on Company</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vMerge w:val="restart"/>
            <w:shd w:val="clear" w:color="auto" w:fill="F1EFEC"/>
          </w:tcPr>
          <w:p>
            <w:pPr>
              <w:ind w:left="40"/>
              <w:spacing w:after="0"/>
              <w:rPr>
                <w:sz w:val="20"/>
                <w:szCs w:val="20"/>
                <w:color w:val="auto"/>
              </w:rPr>
            </w:pPr>
            <w:r>
              <w:rPr>
                <w:rFonts w:ascii="Arial" w:cs="Arial" w:eastAsia="Arial" w:hAnsi="Arial"/>
                <w:sz w:val="13"/>
                <w:szCs w:val="13"/>
                <w:color w:val="auto"/>
              </w:rPr>
              <w:t>Performance-based</w:t>
            </w:r>
          </w:p>
        </w:tc>
        <w:tc>
          <w:tcPr>
            <w:tcW w:w="1480" w:type="dxa"/>
            <w:vAlign w:val="bottom"/>
            <w:shd w:val="clear" w:color="auto" w:fill="F1EFEC"/>
          </w:tcPr>
          <w:p>
            <w:pPr>
              <w:spacing w:after="0"/>
              <w:rPr>
                <w:sz w:val="13"/>
                <w:szCs w:val="13"/>
                <w:color w:val="auto"/>
              </w:rPr>
            </w:pPr>
          </w:p>
        </w:tc>
        <w:tc>
          <w:tcPr>
            <w:tcW w:w="580" w:type="dxa"/>
            <w:vAlign w:val="bottom"/>
            <w:shd w:val="clear" w:color="auto" w:fill="F1EFEC"/>
          </w:tcPr>
          <w:p>
            <w:pPr>
              <w:spacing w:after="0"/>
              <w:rPr>
                <w:sz w:val="13"/>
                <w:szCs w:val="13"/>
                <w:color w:val="auto"/>
              </w:rPr>
            </w:pPr>
          </w:p>
        </w:tc>
        <w:tc>
          <w:tcPr>
            <w:tcW w:w="5320" w:type="dxa"/>
            <w:vAlign w:val="bottom"/>
            <w:shd w:val="clear" w:color="auto" w:fill="F1EFEC"/>
          </w:tcPr>
          <w:p>
            <w:pPr>
              <w:ind w:left="140"/>
              <w:spacing w:after="0"/>
              <w:rPr>
                <w:sz w:val="20"/>
                <w:szCs w:val="20"/>
                <w:color w:val="auto"/>
              </w:rPr>
            </w:pPr>
            <w:r>
              <w:rPr>
                <w:rFonts w:ascii="Arial" w:cs="Arial" w:eastAsia="Arial" w:hAnsi="Arial"/>
                <w:sz w:val="13"/>
                <w:szCs w:val="13"/>
                <w:color w:val="auto"/>
              </w:rPr>
              <w:t>performance against preset goals over a three-year performance period, linking the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360" w:type="dxa"/>
            <w:vAlign w:val="bottom"/>
            <w:vMerge w:val="continue"/>
            <w:shd w:val="clear" w:color="auto" w:fill="F1EFEC"/>
          </w:tcPr>
          <w:p>
            <w:pPr>
              <w:spacing w:after="0"/>
              <w:rPr>
                <w:sz w:val="8"/>
                <w:szCs w:val="8"/>
                <w:color w:val="auto"/>
              </w:rPr>
            </w:pPr>
          </w:p>
        </w:tc>
        <w:tc>
          <w:tcPr>
            <w:tcW w:w="1480" w:type="dxa"/>
            <w:vAlign w:val="bottom"/>
            <w:shd w:val="clear" w:color="auto" w:fill="F1EFEC"/>
          </w:tcPr>
          <w:p>
            <w:pPr>
              <w:spacing w:after="0"/>
              <w:rPr>
                <w:sz w:val="8"/>
                <w:szCs w:val="8"/>
                <w:color w:val="auto"/>
              </w:rPr>
            </w:pPr>
          </w:p>
        </w:tc>
        <w:tc>
          <w:tcPr>
            <w:tcW w:w="580" w:type="dxa"/>
            <w:vAlign w:val="bottom"/>
            <w:shd w:val="clear" w:color="auto" w:fill="F1EFEC"/>
          </w:tcPr>
          <w:p>
            <w:pPr>
              <w:spacing w:after="0"/>
              <w:rPr>
                <w:sz w:val="8"/>
                <w:szCs w:val="8"/>
                <w:color w:val="auto"/>
              </w:rPr>
            </w:pPr>
          </w:p>
        </w:tc>
        <w:tc>
          <w:tcPr>
            <w:tcW w:w="5320" w:type="dxa"/>
            <w:vAlign w:val="bottom"/>
            <w:vMerge w:val="restart"/>
            <w:shd w:val="clear" w:color="auto" w:fill="F1EFEC"/>
          </w:tcPr>
          <w:p>
            <w:pPr>
              <w:ind w:left="140"/>
              <w:spacing w:after="0"/>
              <w:rPr>
                <w:sz w:val="20"/>
                <w:szCs w:val="20"/>
                <w:color w:val="auto"/>
              </w:rPr>
            </w:pPr>
            <w:r>
              <w:rPr>
                <w:rFonts w:ascii="Arial" w:cs="Arial" w:eastAsia="Arial" w:hAnsi="Arial"/>
                <w:sz w:val="13"/>
                <w:szCs w:val="13"/>
                <w:color w:val="auto"/>
              </w:rPr>
              <w:t>creation of shareholder value to incentives earned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60" w:type="dxa"/>
            <w:vAlign w:val="bottom"/>
            <w:vMerge w:val="restart"/>
            <w:shd w:val="clear" w:color="auto" w:fill="F1EFEC"/>
          </w:tcPr>
          <w:p>
            <w:pPr>
              <w:ind w:left="40"/>
              <w:spacing w:after="0"/>
              <w:rPr>
                <w:sz w:val="20"/>
                <w:szCs w:val="20"/>
                <w:color w:val="auto"/>
              </w:rPr>
            </w:pPr>
            <w:r>
              <w:rPr>
                <w:rFonts w:ascii="Arial" w:cs="Arial" w:eastAsia="Arial" w:hAnsi="Arial"/>
                <w:sz w:val="13"/>
                <w:szCs w:val="13"/>
                <w:color w:val="auto"/>
                <w:w w:val="97"/>
              </w:rPr>
              <w:t>restricted stock awards</w:t>
            </w:r>
          </w:p>
        </w:tc>
        <w:tc>
          <w:tcPr>
            <w:tcW w:w="1480" w:type="dxa"/>
            <w:vAlign w:val="bottom"/>
            <w:shd w:val="clear" w:color="auto" w:fill="F1EFEC"/>
          </w:tcPr>
          <w:p>
            <w:pPr>
              <w:spacing w:after="0"/>
              <w:rPr>
                <w:sz w:val="6"/>
                <w:szCs w:val="6"/>
                <w:color w:val="auto"/>
              </w:rPr>
            </w:pPr>
          </w:p>
        </w:tc>
        <w:tc>
          <w:tcPr>
            <w:tcW w:w="580" w:type="dxa"/>
            <w:vAlign w:val="bottom"/>
            <w:shd w:val="clear" w:color="auto" w:fill="F1EFEC"/>
          </w:tcPr>
          <w:p>
            <w:pPr>
              <w:spacing w:after="0"/>
              <w:rPr>
                <w:sz w:val="6"/>
                <w:szCs w:val="6"/>
                <w:color w:val="auto"/>
              </w:rPr>
            </w:pPr>
          </w:p>
        </w:tc>
        <w:tc>
          <w:tcPr>
            <w:tcW w:w="5320" w:type="dxa"/>
            <w:vAlign w:val="bottom"/>
            <w:vMerge w:val="continue"/>
            <w:shd w:val="clear" w:color="auto" w:fill="F1EFEC"/>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60" w:type="dxa"/>
            <w:vAlign w:val="bottom"/>
            <w:vMerge w:val="continue"/>
            <w:shd w:val="clear" w:color="auto" w:fill="F1EFEC"/>
          </w:tcPr>
          <w:p>
            <w:pPr>
              <w:spacing w:after="0"/>
              <w:rPr>
                <w:sz w:val="10"/>
                <w:szCs w:val="10"/>
                <w:color w:val="auto"/>
              </w:rPr>
            </w:pPr>
          </w:p>
        </w:tc>
        <w:tc>
          <w:tcPr>
            <w:tcW w:w="1480" w:type="dxa"/>
            <w:vAlign w:val="bottom"/>
            <w:shd w:val="clear" w:color="auto" w:fill="F1EFEC"/>
          </w:tcPr>
          <w:p>
            <w:pPr>
              <w:spacing w:after="0"/>
              <w:rPr>
                <w:sz w:val="10"/>
                <w:szCs w:val="10"/>
                <w:color w:val="auto"/>
              </w:rPr>
            </w:pPr>
          </w:p>
        </w:tc>
        <w:tc>
          <w:tcPr>
            <w:tcW w:w="580" w:type="dxa"/>
            <w:vAlign w:val="bottom"/>
            <w:shd w:val="clear" w:color="auto" w:fill="F1EFEC"/>
          </w:tcPr>
          <w:p>
            <w:pPr>
              <w:spacing w:after="0"/>
              <w:rPr>
                <w:sz w:val="10"/>
                <w:szCs w:val="10"/>
                <w:color w:val="auto"/>
              </w:rPr>
            </w:pPr>
          </w:p>
        </w:tc>
        <w:tc>
          <w:tcPr>
            <w:tcW w:w="5320" w:type="dxa"/>
            <w:vAlign w:val="bottom"/>
            <w:shd w:val="clear" w:color="auto" w:fill="F1EFEC"/>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360" w:type="dxa"/>
            <w:vAlign w:val="bottom"/>
            <w:shd w:val="clear" w:color="auto" w:fill="F1EFEC"/>
          </w:tcPr>
          <w:p>
            <w:pPr>
              <w:spacing w:after="0"/>
              <w:rPr>
                <w:sz w:val="6"/>
                <w:szCs w:val="6"/>
                <w:color w:val="auto"/>
              </w:rPr>
            </w:pPr>
          </w:p>
        </w:tc>
        <w:tc>
          <w:tcPr>
            <w:tcW w:w="1480" w:type="dxa"/>
            <w:vAlign w:val="bottom"/>
            <w:shd w:val="clear" w:color="auto" w:fill="F1EFEC"/>
          </w:tcPr>
          <w:p>
            <w:pPr>
              <w:spacing w:after="0"/>
              <w:rPr>
                <w:sz w:val="6"/>
                <w:szCs w:val="6"/>
                <w:color w:val="auto"/>
              </w:rPr>
            </w:pPr>
          </w:p>
        </w:tc>
        <w:tc>
          <w:tcPr>
            <w:tcW w:w="580" w:type="dxa"/>
            <w:vAlign w:val="bottom"/>
            <w:shd w:val="clear" w:color="auto" w:fill="F1EFEC"/>
          </w:tcPr>
          <w:p>
            <w:pPr>
              <w:spacing w:after="0"/>
              <w:rPr>
                <w:sz w:val="6"/>
                <w:szCs w:val="6"/>
                <w:color w:val="auto"/>
              </w:rPr>
            </w:pPr>
          </w:p>
        </w:tc>
        <w:tc>
          <w:tcPr>
            <w:tcW w:w="5320" w:type="dxa"/>
            <w:vAlign w:val="bottom"/>
            <w:shd w:val="clear" w:color="auto" w:fill="F1EFEC"/>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3"/>
                <w:szCs w:val="13"/>
                <w:color w:val="auto"/>
              </w:rPr>
              <w:t>Long-term incentives:</w:t>
            </w:r>
          </w:p>
        </w:tc>
        <w:tc>
          <w:tcPr>
            <w:tcW w:w="1480" w:type="dxa"/>
            <w:vAlign w:val="bottom"/>
          </w:tcPr>
          <w:p>
            <w:pPr>
              <w:jc w:val="center"/>
              <w:spacing w:after="0"/>
              <w:rPr>
                <w:sz w:val="20"/>
                <w:szCs w:val="20"/>
                <w:color w:val="auto"/>
              </w:rPr>
            </w:pPr>
            <w:r>
              <w:rPr>
                <w:rFonts w:ascii="Arial" w:cs="Arial" w:eastAsia="Arial" w:hAnsi="Arial"/>
                <w:sz w:val="13"/>
                <w:szCs w:val="13"/>
                <w:color w:val="auto"/>
                <w:w w:val="99"/>
              </w:rPr>
              <w:t>11%</w:t>
            </w:r>
          </w:p>
        </w:tc>
        <w:tc>
          <w:tcPr>
            <w:tcW w:w="580" w:type="dxa"/>
            <w:vAlign w:val="bottom"/>
          </w:tcPr>
          <w:p>
            <w:pPr>
              <w:jc w:val="right"/>
              <w:ind w:right="176"/>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t>
            </w:r>
          </w:p>
        </w:tc>
        <w:tc>
          <w:tcPr>
            <w:tcW w:w="5320" w:type="dxa"/>
            <w:vAlign w:val="bottom"/>
          </w:tcPr>
          <w:p>
            <w:pPr>
              <w:ind w:left="140"/>
              <w:spacing w:after="0"/>
              <w:rPr>
                <w:sz w:val="20"/>
                <w:szCs w:val="20"/>
                <w:color w:val="auto"/>
              </w:rPr>
            </w:pPr>
            <w:r>
              <w:rPr>
                <w:rFonts w:ascii="Arial" w:cs="Arial" w:eastAsia="Arial" w:hAnsi="Arial"/>
                <w:sz w:val="13"/>
                <w:szCs w:val="13"/>
                <w:color w:val="auto"/>
                <w:w w:val="99"/>
              </w:rPr>
              <w:t>Performance share units that vest solely on the achievement of a three-year absolute total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vMerge w:val="restart"/>
          </w:tcPr>
          <w:p>
            <w:pPr>
              <w:ind w:left="40"/>
              <w:spacing w:after="0"/>
              <w:rPr>
                <w:sz w:val="20"/>
                <w:szCs w:val="20"/>
                <w:color w:val="auto"/>
              </w:rPr>
            </w:pPr>
            <w:r>
              <w:rPr>
                <w:rFonts w:ascii="Arial" w:cs="Arial" w:eastAsia="Arial" w:hAnsi="Arial"/>
                <w:sz w:val="13"/>
                <w:szCs w:val="13"/>
                <w:color w:val="auto"/>
              </w:rPr>
              <w:t>Performance share</w:t>
            </w:r>
          </w:p>
        </w:tc>
        <w:tc>
          <w:tcPr>
            <w:tcW w:w="1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20" w:type="dxa"/>
            <w:vAlign w:val="bottom"/>
          </w:tcPr>
          <w:p>
            <w:pPr>
              <w:ind w:left="140"/>
              <w:spacing w:after="0"/>
              <w:rPr>
                <w:sz w:val="20"/>
                <w:szCs w:val="20"/>
                <w:color w:val="auto"/>
              </w:rPr>
            </w:pPr>
            <w:r>
              <w:rPr>
                <w:rFonts w:ascii="Arial" w:cs="Arial" w:eastAsia="Arial" w:hAnsi="Arial"/>
                <w:sz w:val="13"/>
                <w:szCs w:val="13"/>
                <w:color w:val="auto"/>
              </w:rPr>
              <w:t>shareholder return hurdle rate, linking the creation of shareholder value to incentives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320" w:type="dxa"/>
            <w:vAlign w:val="bottom"/>
            <w:vMerge w:val="restart"/>
          </w:tcPr>
          <w:p>
            <w:pPr>
              <w:ind w:left="140"/>
              <w:spacing w:after="0"/>
              <w:rPr>
                <w:sz w:val="20"/>
                <w:szCs w:val="20"/>
                <w:color w:val="auto"/>
              </w:rPr>
            </w:pPr>
            <w:r>
              <w:rPr>
                <w:rFonts w:ascii="Arial" w:cs="Arial" w:eastAsia="Arial" w:hAnsi="Arial"/>
                <w:sz w:val="13"/>
                <w:szCs w:val="13"/>
                <w:color w:val="auto"/>
              </w:rPr>
              <w:t>earned.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60" w:type="dxa"/>
            <w:vAlign w:val="bottom"/>
            <w:vMerge w:val="restart"/>
          </w:tcPr>
          <w:p>
            <w:pPr>
              <w:ind w:left="40"/>
              <w:spacing w:after="0"/>
              <w:rPr>
                <w:sz w:val="20"/>
                <w:szCs w:val="20"/>
                <w:color w:val="auto"/>
              </w:rPr>
            </w:pPr>
            <w:r>
              <w:rPr>
                <w:rFonts w:ascii="Arial" w:cs="Arial" w:eastAsia="Arial" w:hAnsi="Arial"/>
                <w:sz w:val="13"/>
                <w:szCs w:val="13"/>
                <w:color w:val="auto"/>
              </w:rPr>
              <w:t>units </w:t>
            </w:r>
          </w:p>
        </w:tc>
        <w:tc>
          <w:tcPr>
            <w:tcW w:w="1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shd w:val="clear" w:color="auto" w:fill="F1EFEC"/>
          </w:tcPr>
          <w:p>
            <w:pPr>
              <w:ind w:left="40"/>
              <w:spacing w:after="0"/>
              <w:rPr>
                <w:sz w:val="20"/>
                <w:szCs w:val="20"/>
                <w:color w:val="auto"/>
              </w:rPr>
            </w:pPr>
            <w:r>
              <w:rPr>
                <w:rFonts w:ascii="Arial" w:cs="Arial" w:eastAsia="Arial" w:hAnsi="Arial"/>
                <w:sz w:val="13"/>
                <w:szCs w:val="13"/>
                <w:color w:val="auto"/>
              </w:rPr>
              <w:t>Long-term incentives:</w:t>
            </w:r>
          </w:p>
        </w:tc>
        <w:tc>
          <w:tcPr>
            <w:tcW w:w="148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9"/>
              </w:rPr>
              <w:t>21%</w:t>
            </w:r>
          </w:p>
        </w:tc>
        <w:tc>
          <w:tcPr>
            <w:tcW w:w="580" w:type="dxa"/>
            <w:vAlign w:val="bottom"/>
            <w:shd w:val="clear" w:color="auto" w:fill="F1EFEC"/>
          </w:tcPr>
          <w:p>
            <w:pPr>
              <w:jc w:val="right"/>
              <w:ind w:right="176"/>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t>
            </w:r>
          </w:p>
        </w:tc>
        <w:tc>
          <w:tcPr>
            <w:tcW w:w="5320" w:type="dxa"/>
            <w:vAlign w:val="bottom"/>
            <w:shd w:val="clear" w:color="auto" w:fill="F1EFEC"/>
          </w:tcPr>
          <w:p>
            <w:pPr>
              <w:ind w:left="140"/>
              <w:spacing w:after="0"/>
              <w:rPr>
                <w:sz w:val="20"/>
                <w:szCs w:val="20"/>
                <w:color w:val="auto"/>
              </w:rPr>
            </w:pPr>
            <w:r>
              <w:rPr>
                <w:rFonts w:ascii="Arial" w:cs="Arial" w:eastAsia="Arial" w:hAnsi="Arial"/>
                <w:sz w:val="13"/>
                <w:szCs w:val="13"/>
                <w:color w:val="auto"/>
              </w:rPr>
              <w:t>Restricted stock that vests in three annual installments ensures focus on long-term value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vMerge w:val="restart"/>
            <w:shd w:val="clear" w:color="auto" w:fill="F1EFEC"/>
          </w:tcPr>
          <w:p>
            <w:pPr>
              <w:ind w:left="40"/>
              <w:spacing w:after="0"/>
              <w:rPr>
                <w:sz w:val="20"/>
                <w:szCs w:val="20"/>
                <w:color w:val="auto"/>
              </w:rPr>
            </w:pPr>
            <w:r>
              <w:rPr>
                <w:rFonts w:ascii="Arial" w:cs="Arial" w:eastAsia="Arial" w:hAnsi="Arial"/>
                <w:sz w:val="13"/>
                <w:szCs w:val="13"/>
                <w:color w:val="auto"/>
              </w:rPr>
              <w:t>Time-based restricted</w:t>
            </w:r>
          </w:p>
        </w:tc>
        <w:tc>
          <w:tcPr>
            <w:tcW w:w="1480" w:type="dxa"/>
            <w:vAlign w:val="bottom"/>
            <w:shd w:val="clear" w:color="auto" w:fill="F1EFEC"/>
          </w:tcPr>
          <w:p>
            <w:pPr>
              <w:spacing w:after="0"/>
              <w:rPr>
                <w:sz w:val="13"/>
                <w:szCs w:val="13"/>
                <w:color w:val="auto"/>
              </w:rPr>
            </w:pPr>
          </w:p>
        </w:tc>
        <w:tc>
          <w:tcPr>
            <w:tcW w:w="580" w:type="dxa"/>
            <w:vAlign w:val="bottom"/>
            <w:shd w:val="clear" w:color="auto" w:fill="F1EFEC"/>
          </w:tcPr>
          <w:p>
            <w:pPr>
              <w:spacing w:after="0"/>
              <w:rPr>
                <w:sz w:val="13"/>
                <w:szCs w:val="13"/>
                <w:color w:val="auto"/>
              </w:rPr>
            </w:pPr>
          </w:p>
        </w:tc>
        <w:tc>
          <w:tcPr>
            <w:tcW w:w="5320" w:type="dxa"/>
            <w:vAlign w:val="bottom"/>
            <w:shd w:val="clear" w:color="auto" w:fill="F1EFEC"/>
          </w:tcPr>
          <w:p>
            <w:pPr>
              <w:ind w:left="140"/>
              <w:spacing w:after="0"/>
              <w:rPr>
                <w:sz w:val="20"/>
                <w:szCs w:val="20"/>
                <w:color w:val="auto"/>
              </w:rPr>
            </w:pPr>
            <w:r>
              <w:rPr>
                <w:rFonts w:ascii="Arial" w:cs="Arial" w:eastAsia="Arial" w:hAnsi="Arial"/>
                <w:sz w:val="13"/>
                <w:szCs w:val="13"/>
                <w:color w:val="auto"/>
              </w:rPr>
              <w:t>creation, aligns executive and long-term shareholder interests, promotes retention, and</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360" w:type="dxa"/>
            <w:vAlign w:val="bottom"/>
            <w:vMerge w:val="continue"/>
            <w:shd w:val="clear" w:color="auto" w:fill="F1EFEC"/>
          </w:tcPr>
          <w:p>
            <w:pPr>
              <w:spacing w:after="0"/>
              <w:rPr>
                <w:sz w:val="8"/>
                <w:szCs w:val="8"/>
                <w:color w:val="auto"/>
              </w:rPr>
            </w:pPr>
          </w:p>
        </w:tc>
        <w:tc>
          <w:tcPr>
            <w:tcW w:w="1480" w:type="dxa"/>
            <w:vAlign w:val="bottom"/>
            <w:shd w:val="clear" w:color="auto" w:fill="F1EFEC"/>
          </w:tcPr>
          <w:p>
            <w:pPr>
              <w:spacing w:after="0"/>
              <w:rPr>
                <w:sz w:val="8"/>
                <w:szCs w:val="8"/>
                <w:color w:val="auto"/>
              </w:rPr>
            </w:pPr>
          </w:p>
        </w:tc>
        <w:tc>
          <w:tcPr>
            <w:tcW w:w="580" w:type="dxa"/>
            <w:vAlign w:val="bottom"/>
            <w:shd w:val="clear" w:color="auto" w:fill="F1EFEC"/>
          </w:tcPr>
          <w:p>
            <w:pPr>
              <w:spacing w:after="0"/>
              <w:rPr>
                <w:sz w:val="8"/>
                <w:szCs w:val="8"/>
                <w:color w:val="auto"/>
              </w:rPr>
            </w:pPr>
          </w:p>
        </w:tc>
        <w:tc>
          <w:tcPr>
            <w:tcW w:w="5320" w:type="dxa"/>
            <w:vAlign w:val="bottom"/>
            <w:vMerge w:val="restart"/>
            <w:shd w:val="clear" w:color="auto" w:fill="F1EFEC"/>
          </w:tcPr>
          <w:p>
            <w:pPr>
              <w:ind w:left="140"/>
              <w:spacing w:after="0"/>
              <w:rPr>
                <w:sz w:val="20"/>
                <w:szCs w:val="20"/>
                <w:color w:val="auto"/>
              </w:rPr>
            </w:pPr>
            <w:r>
              <w:rPr>
                <w:rFonts w:ascii="Arial" w:cs="Arial" w:eastAsia="Arial" w:hAnsi="Arial"/>
                <w:sz w:val="13"/>
                <w:szCs w:val="13"/>
                <w:color w:val="auto"/>
              </w:rPr>
              <w:t>minimizes compensation risk</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60" w:type="dxa"/>
            <w:vAlign w:val="bottom"/>
            <w:vMerge w:val="restart"/>
            <w:shd w:val="clear" w:color="auto" w:fill="F1EFEC"/>
          </w:tcPr>
          <w:p>
            <w:pPr>
              <w:ind w:left="40"/>
              <w:spacing w:after="0"/>
              <w:rPr>
                <w:sz w:val="20"/>
                <w:szCs w:val="20"/>
                <w:color w:val="auto"/>
              </w:rPr>
            </w:pPr>
            <w:r>
              <w:rPr>
                <w:rFonts w:ascii="Arial" w:cs="Arial" w:eastAsia="Arial" w:hAnsi="Arial"/>
                <w:sz w:val="13"/>
                <w:szCs w:val="13"/>
                <w:color w:val="auto"/>
              </w:rPr>
              <w:t>stock</w:t>
            </w:r>
          </w:p>
        </w:tc>
        <w:tc>
          <w:tcPr>
            <w:tcW w:w="1480" w:type="dxa"/>
            <w:vAlign w:val="bottom"/>
            <w:shd w:val="clear" w:color="auto" w:fill="F1EFEC"/>
          </w:tcPr>
          <w:p>
            <w:pPr>
              <w:spacing w:after="0"/>
              <w:rPr>
                <w:sz w:val="6"/>
                <w:szCs w:val="6"/>
                <w:color w:val="auto"/>
              </w:rPr>
            </w:pPr>
          </w:p>
        </w:tc>
        <w:tc>
          <w:tcPr>
            <w:tcW w:w="580" w:type="dxa"/>
            <w:vAlign w:val="bottom"/>
            <w:shd w:val="clear" w:color="auto" w:fill="F1EFEC"/>
          </w:tcPr>
          <w:p>
            <w:pPr>
              <w:spacing w:after="0"/>
              <w:rPr>
                <w:sz w:val="6"/>
                <w:szCs w:val="6"/>
                <w:color w:val="auto"/>
              </w:rPr>
            </w:pPr>
          </w:p>
        </w:tc>
        <w:tc>
          <w:tcPr>
            <w:tcW w:w="5320" w:type="dxa"/>
            <w:vAlign w:val="bottom"/>
            <w:vMerge w:val="continue"/>
            <w:shd w:val="clear" w:color="auto" w:fill="F1EFEC"/>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60" w:type="dxa"/>
            <w:vAlign w:val="bottom"/>
            <w:vMerge w:val="continue"/>
            <w:shd w:val="clear" w:color="auto" w:fill="F1EFEC"/>
          </w:tcPr>
          <w:p>
            <w:pPr>
              <w:spacing w:after="0"/>
              <w:rPr>
                <w:sz w:val="10"/>
                <w:szCs w:val="10"/>
                <w:color w:val="auto"/>
              </w:rPr>
            </w:pPr>
          </w:p>
        </w:tc>
        <w:tc>
          <w:tcPr>
            <w:tcW w:w="1480" w:type="dxa"/>
            <w:vAlign w:val="bottom"/>
            <w:shd w:val="clear" w:color="auto" w:fill="F1EFEC"/>
          </w:tcPr>
          <w:p>
            <w:pPr>
              <w:spacing w:after="0"/>
              <w:rPr>
                <w:sz w:val="10"/>
                <w:szCs w:val="10"/>
                <w:color w:val="auto"/>
              </w:rPr>
            </w:pPr>
          </w:p>
        </w:tc>
        <w:tc>
          <w:tcPr>
            <w:tcW w:w="580" w:type="dxa"/>
            <w:vAlign w:val="bottom"/>
            <w:shd w:val="clear" w:color="auto" w:fill="F1EFEC"/>
          </w:tcPr>
          <w:p>
            <w:pPr>
              <w:spacing w:after="0"/>
              <w:rPr>
                <w:sz w:val="10"/>
                <w:szCs w:val="10"/>
                <w:color w:val="auto"/>
              </w:rPr>
            </w:pPr>
          </w:p>
        </w:tc>
        <w:tc>
          <w:tcPr>
            <w:tcW w:w="5320" w:type="dxa"/>
            <w:vAlign w:val="bottom"/>
            <w:shd w:val="clear" w:color="auto" w:fill="F1EFEC"/>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360" w:type="dxa"/>
            <w:vAlign w:val="bottom"/>
            <w:shd w:val="clear" w:color="auto" w:fill="F1EFEC"/>
          </w:tcPr>
          <w:p>
            <w:pPr>
              <w:spacing w:after="0"/>
              <w:rPr>
                <w:sz w:val="6"/>
                <w:szCs w:val="6"/>
                <w:color w:val="auto"/>
              </w:rPr>
            </w:pPr>
          </w:p>
        </w:tc>
        <w:tc>
          <w:tcPr>
            <w:tcW w:w="7380" w:type="dxa"/>
            <w:vAlign w:val="bottom"/>
            <w:gridSpan w:val="3"/>
            <w:shd w:val="clear" w:color="auto" w:fill="F1EFEC"/>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760" w:type="dxa"/>
            <w:vAlign w:val="bottom"/>
            <w:gridSpan w:val="5"/>
          </w:tcPr>
          <w:p>
            <w:pPr>
              <w:spacing w:after="0"/>
              <w:rPr>
                <w:sz w:val="20"/>
                <w:szCs w:val="20"/>
                <w:color w:val="auto"/>
              </w:rPr>
            </w:pPr>
            <w:r>
              <w:rPr>
                <w:rFonts w:ascii="Arial" w:cs="Arial" w:eastAsia="Arial" w:hAnsi="Arial"/>
                <w:sz w:val="10"/>
                <w:szCs w:val="10"/>
                <w:color w:val="auto"/>
              </w:rPr>
              <w:t>(1) Represents the aggregate average percentage of total annual compensation for fiscal year 2025 for all of our NEOs.</w:t>
            </w:r>
          </w:p>
        </w:tc>
        <w:tc>
          <w:tcPr>
            <w:tcW w:w="0" w:type="dxa"/>
            <w:vAlign w:val="bottom"/>
          </w:tcPr>
          <w:p>
            <w:pPr>
              <w:spacing w:after="0"/>
              <w:rPr>
                <w:sz w:val="1"/>
                <w:szCs w:val="1"/>
                <w:color w:val="auto"/>
              </w:rPr>
            </w:pPr>
          </w:p>
        </w:tc>
      </w:tr>
      <w:tr>
        <w:trPr>
          <w:trHeight w:val="265"/>
        </w:trPr>
        <w:tc>
          <w:tcPr>
            <w:tcW w:w="1380" w:type="dxa"/>
            <w:vAlign w:val="bottom"/>
            <w:gridSpan w:val="2"/>
          </w:tcPr>
          <w:p>
            <w:pPr>
              <w:spacing w:after="0"/>
              <w:rPr>
                <w:sz w:val="20"/>
                <w:szCs w:val="20"/>
                <w:color w:val="auto"/>
              </w:rPr>
            </w:pPr>
            <w:r>
              <w:rPr>
                <w:rFonts w:ascii="Arial" w:cs="Arial" w:eastAsia="Arial" w:hAnsi="Arial"/>
                <w:sz w:val="13"/>
                <w:szCs w:val="13"/>
                <w:color w:val="auto"/>
              </w:rPr>
              <w:t>36</w:t>
            </w:r>
          </w:p>
        </w:tc>
        <w:tc>
          <w:tcPr>
            <w:tcW w:w="1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HOW OUR EXECUTIVE COMPENSATION PHILOSOPHY DRIVES CEO PAY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125730</wp:posOffset>
            </wp:positionV>
            <wp:extent cx="6985" cy="1975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85" cy="197548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125730</wp:posOffset>
            </wp:positionV>
            <wp:extent cx="6985" cy="1975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85" cy="1975485"/>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125730</wp:posOffset>
            </wp:positionV>
            <wp:extent cx="6985" cy="1975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85" cy="197548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125730</wp:posOffset>
            </wp:positionV>
            <wp:extent cx="6985" cy="19754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85" cy="197548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125730</wp:posOffset>
            </wp:positionV>
            <wp:extent cx="6985" cy="1975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85" cy="197548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125730</wp:posOffset>
            </wp:positionV>
            <wp:extent cx="6985" cy="4565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85" cy="456565"/>
                    </a:xfrm>
                    <a:prstGeom prst="rect">
                      <a:avLst/>
                    </a:prstGeom>
                    <a:noFill/>
                  </pic:spPr>
                </pic:pic>
              </a:graphicData>
            </a:graphic>
          </wp:anchor>
        </w:drawing>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40" w:type="dxa"/>
            <w:vAlign w:val="bottom"/>
            <w:shd w:val="clear" w:color="auto" w:fill="B9AFA0"/>
          </w:tcPr>
          <w:p>
            <w:pPr>
              <w:spacing w:after="0"/>
              <w:rPr>
                <w:sz w:val="16"/>
                <w:szCs w:val="16"/>
                <w:color w:val="auto"/>
              </w:rPr>
            </w:pPr>
          </w:p>
        </w:tc>
        <w:tc>
          <w:tcPr>
            <w:tcW w:w="3120" w:type="dxa"/>
            <w:vAlign w:val="bottom"/>
            <w:shd w:val="clear" w:color="auto" w:fill="B9AFA0"/>
          </w:tcPr>
          <w:p>
            <w:pPr>
              <w:spacing w:after="0"/>
              <w:rPr>
                <w:sz w:val="16"/>
                <w:szCs w:val="16"/>
                <w:color w:val="auto"/>
              </w:rPr>
            </w:pPr>
          </w:p>
        </w:tc>
        <w:tc>
          <w:tcPr>
            <w:tcW w:w="1180" w:type="dxa"/>
            <w:vAlign w:val="bottom"/>
            <w:shd w:val="clear" w:color="auto" w:fill="B9AFA0"/>
          </w:tcPr>
          <w:p>
            <w:pPr>
              <w:spacing w:after="0"/>
              <w:rPr>
                <w:sz w:val="16"/>
                <w:szCs w:val="16"/>
                <w:color w:val="auto"/>
              </w:rPr>
            </w:pPr>
          </w:p>
        </w:tc>
        <w:tc>
          <w:tcPr>
            <w:tcW w:w="1060" w:type="dxa"/>
            <w:vAlign w:val="bottom"/>
            <w:shd w:val="clear" w:color="auto" w:fill="B9AFA0"/>
          </w:tcPr>
          <w:p>
            <w:pPr>
              <w:spacing w:after="0"/>
              <w:rPr>
                <w:sz w:val="16"/>
                <w:szCs w:val="16"/>
                <w:color w:val="auto"/>
              </w:rPr>
            </w:pPr>
          </w:p>
        </w:tc>
        <w:tc>
          <w:tcPr>
            <w:tcW w:w="11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FOCUS ON</w:t>
            </w:r>
          </w:p>
        </w:tc>
        <w:tc>
          <w:tcPr>
            <w:tcW w:w="1020" w:type="dxa"/>
            <w:vAlign w:val="bottom"/>
            <w:shd w:val="clear" w:color="auto" w:fill="B9AFA0"/>
          </w:tcPr>
          <w:p>
            <w:pPr>
              <w:spacing w:after="0"/>
              <w:rPr>
                <w:sz w:val="16"/>
                <w:szCs w:val="16"/>
                <w:color w:val="auto"/>
              </w:rPr>
            </w:pPr>
          </w:p>
        </w:tc>
        <w:tc>
          <w:tcPr>
            <w:tcW w:w="960" w:type="dxa"/>
            <w:vAlign w:val="bottom"/>
            <w:shd w:val="clear" w:color="auto" w:fill="B9AFA0"/>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 w:type="dxa"/>
            <w:vAlign w:val="bottom"/>
            <w:shd w:val="clear" w:color="auto" w:fill="B9AFA0"/>
          </w:tcPr>
          <w:p>
            <w:pPr>
              <w:spacing w:after="0"/>
              <w:rPr>
                <w:sz w:val="13"/>
                <w:szCs w:val="13"/>
                <w:color w:val="auto"/>
              </w:rPr>
            </w:pPr>
          </w:p>
        </w:tc>
        <w:tc>
          <w:tcPr>
            <w:tcW w:w="3120" w:type="dxa"/>
            <w:vAlign w:val="bottom"/>
            <w:shd w:val="clear" w:color="auto" w:fill="B9AFA0"/>
          </w:tcPr>
          <w:p>
            <w:pPr>
              <w:spacing w:after="0"/>
              <w:rPr>
                <w:sz w:val="13"/>
                <w:szCs w:val="13"/>
                <w:color w:val="auto"/>
              </w:rPr>
            </w:pP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PAY FOR</w:t>
            </w:r>
          </w:p>
        </w:tc>
        <w:tc>
          <w:tcPr>
            <w:tcW w:w="1060" w:type="dxa"/>
            <w:vAlign w:val="bottom"/>
            <w:shd w:val="clear" w:color="auto" w:fill="B9AFA0"/>
          </w:tcPr>
          <w:p>
            <w:pPr>
              <w:spacing w:after="0"/>
              <w:rPr>
                <w:sz w:val="13"/>
                <w:szCs w:val="13"/>
                <w:color w:val="auto"/>
              </w:rPr>
            </w:pPr>
          </w:p>
        </w:tc>
        <w:tc>
          <w:tcPr>
            <w:tcW w:w="11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 COMPENSATION</w:t>
            </w:r>
          </w:p>
        </w:tc>
        <w:tc>
          <w:tcPr>
            <w:tcW w:w="1020" w:type="dxa"/>
            <w:vAlign w:val="bottom"/>
            <w:shd w:val="clear" w:color="auto" w:fill="B9AFA0"/>
          </w:tcPr>
          <w:p>
            <w:pPr>
              <w:spacing w:after="0"/>
              <w:rPr>
                <w:sz w:val="13"/>
                <w:szCs w:val="13"/>
                <w:color w:val="auto"/>
              </w:rPr>
            </w:pPr>
          </w:p>
        </w:tc>
        <w:tc>
          <w:tcPr>
            <w:tcW w:w="9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6"/>
              </w:rPr>
              <w:t>ATTRACT AND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 w:type="dxa"/>
            <w:vAlign w:val="bottom"/>
            <w:shd w:val="clear" w:color="auto" w:fill="B9AFA0"/>
          </w:tcPr>
          <w:p>
            <w:pPr>
              <w:spacing w:after="0"/>
              <w:rPr>
                <w:sz w:val="13"/>
                <w:szCs w:val="13"/>
                <w:color w:val="auto"/>
              </w:rPr>
            </w:pPr>
          </w:p>
        </w:tc>
        <w:tc>
          <w:tcPr>
            <w:tcW w:w="3120" w:type="dxa"/>
            <w:vAlign w:val="bottom"/>
            <w:shd w:val="clear" w:color="auto" w:fill="B9AFA0"/>
          </w:tcPr>
          <w:p>
            <w:pPr>
              <w:spacing w:after="0"/>
              <w:rPr>
                <w:sz w:val="13"/>
                <w:szCs w:val="13"/>
                <w:color w:val="auto"/>
              </w:rPr>
            </w:pP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SUSTAINABLE</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SHAREHOLDER</w:t>
            </w:r>
          </w:p>
        </w:tc>
        <w:tc>
          <w:tcPr>
            <w:tcW w:w="11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 TOTALS AND</w:t>
            </w:r>
          </w:p>
        </w:tc>
        <w:tc>
          <w:tcPr>
            <w:tcW w:w="10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SIMPLICITY</w:t>
            </w:r>
          </w:p>
        </w:tc>
        <w:tc>
          <w:tcPr>
            <w:tcW w:w="9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6"/>
              </w:rPr>
              <w:t> RETAIN TOP</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bottom w:val="single" w:sz="8" w:color="B9AFA0"/>
            </w:tcBorders>
            <w:shd w:val="clear" w:color="auto" w:fill="B9AFA0"/>
          </w:tcPr>
          <w:p>
            <w:pPr>
              <w:spacing w:after="0"/>
              <w:rPr>
                <w:sz w:val="17"/>
                <w:szCs w:val="17"/>
                <w:color w:val="auto"/>
              </w:rPr>
            </w:pPr>
          </w:p>
        </w:tc>
        <w:tc>
          <w:tcPr>
            <w:tcW w:w="3120" w:type="dxa"/>
            <w:vAlign w:val="bottom"/>
            <w:tcBorders>
              <w:bottom w:val="single" w:sz="8" w:color="B9AFA0"/>
            </w:tcBorders>
            <w:shd w:val="clear" w:color="auto" w:fill="B9AFA0"/>
          </w:tcPr>
          <w:p>
            <w:pPr>
              <w:spacing w:after="0"/>
              <w:rPr>
                <w:sz w:val="17"/>
                <w:szCs w:val="17"/>
                <w:color w:val="auto"/>
              </w:rPr>
            </w:pPr>
          </w:p>
        </w:tc>
        <w:tc>
          <w:tcPr>
            <w:tcW w:w="11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7"/>
              </w:rPr>
              <w:t> PERFORMANCE  </w:t>
            </w:r>
          </w:p>
        </w:tc>
        <w:tc>
          <w:tcPr>
            <w:tcW w:w="106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6"/>
              </w:rPr>
              <w:t> ALIGNMENT </w:t>
            </w:r>
          </w:p>
        </w:tc>
        <w:tc>
          <w:tcPr>
            <w:tcW w:w="116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3"/>
              </w:rPr>
              <w:t>PARITY </w:t>
            </w:r>
          </w:p>
        </w:tc>
        <w:tc>
          <w:tcPr>
            <w:tcW w:w="10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6"/>
              </w:rPr>
              <w:t> AND CLARITY  </w:t>
            </w:r>
          </w:p>
        </w:tc>
        <w:tc>
          <w:tcPr>
            <w:tcW w:w="96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6"/>
              </w:rPr>
              <w:t>TALENT</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 w:type="dxa"/>
            <w:vAlign w:val="bottom"/>
            <w:tcBorders>
              <w:bottom w:val="single" w:sz="8" w:color="F1EFEC"/>
            </w:tcBorders>
            <w:shd w:val="clear" w:color="auto" w:fill="F1EFEC"/>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t>
            </w:r>
          </w:p>
        </w:tc>
        <w:tc>
          <w:tcPr>
            <w:tcW w:w="3120" w:type="dxa"/>
            <w:vAlign w:val="bottom"/>
            <w:tcBorders>
              <w:bottom w:val="single" w:sz="8" w:color="F1EFEC"/>
            </w:tcBorders>
            <w:shd w:val="clear" w:color="auto" w:fill="F1EFEC"/>
          </w:tcPr>
          <w:p>
            <w:pPr>
              <w:ind w:left="120"/>
              <w:spacing w:after="0"/>
              <w:rPr>
                <w:sz w:val="20"/>
                <w:szCs w:val="20"/>
                <w:color w:val="auto"/>
              </w:rPr>
            </w:pPr>
            <w:r>
              <w:rPr>
                <w:rFonts w:ascii="Arial" w:cs="Arial" w:eastAsia="Arial" w:hAnsi="Arial"/>
                <w:sz w:val="13"/>
                <w:szCs w:val="13"/>
                <w:color w:val="auto"/>
              </w:rPr>
              <w:t>84% of total direct NEO compensation is at risk (1)</w:t>
            </w:r>
          </w:p>
        </w:tc>
        <w:tc>
          <w:tcPr>
            <w:tcW w:w="118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06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160" w:type="dxa"/>
            <w:vAlign w:val="bottom"/>
            <w:tcBorders>
              <w:bottom w:val="single" w:sz="8" w:color="F1EFEC"/>
            </w:tcBorders>
            <w:shd w:val="clear" w:color="auto" w:fill="F1EFEC"/>
          </w:tcPr>
          <w:p>
            <w:pPr>
              <w:spacing w:after="0"/>
              <w:rPr>
                <w:sz w:val="24"/>
                <w:szCs w:val="24"/>
                <w:color w:val="auto"/>
              </w:rPr>
            </w:pPr>
          </w:p>
        </w:tc>
        <w:tc>
          <w:tcPr>
            <w:tcW w:w="102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960" w:type="dxa"/>
            <w:vAlign w:val="bottom"/>
            <w:tcBorders>
              <w:bottom w:val="single" w:sz="8" w:color="F1EFEC"/>
            </w:tcBorders>
            <w:shd w:val="clear" w:color="auto" w:fill="F1EFEC"/>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60" w:type="dxa"/>
            <w:vAlign w:val="bottom"/>
            <w:gridSpan w:val="2"/>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Annual incentives are 100% performance based</w:t>
            </w:r>
          </w:p>
        </w:tc>
        <w:tc>
          <w:tcPr>
            <w:tcW w:w="11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0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1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0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9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60" w:type="dxa"/>
            <w:vAlign w:val="bottom"/>
            <w:gridSpan w:val="2"/>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0" w:type="dxa"/>
            <w:vAlign w:val="bottom"/>
            <w:shd w:val="clear" w:color="auto" w:fill="F1EFEC"/>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t>
            </w:r>
          </w:p>
        </w:tc>
        <w:tc>
          <w:tcPr>
            <w:tcW w:w="3120" w:type="dxa"/>
            <w:vAlign w:val="bottom"/>
            <w:shd w:val="clear" w:color="auto" w:fill="F1EFEC"/>
          </w:tcPr>
          <w:p>
            <w:pPr>
              <w:ind w:left="120"/>
              <w:spacing w:after="0"/>
              <w:rPr>
                <w:sz w:val="20"/>
                <w:szCs w:val="20"/>
                <w:color w:val="auto"/>
              </w:rPr>
            </w:pPr>
            <w:r>
              <w:rPr>
                <w:rFonts w:ascii="Arial" w:cs="Arial" w:eastAsia="Arial" w:hAnsi="Arial"/>
                <w:sz w:val="13"/>
                <w:szCs w:val="13"/>
                <w:color w:val="auto"/>
              </w:rPr>
              <w:t>55% of long-term incentives in the form of</w:t>
            </w:r>
          </w:p>
        </w:tc>
        <w:tc>
          <w:tcPr>
            <w:tcW w:w="1180" w:type="dxa"/>
            <w:vAlign w:val="bottom"/>
            <w:shd w:val="clear" w:color="auto" w:fill="F1EFEC"/>
          </w:tcPr>
          <w:p>
            <w:pPr>
              <w:spacing w:after="0"/>
              <w:rPr>
                <w:sz w:val="21"/>
                <w:szCs w:val="21"/>
                <w:color w:val="auto"/>
              </w:rPr>
            </w:pPr>
          </w:p>
        </w:tc>
        <w:tc>
          <w:tcPr>
            <w:tcW w:w="1060" w:type="dxa"/>
            <w:vAlign w:val="bottom"/>
            <w:shd w:val="clear" w:color="auto" w:fill="F1EFEC"/>
          </w:tcPr>
          <w:p>
            <w:pPr>
              <w:spacing w:after="0"/>
              <w:rPr>
                <w:sz w:val="21"/>
                <w:szCs w:val="21"/>
                <w:color w:val="auto"/>
              </w:rPr>
            </w:pPr>
          </w:p>
        </w:tc>
        <w:tc>
          <w:tcPr>
            <w:tcW w:w="1160" w:type="dxa"/>
            <w:vAlign w:val="bottom"/>
            <w:shd w:val="clear" w:color="auto" w:fill="F1EFEC"/>
          </w:tcPr>
          <w:p>
            <w:pPr>
              <w:spacing w:after="0"/>
              <w:rPr>
                <w:sz w:val="21"/>
                <w:szCs w:val="21"/>
                <w:color w:val="auto"/>
              </w:rPr>
            </w:pPr>
          </w:p>
        </w:tc>
        <w:tc>
          <w:tcPr>
            <w:tcW w:w="1020" w:type="dxa"/>
            <w:vAlign w:val="bottom"/>
            <w:shd w:val="clear" w:color="auto" w:fill="F1EFEC"/>
          </w:tcPr>
          <w:p>
            <w:pPr>
              <w:spacing w:after="0"/>
              <w:rPr>
                <w:sz w:val="21"/>
                <w:szCs w:val="21"/>
                <w:color w:val="auto"/>
              </w:rPr>
            </w:pPr>
          </w:p>
        </w:tc>
        <w:tc>
          <w:tcPr>
            <w:tcW w:w="960" w:type="dxa"/>
            <w:vAlign w:val="bottom"/>
            <w:shd w:val="clear" w:color="auto" w:fill="F1EFEC"/>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 w:type="dxa"/>
            <w:vAlign w:val="bottom"/>
            <w:shd w:val="clear" w:color="auto" w:fill="F1EFEC"/>
          </w:tcPr>
          <w:p>
            <w:pPr>
              <w:spacing w:after="0"/>
              <w:rPr>
                <w:sz w:val="16"/>
                <w:szCs w:val="16"/>
                <w:color w:val="auto"/>
              </w:rPr>
            </w:pPr>
          </w:p>
        </w:tc>
        <w:tc>
          <w:tcPr>
            <w:tcW w:w="3120" w:type="dxa"/>
            <w:vAlign w:val="bottom"/>
            <w:shd w:val="clear" w:color="auto" w:fill="F1EFEC"/>
          </w:tcPr>
          <w:p>
            <w:pPr>
              <w:ind w:left="120"/>
              <w:spacing w:after="0"/>
              <w:rPr>
                <w:sz w:val="20"/>
                <w:szCs w:val="20"/>
                <w:color w:val="auto"/>
              </w:rPr>
            </w:pPr>
            <w:r>
              <w:rPr>
                <w:rFonts w:ascii="Arial" w:cs="Arial" w:eastAsia="Arial" w:hAnsi="Arial"/>
                <w:sz w:val="13"/>
                <w:szCs w:val="13"/>
                <w:color w:val="auto"/>
                <w:w w:val="99"/>
              </w:rPr>
              <w:t>performance-based equity, including 25% subject to</w:t>
            </w:r>
          </w:p>
        </w:tc>
        <w:tc>
          <w:tcPr>
            <w:tcW w:w="1180" w:type="dxa"/>
            <w:vAlign w:val="bottom"/>
            <w:vMerge w:val="restart"/>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060" w:type="dxa"/>
            <w:vAlign w:val="bottom"/>
            <w:vMerge w:val="restart"/>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160" w:type="dxa"/>
            <w:vAlign w:val="bottom"/>
            <w:vMerge w:val="restart"/>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020" w:type="dxa"/>
            <w:vAlign w:val="bottom"/>
            <w:vMerge w:val="restart"/>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960" w:type="dxa"/>
            <w:vAlign w:val="bottom"/>
            <w:vMerge w:val="restart"/>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 w:type="dxa"/>
            <w:vAlign w:val="bottom"/>
            <w:tcBorders>
              <w:bottom w:val="single" w:sz="8" w:color="F1EFEC"/>
            </w:tcBorders>
            <w:shd w:val="clear" w:color="auto" w:fill="F1EFEC"/>
          </w:tcPr>
          <w:p>
            <w:pPr>
              <w:spacing w:after="0"/>
              <w:rPr>
                <w:sz w:val="20"/>
                <w:szCs w:val="20"/>
                <w:color w:val="auto"/>
              </w:rPr>
            </w:pPr>
          </w:p>
        </w:tc>
        <w:tc>
          <w:tcPr>
            <w:tcW w:w="3120" w:type="dxa"/>
            <w:vAlign w:val="bottom"/>
            <w:tcBorders>
              <w:bottom w:val="single" w:sz="8" w:color="F1EFEC"/>
            </w:tcBorders>
            <w:shd w:val="clear" w:color="auto" w:fill="F1EFEC"/>
          </w:tcPr>
          <w:p>
            <w:pPr>
              <w:ind w:left="120"/>
              <w:spacing w:after="0"/>
              <w:rPr>
                <w:sz w:val="20"/>
                <w:szCs w:val="20"/>
                <w:color w:val="auto"/>
              </w:rPr>
            </w:pPr>
            <w:r>
              <w:rPr>
                <w:rFonts w:ascii="Arial" w:cs="Arial" w:eastAsia="Arial" w:hAnsi="Arial"/>
                <w:sz w:val="13"/>
                <w:szCs w:val="13"/>
                <w:color w:val="auto"/>
              </w:rPr>
              <w:t>a three-year absolute TSR hurdle rate</w:t>
            </w:r>
          </w:p>
        </w:tc>
        <w:tc>
          <w:tcPr>
            <w:tcW w:w="1180" w:type="dxa"/>
            <w:vAlign w:val="bottom"/>
            <w:tcBorders>
              <w:bottom w:val="single" w:sz="8" w:color="F1EFEC"/>
            </w:tcBorders>
            <w:vMerge w:val="continue"/>
            <w:shd w:val="clear" w:color="auto" w:fill="F1EFEC"/>
          </w:tcPr>
          <w:p>
            <w:pPr>
              <w:spacing w:after="0"/>
              <w:rPr>
                <w:sz w:val="20"/>
                <w:szCs w:val="20"/>
                <w:color w:val="auto"/>
              </w:rPr>
            </w:pPr>
          </w:p>
        </w:tc>
        <w:tc>
          <w:tcPr>
            <w:tcW w:w="1060" w:type="dxa"/>
            <w:vAlign w:val="bottom"/>
            <w:tcBorders>
              <w:bottom w:val="single" w:sz="8" w:color="F1EFEC"/>
            </w:tcBorders>
            <w:vMerge w:val="continue"/>
            <w:shd w:val="clear" w:color="auto" w:fill="F1EFEC"/>
          </w:tcPr>
          <w:p>
            <w:pPr>
              <w:spacing w:after="0"/>
              <w:rPr>
                <w:sz w:val="20"/>
                <w:szCs w:val="20"/>
                <w:color w:val="auto"/>
              </w:rPr>
            </w:pPr>
          </w:p>
        </w:tc>
        <w:tc>
          <w:tcPr>
            <w:tcW w:w="1160" w:type="dxa"/>
            <w:vAlign w:val="bottom"/>
            <w:tcBorders>
              <w:bottom w:val="single" w:sz="8" w:color="F1EFEC"/>
            </w:tcBorders>
            <w:vMerge w:val="continue"/>
            <w:shd w:val="clear" w:color="auto" w:fill="F1EFEC"/>
          </w:tcPr>
          <w:p>
            <w:pPr>
              <w:spacing w:after="0"/>
              <w:rPr>
                <w:sz w:val="20"/>
                <w:szCs w:val="20"/>
                <w:color w:val="auto"/>
              </w:rPr>
            </w:pPr>
          </w:p>
        </w:tc>
        <w:tc>
          <w:tcPr>
            <w:tcW w:w="1020" w:type="dxa"/>
            <w:vAlign w:val="bottom"/>
            <w:tcBorders>
              <w:bottom w:val="single" w:sz="8" w:color="F1EFEC"/>
            </w:tcBorders>
            <w:vMerge w:val="continue"/>
            <w:shd w:val="clear" w:color="auto" w:fill="F1EFEC"/>
          </w:tcPr>
          <w:p>
            <w:pPr>
              <w:spacing w:after="0"/>
              <w:rPr>
                <w:sz w:val="20"/>
                <w:szCs w:val="20"/>
                <w:color w:val="auto"/>
              </w:rPr>
            </w:pPr>
          </w:p>
        </w:tc>
        <w:tc>
          <w:tcPr>
            <w:tcW w:w="960" w:type="dxa"/>
            <w:vAlign w:val="bottom"/>
            <w:tcBorders>
              <w:bottom w:val="single" w:sz="8" w:color="F1EFEC"/>
            </w:tcBorders>
            <w:vMerge w:val="continue"/>
            <w:shd w:val="clear" w:color="auto" w:fill="F1EFEC"/>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60" w:type="dxa"/>
            <w:vAlign w:val="bottom"/>
            <w:gridSpan w:val="2"/>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Annual incentives subject to negative Board</w:t>
            </w:r>
          </w:p>
        </w:tc>
        <w:tc>
          <w:tcPr>
            <w:tcW w:w="11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0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160" w:type="dxa"/>
            <w:vAlign w:val="bottom"/>
          </w:tcPr>
          <w:p>
            <w:pPr>
              <w:spacing w:after="0"/>
              <w:rPr>
                <w:sz w:val="21"/>
                <w:szCs w:val="21"/>
                <w:color w:val="auto"/>
              </w:rPr>
            </w:pPr>
          </w:p>
        </w:tc>
        <w:tc>
          <w:tcPr>
            <w:tcW w:w="10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tcPr>
          <w:p>
            <w:pPr>
              <w:ind w:left="120"/>
              <w:spacing w:after="0"/>
              <w:rPr>
                <w:sz w:val="20"/>
                <w:szCs w:val="20"/>
                <w:color w:val="auto"/>
              </w:rPr>
            </w:pPr>
            <w:r>
              <w:rPr>
                <w:rFonts w:ascii="Arial" w:cs="Arial" w:eastAsia="Arial" w:hAnsi="Arial"/>
                <w:sz w:val="13"/>
                <w:szCs w:val="13"/>
                <w:color w:val="auto"/>
              </w:rPr>
              <w:t>discretion</w:t>
            </w:r>
          </w:p>
        </w:tc>
        <w:tc>
          <w:tcPr>
            <w:tcW w:w="11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360" w:type="dxa"/>
            <w:vAlign w:val="bottom"/>
            <w:gridSpan w:val="2"/>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 w:type="dxa"/>
            <w:vAlign w:val="bottom"/>
            <w:tcBorders>
              <w:bottom w:val="single" w:sz="8" w:color="F1EFEC"/>
            </w:tcBorders>
            <w:shd w:val="clear" w:color="auto" w:fill="F1EFEC"/>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t>
            </w:r>
          </w:p>
        </w:tc>
        <w:tc>
          <w:tcPr>
            <w:tcW w:w="3120" w:type="dxa"/>
            <w:vAlign w:val="bottom"/>
            <w:tcBorders>
              <w:bottom w:val="single" w:sz="8" w:color="F1EFEC"/>
            </w:tcBorders>
            <w:shd w:val="clear" w:color="auto" w:fill="F1EFEC"/>
          </w:tcPr>
          <w:p>
            <w:pPr>
              <w:ind w:left="120"/>
              <w:spacing w:after="0"/>
              <w:rPr>
                <w:sz w:val="20"/>
                <w:szCs w:val="20"/>
                <w:color w:val="auto"/>
              </w:rPr>
            </w:pPr>
            <w:r>
              <w:rPr>
                <w:rFonts w:ascii="Arial" w:cs="Arial" w:eastAsia="Arial" w:hAnsi="Arial"/>
                <w:sz w:val="13"/>
                <w:szCs w:val="13"/>
                <w:color w:val="auto"/>
              </w:rPr>
              <w:t>Benchmarking CEO pay at Median of Peer Group</w:t>
            </w:r>
          </w:p>
        </w:tc>
        <w:tc>
          <w:tcPr>
            <w:tcW w:w="1180" w:type="dxa"/>
            <w:vAlign w:val="bottom"/>
            <w:tcBorders>
              <w:bottom w:val="single" w:sz="8" w:color="F1EFEC"/>
            </w:tcBorders>
            <w:shd w:val="clear" w:color="auto" w:fill="F1EFEC"/>
          </w:tcPr>
          <w:p>
            <w:pPr>
              <w:spacing w:after="0"/>
              <w:rPr>
                <w:sz w:val="24"/>
                <w:szCs w:val="24"/>
                <w:color w:val="auto"/>
              </w:rPr>
            </w:pPr>
          </w:p>
        </w:tc>
        <w:tc>
          <w:tcPr>
            <w:tcW w:w="106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16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020" w:type="dxa"/>
            <w:vAlign w:val="bottom"/>
            <w:tcBorders>
              <w:bottom w:val="single" w:sz="8" w:color="F1EFEC"/>
            </w:tcBorders>
            <w:shd w:val="clear" w:color="auto" w:fill="F1EFEC"/>
          </w:tcPr>
          <w:p>
            <w:pPr>
              <w:spacing w:after="0"/>
              <w:rPr>
                <w:sz w:val="24"/>
                <w:szCs w:val="24"/>
                <w:color w:val="auto"/>
              </w:rPr>
            </w:pPr>
          </w:p>
        </w:tc>
        <w:tc>
          <w:tcPr>
            <w:tcW w:w="960" w:type="dxa"/>
            <w:vAlign w:val="bottom"/>
            <w:tcBorders>
              <w:bottom w:val="single" w:sz="8" w:color="F1EFEC"/>
            </w:tcBorders>
            <w:shd w:val="clear" w:color="auto" w:fill="F1EFEC"/>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60" w:type="dxa"/>
            <w:vAlign w:val="bottom"/>
            <w:gridSpan w:val="2"/>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Stock Ownership Guidelines for all NEOs</w:t>
            </w:r>
          </w:p>
        </w:tc>
        <w:tc>
          <w:tcPr>
            <w:tcW w:w="1180" w:type="dxa"/>
            <w:vAlign w:val="bottom"/>
          </w:tcPr>
          <w:p>
            <w:pPr>
              <w:spacing w:after="0"/>
              <w:rPr>
                <w:sz w:val="21"/>
                <w:szCs w:val="21"/>
                <w:color w:val="auto"/>
              </w:rPr>
            </w:pPr>
          </w:p>
        </w:tc>
        <w:tc>
          <w:tcPr>
            <w:tcW w:w="10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160" w:type="dxa"/>
            <w:vAlign w:val="bottom"/>
          </w:tcPr>
          <w:p>
            <w:pPr>
              <w:spacing w:after="0"/>
              <w:rPr>
                <w:sz w:val="21"/>
                <w:szCs w:val="21"/>
                <w:color w:val="auto"/>
              </w:rPr>
            </w:pPr>
          </w:p>
        </w:tc>
        <w:tc>
          <w:tcPr>
            <w:tcW w:w="10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9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53"/>
        </w:trPr>
        <w:tc>
          <w:tcPr>
            <w:tcW w:w="3380" w:type="dxa"/>
            <w:vAlign w:val="bottom"/>
            <w:gridSpan w:val="3"/>
          </w:tcPr>
          <w:p>
            <w:pPr>
              <w:spacing w:after="0"/>
              <w:rPr>
                <w:sz w:val="20"/>
                <w:szCs w:val="20"/>
                <w:color w:val="auto"/>
              </w:rPr>
            </w:pPr>
            <w:r>
              <w:rPr>
                <w:rFonts w:ascii="Arial" w:cs="Arial" w:eastAsia="Arial" w:hAnsi="Arial"/>
                <w:sz w:val="10"/>
                <w:szCs w:val="10"/>
                <w:color w:val="auto"/>
              </w:rPr>
              <w:t>(1) Based on the total direct compensation for our NEOs during 2025.</w:t>
            </w: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bl>
    <w:p>
      <w:pPr>
        <w:sectPr>
          <w:pgSz w:w="11900" w:h="16838" w:orient="portrait"/>
          <w:cols w:equalWidth="0" w:num="1">
            <w:col w:w="10159"/>
          </w:cols>
          <w:pgMar w:left="300" w:top="41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PAY AND PERFORMANCE</w:t>
      </w:r>
    </w:p>
    <w:p>
      <w:pPr>
        <w:spacing w:after="0" w:line="284" w:lineRule="exact"/>
        <w:rPr>
          <w:sz w:val="20"/>
          <w:szCs w:val="20"/>
          <w:color w:val="auto"/>
        </w:rPr>
      </w:pPr>
    </w:p>
    <w:p>
      <w:pPr>
        <w:ind w:left="1260" w:right="239"/>
        <w:spacing w:after="0" w:line="228" w:lineRule="auto"/>
        <w:rPr>
          <w:sz w:val="20"/>
          <w:szCs w:val="20"/>
          <w:color w:val="auto"/>
        </w:rPr>
      </w:pPr>
      <w:r>
        <w:rPr>
          <w:rFonts w:ascii="Arial" w:cs="Arial" w:eastAsia="Arial" w:hAnsi="Arial"/>
          <w:sz w:val="13"/>
          <w:szCs w:val="13"/>
          <w:color w:val="auto"/>
        </w:rPr>
        <w:t>Our year-to-year performance can be significantly impacted by market factors, geopolitical events and investor sentiment. Since our initial public offering in October 2002, the Company has averaged a 13% annual TSR (including reinvestment of dividends), which is above the TSR of both the S&amp;P 500 (approximately 11% average annual TSR) and in line with the S&amp;P Consumer Discretionary Index (approximately 12% average annual TSR) over the same time period. Despite our exposure to strong external factors, we have also delivered an average annual TSR nearly three-and-a-half-times our closest industry peers.</w:t>
      </w:r>
      <w:r>
        <w:rPr>
          <w:rFonts w:ascii="Arial" w:cs="Arial" w:eastAsia="Arial" w:hAnsi="Arial"/>
          <w:sz w:val="19"/>
          <w:szCs w:val="19"/>
          <w:color w:val="auto"/>
          <w:vertAlign w:val="superscript"/>
        </w:rPr>
        <w:t>(1)</w:t>
      </w:r>
      <w:r>
        <w:rPr>
          <w:rFonts w:ascii="Arial" w:cs="Arial" w:eastAsia="Arial" w:hAnsi="Arial"/>
          <w:sz w:val="13"/>
          <w:szCs w:val="13"/>
          <w:color w:val="auto"/>
        </w:rPr>
        <w:t xml:space="preserve"> We believe these results are driven by our focused, long-term investment in our properties and by our relentless dedication to delivering the industry’s best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118745</wp:posOffset>
            </wp:positionV>
            <wp:extent cx="5586730" cy="30454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86730" cy="304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60" w:right="219" w:firstLine="7"/>
        <w:spacing w:after="0" w:line="242" w:lineRule="auto"/>
        <w:tabs>
          <w:tab w:leader="none" w:pos="1410" w:val="left"/>
        </w:tabs>
        <w:numPr>
          <w:ilvl w:val="0"/>
          <w:numId w:val="22"/>
        </w:numPr>
        <w:rPr>
          <w:rFonts w:ascii="Arial" w:cs="Arial" w:eastAsia="Arial" w:hAnsi="Arial"/>
          <w:sz w:val="10"/>
          <w:szCs w:val="10"/>
          <w:color w:val="auto"/>
        </w:rPr>
      </w:pPr>
      <w:r>
        <w:rPr>
          <w:rFonts w:ascii="Arial" w:cs="Arial" w:eastAsia="Arial" w:hAnsi="Arial"/>
          <w:sz w:val="10"/>
          <w:szCs w:val="10"/>
          <w:color w:val="auto"/>
        </w:rPr>
        <w:t>Industry peers reflect Las Vegas Sands and MGM Resorts. Las Vegas Sands’ TSR is measured from the market close on the day of their IPO on December 15, 2004 (average annual TSR of approximately 3.8%). MGM Resorts’ TSR is measured from the close on the date of Wynn Resorts’ IPO on October 25, 2002 (average annual TSR of approximately 3.9%) through the market close on December 31, 2025.</w:t>
      </w: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Our Key Accomplishments in 2025 Include:</w:t>
      </w:r>
    </w:p>
    <w:p>
      <w:pPr>
        <w:spacing w:after="0" w:line="310" w:lineRule="exact"/>
        <w:rPr>
          <w:sz w:val="20"/>
          <w:szCs w:val="20"/>
          <w:color w:val="auto"/>
        </w:rPr>
      </w:pPr>
    </w:p>
    <w:p>
      <w:pPr>
        <w:ind w:left="1440" w:right="279" w:hanging="173"/>
        <w:spacing w:after="0" w:line="256" w:lineRule="auto"/>
        <w:tabs>
          <w:tab w:leader="none" w:pos="1440" w:val="left"/>
        </w:tabs>
        <w:numPr>
          <w:ilvl w:val="0"/>
          <w:numId w:val="23"/>
        </w:numPr>
        <w:rPr>
          <w:rFonts w:ascii="Arial" w:cs="Arial" w:eastAsia="Arial" w:hAnsi="Arial"/>
          <w:sz w:val="13"/>
          <w:szCs w:val="13"/>
          <w:color w:val="auto"/>
        </w:rPr>
      </w:pPr>
      <w:r>
        <w:rPr>
          <w:rFonts w:ascii="Arial" w:cs="Arial" w:eastAsia="Arial" w:hAnsi="Arial"/>
          <w:sz w:val="13"/>
          <w:szCs w:val="13"/>
          <w:color w:val="B9AFA0"/>
        </w:rPr>
        <w:t xml:space="preserve">STRONG RESULTS IN LAS VEGAS. </w:t>
      </w:r>
      <w:r>
        <w:rPr>
          <w:rFonts w:ascii="Arial" w:cs="Arial" w:eastAsia="Arial" w:hAnsi="Arial"/>
          <w:sz w:val="13"/>
          <w:szCs w:val="13"/>
          <w:color w:val="000000"/>
        </w:rPr>
        <w:t>Our Las Vegas Operations reported another strong year of Property EBITDAR at $902.4 million, highlighted by</w:t>
      </w:r>
      <w:r>
        <w:rPr>
          <w:rFonts w:ascii="Arial" w:cs="Arial" w:eastAsia="Arial" w:hAnsi="Arial"/>
          <w:sz w:val="13"/>
          <w:szCs w:val="13"/>
          <w:color w:val="B9AFA0"/>
        </w:rPr>
        <w:t xml:space="preserve"> </w:t>
      </w:r>
      <w:r>
        <w:rPr>
          <w:rFonts w:ascii="Arial" w:cs="Arial" w:eastAsia="Arial" w:hAnsi="Arial"/>
          <w:sz w:val="13"/>
          <w:szCs w:val="13"/>
          <w:color w:val="000000"/>
        </w:rPr>
        <w:t>ongoing market share gains. We continue to make targeted high-return investments across key areas of the property including new restaurant openings, the addition of culinary pop-ups and a full remodel of our luxury villas.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0159"/>
          </w:cols>
          <w:pgMar w:left="300" w:top="412"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40" w:right="499" w:hanging="173"/>
        <w:spacing w:after="0" w:line="271" w:lineRule="auto"/>
        <w:tabs>
          <w:tab w:leader="none" w:pos="1440" w:val="left"/>
        </w:tabs>
        <w:numPr>
          <w:ilvl w:val="0"/>
          <w:numId w:val="24"/>
        </w:numPr>
        <w:rPr>
          <w:rFonts w:ascii="Arial" w:cs="Arial" w:eastAsia="Arial" w:hAnsi="Arial"/>
          <w:sz w:val="13"/>
          <w:szCs w:val="13"/>
          <w:color w:val="auto"/>
        </w:rPr>
      </w:pPr>
      <w:r>
        <w:rPr>
          <w:rFonts w:ascii="Arial" w:cs="Arial" w:eastAsia="Arial" w:hAnsi="Arial"/>
          <w:sz w:val="13"/>
          <w:szCs w:val="13"/>
          <w:color w:val="B9AFA0"/>
        </w:rPr>
        <w:t xml:space="preserve">RECORD SLOT REVENUES IN BOSTON: </w:t>
      </w:r>
      <w:r>
        <w:rPr>
          <w:rFonts w:ascii="Arial" w:cs="Arial" w:eastAsia="Arial" w:hAnsi="Arial"/>
          <w:sz w:val="13"/>
          <w:szCs w:val="13"/>
          <w:color w:val="000000"/>
        </w:rPr>
        <w:t>In Boston, set a new annual record for slot revenues of $438.6 million, a 3.4% increase over the prior</w:t>
      </w:r>
      <w:r>
        <w:rPr>
          <w:rFonts w:ascii="Arial" w:cs="Arial" w:eastAsia="Arial" w:hAnsi="Arial"/>
          <w:sz w:val="13"/>
          <w:szCs w:val="13"/>
          <w:color w:val="B9AFA0"/>
        </w:rPr>
        <w:t xml:space="preserve"> </w:t>
      </w:r>
      <w:r>
        <w:rPr>
          <w:rFonts w:ascii="Arial" w:cs="Arial" w:eastAsia="Arial" w:hAnsi="Arial"/>
          <w:sz w:val="13"/>
          <w:szCs w:val="13"/>
          <w:color w:val="000000"/>
        </w:rPr>
        <w:t>record of $424.2 million</w:t>
      </w:r>
    </w:p>
    <w:p>
      <w:pPr>
        <w:spacing w:after="0" w:line="155" w:lineRule="exact"/>
        <w:rPr>
          <w:rFonts w:ascii="Arial" w:cs="Arial" w:eastAsia="Arial" w:hAnsi="Arial"/>
          <w:sz w:val="13"/>
          <w:szCs w:val="13"/>
          <w:color w:val="auto"/>
        </w:rPr>
      </w:pPr>
    </w:p>
    <w:p>
      <w:pPr>
        <w:ind w:left="1440" w:right="179" w:hanging="173"/>
        <w:spacing w:after="0" w:line="222" w:lineRule="auto"/>
        <w:tabs>
          <w:tab w:leader="none" w:pos="1440" w:val="left"/>
        </w:tabs>
        <w:numPr>
          <w:ilvl w:val="0"/>
          <w:numId w:val="24"/>
        </w:numPr>
        <w:rPr>
          <w:rFonts w:ascii="Arial" w:cs="Arial" w:eastAsia="Arial" w:hAnsi="Arial"/>
          <w:sz w:val="13"/>
          <w:szCs w:val="13"/>
          <w:color w:val="auto"/>
        </w:rPr>
      </w:pPr>
      <w:r>
        <w:rPr>
          <w:rFonts w:ascii="Arial" w:cs="Arial" w:eastAsia="Arial" w:hAnsi="Arial"/>
          <w:sz w:val="13"/>
          <w:szCs w:val="13"/>
          <w:color w:val="B9AFA0"/>
        </w:rPr>
        <w:t xml:space="preserve">CELEBRATED A MILESTONE. </w:t>
      </w:r>
      <w:r>
        <w:rPr>
          <w:rFonts w:ascii="Arial" w:cs="Arial" w:eastAsia="Arial" w:hAnsi="Arial"/>
          <w:sz w:val="13"/>
          <w:szCs w:val="13"/>
          <w:color w:val="000000"/>
        </w:rPr>
        <w:t>In April, we celebrated the 20</w:t>
      </w:r>
      <w:r>
        <w:rPr>
          <w:rFonts w:ascii="Arial" w:cs="Arial" w:eastAsia="Arial" w:hAnsi="Arial"/>
          <w:sz w:val="19"/>
          <w:szCs w:val="19"/>
          <w:color w:val="000000"/>
          <w:vertAlign w:val="superscript"/>
        </w:rPr>
        <w:t>th</w:t>
      </w:r>
      <w:r>
        <w:rPr>
          <w:rFonts w:ascii="Arial" w:cs="Arial" w:eastAsia="Arial" w:hAnsi="Arial"/>
          <w:sz w:val="13"/>
          <w:szCs w:val="13"/>
          <w:color w:val="B9AFA0"/>
        </w:rPr>
        <w:t xml:space="preserve"> </w:t>
      </w:r>
      <w:r>
        <w:rPr>
          <w:rFonts w:ascii="Arial" w:cs="Arial" w:eastAsia="Arial" w:hAnsi="Arial"/>
          <w:sz w:val="13"/>
          <w:szCs w:val="13"/>
          <w:color w:val="000000"/>
        </w:rPr>
        <w:t>anniversary of our iconic Wynn Las Vegas resort. As part of those celebrations,</w:t>
      </w:r>
      <w:r>
        <w:rPr>
          <w:rFonts w:ascii="Arial" w:cs="Arial" w:eastAsia="Arial" w:hAnsi="Arial"/>
          <w:sz w:val="13"/>
          <w:szCs w:val="13"/>
          <w:color w:val="B9AFA0"/>
        </w:rPr>
        <w:t xml:space="preserve"> </w:t>
      </w:r>
      <w:r>
        <w:rPr>
          <w:rFonts w:ascii="Arial" w:cs="Arial" w:eastAsia="Arial" w:hAnsi="Arial"/>
          <w:sz w:val="13"/>
          <w:szCs w:val="13"/>
          <w:color w:val="000000"/>
        </w:rPr>
        <w:t>approximately 1,700 Day-One employees were honored with a red-carpet gala hosted at Allegiant Stadium. As a further showing of appreciation, each Day-One team member was issued a one-time stock grant of $10,000 in recognition of their two decades of loyal service to Wynn Resorts and our guests.</w:t>
      </w:r>
    </w:p>
    <w:p>
      <w:pPr>
        <w:spacing w:after="0" w:line="177" w:lineRule="exact"/>
        <w:rPr>
          <w:rFonts w:ascii="Arial" w:cs="Arial" w:eastAsia="Arial" w:hAnsi="Arial"/>
          <w:sz w:val="13"/>
          <w:szCs w:val="13"/>
          <w:color w:val="auto"/>
        </w:rPr>
      </w:pPr>
    </w:p>
    <w:p>
      <w:pPr>
        <w:ind w:left="1440" w:right="199" w:hanging="173"/>
        <w:spacing w:after="0" w:line="256" w:lineRule="auto"/>
        <w:tabs>
          <w:tab w:leader="none" w:pos="1440" w:val="left"/>
        </w:tabs>
        <w:numPr>
          <w:ilvl w:val="0"/>
          <w:numId w:val="24"/>
        </w:numPr>
        <w:rPr>
          <w:rFonts w:ascii="Arial" w:cs="Arial" w:eastAsia="Arial" w:hAnsi="Arial"/>
          <w:sz w:val="13"/>
          <w:szCs w:val="13"/>
          <w:color w:val="auto"/>
        </w:rPr>
      </w:pPr>
      <w:r>
        <w:rPr>
          <w:rFonts w:ascii="Arial" w:cs="Arial" w:eastAsia="Arial" w:hAnsi="Arial"/>
          <w:sz w:val="13"/>
          <w:szCs w:val="13"/>
          <w:color w:val="B9AFA0"/>
        </w:rPr>
        <w:t xml:space="preserve">CONTINUED BUSINESS GROWTH IN MACAU. </w:t>
      </w:r>
      <w:r>
        <w:rPr>
          <w:rFonts w:ascii="Arial" w:cs="Arial" w:eastAsia="Arial" w:hAnsi="Arial"/>
          <w:sz w:val="13"/>
          <w:szCs w:val="13"/>
          <w:color w:val="000000"/>
        </w:rPr>
        <w:t>As visitation and demand continue to grow in the Macau market, our team delivered Adjusted</w:t>
      </w:r>
      <w:r>
        <w:rPr>
          <w:rFonts w:ascii="Arial" w:cs="Arial" w:eastAsia="Arial" w:hAnsi="Arial"/>
          <w:sz w:val="13"/>
          <w:szCs w:val="13"/>
          <w:color w:val="B9AFA0"/>
        </w:rPr>
        <w:t xml:space="preserve"> </w:t>
      </w:r>
      <w:r>
        <w:rPr>
          <w:rFonts w:ascii="Arial" w:cs="Arial" w:eastAsia="Arial" w:hAnsi="Arial"/>
          <w:sz w:val="13"/>
          <w:szCs w:val="13"/>
          <w:color w:val="000000"/>
        </w:rPr>
        <w:t>Property EBITDAR of $1,085 million during the year. Several new non-gaming amenities helped drive visitation, including the new Gourmet Pavilion at Wynn Palace which opened in May.</w:t>
      </w:r>
    </w:p>
    <w:p>
      <w:pPr>
        <w:spacing w:after="0" w:line="165" w:lineRule="exact"/>
        <w:rPr>
          <w:rFonts w:ascii="Arial" w:cs="Arial" w:eastAsia="Arial" w:hAnsi="Arial"/>
          <w:sz w:val="13"/>
          <w:szCs w:val="13"/>
          <w:color w:val="auto"/>
        </w:rPr>
      </w:pPr>
    </w:p>
    <w:p>
      <w:pPr>
        <w:ind w:left="1440" w:right="159" w:hanging="173"/>
        <w:spacing w:after="0" w:line="247" w:lineRule="auto"/>
        <w:tabs>
          <w:tab w:leader="none" w:pos="1440" w:val="left"/>
        </w:tabs>
        <w:numPr>
          <w:ilvl w:val="0"/>
          <w:numId w:val="24"/>
        </w:numPr>
        <w:rPr>
          <w:rFonts w:ascii="Arial" w:cs="Arial" w:eastAsia="Arial" w:hAnsi="Arial"/>
          <w:sz w:val="13"/>
          <w:szCs w:val="13"/>
          <w:color w:val="auto"/>
        </w:rPr>
      </w:pPr>
      <w:r>
        <w:rPr>
          <w:rFonts w:ascii="Arial" w:cs="Arial" w:eastAsia="Arial" w:hAnsi="Arial"/>
          <w:sz w:val="13"/>
          <w:szCs w:val="13"/>
          <w:color w:val="B9AFA0"/>
        </w:rPr>
        <w:t xml:space="preserve">CONTINUED PURSUIT OF LONG-TERM GROWTH PROJECTS. </w:t>
      </w:r>
      <w:r>
        <w:rPr>
          <w:rFonts w:ascii="Arial" w:cs="Arial" w:eastAsia="Arial" w:hAnsi="Arial"/>
          <w:sz w:val="13"/>
          <w:szCs w:val="13"/>
          <w:color w:val="000000"/>
        </w:rPr>
        <w:t>We continue to pursue high-return development opportunities to drive long-term</w:t>
      </w:r>
      <w:r>
        <w:rPr>
          <w:rFonts w:ascii="Arial" w:cs="Arial" w:eastAsia="Arial" w:hAnsi="Arial"/>
          <w:sz w:val="13"/>
          <w:szCs w:val="13"/>
          <w:color w:val="B9AFA0"/>
        </w:rPr>
        <w:t xml:space="preserve"> </w:t>
      </w:r>
      <w:r>
        <w:rPr>
          <w:rFonts w:ascii="Arial" w:cs="Arial" w:eastAsia="Arial" w:hAnsi="Arial"/>
          <w:sz w:val="13"/>
          <w:szCs w:val="13"/>
          <w:color w:val="000000"/>
        </w:rPr>
        <w:t>growth and increase shareholder value. Key accomplishments include, but are not limited to: (1) Making considerable progress on the construction of Wynn Al Marjan Island, our planned integrated resort in the UAE of which we own 40%, where construction has now topped out at 283 meters in height across 70 floors; (2) the acquisition and integration of Wynn Mayfair into our global portfolio, securing a footprint in Europe to support the launch of Wynn Al Marjan Island; and (3) advancing the development of innovative new non-gaming projects in Macau related to our new 10-year gaming concession, including the opening of the Gourmet Pavillion at Wynn Palace.</w:t>
      </w:r>
    </w:p>
    <w:p>
      <w:pPr>
        <w:spacing w:after="0" w:line="171" w:lineRule="exact"/>
        <w:rPr>
          <w:rFonts w:ascii="Arial" w:cs="Arial" w:eastAsia="Arial" w:hAnsi="Arial"/>
          <w:sz w:val="13"/>
          <w:szCs w:val="13"/>
          <w:color w:val="auto"/>
        </w:rPr>
      </w:pPr>
    </w:p>
    <w:p>
      <w:pPr>
        <w:ind w:left="1440" w:right="239" w:hanging="173"/>
        <w:spacing w:after="0" w:line="247" w:lineRule="auto"/>
        <w:tabs>
          <w:tab w:leader="none" w:pos="1440" w:val="left"/>
        </w:tabs>
        <w:numPr>
          <w:ilvl w:val="0"/>
          <w:numId w:val="24"/>
        </w:numPr>
        <w:rPr>
          <w:rFonts w:ascii="Arial" w:cs="Arial" w:eastAsia="Arial" w:hAnsi="Arial"/>
          <w:sz w:val="13"/>
          <w:szCs w:val="13"/>
          <w:color w:val="auto"/>
        </w:rPr>
      </w:pPr>
      <w:r>
        <w:rPr>
          <w:rFonts w:ascii="Arial" w:cs="Arial" w:eastAsia="Arial" w:hAnsi="Arial"/>
          <w:sz w:val="13"/>
          <w:szCs w:val="13"/>
          <w:color w:val="B9AFA0"/>
        </w:rPr>
        <w:t xml:space="preserve">ENHANCED BALANCE SHEET AND FINANCIAL FLEXIBILITY. </w:t>
      </w:r>
      <w:r>
        <w:rPr>
          <w:rFonts w:ascii="Arial" w:cs="Arial" w:eastAsia="Arial" w:hAnsi="Arial"/>
          <w:sz w:val="13"/>
          <w:szCs w:val="13"/>
          <w:color w:val="000000"/>
        </w:rPr>
        <w:t>Through several strategic capital markets transactions, we upsized our total revolver</w:t>
      </w:r>
      <w:r>
        <w:rPr>
          <w:rFonts w:ascii="Arial" w:cs="Arial" w:eastAsia="Arial" w:hAnsi="Arial"/>
          <w:sz w:val="13"/>
          <w:szCs w:val="13"/>
          <w:color w:val="B9AFA0"/>
        </w:rPr>
        <w:t xml:space="preserve"> </w:t>
      </w:r>
      <w:r>
        <w:rPr>
          <w:rFonts w:ascii="Arial" w:cs="Arial" w:eastAsia="Arial" w:hAnsi="Arial"/>
          <w:sz w:val="13"/>
          <w:szCs w:val="13"/>
          <w:color w:val="000000"/>
        </w:rPr>
        <w:t>capacity by $1.5 billion, inclusive of the Wynn Resorts Finance upsize of $500 million and Wynn Macau Cayman II upsize of $1 billion. We meaningfully extended our maturity profile across the business by extending the Wynn Resorts Finance Credit Facility by three years to 2030 and refinancing our Wynn Macau, Limited Notes due 2026 with new notes due 2034. As of December 31, 2025, our consolidated lease-adjusted net leverage was approximately 4.4x, and we had $4.7 billion of total liquidity (cash and cash equivalents, short-term investments and borrowing capacity under our credit facilities), reflecting an incremental $1.2 billion of total liquidity compared to year-end 2024.</w:t>
      </w:r>
    </w:p>
    <w:p>
      <w:pPr>
        <w:spacing w:after="0" w:line="171" w:lineRule="exact"/>
        <w:rPr>
          <w:rFonts w:ascii="Arial" w:cs="Arial" w:eastAsia="Arial" w:hAnsi="Arial"/>
          <w:sz w:val="13"/>
          <w:szCs w:val="13"/>
          <w:color w:val="auto"/>
        </w:rPr>
      </w:pPr>
    </w:p>
    <w:p>
      <w:pPr>
        <w:ind w:left="1440" w:right="179" w:hanging="173"/>
        <w:spacing w:after="0" w:line="248" w:lineRule="auto"/>
        <w:tabs>
          <w:tab w:leader="none" w:pos="1440" w:val="left"/>
        </w:tabs>
        <w:numPr>
          <w:ilvl w:val="0"/>
          <w:numId w:val="24"/>
        </w:numPr>
        <w:rPr>
          <w:rFonts w:ascii="Arial" w:cs="Arial" w:eastAsia="Arial" w:hAnsi="Arial"/>
          <w:sz w:val="13"/>
          <w:szCs w:val="13"/>
          <w:color w:val="auto"/>
        </w:rPr>
      </w:pPr>
      <w:r>
        <w:rPr>
          <w:rFonts w:ascii="Arial" w:cs="Arial" w:eastAsia="Arial" w:hAnsi="Arial"/>
          <w:sz w:val="13"/>
          <w:szCs w:val="13"/>
          <w:color w:val="B9AFA0"/>
        </w:rPr>
        <w:t xml:space="preserve">ENHANCED INVESTOR RELATIONS STRATEGY AND TEAM. </w:t>
      </w:r>
      <w:r>
        <w:rPr>
          <w:rFonts w:ascii="Arial" w:cs="Arial" w:eastAsia="Arial" w:hAnsi="Arial"/>
          <w:sz w:val="13"/>
          <w:szCs w:val="13"/>
          <w:color w:val="000000"/>
        </w:rPr>
        <w:t>We remain committed to continued regular shareholder engagement and are proud of</w:t>
      </w:r>
      <w:r>
        <w:rPr>
          <w:rFonts w:ascii="Arial" w:cs="Arial" w:eastAsia="Arial" w:hAnsi="Arial"/>
          <w:sz w:val="13"/>
          <w:szCs w:val="13"/>
          <w:color w:val="B9AFA0"/>
        </w:rPr>
        <w:t xml:space="preserve"> </w:t>
      </w:r>
      <w:r>
        <w:rPr>
          <w:rFonts w:ascii="Arial" w:cs="Arial" w:eastAsia="Arial" w:hAnsi="Arial"/>
          <w:sz w:val="13"/>
          <w:szCs w:val="13"/>
          <w:color w:val="000000"/>
        </w:rPr>
        <w:t>our track record of responsiveness. In line with this commitment, we hired a seasoned Investor Relations professional as VP of Investor Relations who joined us in early 2025. As part of the effort to improve shareholder engagement, we hosted our first in-market Investor Day in the UAE showcasing Wynn Al Marjan Island, which was attended by investors and nearly all of our sell-side research analysts, representing some of the world’s largest asset managers.</w:t>
      </w:r>
    </w:p>
    <w:p>
      <w:pPr>
        <w:spacing w:after="0" w:line="171" w:lineRule="exact"/>
        <w:rPr>
          <w:rFonts w:ascii="Arial" w:cs="Arial" w:eastAsia="Arial" w:hAnsi="Arial"/>
          <w:sz w:val="13"/>
          <w:szCs w:val="13"/>
          <w:color w:val="auto"/>
        </w:rPr>
      </w:pPr>
    </w:p>
    <w:p>
      <w:pPr>
        <w:ind w:left="1440" w:right="179" w:hanging="173"/>
        <w:spacing w:after="0" w:line="278" w:lineRule="auto"/>
        <w:tabs>
          <w:tab w:leader="none" w:pos="1440" w:val="left"/>
        </w:tabs>
        <w:numPr>
          <w:ilvl w:val="0"/>
          <w:numId w:val="24"/>
        </w:numPr>
        <w:rPr>
          <w:rFonts w:ascii="Arial" w:cs="Arial" w:eastAsia="Arial" w:hAnsi="Arial"/>
          <w:sz w:val="12"/>
          <w:szCs w:val="12"/>
          <w:color w:val="auto"/>
        </w:rPr>
      </w:pPr>
      <w:r>
        <w:rPr>
          <w:rFonts w:ascii="Arial" w:cs="Arial" w:eastAsia="Arial" w:hAnsi="Arial"/>
          <w:sz w:val="12"/>
          <w:szCs w:val="12"/>
          <w:color w:val="B9AFA0"/>
        </w:rPr>
        <w:t xml:space="preserve">MAINTAINED CAPITAL RETURN TO SHAREHOLDERS. </w:t>
      </w:r>
      <w:r>
        <w:rPr>
          <w:rFonts w:ascii="Arial" w:cs="Arial" w:eastAsia="Arial" w:hAnsi="Arial"/>
          <w:sz w:val="12"/>
          <w:szCs w:val="12"/>
          <w:color w:val="000000"/>
        </w:rPr>
        <w:t>Our business continues to generate healthy discretionary free cash flow globally. This has</w:t>
      </w:r>
      <w:r>
        <w:rPr>
          <w:rFonts w:ascii="Arial" w:cs="Arial" w:eastAsia="Arial" w:hAnsi="Arial"/>
          <w:sz w:val="12"/>
          <w:szCs w:val="12"/>
          <w:color w:val="B9AFA0"/>
        </w:rPr>
        <w:t xml:space="preserve"> </w:t>
      </w:r>
      <w:r>
        <w:rPr>
          <w:rFonts w:ascii="Arial" w:cs="Arial" w:eastAsia="Arial" w:hAnsi="Arial"/>
          <w:sz w:val="12"/>
          <w:szCs w:val="12"/>
          <w:color w:val="000000"/>
        </w:rPr>
        <w:t>allowed us to increase capital return to shareholders while also investing in high-return growth opportunities to drive long-term growth and shareholder value. As a result, we maintained Wynn Resorts’ quarterly dividend at $0.25 per share (having resumed it during 2023, following the 2020 pandemic-related suspension), and opportunistically repurchased 4.37 million common shares during 2025 at an aggregate cost of $358 million.</w:t>
      </w:r>
    </w:p>
    <w:p>
      <w:pPr>
        <w:spacing w:after="0" w:line="79"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0159"/>
          </w:cols>
          <w:pgMar w:left="300" w:top="412"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40" w:right="159" w:hanging="173"/>
        <w:spacing w:after="0" w:line="253" w:lineRule="auto"/>
        <w:tabs>
          <w:tab w:leader="none" w:pos="1440" w:val="left"/>
        </w:tabs>
        <w:numPr>
          <w:ilvl w:val="0"/>
          <w:numId w:val="25"/>
        </w:numPr>
        <w:rPr>
          <w:rFonts w:ascii="Arial" w:cs="Arial" w:eastAsia="Arial" w:hAnsi="Arial"/>
          <w:sz w:val="12"/>
          <w:szCs w:val="12"/>
          <w:color w:val="auto"/>
        </w:rPr>
      </w:pPr>
      <w:r>
        <w:rPr>
          <w:rFonts w:ascii="Arial" w:cs="Arial" w:eastAsia="Arial" w:hAnsi="Arial"/>
          <w:sz w:val="12"/>
          <w:szCs w:val="12"/>
          <w:color w:val="B9AFA0"/>
        </w:rPr>
        <w:t xml:space="preserve">CONTINUED RECOGNITION AS THE WORLD’S PREEMINENT LUXURY INTEGRATED RESORT COMPANY. </w:t>
      </w:r>
      <w:r>
        <w:rPr>
          <w:rFonts w:ascii="Arial" w:cs="Arial" w:eastAsia="Arial" w:hAnsi="Arial"/>
          <w:sz w:val="12"/>
          <w:szCs w:val="12"/>
          <w:color w:val="000000"/>
        </w:rPr>
        <w:t>With a combined 18 Forbes Travel</w:t>
      </w:r>
      <w:r>
        <w:rPr>
          <w:rFonts w:ascii="Arial" w:cs="Arial" w:eastAsia="Arial" w:hAnsi="Arial"/>
          <w:sz w:val="12"/>
          <w:szCs w:val="12"/>
          <w:color w:val="B9AFA0"/>
        </w:rPr>
        <w:t xml:space="preserve"> </w:t>
      </w:r>
      <w:r>
        <w:rPr>
          <w:rFonts w:ascii="Arial" w:cs="Arial" w:eastAsia="Arial" w:hAnsi="Arial"/>
          <w:sz w:val="12"/>
          <w:szCs w:val="12"/>
          <w:color w:val="000000"/>
        </w:rPr>
        <w:t>Guide Five-Star Awards in 2026 across our global portfolio, Wynn Resorts has the longest-running Forbes Travel Guide Five-Star Awards of all independent hotel companies in the world, as well as more Forbes Five-Star Awards across more destinations than any other independent hotel company in the world. Our Macau resorts were awarded 11 FTG Five-Star Awards, with Wynn Macau receiving 5 and Wynn Palace receiving 6 Forbes Travel Five-Star Awards. In the US, Wing Lei at Wynn Las Vegas remains the only FTG Five-Star Chinese restaurant in North America. Encore Boston Harbor was awarded 2 FTG Five-Star Awards. Wynn Resorts was also named to Forbes Magazine’s Most Trusted Companies in America list for the Casino and Resorts category and was honored to be included for the 18</w:t>
      </w:r>
      <w:r>
        <w:rPr>
          <w:rFonts w:ascii="Arial" w:cs="Arial" w:eastAsia="Arial" w:hAnsi="Arial"/>
          <w:sz w:val="18"/>
          <w:szCs w:val="18"/>
          <w:color w:val="000000"/>
          <w:vertAlign w:val="superscript"/>
        </w:rPr>
        <w:t>th</w:t>
      </w:r>
      <w:r>
        <w:rPr>
          <w:rFonts w:ascii="Arial" w:cs="Arial" w:eastAsia="Arial" w:hAnsi="Arial"/>
          <w:sz w:val="12"/>
          <w:szCs w:val="12"/>
          <w:color w:val="000000"/>
        </w:rPr>
        <w:t xml:space="preserve"> year on FORTUNE Magazine’s 2026 World’s Most Admired Companies list ranking third overall in the Hotels, Casinos and Resorts category. Additional accolades include recognition as one of Newsweek’s America’s Greatest Workplaces, both Nationally and in State, as well as for Women, for Culture, Belonging and Community, and for Mental Wellbeing. Wynn Resorts also received the first place in the Land-Based Operator of the Year category at the Global Gaming Awards Americas 2025 and was named to the Civic 50’s Point of Light list—which recognizes the top 50 most community-minded companies in the U.S. —for the fourth consecutive year.</w:t>
      </w: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2025 Compensation Design &amp; Decisions</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COMPENSATION MIX</w:t>
      </w:r>
    </w:p>
    <w:p>
      <w:pPr>
        <w:spacing w:after="0" w:line="273" w:lineRule="exact"/>
        <w:rPr>
          <w:sz w:val="20"/>
          <w:szCs w:val="20"/>
          <w:color w:val="auto"/>
        </w:rPr>
      </w:pPr>
    </w:p>
    <w:p>
      <w:pPr>
        <w:ind w:left="1260" w:right="199"/>
        <w:spacing w:after="0" w:line="248" w:lineRule="auto"/>
        <w:rPr>
          <w:sz w:val="20"/>
          <w:szCs w:val="20"/>
          <w:color w:val="auto"/>
        </w:rPr>
      </w:pPr>
      <w:r>
        <w:rPr>
          <w:rFonts w:ascii="Arial" w:cs="Arial" w:eastAsia="Arial" w:hAnsi="Arial"/>
          <w:sz w:val="13"/>
          <w:szCs w:val="13"/>
          <w:color w:val="auto"/>
        </w:rPr>
        <w:t>We take a multi-year approach to our business that focuses on rewarding strong near-term performance and the creation of long-term shareholder value. Because product quality and service excellence are at the core of our strategy, we use annual goals based on achieving operational excellence to highlight the critical importance of performing well each year for each guest, the most discerning in the industry. We supplement that with a set of long-term incentives and holding requirements to support the sustainability of our reputation and our ongoing returns. The charts below highlight the focus on equity and at-risk mix of the total direct compensation for our current NEOs based on 2025 compensation outcomes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115570</wp:posOffset>
            </wp:positionV>
            <wp:extent cx="5191760" cy="1567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91760" cy="156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10"/>
          <w:szCs w:val="10"/>
          <w:color w:val="auto"/>
        </w:rPr>
        <w:t>(1) Based on total direct compensation for our NEOs during 2025.</w:t>
      </w:r>
    </w:p>
    <w:p>
      <w:pPr>
        <w:spacing w:after="0" w:line="168" w:lineRule="exact"/>
        <w:rPr>
          <w:sz w:val="20"/>
          <w:szCs w:val="20"/>
          <w:color w:val="auto"/>
        </w:rPr>
      </w:pPr>
    </w:p>
    <w:p>
      <w:pPr>
        <w:ind w:left="1260" w:right="159"/>
        <w:spacing w:after="0" w:line="256" w:lineRule="auto"/>
        <w:rPr>
          <w:sz w:val="20"/>
          <w:szCs w:val="20"/>
          <w:color w:val="auto"/>
        </w:rPr>
      </w:pPr>
      <w:r>
        <w:rPr>
          <w:rFonts w:ascii="Arial" w:cs="Arial" w:eastAsia="Arial" w:hAnsi="Arial"/>
          <w:sz w:val="13"/>
          <w:szCs w:val="13"/>
          <w:color w:val="B9AFA0"/>
        </w:rPr>
        <w:t xml:space="preserve">Base Salary: </w:t>
      </w:r>
      <w:r>
        <w:rPr>
          <w:rFonts w:ascii="Arial" w:cs="Arial" w:eastAsia="Arial" w:hAnsi="Arial"/>
          <w:sz w:val="13"/>
          <w:szCs w:val="13"/>
          <w:color w:val="000000"/>
        </w:rPr>
        <w:t>Negotiated employment contracts establish our NEOs’ initial base salaries. We then review and adjust their base salaries periodically to stay</w:t>
      </w:r>
      <w:r>
        <w:rPr>
          <w:rFonts w:ascii="Arial" w:cs="Arial" w:eastAsia="Arial" w:hAnsi="Arial"/>
          <w:sz w:val="13"/>
          <w:szCs w:val="13"/>
          <w:color w:val="B9AFA0"/>
        </w:rPr>
        <w:t xml:space="preserve"> </w:t>
      </w:r>
      <w:r>
        <w:rPr>
          <w:rFonts w:ascii="Arial" w:cs="Arial" w:eastAsia="Arial" w:hAnsi="Arial"/>
          <w:sz w:val="13"/>
          <w:szCs w:val="13"/>
          <w:color w:val="000000"/>
        </w:rPr>
        <w:t>competitive, reflect improvements in performance, capabilities, and experience, and reward expansions of responsibility or other extraordinary circumstances.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0159"/>
          </w:cols>
          <w:pgMar w:left="300" w:top="41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399"/>
        <w:spacing w:after="0" w:line="271" w:lineRule="auto"/>
        <w:rPr>
          <w:sz w:val="20"/>
          <w:szCs w:val="20"/>
          <w:color w:val="auto"/>
        </w:rPr>
      </w:pPr>
      <w:r>
        <w:rPr>
          <w:rFonts w:ascii="Arial" w:cs="Arial" w:eastAsia="Arial" w:hAnsi="Arial"/>
          <w:sz w:val="13"/>
          <w:szCs w:val="13"/>
          <w:color w:val="auto"/>
        </w:rPr>
        <w:t>The table below presents the base salary actually paid for each of our NEOs in 2024 and 2025. Please see the “2025 Summary Compensation Table” below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5828665</wp:posOffset>
            </wp:positionH>
            <wp:positionV relativeFrom="paragraph">
              <wp:posOffset>105410</wp:posOffset>
            </wp:positionV>
            <wp:extent cx="6985" cy="8312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85" cy="83121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105410</wp:posOffset>
            </wp:positionV>
            <wp:extent cx="6985" cy="8312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85" cy="831215"/>
                    </a:xfrm>
                    <a:prstGeom prst="rect">
                      <a:avLst/>
                    </a:prstGeom>
                    <a:noFill/>
                  </pic:spPr>
                </pic:pic>
              </a:graphicData>
            </a:graphic>
          </wp:anchor>
        </w:drawing>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7060" w:type="dxa"/>
            <w:vAlign w:val="bottom"/>
            <w:shd w:val="clear" w:color="auto" w:fill="B9AFA0"/>
          </w:tcPr>
          <w:p>
            <w:pPr>
              <w:spacing w:after="0"/>
              <w:rPr>
                <w:sz w:val="16"/>
                <w:szCs w:val="16"/>
                <w:color w:val="auto"/>
              </w:rPr>
            </w:pPr>
          </w:p>
        </w:tc>
        <w:tc>
          <w:tcPr>
            <w:tcW w:w="880" w:type="dxa"/>
            <w:vAlign w:val="bottom"/>
            <w:gridSpan w:val="2"/>
            <w:shd w:val="clear" w:color="auto" w:fill="B9AFA0"/>
          </w:tcPr>
          <w:p>
            <w:pPr>
              <w:jc w:val="right"/>
              <w:ind w:right="56"/>
              <w:spacing w:after="0"/>
              <w:rPr>
                <w:sz w:val="20"/>
                <w:szCs w:val="20"/>
                <w:color w:val="auto"/>
              </w:rPr>
            </w:pPr>
            <w:r>
              <w:rPr>
                <w:rFonts w:ascii="Arial" w:cs="Arial" w:eastAsia="Arial" w:hAnsi="Arial"/>
                <w:sz w:val="13"/>
                <w:szCs w:val="13"/>
                <w:color w:val="FFFFFF"/>
              </w:rPr>
              <w:t>2025 BASE</w:t>
            </w:r>
          </w:p>
        </w:tc>
        <w:tc>
          <w:tcPr>
            <w:tcW w:w="800" w:type="dxa"/>
            <w:vAlign w:val="bottom"/>
            <w:gridSpan w:val="2"/>
            <w:shd w:val="clear" w:color="auto" w:fill="B9AFA0"/>
          </w:tcPr>
          <w:p>
            <w:pPr>
              <w:jc w:val="right"/>
              <w:ind w:right="16"/>
              <w:spacing w:after="0"/>
              <w:rPr>
                <w:sz w:val="20"/>
                <w:szCs w:val="20"/>
                <w:color w:val="auto"/>
              </w:rPr>
            </w:pPr>
            <w:r>
              <w:rPr>
                <w:rFonts w:ascii="Arial" w:cs="Arial" w:eastAsia="Arial" w:hAnsi="Arial"/>
                <w:sz w:val="13"/>
                <w:szCs w:val="13"/>
                <w:color w:val="FFFFFF"/>
              </w:rPr>
              <w:t>2024 BASE</w:t>
            </w:r>
          </w:p>
        </w:tc>
      </w:tr>
      <w:tr>
        <w:trPr>
          <w:trHeight w:val="194"/>
        </w:trPr>
        <w:tc>
          <w:tcPr>
            <w:tcW w:w="706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NAMED EXECUTIVE OFFICER</w:t>
            </w:r>
          </w:p>
        </w:tc>
        <w:tc>
          <w:tcPr>
            <w:tcW w:w="880" w:type="dxa"/>
            <w:vAlign w:val="bottom"/>
            <w:tcBorders>
              <w:bottom w:val="single" w:sz="8" w:color="B9AFA0"/>
            </w:tcBorders>
            <w:gridSpan w:val="2"/>
            <w:shd w:val="clear" w:color="auto" w:fill="B9AFA0"/>
          </w:tcPr>
          <w:p>
            <w:pPr>
              <w:jc w:val="right"/>
              <w:ind w:right="116"/>
              <w:spacing w:after="0"/>
              <w:rPr>
                <w:sz w:val="20"/>
                <w:szCs w:val="20"/>
                <w:color w:val="auto"/>
              </w:rPr>
            </w:pPr>
            <w:r>
              <w:rPr>
                <w:rFonts w:ascii="Arial" w:cs="Arial" w:eastAsia="Arial" w:hAnsi="Arial"/>
                <w:sz w:val="13"/>
                <w:szCs w:val="13"/>
                <w:color w:val="FFFFFF"/>
              </w:rPr>
              <w:t>SALARY </w:t>
            </w:r>
          </w:p>
        </w:tc>
        <w:tc>
          <w:tcPr>
            <w:tcW w:w="800" w:type="dxa"/>
            <w:vAlign w:val="bottom"/>
            <w:tcBorders>
              <w:bottom w:val="single" w:sz="8" w:color="B9AFA0"/>
            </w:tcBorders>
            <w:gridSpan w:val="2"/>
            <w:shd w:val="clear" w:color="auto" w:fill="B9AFA0"/>
          </w:tcPr>
          <w:p>
            <w:pPr>
              <w:jc w:val="right"/>
              <w:ind w:right="96"/>
              <w:spacing w:after="0"/>
              <w:rPr>
                <w:sz w:val="20"/>
                <w:szCs w:val="20"/>
                <w:color w:val="auto"/>
              </w:rPr>
            </w:pPr>
            <w:r>
              <w:rPr>
                <w:rFonts w:ascii="Arial" w:cs="Arial" w:eastAsia="Arial" w:hAnsi="Arial"/>
                <w:sz w:val="13"/>
                <w:szCs w:val="13"/>
                <w:color w:val="FFFFFF"/>
              </w:rPr>
              <w:t>SALARY</w:t>
            </w:r>
          </w:p>
        </w:tc>
      </w:tr>
      <w:tr>
        <w:trPr>
          <w:trHeight w:val="233"/>
        </w:trPr>
        <w:tc>
          <w:tcPr>
            <w:tcW w:w="7060" w:type="dxa"/>
            <w:vAlign w:val="bottom"/>
            <w:shd w:val="clear" w:color="auto" w:fill="F1EFEC"/>
          </w:tcPr>
          <w:p>
            <w:pPr>
              <w:ind w:left="40"/>
              <w:spacing w:after="0"/>
              <w:rPr>
                <w:sz w:val="20"/>
                <w:szCs w:val="20"/>
                <w:color w:val="auto"/>
              </w:rPr>
            </w:pPr>
            <w:r>
              <w:rPr>
                <w:rFonts w:ascii="Arial" w:cs="Arial" w:eastAsia="Arial" w:hAnsi="Arial"/>
                <w:sz w:val="13"/>
                <w:szCs w:val="13"/>
                <w:color w:val="auto"/>
              </w:rPr>
              <w:t>Craig S. Billings</w:t>
            </w:r>
          </w:p>
        </w:tc>
        <w:tc>
          <w:tcPr>
            <w:tcW w:w="200" w:type="dxa"/>
            <w:vAlign w:val="bottom"/>
            <w:shd w:val="clear" w:color="auto" w:fill="F1EF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w w:val="90"/>
              </w:rPr>
              <w:t>2,000,000 </w:t>
            </w:r>
          </w:p>
        </w:tc>
        <w:tc>
          <w:tcPr>
            <w:tcW w:w="160" w:type="dxa"/>
            <w:vAlign w:val="bottom"/>
            <w:shd w:val="clear" w:color="auto" w:fill="F1EF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1EFEC"/>
          </w:tcPr>
          <w:p>
            <w:pPr>
              <w:jc w:val="right"/>
              <w:spacing w:after="0"/>
              <w:rPr>
                <w:sz w:val="20"/>
                <w:szCs w:val="20"/>
                <w:color w:val="auto"/>
              </w:rPr>
            </w:pPr>
            <w:r>
              <w:rPr>
                <w:rFonts w:ascii="Arial" w:cs="Arial" w:eastAsia="Arial" w:hAnsi="Arial"/>
                <w:sz w:val="13"/>
                <w:szCs w:val="13"/>
                <w:color w:val="auto"/>
                <w:w w:val="96"/>
              </w:rPr>
              <w:t>2,000,000</w:t>
            </w:r>
          </w:p>
        </w:tc>
      </w:tr>
      <w:tr>
        <w:trPr>
          <w:trHeight w:val="67"/>
        </w:trPr>
        <w:tc>
          <w:tcPr>
            <w:tcW w:w="7060" w:type="dxa"/>
            <w:vAlign w:val="bottom"/>
            <w:shd w:val="clear" w:color="auto" w:fill="F1EFEC"/>
          </w:tcPr>
          <w:p>
            <w:pPr>
              <w:spacing w:after="0"/>
              <w:rPr>
                <w:sz w:val="5"/>
                <w:szCs w:val="5"/>
                <w:color w:val="auto"/>
              </w:rPr>
            </w:pPr>
          </w:p>
        </w:tc>
        <w:tc>
          <w:tcPr>
            <w:tcW w:w="200" w:type="dxa"/>
            <w:vAlign w:val="bottom"/>
            <w:shd w:val="clear" w:color="auto" w:fill="F1EFEC"/>
          </w:tcPr>
          <w:p>
            <w:pPr>
              <w:spacing w:after="0"/>
              <w:rPr>
                <w:sz w:val="5"/>
                <w:szCs w:val="5"/>
                <w:color w:val="auto"/>
              </w:rPr>
            </w:pPr>
          </w:p>
        </w:tc>
        <w:tc>
          <w:tcPr>
            <w:tcW w:w="680" w:type="dxa"/>
            <w:vAlign w:val="bottom"/>
            <w:shd w:val="clear" w:color="auto" w:fill="F1EFEC"/>
          </w:tcPr>
          <w:p>
            <w:pPr>
              <w:spacing w:after="0"/>
              <w:rPr>
                <w:sz w:val="5"/>
                <w:szCs w:val="5"/>
                <w:color w:val="auto"/>
              </w:rPr>
            </w:pPr>
          </w:p>
        </w:tc>
        <w:tc>
          <w:tcPr>
            <w:tcW w:w="160" w:type="dxa"/>
            <w:vAlign w:val="bottom"/>
            <w:shd w:val="clear" w:color="auto" w:fill="F1EFEC"/>
          </w:tcPr>
          <w:p>
            <w:pPr>
              <w:spacing w:after="0"/>
              <w:rPr>
                <w:sz w:val="5"/>
                <w:szCs w:val="5"/>
                <w:color w:val="auto"/>
              </w:rPr>
            </w:pPr>
          </w:p>
        </w:tc>
        <w:tc>
          <w:tcPr>
            <w:tcW w:w="640" w:type="dxa"/>
            <w:vAlign w:val="bottom"/>
            <w:shd w:val="clear" w:color="auto" w:fill="F1EFEC"/>
          </w:tcPr>
          <w:p>
            <w:pPr>
              <w:spacing w:after="0"/>
              <w:rPr>
                <w:sz w:val="5"/>
                <w:szCs w:val="5"/>
                <w:color w:val="auto"/>
              </w:rPr>
            </w:pPr>
          </w:p>
        </w:tc>
      </w:tr>
      <w:tr>
        <w:trPr>
          <w:trHeight w:val="233"/>
        </w:trPr>
        <w:tc>
          <w:tcPr>
            <w:tcW w:w="7060" w:type="dxa"/>
            <w:vAlign w:val="bottom"/>
          </w:tcPr>
          <w:p>
            <w:pPr>
              <w:ind w:left="40"/>
              <w:spacing w:after="0"/>
              <w:rPr>
                <w:sz w:val="20"/>
                <w:szCs w:val="20"/>
                <w:color w:val="auto"/>
              </w:rPr>
            </w:pPr>
            <w:r>
              <w:rPr>
                <w:rFonts w:ascii="Arial" w:cs="Arial" w:eastAsia="Arial" w:hAnsi="Arial"/>
                <w:sz w:val="13"/>
                <w:szCs w:val="13"/>
                <w:color w:val="auto"/>
              </w:rPr>
              <w:t>Julie M. Cameron-Doe</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950,000 </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950,000</w:t>
            </w:r>
          </w:p>
        </w:tc>
      </w:tr>
      <w:tr>
        <w:trPr>
          <w:trHeight w:val="67"/>
        </w:trPr>
        <w:tc>
          <w:tcPr>
            <w:tcW w:w="7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33"/>
        </w:trPr>
        <w:tc>
          <w:tcPr>
            <w:tcW w:w="7060" w:type="dxa"/>
            <w:vAlign w:val="bottom"/>
            <w:shd w:val="clear" w:color="auto" w:fill="F1EFEC"/>
          </w:tcPr>
          <w:p>
            <w:pPr>
              <w:ind w:left="40"/>
              <w:spacing w:after="0"/>
              <w:rPr>
                <w:sz w:val="20"/>
                <w:szCs w:val="20"/>
                <w:color w:val="auto"/>
              </w:rPr>
            </w:pPr>
            <w:r>
              <w:rPr>
                <w:rFonts w:ascii="Arial" w:cs="Arial" w:eastAsia="Arial" w:hAnsi="Arial"/>
                <w:sz w:val="13"/>
                <w:szCs w:val="13"/>
                <w:color w:val="auto"/>
              </w:rPr>
              <w:t>Jacqui Krum</w:t>
            </w:r>
          </w:p>
        </w:tc>
        <w:tc>
          <w:tcPr>
            <w:tcW w:w="200" w:type="dxa"/>
            <w:vAlign w:val="bottom"/>
            <w:shd w:val="clear" w:color="auto" w:fill="F1EF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825,000 </w:t>
            </w:r>
          </w:p>
        </w:tc>
        <w:tc>
          <w:tcPr>
            <w:tcW w:w="160" w:type="dxa"/>
            <w:vAlign w:val="bottom"/>
            <w:shd w:val="clear" w:color="auto" w:fill="F1EFE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1EFEC"/>
          </w:tcPr>
          <w:p>
            <w:pPr>
              <w:jc w:val="right"/>
              <w:spacing w:after="0"/>
              <w:rPr>
                <w:sz w:val="20"/>
                <w:szCs w:val="20"/>
                <w:color w:val="auto"/>
              </w:rPr>
            </w:pPr>
            <w:r>
              <w:rPr>
                <w:rFonts w:ascii="Arial" w:cs="Arial" w:eastAsia="Arial" w:hAnsi="Arial"/>
                <w:sz w:val="13"/>
                <w:szCs w:val="13"/>
                <w:color w:val="auto"/>
              </w:rPr>
              <w:t>825,000</w:t>
            </w:r>
          </w:p>
        </w:tc>
      </w:tr>
      <w:tr>
        <w:trPr>
          <w:trHeight w:val="67"/>
        </w:trPr>
        <w:tc>
          <w:tcPr>
            <w:tcW w:w="7060" w:type="dxa"/>
            <w:vAlign w:val="bottom"/>
            <w:shd w:val="clear" w:color="auto" w:fill="F1EFEC"/>
          </w:tcPr>
          <w:p>
            <w:pPr>
              <w:spacing w:after="0"/>
              <w:rPr>
                <w:sz w:val="5"/>
                <w:szCs w:val="5"/>
                <w:color w:val="auto"/>
              </w:rPr>
            </w:pPr>
          </w:p>
        </w:tc>
        <w:tc>
          <w:tcPr>
            <w:tcW w:w="200" w:type="dxa"/>
            <w:vAlign w:val="bottom"/>
            <w:shd w:val="clear" w:color="auto" w:fill="F1EFEC"/>
          </w:tcPr>
          <w:p>
            <w:pPr>
              <w:spacing w:after="0"/>
              <w:rPr>
                <w:sz w:val="5"/>
                <w:szCs w:val="5"/>
                <w:color w:val="auto"/>
              </w:rPr>
            </w:pPr>
          </w:p>
        </w:tc>
        <w:tc>
          <w:tcPr>
            <w:tcW w:w="680" w:type="dxa"/>
            <w:vAlign w:val="bottom"/>
            <w:shd w:val="clear" w:color="auto" w:fill="F1EFEC"/>
          </w:tcPr>
          <w:p>
            <w:pPr>
              <w:spacing w:after="0"/>
              <w:rPr>
                <w:sz w:val="5"/>
                <w:szCs w:val="5"/>
                <w:color w:val="auto"/>
              </w:rPr>
            </w:pPr>
          </w:p>
        </w:tc>
        <w:tc>
          <w:tcPr>
            <w:tcW w:w="160" w:type="dxa"/>
            <w:vAlign w:val="bottom"/>
            <w:shd w:val="clear" w:color="auto" w:fill="F1EFEC"/>
          </w:tcPr>
          <w:p>
            <w:pPr>
              <w:spacing w:after="0"/>
              <w:rPr>
                <w:sz w:val="5"/>
                <w:szCs w:val="5"/>
                <w:color w:val="auto"/>
              </w:rPr>
            </w:pPr>
          </w:p>
        </w:tc>
        <w:tc>
          <w:tcPr>
            <w:tcW w:w="640" w:type="dxa"/>
            <w:vAlign w:val="bottom"/>
            <w:shd w:val="clear" w:color="auto" w:fill="F1EFEC"/>
          </w:tcPr>
          <w:p>
            <w:pPr>
              <w:spacing w:after="0"/>
              <w:rPr>
                <w:sz w:val="5"/>
                <w:szCs w:val="5"/>
                <w:color w:val="auto"/>
              </w:rPr>
            </w:pPr>
          </w:p>
        </w:tc>
      </w:tr>
    </w:tbl>
    <w:p>
      <w:pPr>
        <w:spacing w:after="0" w:line="161" w:lineRule="exact"/>
        <w:rPr>
          <w:sz w:val="20"/>
          <w:szCs w:val="20"/>
          <w:color w:val="auto"/>
        </w:rPr>
      </w:pPr>
    </w:p>
    <w:p>
      <w:pPr>
        <w:ind w:left="1260" w:right="379"/>
        <w:spacing w:after="0" w:line="271" w:lineRule="auto"/>
        <w:rPr>
          <w:sz w:val="20"/>
          <w:szCs w:val="20"/>
          <w:color w:val="auto"/>
        </w:rPr>
      </w:pPr>
      <w:r>
        <w:rPr>
          <w:rFonts w:ascii="Arial" w:cs="Arial" w:eastAsia="Arial" w:hAnsi="Arial"/>
          <w:sz w:val="13"/>
          <w:szCs w:val="13"/>
          <w:color w:val="B9AFA0"/>
        </w:rPr>
        <w:t xml:space="preserve">Annual Incentives: </w:t>
      </w:r>
      <w:r>
        <w:rPr>
          <w:rFonts w:ascii="Arial" w:cs="Arial" w:eastAsia="Arial" w:hAnsi="Arial"/>
          <w:sz w:val="13"/>
          <w:szCs w:val="13"/>
          <w:color w:val="000000"/>
        </w:rPr>
        <w:t>The Compensation Committee selected the following preset performance goals for our 2025 annual incentive awards to incentivize</w:t>
      </w:r>
      <w:r>
        <w:rPr>
          <w:rFonts w:ascii="Arial" w:cs="Arial" w:eastAsia="Arial" w:hAnsi="Arial"/>
          <w:sz w:val="13"/>
          <w:szCs w:val="13"/>
          <w:color w:val="B9AFA0"/>
        </w:rPr>
        <w:t xml:space="preserve"> </w:t>
      </w:r>
      <w:r>
        <w:rPr>
          <w:rFonts w:ascii="Arial" w:cs="Arial" w:eastAsia="Arial" w:hAnsi="Arial"/>
          <w:sz w:val="13"/>
          <w:szCs w:val="13"/>
          <w:color w:val="000000"/>
        </w:rPr>
        <w:t>management to drive shareholder value through short-term operational and strategic measures:</w:t>
      </w:r>
    </w:p>
    <w:p>
      <w:pPr>
        <w:sectPr>
          <w:pgSz w:w="11900" w:h="16838" w:orient="portrait"/>
          <w:cols w:equalWidth="0" w:num="1">
            <w:col w:w="10159"/>
          </w:cols>
          <w:pgMar w:left="300" w:top="412" w:right="1440" w:bottom="1440" w:gutter="0" w:footer="0" w:header="0"/>
        </w:sectPr>
      </w:pP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Goal 1 –</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339"/>
        <w:spacing w:after="0" w:line="246" w:lineRule="auto"/>
        <w:rPr>
          <w:sz w:val="20"/>
          <w:szCs w:val="20"/>
          <w:color w:val="auto"/>
        </w:rPr>
      </w:pPr>
      <w:r>
        <w:rPr>
          <w:rFonts w:ascii="Arial" w:cs="Arial" w:eastAsia="Arial" w:hAnsi="Arial"/>
          <w:sz w:val="13"/>
          <w:szCs w:val="13"/>
          <w:color w:val="B9AFA0"/>
        </w:rPr>
        <w:t xml:space="preserve">North America, 2025 Adjusted Property EBITDAR (weighted 30%): </w:t>
      </w:r>
      <w:r>
        <w:rPr>
          <w:rFonts w:ascii="Arial" w:cs="Arial" w:eastAsia="Arial" w:hAnsi="Arial"/>
          <w:sz w:val="13"/>
          <w:szCs w:val="13"/>
          <w:color w:val="000000"/>
        </w:rPr>
        <w:t>Adjusted Property EBITDAR is an important measure of a property’s</w:t>
      </w:r>
      <w:r>
        <w:rPr>
          <w:rFonts w:ascii="Arial" w:cs="Arial" w:eastAsia="Arial" w:hAnsi="Arial"/>
          <w:sz w:val="13"/>
          <w:szCs w:val="13"/>
          <w:color w:val="B9AFA0"/>
        </w:rPr>
        <w:t xml:space="preserve"> </w:t>
      </w:r>
      <w:r>
        <w:rPr>
          <w:rFonts w:ascii="Arial" w:cs="Arial" w:eastAsia="Arial" w:hAnsi="Arial"/>
          <w:sz w:val="13"/>
          <w:szCs w:val="13"/>
          <w:color w:val="000000"/>
        </w:rPr>
        <w:t>performance within its market, a key driver of return on equity and essential element to the valuation of our Company and our stock price. Target achievement of this goal for 2025 required Adjusted Property EBITDAR to reach $1,075 million for our combined Las Vegas Operations and Encore Boston Harbor compared to Adjusted Property EBITDAR of $1,194 million achieved in 2024, second highest in the Company’s history and included a record Adjusted Property EBITDAR for our Las Vegas Operations. The 2025 target Adjusted Property EBITDAR, while lower than 2024 actual Adjusted Property EBITDAR, was in line with our 2025 budget, which reflected normal table hold assumptions and the removal of the one-time 2024 Super Bowl impact.</w:t>
      </w:r>
    </w:p>
    <w:p>
      <w:pPr>
        <w:spacing w:after="0" w:line="172" w:lineRule="exact"/>
        <w:rPr>
          <w:sz w:val="20"/>
          <w:szCs w:val="20"/>
          <w:color w:val="auto"/>
        </w:rPr>
      </w:pPr>
    </w:p>
    <w:p>
      <w:pPr>
        <w:sectPr>
          <w:pgSz w:w="11900" w:h="16838" w:orient="portrait"/>
          <w:cols w:equalWidth="0" w:num="2">
            <w:col w:w="1740" w:space="220"/>
            <w:col w:w="8199"/>
          </w:cols>
          <w:pgMar w:left="300" w:top="412" w:right="1440" w:bottom="1440" w:gutter="0" w:footer="0" w:header="0"/>
          <w:type w:val="continuous"/>
        </w:sectPr>
      </w:pPr>
    </w:p>
    <w:p>
      <w:pPr>
        <w:ind w:left="1260"/>
        <w:spacing w:after="0"/>
        <w:rPr>
          <w:sz w:val="20"/>
          <w:szCs w:val="20"/>
          <w:color w:val="auto"/>
        </w:rPr>
      </w:pPr>
      <w:r>
        <w:rPr>
          <w:rFonts w:ascii="Arial" w:cs="Arial" w:eastAsia="Arial" w:hAnsi="Arial"/>
          <w:sz w:val="13"/>
          <w:szCs w:val="13"/>
          <w:color w:val="auto"/>
        </w:rPr>
        <w:t>Goal 2 –</w:t>
      </w:r>
    </w:p>
    <w:p>
      <w:pPr>
        <w:spacing w:after="0" w:line="20" w:lineRule="exact"/>
        <w:rPr>
          <w:sz w:val="20"/>
          <w:szCs w:val="20"/>
          <w:color w:val="auto"/>
        </w:rPr>
      </w:pPr>
      <w:r>
        <w:rPr>
          <w:sz w:val="20"/>
          <w:szCs w:val="20"/>
          <w:color w:val="auto"/>
        </w:rPr>
        <w:br w:type="column"/>
      </w:r>
    </w:p>
    <w:p>
      <w:pPr>
        <w:ind w:right="179"/>
        <w:spacing w:after="0" w:line="247" w:lineRule="auto"/>
        <w:rPr>
          <w:sz w:val="20"/>
          <w:szCs w:val="20"/>
          <w:color w:val="auto"/>
        </w:rPr>
      </w:pPr>
      <w:r>
        <w:rPr>
          <w:rFonts w:ascii="Arial" w:cs="Arial" w:eastAsia="Arial" w:hAnsi="Arial"/>
          <w:sz w:val="13"/>
          <w:szCs w:val="13"/>
          <w:color w:val="B9AFA0"/>
        </w:rPr>
        <w:t xml:space="preserve">Macau Operations, 2025 Adjusted Property EBITDAR (weighted 40%): </w:t>
      </w:r>
      <w:r>
        <w:rPr>
          <w:rFonts w:ascii="Arial" w:cs="Arial" w:eastAsia="Arial" w:hAnsi="Arial"/>
          <w:sz w:val="13"/>
          <w:szCs w:val="13"/>
          <w:color w:val="000000"/>
        </w:rPr>
        <w:t>Adjusted Property EBITDAR is an important measure of a property’s</w:t>
      </w:r>
      <w:r>
        <w:rPr>
          <w:rFonts w:ascii="Arial" w:cs="Arial" w:eastAsia="Arial" w:hAnsi="Arial"/>
          <w:sz w:val="13"/>
          <w:szCs w:val="13"/>
          <w:color w:val="B9AFA0"/>
        </w:rPr>
        <w:t xml:space="preserve"> </w:t>
      </w:r>
      <w:r>
        <w:rPr>
          <w:rFonts w:ascii="Arial" w:cs="Arial" w:eastAsia="Arial" w:hAnsi="Arial"/>
          <w:sz w:val="13"/>
          <w:szCs w:val="13"/>
          <w:color w:val="000000"/>
        </w:rPr>
        <w:t>performance within its market, a key driver of return on equity and essential element to the valuation of our Company and our stock price. Target achievement of this goal for 2025 required Adjusted Property EBITDAR to reach $1,065 million a decrease from the Adjusted Property EBITDAR of $1,176 million in 2024. The 2025 target Adjusted Property EBITDAR, while lower than 2024 actual Adjusted Property EBITDAR, was in line with our 2025 budget which reflected the opening of concession-related food and beverage outlets which generate a lower margin than the overall business along with normal cost of living expense increases and normal table hold assumptions.</w:t>
      </w:r>
    </w:p>
    <w:p>
      <w:pPr>
        <w:spacing w:after="0" w:line="171" w:lineRule="exact"/>
        <w:rPr>
          <w:sz w:val="20"/>
          <w:szCs w:val="20"/>
          <w:color w:val="auto"/>
        </w:rPr>
      </w:pPr>
    </w:p>
    <w:p>
      <w:pPr>
        <w:sectPr>
          <w:pgSz w:w="11900" w:h="16838" w:orient="portrait"/>
          <w:cols w:equalWidth="0" w:num="2">
            <w:col w:w="1740" w:space="220"/>
            <w:col w:w="8199"/>
          </w:cols>
          <w:pgMar w:left="300" w:top="412" w:right="1440" w:bottom="1440" w:gutter="0" w:footer="0" w:header="0"/>
          <w:type w:val="continuous"/>
        </w:sectPr>
      </w:pPr>
    </w:p>
    <w:p>
      <w:pPr>
        <w:ind w:left="1260"/>
        <w:spacing w:after="0"/>
        <w:rPr>
          <w:sz w:val="20"/>
          <w:szCs w:val="20"/>
          <w:color w:val="auto"/>
        </w:rPr>
      </w:pPr>
      <w:r>
        <w:rPr>
          <w:rFonts w:ascii="Arial" w:cs="Arial" w:eastAsia="Arial" w:hAnsi="Arial"/>
          <w:sz w:val="13"/>
          <w:szCs w:val="13"/>
          <w:color w:val="auto"/>
        </w:rPr>
        <w:t>Goal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B9AFA0"/>
        </w:rPr>
        <w:t xml:space="preserve">Wynn Las Vegas, Market Share of Gross Gaming Revenues (weighted 10%): </w:t>
      </w:r>
      <w:r>
        <w:rPr>
          <w:rFonts w:ascii="Arial" w:cs="Arial" w:eastAsia="Arial" w:hAnsi="Arial"/>
          <w:sz w:val="12"/>
          <w:szCs w:val="12"/>
          <w:color w:val="000000"/>
        </w:rPr>
        <w:t>Coming off an all-time record in Adjusted Property EBITDAR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 our Las Vegas Operations in 2024, the Compensation Committee set a target gross gaming revenue market share goal for 2025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12.25%, consistent with the prior year, to incentivize the Company to maintain a strong market share of the Las Vegas Strip gaming market.</w:t>
      </w:r>
    </w:p>
    <w:p>
      <w:pPr>
        <w:spacing w:after="0" w:line="193" w:lineRule="exact"/>
        <w:rPr>
          <w:sz w:val="20"/>
          <w:szCs w:val="20"/>
          <w:color w:val="auto"/>
        </w:rPr>
      </w:pPr>
    </w:p>
    <w:p>
      <w:pPr>
        <w:sectPr>
          <w:pgSz w:w="11900" w:h="16838" w:orient="portrait"/>
          <w:cols w:equalWidth="0" w:num="2">
            <w:col w:w="1740" w:space="220"/>
            <w:col w:w="8199"/>
          </w:cols>
          <w:pgMar w:left="300" w:top="412" w:right="1440" w:bottom="1440" w:gutter="0" w:footer="0" w:header="0"/>
          <w:type w:val="continuous"/>
        </w:sectPr>
      </w:pPr>
    </w:p>
    <w:p>
      <w:pPr>
        <w:ind w:left="1260"/>
        <w:spacing w:after="0"/>
        <w:rPr>
          <w:sz w:val="20"/>
          <w:szCs w:val="20"/>
          <w:color w:val="auto"/>
        </w:rPr>
      </w:pPr>
      <w:r>
        <w:rPr>
          <w:rFonts w:ascii="Arial" w:cs="Arial" w:eastAsia="Arial" w:hAnsi="Arial"/>
          <w:sz w:val="13"/>
          <w:szCs w:val="13"/>
          <w:color w:val="auto"/>
        </w:rPr>
        <w:t>Goal 4 –</w:t>
      </w:r>
    </w:p>
    <w:p>
      <w:pPr>
        <w:spacing w:after="0" w:line="20" w:lineRule="exact"/>
        <w:rPr>
          <w:sz w:val="20"/>
          <w:szCs w:val="20"/>
          <w:color w:val="auto"/>
        </w:rPr>
      </w:pPr>
      <w:r>
        <w:rPr>
          <w:sz w:val="20"/>
          <w:szCs w:val="20"/>
          <w:color w:val="auto"/>
        </w:rPr>
        <w:br w:type="column"/>
      </w:r>
    </w:p>
    <w:p>
      <w:pPr>
        <w:ind w:right="239"/>
        <w:spacing w:after="0" w:line="251" w:lineRule="auto"/>
        <w:rPr>
          <w:sz w:val="20"/>
          <w:szCs w:val="20"/>
          <w:color w:val="auto"/>
        </w:rPr>
      </w:pPr>
      <w:r>
        <w:rPr>
          <w:rFonts w:ascii="Arial" w:cs="Arial" w:eastAsia="Arial" w:hAnsi="Arial"/>
          <w:sz w:val="13"/>
          <w:szCs w:val="13"/>
          <w:color w:val="B9AFA0"/>
        </w:rPr>
        <w:t xml:space="preserve">Wynn Las Vegas, Achievement of Forbes Five-Star (weighted 10%): </w:t>
      </w:r>
      <w:r>
        <w:rPr>
          <w:rFonts w:ascii="Arial" w:cs="Arial" w:eastAsia="Arial" w:hAnsi="Arial"/>
          <w:sz w:val="13"/>
          <w:szCs w:val="13"/>
          <w:color w:val="000000"/>
        </w:rPr>
        <w:t>Our Company is laser-focused on providing superior service to our</w:t>
      </w:r>
      <w:r>
        <w:rPr>
          <w:rFonts w:ascii="Arial" w:cs="Arial" w:eastAsia="Arial" w:hAnsi="Arial"/>
          <w:sz w:val="13"/>
          <w:szCs w:val="13"/>
          <w:color w:val="B9AFA0"/>
        </w:rPr>
        <w:t xml:space="preserve"> </w:t>
      </w:r>
      <w:r>
        <w:rPr>
          <w:rFonts w:ascii="Arial" w:cs="Arial" w:eastAsia="Arial" w:hAnsi="Arial"/>
          <w:sz w:val="13"/>
          <w:szCs w:val="13"/>
          <w:color w:val="000000"/>
        </w:rPr>
        <w:t>guests. Achieving a Forbes Travel Guide Five-Star ranking requires near impeccable quality throughout the year. The Compensation Committee set the achievement of a Forbes Five-Star rating for Wynn Las Vegas to ensure management maintained our superior standards while also seeking to maximize Adjusted Property EBITDAR.</w:t>
      </w:r>
    </w:p>
    <w:p>
      <w:pPr>
        <w:spacing w:after="0" w:line="93" w:lineRule="exact"/>
        <w:rPr>
          <w:sz w:val="20"/>
          <w:szCs w:val="20"/>
          <w:color w:val="auto"/>
        </w:rPr>
      </w:pPr>
    </w:p>
    <w:p>
      <w:pPr>
        <w:sectPr>
          <w:pgSz w:w="11900" w:h="16838" w:orient="portrait"/>
          <w:cols w:equalWidth="0" w:num="2">
            <w:col w:w="1740" w:space="220"/>
            <w:col w:w="8199"/>
          </w:cols>
          <w:pgMar w:left="300" w:top="412" w:right="1440" w:bottom="1440" w:gutter="0" w:footer="0" w:header="0"/>
          <w:type w:val="continuous"/>
        </w:sectPr>
      </w:pPr>
    </w:p>
    <w:p>
      <w:pPr>
        <w:ind w:left="98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412"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Goal 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79"/>
        <w:spacing w:after="0" w:line="247" w:lineRule="auto"/>
        <w:rPr>
          <w:sz w:val="20"/>
          <w:szCs w:val="20"/>
          <w:color w:val="auto"/>
        </w:rPr>
      </w:pPr>
      <w:r>
        <w:rPr>
          <w:rFonts w:ascii="Arial" w:cs="Arial" w:eastAsia="Arial" w:hAnsi="Arial"/>
          <w:sz w:val="13"/>
          <w:szCs w:val="13"/>
          <w:color w:val="B9AFA0"/>
        </w:rPr>
        <w:t xml:space="preserve">Wynn Al-Marjan Island Project in the United Arab Emirates, Advancement of Design and Development (weighted 10%): </w:t>
      </w:r>
      <w:r>
        <w:rPr>
          <w:rFonts w:ascii="Arial" w:cs="Arial" w:eastAsia="Arial" w:hAnsi="Arial"/>
          <w:sz w:val="13"/>
          <w:szCs w:val="13"/>
          <w:color w:val="000000"/>
        </w:rPr>
        <w:t>The Company’s</w:t>
      </w:r>
      <w:r>
        <w:rPr>
          <w:rFonts w:ascii="Arial" w:cs="Arial" w:eastAsia="Arial" w:hAnsi="Arial"/>
          <w:sz w:val="13"/>
          <w:szCs w:val="13"/>
          <w:color w:val="B9AFA0"/>
        </w:rPr>
        <w:t xml:space="preserve"> </w:t>
      </w:r>
      <w:r>
        <w:rPr>
          <w:rFonts w:ascii="Arial" w:cs="Arial" w:eastAsia="Arial" w:hAnsi="Arial"/>
          <w:sz w:val="13"/>
          <w:szCs w:val="13"/>
          <w:color w:val="000000"/>
        </w:rPr>
        <w:t>ability to develop new “greenfield” integrated resorts and cultivate new gaming markets is instrumental to the creation of long-term shareholder value. The Compensation Committee sought to incentivize management to drive the construction of its Wynn Al Marjan Island property by instituting a performance metric to achieve target completion through “topping out” the tower. The Compensation Committee expects the successful development of a casino resort in this region will further diversify the Company’s property portfolio, extend the Wynn brand internationally, and drive strong long-term returns for shareholders.</w:t>
      </w:r>
    </w:p>
    <w:p>
      <w:pPr>
        <w:spacing w:after="0" w:line="150" w:lineRule="exact"/>
        <w:rPr>
          <w:sz w:val="20"/>
          <w:szCs w:val="20"/>
          <w:color w:val="auto"/>
        </w:rPr>
      </w:pPr>
    </w:p>
    <w:p>
      <w:pPr>
        <w:sectPr>
          <w:pgSz w:w="11900" w:h="16838" w:orient="portrait"/>
          <w:cols w:equalWidth="0" w:num="2">
            <w:col w:w="1740" w:space="220"/>
            <w:col w:w="8199"/>
          </w:cols>
          <w:pgMar w:left="300" w:top="413" w:right="1440" w:bottom="1440" w:gutter="0" w:footer="0" w:header="0"/>
          <w:type w:val="continuous"/>
        </w:sectPr>
      </w:pPr>
    </w:p>
    <w:p>
      <w:pPr>
        <w:ind w:left="1260" w:right="159"/>
        <w:spacing w:after="0" w:line="278" w:lineRule="auto"/>
        <w:rPr>
          <w:sz w:val="20"/>
          <w:szCs w:val="20"/>
          <w:color w:val="auto"/>
        </w:rPr>
      </w:pPr>
      <w:r>
        <w:rPr>
          <w:rFonts w:ascii="Arial" w:cs="Arial" w:eastAsia="Arial" w:hAnsi="Arial"/>
          <w:sz w:val="12"/>
          <w:szCs w:val="12"/>
          <w:color w:val="auto"/>
        </w:rPr>
        <w:t>These awards were subject to (i) the limitations set forth in the Wynn Resorts, Limited Amended and Restated 2014 Omnibus Incentive Plan, as it may be amended from time to time (the “Omnibus Plan”), including the cash and stock grant limits and requirements of continued employment through the end of the calendar year performance period, and (ii) the Compensation Committee’s right, in its discretion, to reduce actual award amounts paid, taking into account other performance considerations, including corporate, property level and individual performance, as well as general macroeconomic conditions.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2025 Annual Incentive Payout:</w:t>
      </w: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following table reflects our performance against each of the 2025 goals ($’s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129540</wp:posOffset>
            </wp:positionV>
            <wp:extent cx="6985" cy="258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85" cy="2581910"/>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129540</wp:posOffset>
            </wp:positionV>
            <wp:extent cx="6985" cy="258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85" cy="2581910"/>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129540</wp:posOffset>
            </wp:positionV>
            <wp:extent cx="6985" cy="258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85" cy="258191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129540</wp:posOffset>
            </wp:positionV>
            <wp:extent cx="6985" cy="258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85" cy="258191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129540</wp:posOffset>
            </wp:positionV>
            <wp:extent cx="6985" cy="258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85" cy="2581910"/>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129540</wp:posOffset>
            </wp:positionV>
            <wp:extent cx="6985" cy="258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85" cy="2581910"/>
                    </a:xfrm>
                    <a:prstGeom prst="rect">
                      <a:avLst/>
                    </a:prstGeom>
                    <a:noFill/>
                  </pic:spPr>
                </pic:pic>
              </a:graphicData>
            </a:graphic>
          </wp:anchor>
        </w:drawing>
      </w:r>
    </w:p>
    <w:p>
      <w:pPr>
        <w:spacing w:after="0" w:line="184"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400" w:type="dxa"/>
            <w:vAlign w:val="bottom"/>
            <w:shd w:val="clear" w:color="auto" w:fill="B9AFA0"/>
          </w:tcPr>
          <w:p>
            <w:pPr>
              <w:spacing w:after="0"/>
              <w:rPr>
                <w:sz w:val="15"/>
                <w:szCs w:val="15"/>
                <w:color w:val="auto"/>
              </w:rPr>
            </w:pPr>
          </w:p>
        </w:tc>
        <w:tc>
          <w:tcPr>
            <w:tcW w:w="60" w:type="dxa"/>
            <w:vAlign w:val="bottom"/>
            <w:shd w:val="clear" w:color="auto" w:fill="B9AFA0"/>
          </w:tcPr>
          <w:p>
            <w:pPr>
              <w:spacing w:after="0"/>
              <w:rPr>
                <w:sz w:val="15"/>
                <w:szCs w:val="15"/>
                <w:color w:val="auto"/>
              </w:rPr>
            </w:pPr>
          </w:p>
        </w:tc>
        <w:tc>
          <w:tcPr>
            <w:tcW w:w="1840" w:type="dxa"/>
            <w:vAlign w:val="bottom"/>
            <w:shd w:val="clear" w:color="auto" w:fill="B9AFA0"/>
          </w:tcPr>
          <w:p>
            <w:pPr>
              <w:spacing w:after="0"/>
              <w:rPr>
                <w:sz w:val="15"/>
                <w:szCs w:val="15"/>
                <w:color w:val="auto"/>
              </w:rPr>
            </w:pPr>
          </w:p>
        </w:tc>
        <w:tc>
          <w:tcPr>
            <w:tcW w:w="1040" w:type="dxa"/>
            <w:vAlign w:val="bottom"/>
            <w:shd w:val="clear" w:color="auto" w:fill="B9AFA0"/>
          </w:tcPr>
          <w:p>
            <w:pPr>
              <w:spacing w:after="0"/>
              <w:rPr>
                <w:sz w:val="15"/>
                <w:szCs w:val="15"/>
                <w:color w:val="auto"/>
              </w:rPr>
            </w:pPr>
          </w:p>
        </w:tc>
        <w:tc>
          <w:tcPr>
            <w:tcW w:w="160" w:type="dxa"/>
            <w:vAlign w:val="bottom"/>
            <w:shd w:val="clear" w:color="auto" w:fill="B9AFA0"/>
          </w:tcPr>
          <w:p>
            <w:pPr>
              <w:spacing w:after="0"/>
              <w:rPr>
                <w:sz w:val="15"/>
                <w:szCs w:val="15"/>
                <w:color w:val="auto"/>
              </w:rPr>
            </w:pPr>
          </w:p>
        </w:tc>
        <w:tc>
          <w:tcPr>
            <w:tcW w:w="1020" w:type="dxa"/>
            <w:vAlign w:val="bottom"/>
            <w:shd w:val="clear" w:color="auto" w:fill="B9AFA0"/>
          </w:tcPr>
          <w:p>
            <w:pPr>
              <w:jc w:val="right"/>
              <w:ind w:right="203"/>
              <w:spacing w:after="0"/>
              <w:rPr>
                <w:sz w:val="20"/>
                <w:szCs w:val="20"/>
                <w:color w:val="auto"/>
              </w:rPr>
            </w:pPr>
            <w:r>
              <w:rPr>
                <w:rFonts w:ascii="Arial" w:cs="Arial" w:eastAsia="Arial" w:hAnsi="Arial"/>
                <w:sz w:val="11"/>
                <w:szCs w:val="11"/>
                <w:color w:val="FFFFFF"/>
              </w:rPr>
              <w:t>THRESHOLD</w:t>
            </w:r>
          </w:p>
        </w:tc>
        <w:tc>
          <w:tcPr>
            <w:tcW w:w="1140" w:type="dxa"/>
            <w:vAlign w:val="bottom"/>
            <w:shd w:val="clear" w:color="auto" w:fill="B9AFA0"/>
          </w:tcPr>
          <w:p>
            <w:pPr>
              <w:ind w:left="320"/>
              <w:spacing w:after="0"/>
              <w:rPr>
                <w:sz w:val="20"/>
                <w:szCs w:val="20"/>
                <w:color w:val="auto"/>
              </w:rPr>
            </w:pPr>
            <w:r>
              <w:rPr>
                <w:rFonts w:ascii="Arial" w:cs="Arial" w:eastAsia="Arial" w:hAnsi="Arial"/>
                <w:sz w:val="11"/>
                <w:szCs w:val="11"/>
                <w:color w:val="FFFFFF"/>
              </w:rPr>
              <w:t>TARGET</w:t>
            </w:r>
          </w:p>
        </w:tc>
        <w:tc>
          <w:tcPr>
            <w:tcW w:w="11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MAXIMUM</w:t>
            </w:r>
          </w:p>
        </w:tc>
        <w:tc>
          <w:tcPr>
            <w:tcW w:w="1140" w:type="dxa"/>
            <w:vAlign w:val="bottom"/>
            <w:shd w:val="clear" w:color="auto" w:fill="B9AFA0"/>
          </w:tcPr>
          <w:p>
            <w:pPr>
              <w:ind w:left="340"/>
              <w:spacing w:after="0"/>
              <w:rPr>
                <w:sz w:val="20"/>
                <w:szCs w:val="20"/>
                <w:color w:val="auto"/>
              </w:rPr>
            </w:pPr>
            <w:r>
              <w:rPr>
                <w:rFonts w:ascii="Arial" w:cs="Arial" w:eastAsia="Arial" w:hAnsi="Arial"/>
                <w:sz w:val="11"/>
                <w:szCs w:val="11"/>
                <w:color w:val="FFFFFF"/>
              </w:rPr>
              <w:t>ACTUAL</w:t>
            </w:r>
          </w:p>
        </w:tc>
        <w:tc>
          <w:tcPr>
            <w:tcW w:w="820" w:type="dxa"/>
            <w:vAlign w:val="bottom"/>
            <w:shd w:val="clear" w:color="auto" w:fill="B9AFA0"/>
          </w:tcPr>
          <w:p>
            <w:pPr>
              <w:spacing w:after="0"/>
              <w:rPr>
                <w:sz w:val="15"/>
                <w:szCs w:val="15"/>
                <w:color w:val="auto"/>
              </w:rPr>
            </w:pPr>
          </w:p>
        </w:tc>
      </w:tr>
      <w:tr>
        <w:trPr>
          <w:trHeight w:val="179"/>
        </w:trPr>
        <w:tc>
          <w:tcPr>
            <w:tcW w:w="2300" w:type="dxa"/>
            <w:vAlign w:val="bottom"/>
            <w:tcBorders>
              <w:bottom w:val="single" w:sz="8" w:color="B9AFA0"/>
            </w:tcBorders>
            <w:gridSpan w:val="3"/>
            <w:shd w:val="clear" w:color="auto" w:fill="B9AFA0"/>
          </w:tcPr>
          <w:p>
            <w:pPr>
              <w:ind w:left="40"/>
              <w:spacing w:after="0"/>
              <w:rPr>
                <w:sz w:val="20"/>
                <w:szCs w:val="20"/>
                <w:color w:val="auto"/>
              </w:rPr>
            </w:pPr>
            <w:r>
              <w:rPr>
                <w:rFonts w:ascii="Arial" w:cs="Arial" w:eastAsia="Arial" w:hAnsi="Arial"/>
                <w:sz w:val="11"/>
                <w:szCs w:val="11"/>
                <w:color w:val="FFFFFF"/>
              </w:rPr>
              <w:t>METRIC</w:t>
            </w:r>
          </w:p>
        </w:tc>
        <w:tc>
          <w:tcPr>
            <w:tcW w:w="1040" w:type="dxa"/>
            <w:vAlign w:val="bottom"/>
            <w:tcBorders>
              <w:bottom w:val="single" w:sz="8" w:color="B9AFA0"/>
            </w:tcBorders>
            <w:shd w:val="clear" w:color="auto" w:fill="B9AFA0"/>
          </w:tcPr>
          <w:p>
            <w:pPr>
              <w:jc w:val="right"/>
              <w:ind w:right="123"/>
              <w:spacing w:after="0"/>
              <w:rPr>
                <w:sz w:val="20"/>
                <w:szCs w:val="20"/>
                <w:color w:val="auto"/>
              </w:rPr>
            </w:pPr>
            <w:r>
              <w:rPr>
                <w:rFonts w:ascii="Arial" w:cs="Arial" w:eastAsia="Arial" w:hAnsi="Arial"/>
                <w:sz w:val="11"/>
                <w:szCs w:val="11"/>
                <w:color w:val="FFFFFF"/>
              </w:rPr>
              <w:t xml:space="preserve">  WEIGHTING   </w:t>
            </w:r>
          </w:p>
        </w:tc>
        <w:tc>
          <w:tcPr>
            <w:tcW w:w="1180" w:type="dxa"/>
            <w:vAlign w:val="bottom"/>
            <w:tcBorders>
              <w:bottom w:val="single" w:sz="8" w:color="B9AFA0"/>
            </w:tcBorders>
            <w:gridSpan w:val="2"/>
            <w:shd w:val="clear" w:color="auto" w:fill="B9AFA0"/>
          </w:tcPr>
          <w:p>
            <w:pPr>
              <w:ind w:left="60"/>
              <w:spacing w:after="0"/>
              <w:rPr>
                <w:sz w:val="20"/>
                <w:szCs w:val="20"/>
                <w:color w:val="auto"/>
              </w:rPr>
            </w:pPr>
            <w:r>
              <w:rPr>
                <w:rFonts w:ascii="Arial" w:cs="Arial" w:eastAsia="Arial" w:hAnsi="Arial"/>
                <w:sz w:val="11"/>
                <w:szCs w:val="11"/>
                <w:color w:val="FFFFFF"/>
              </w:rPr>
              <w:t xml:space="preserve">  PERFORMANCE   </w:t>
            </w:r>
          </w:p>
        </w:tc>
        <w:tc>
          <w:tcPr>
            <w:tcW w:w="11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 xml:space="preserve">  PERFORMANCE   </w:t>
            </w:r>
          </w:p>
        </w:tc>
        <w:tc>
          <w:tcPr>
            <w:tcW w:w="11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 xml:space="preserve">  PERFORMANCE   </w:t>
            </w:r>
          </w:p>
        </w:tc>
        <w:tc>
          <w:tcPr>
            <w:tcW w:w="11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 xml:space="preserve">  PERFORMANCE   </w:t>
            </w:r>
          </w:p>
        </w:tc>
        <w:tc>
          <w:tcPr>
            <w:tcW w:w="8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 xml:space="preserve">  OUTCOME   </w:t>
            </w:r>
          </w:p>
        </w:tc>
      </w:tr>
      <w:tr>
        <w:trPr>
          <w:trHeight w:val="229"/>
        </w:trPr>
        <w:tc>
          <w:tcPr>
            <w:tcW w:w="460" w:type="dxa"/>
            <w:vAlign w:val="bottom"/>
            <w:gridSpan w:val="2"/>
            <w:shd w:val="clear" w:color="auto" w:fill="F1EFEC"/>
          </w:tcPr>
          <w:p>
            <w:pPr>
              <w:ind w:left="40"/>
              <w:spacing w:after="0"/>
              <w:rPr>
                <w:sz w:val="20"/>
                <w:szCs w:val="20"/>
                <w:color w:val="auto"/>
              </w:rPr>
            </w:pPr>
            <w:r>
              <w:rPr>
                <w:rFonts w:ascii="Arial" w:cs="Arial" w:eastAsia="Arial" w:hAnsi="Arial"/>
                <w:sz w:val="11"/>
                <w:szCs w:val="11"/>
                <w:color w:val="auto"/>
              </w:rPr>
              <w:t>Goal 1 -</w:t>
            </w: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North America,</w:t>
            </w:r>
          </w:p>
        </w:tc>
        <w:tc>
          <w:tcPr>
            <w:tcW w:w="1040" w:type="dxa"/>
            <w:vAlign w:val="bottom"/>
            <w:shd w:val="clear" w:color="auto" w:fill="F1EFEC"/>
          </w:tcPr>
          <w:p>
            <w:pPr>
              <w:spacing w:after="0"/>
              <w:rPr>
                <w:sz w:val="19"/>
                <w:szCs w:val="19"/>
                <w:color w:val="auto"/>
              </w:rPr>
            </w:pPr>
          </w:p>
        </w:tc>
        <w:tc>
          <w:tcPr>
            <w:tcW w:w="160" w:type="dxa"/>
            <w:vAlign w:val="bottom"/>
            <w:shd w:val="clear" w:color="auto" w:fill="F1EFEC"/>
          </w:tcPr>
          <w:p>
            <w:pPr>
              <w:spacing w:after="0"/>
              <w:rPr>
                <w:sz w:val="19"/>
                <w:szCs w:val="19"/>
                <w:color w:val="auto"/>
              </w:rPr>
            </w:pPr>
          </w:p>
        </w:tc>
        <w:tc>
          <w:tcPr>
            <w:tcW w:w="1020" w:type="dxa"/>
            <w:vAlign w:val="bottom"/>
            <w:shd w:val="clear" w:color="auto" w:fill="F1EFEC"/>
          </w:tcPr>
          <w:p>
            <w:pPr>
              <w:spacing w:after="0"/>
              <w:rPr>
                <w:sz w:val="19"/>
                <w:szCs w:val="19"/>
                <w:color w:val="auto"/>
              </w:rPr>
            </w:pPr>
          </w:p>
        </w:tc>
        <w:tc>
          <w:tcPr>
            <w:tcW w:w="1140" w:type="dxa"/>
            <w:vAlign w:val="bottom"/>
            <w:shd w:val="clear" w:color="auto" w:fill="F1EFEC"/>
          </w:tcPr>
          <w:p>
            <w:pPr>
              <w:spacing w:after="0"/>
              <w:rPr>
                <w:sz w:val="19"/>
                <w:szCs w:val="19"/>
                <w:color w:val="auto"/>
              </w:rPr>
            </w:pPr>
          </w:p>
        </w:tc>
        <w:tc>
          <w:tcPr>
            <w:tcW w:w="1120" w:type="dxa"/>
            <w:vAlign w:val="bottom"/>
            <w:shd w:val="clear" w:color="auto" w:fill="F1EFEC"/>
          </w:tcPr>
          <w:p>
            <w:pPr>
              <w:spacing w:after="0"/>
              <w:rPr>
                <w:sz w:val="19"/>
                <w:szCs w:val="19"/>
                <w:color w:val="auto"/>
              </w:rPr>
            </w:pPr>
          </w:p>
        </w:tc>
        <w:tc>
          <w:tcPr>
            <w:tcW w:w="1140" w:type="dxa"/>
            <w:vAlign w:val="bottom"/>
            <w:shd w:val="clear" w:color="auto" w:fill="F1EFEC"/>
          </w:tcPr>
          <w:p>
            <w:pPr>
              <w:spacing w:after="0"/>
              <w:rPr>
                <w:sz w:val="19"/>
                <w:szCs w:val="19"/>
                <w:color w:val="auto"/>
              </w:rPr>
            </w:pPr>
          </w:p>
        </w:tc>
        <w:tc>
          <w:tcPr>
            <w:tcW w:w="820" w:type="dxa"/>
            <w:vAlign w:val="bottom"/>
            <w:shd w:val="clear" w:color="auto" w:fill="F1EFEC"/>
          </w:tcPr>
          <w:p>
            <w:pPr>
              <w:spacing w:after="0"/>
              <w:rPr>
                <w:sz w:val="19"/>
                <w:szCs w:val="19"/>
                <w:color w:val="auto"/>
              </w:rPr>
            </w:pPr>
          </w:p>
        </w:tc>
      </w:tr>
      <w:tr>
        <w:trPr>
          <w:trHeight w:val="204"/>
        </w:trPr>
        <w:tc>
          <w:tcPr>
            <w:tcW w:w="400" w:type="dxa"/>
            <w:vAlign w:val="bottom"/>
            <w:shd w:val="clear" w:color="auto" w:fill="F1EFEC"/>
          </w:tcPr>
          <w:p>
            <w:pPr>
              <w:spacing w:after="0"/>
              <w:rPr>
                <w:sz w:val="17"/>
                <w:szCs w:val="17"/>
                <w:color w:val="auto"/>
              </w:rPr>
            </w:pPr>
          </w:p>
        </w:tc>
        <w:tc>
          <w:tcPr>
            <w:tcW w:w="60" w:type="dxa"/>
            <w:vAlign w:val="bottom"/>
            <w:shd w:val="clear" w:color="auto" w:fill="F1EFEC"/>
          </w:tcPr>
          <w:p>
            <w:pPr>
              <w:spacing w:after="0"/>
              <w:rPr>
                <w:sz w:val="17"/>
                <w:szCs w:val="17"/>
                <w:color w:val="auto"/>
              </w:rPr>
            </w:pP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2025 Adjusted Property</w:t>
            </w:r>
          </w:p>
        </w:tc>
        <w:tc>
          <w:tcPr>
            <w:tcW w:w="1040" w:type="dxa"/>
            <w:vAlign w:val="bottom"/>
            <w:shd w:val="clear" w:color="auto" w:fill="F1EFEC"/>
          </w:tcPr>
          <w:p>
            <w:pPr>
              <w:spacing w:after="0"/>
              <w:rPr>
                <w:sz w:val="17"/>
                <w:szCs w:val="17"/>
                <w:color w:val="auto"/>
              </w:rPr>
            </w:pPr>
          </w:p>
        </w:tc>
        <w:tc>
          <w:tcPr>
            <w:tcW w:w="160" w:type="dxa"/>
            <w:vAlign w:val="bottom"/>
            <w:shd w:val="clear" w:color="auto" w:fill="F1EFEC"/>
          </w:tcPr>
          <w:p>
            <w:pPr>
              <w:spacing w:after="0"/>
              <w:rPr>
                <w:sz w:val="17"/>
                <w:szCs w:val="17"/>
                <w:color w:val="auto"/>
              </w:rPr>
            </w:pPr>
          </w:p>
        </w:tc>
        <w:tc>
          <w:tcPr>
            <w:tcW w:w="1020" w:type="dxa"/>
            <w:vAlign w:val="bottom"/>
            <w:shd w:val="clear" w:color="auto" w:fill="F1EFEC"/>
          </w:tcPr>
          <w:p>
            <w:pPr>
              <w:spacing w:after="0"/>
              <w:rPr>
                <w:sz w:val="17"/>
                <w:szCs w:val="17"/>
                <w:color w:val="auto"/>
              </w:rPr>
            </w:pPr>
          </w:p>
        </w:tc>
        <w:tc>
          <w:tcPr>
            <w:tcW w:w="1140" w:type="dxa"/>
            <w:vAlign w:val="bottom"/>
            <w:shd w:val="clear" w:color="auto" w:fill="F1EFEC"/>
          </w:tcPr>
          <w:p>
            <w:pPr>
              <w:spacing w:after="0"/>
              <w:rPr>
                <w:sz w:val="17"/>
                <w:szCs w:val="17"/>
                <w:color w:val="auto"/>
              </w:rPr>
            </w:pPr>
          </w:p>
        </w:tc>
        <w:tc>
          <w:tcPr>
            <w:tcW w:w="1120" w:type="dxa"/>
            <w:vAlign w:val="bottom"/>
            <w:shd w:val="clear" w:color="auto" w:fill="F1EFEC"/>
          </w:tcPr>
          <w:p>
            <w:pPr>
              <w:spacing w:after="0"/>
              <w:rPr>
                <w:sz w:val="17"/>
                <w:szCs w:val="17"/>
                <w:color w:val="auto"/>
              </w:rPr>
            </w:pPr>
          </w:p>
        </w:tc>
        <w:tc>
          <w:tcPr>
            <w:tcW w:w="1140" w:type="dxa"/>
            <w:vAlign w:val="bottom"/>
            <w:shd w:val="clear" w:color="auto" w:fill="F1EFEC"/>
          </w:tcPr>
          <w:p>
            <w:pPr>
              <w:spacing w:after="0"/>
              <w:rPr>
                <w:sz w:val="17"/>
                <w:szCs w:val="17"/>
                <w:color w:val="auto"/>
              </w:rPr>
            </w:pPr>
          </w:p>
        </w:tc>
        <w:tc>
          <w:tcPr>
            <w:tcW w:w="820" w:type="dxa"/>
            <w:vAlign w:val="bottom"/>
            <w:shd w:val="clear" w:color="auto" w:fill="F1EFEC"/>
          </w:tcPr>
          <w:p>
            <w:pPr>
              <w:spacing w:after="0"/>
              <w:rPr>
                <w:sz w:val="17"/>
                <w:szCs w:val="17"/>
                <w:color w:val="auto"/>
              </w:rPr>
            </w:pPr>
          </w:p>
        </w:tc>
      </w:tr>
      <w:tr>
        <w:trPr>
          <w:trHeight w:val="193"/>
        </w:trPr>
        <w:tc>
          <w:tcPr>
            <w:tcW w:w="400" w:type="dxa"/>
            <w:vAlign w:val="bottom"/>
            <w:shd w:val="clear" w:color="auto" w:fill="F1EFEC"/>
          </w:tcPr>
          <w:p>
            <w:pPr>
              <w:spacing w:after="0"/>
              <w:rPr>
                <w:sz w:val="16"/>
                <w:szCs w:val="16"/>
                <w:color w:val="auto"/>
              </w:rPr>
            </w:pPr>
          </w:p>
        </w:tc>
        <w:tc>
          <w:tcPr>
            <w:tcW w:w="60" w:type="dxa"/>
            <w:vAlign w:val="bottom"/>
            <w:shd w:val="clear" w:color="auto" w:fill="F1EFEC"/>
          </w:tcPr>
          <w:p>
            <w:pPr>
              <w:spacing w:after="0"/>
              <w:rPr>
                <w:sz w:val="16"/>
                <w:szCs w:val="16"/>
                <w:color w:val="auto"/>
              </w:rPr>
            </w:pP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EBITDAR</w:t>
            </w:r>
          </w:p>
        </w:tc>
        <w:tc>
          <w:tcPr>
            <w:tcW w:w="1040" w:type="dxa"/>
            <w:vAlign w:val="bottom"/>
            <w:shd w:val="clear" w:color="auto" w:fill="F1EFEC"/>
          </w:tcPr>
          <w:p>
            <w:pPr>
              <w:jc w:val="right"/>
              <w:spacing w:after="0"/>
              <w:rPr>
                <w:sz w:val="20"/>
                <w:szCs w:val="20"/>
                <w:color w:val="auto"/>
              </w:rPr>
            </w:pPr>
            <w:r>
              <w:rPr>
                <w:rFonts w:ascii="Arial" w:cs="Arial" w:eastAsia="Arial" w:hAnsi="Arial"/>
                <w:sz w:val="11"/>
                <w:szCs w:val="11"/>
                <w:color w:val="auto"/>
              </w:rPr>
              <w:t>30%</w:t>
            </w:r>
          </w:p>
        </w:tc>
        <w:tc>
          <w:tcPr>
            <w:tcW w:w="160" w:type="dxa"/>
            <w:vAlign w:val="bottom"/>
            <w:shd w:val="clear" w:color="auto" w:fill="F1EFEC"/>
          </w:tcPr>
          <w:p>
            <w:pPr>
              <w:ind w:left="40"/>
              <w:spacing w:after="0"/>
              <w:rPr>
                <w:sz w:val="20"/>
                <w:szCs w:val="20"/>
                <w:color w:val="auto"/>
              </w:rPr>
            </w:pPr>
            <w:r>
              <w:rPr>
                <w:rFonts w:ascii="Arial" w:cs="Arial" w:eastAsia="Arial" w:hAnsi="Arial"/>
                <w:sz w:val="11"/>
                <w:szCs w:val="11"/>
                <w:color w:val="auto"/>
              </w:rPr>
              <w:t>$</w:t>
            </w:r>
          </w:p>
        </w:tc>
        <w:tc>
          <w:tcPr>
            <w:tcW w:w="1020" w:type="dxa"/>
            <w:vAlign w:val="bottom"/>
            <w:shd w:val="clear" w:color="auto" w:fill="F1EFEC"/>
          </w:tcPr>
          <w:p>
            <w:pPr>
              <w:jc w:val="right"/>
              <w:spacing w:after="0"/>
              <w:rPr>
                <w:sz w:val="20"/>
                <w:szCs w:val="20"/>
                <w:color w:val="auto"/>
              </w:rPr>
            </w:pPr>
            <w:r>
              <w:rPr>
                <w:rFonts w:ascii="Arial" w:cs="Arial" w:eastAsia="Arial" w:hAnsi="Arial"/>
                <w:sz w:val="11"/>
                <w:szCs w:val="11"/>
                <w:color w:val="auto"/>
              </w:rPr>
              <w:t>1,025,000</w:t>
            </w:r>
          </w:p>
        </w:tc>
        <w:tc>
          <w:tcPr>
            <w:tcW w:w="114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$1,075,000</w:t>
            </w:r>
          </w:p>
        </w:tc>
        <w:tc>
          <w:tcPr>
            <w:tcW w:w="112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$1,145,000</w:t>
            </w:r>
          </w:p>
        </w:tc>
        <w:tc>
          <w:tcPr>
            <w:tcW w:w="11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  1,139,126</w:t>
            </w:r>
          </w:p>
        </w:tc>
        <w:tc>
          <w:tcPr>
            <w:tcW w:w="82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Target</w:t>
            </w:r>
          </w:p>
        </w:tc>
      </w:tr>
      <w:tr>
        <w:trPr>
          <w:trHeight w:val="71"/>
        </w:trPr>
        <w:tc>
          <w:tcPr>
            <w:tcW w:w="400" w:type="dxa"/>
            <w:vAlign w:val="bottom"/>
            <w:shd w:val="clear" w:color="auto" w:fill="F1EFEC"/>
          </w:tcPr>
          <w:p>
            <w:pPr>
              <w:spacing w:after="0"/>
              <w:rPr>
                <w:sz w:val="6"/>
                <w:szCs w:val="6"/>
                <w:color w:val="auto"/>
              </w:rPr>
            </w:pPr>
          </w:p>
        </w:tc>
        <w:tc>
          <w:tcPr>
            <w:tcW w:w="60" w:type="dxa"/>
            <w:vAlign w:val="bottom"/>
            <w:shd w:val="clear" w:color="auto" w:fill="F1EFEC"/>
          </w:tcPr>
          <w:p>
            <w:pPr>
              <w:spacing w:after="0"/>
              <w:rPr>
                <w:sz w:val="6"/>
                <w:szCs w:val="6"/>
                <w:color w:val="auto"/>
              </w:rPr>
            </w:pPr>
          </w:p>
        </w:tc>
        <w:tc>
          <w:tcPr>
            <w:tcW w:w="1840" w:type="dxa"/>
            <w:vAlign w:val="bottom"/>
            <w:shd w:val="clear" w:color="auto" w:fill="F1EFEC"/>
          </w:tcPr>
          <w:p>
            <w:pPr>
              <w:spacing w:after="0"/>
              <w:rPr>
                <w:sz w:val="6"/>
                <w:szCs w:val="6"/>
                <w:color w:val="auto"/>
              </w:rPr>
            </w:pPr>
          </w:p>
        </w:tc>
        <w:tc>
          <w:tcPr>
            <w:tcW w:w="1040" w:type="dxa"/>
            <w:vAlign w:val="bottom"/>
            <w:shd w:val="clear" w:color="auto" w:fill="F1EFEC"/>
          </w:tcPr>
          <w:p>
            <w:pPr>
              <w:spacing w:after="0"/>
              <w:rPr>
                <w:sz w:val="6"/>
                <w:szCs w:val="6"/>
                <w:color w:val="auto"/>
              </w:rPr>
            </w:pPr>
          </w:p>
        </w:tc>
        <w:tc>
          <w:tcPr>
            <w:tcW w:w="160" w:type="dxa"/>
            <w:vAlign w:val="bottom"/>
            <w:shd w:val="clear" w:color="auto" w:fill="F1EFEC"/>
          </w:tcPr>
          <w:p>
            <w:pPr>
              <w:spacing w:after="0"/>
              <w:rPr>
                <w:sz w:val="6"/>
                <w:szCs w:val="6"/>
                <w:color w:val="auto"/>
              </w:rPr>
            </w:pPr>
          </w:p>
        </w:tc>
        <w:tc>
          <w:tcPr>
            <w:tcW w:w="1020" w:type="dxa"/>
            <w:vAlign w:val="bottom"/>
            <w:shd w:val="clear" w:color="auto" w:fill="F1EFEC"/>
          </w:tcPr>
          <w:p>
            <w:pPr>
              <w:spacing w:after="0"/>
              <w:rPr>
                <w:sz w:val="6"/>
                <w:szCs w:val="6"/>
                <w:color w:val="auto"/>
              </w:rPr>
            </w:pPr>
          </w:p>
        </w:tc>
        <w:tc>
          <w:tcPr>
            <w:tcW w:w="1140" w:type="dxa"/>
            <w:vAlign w:val="bottom"/>
            <w:shd w:val="clear" w:color="auto" w:fill="F1EFEC"/>
          </w:tcPr>
          <w:p>
            <w:pPr>
              <w:spacing w:after="0"/>
              <w:rPr>
                <w:sz w:val="6"/>
                <w:szCs w:val="6"/>
                <w:color w:val="auto"/>
              </w:rPr>
            </w:pPr>
          </w:p>
        </w:tc>
        <w:tc>
          <w:tcPr>
            <w:tcW w:w="1120" w:type="dxa"/>
            <w:vAlign w:val="bottom"/>
            <w:shd w:val="clear" w:color="auto" w:fill="F1EFEC"/>
          </w:tcPr>
          <w:p>
            <w:pPr>
              <w:spacing w:after="0"/>
              <w:rPr>
                <w:sz w:val="6"/>
                <w:szCs w:val="6"/>
                <w:color w:val="auto"/>
              </w:rPr>
            </w:pPr>
          </w:p>
        </w:tc>
        <w:tc>
          <w:tcPr>
            <w:tcW w:w="1140" w:type="dxa"/>
            <w:vAlign w:val="bottom"/>
            <w:shd w:val="clear" w:color="auto" w:fill="F1EFEC"/>
          </w:tcPr>
          <w:p>
            <w:pPr>
              <w:spacing w:after="0"/>
              <w:rPr>
                <w:sz w:val="6"/>
                <w:szCs w:val="6"/>
                <w:color w:val="auto"/>
              </w:rPr>
            </w:pPr>
          </w:p>
        </w:tc>
        <w:tc>
          <w:tcPr>
            <w:tcW w:w="820" w:type="dxa"/>
            <w:vAlign w:val="bottom"/>
            <w:shd w:val="clear" w:color="auto" w:fill="F1EFEC"/>
          </w:tcPr>
          <w:p>
            <w:pPr>
              <w:spacing w:after="0"/>
              <w:rPr>
                <w:sz w:val="6"/>
                <w:szCs w:val="6"/>
                <w:color w:val="auto"/>
              </w:rPr>
            </w:pPr>
          </w:p>
        </w:tc>
      </w:tr>
      <w:tr>
        <w:trPr>
          <w:trHeight w:val="229"/>
        </w:trPr>
        <w:tc>
          <w:tcPr>
            <w:tcW w:w="400" w:type="dxa"/>
            <w:vAlign w:val="bottom"/>
          </w:tcPr>
          <w:p>
            <w:pPr>
              <w:ind w:left="40"/>
              <w:spacing w:after="0"/>
              <w:rPr>
                <w:sz w:val="20"/>
                <w:szCs w:val="20"/>
                <w:color w:val="auto"/>
              </w:rPr>
            </w:pPr>
            <w:r>
              <w:rPr>
                <w:rFonts w:ascii="Arial" w:cs="Arial" w:eastAsia="Arial" w:hAnsi="Arial"/>
                <w:sz w:val="11"/>
                <w:szCs w:val="11"/>
                <w:color w:val="auto"/>
              </w:rPr>
              <w:t>Goal 2</w:t>
            </w:r>
          </w:p>
        </w:tc>
        <w:tc>
          <w:tcPr>
            <w:tcW w:w="1900" w:type="dxa"/>
            <w:vAlign w:val="bottom"/>
            <w:gridSpan w:val="2"/>
          </w:tcPr>
          <w:p>
            <w:pPr>
              <w:ind w:left="20"/>
              <w:spacing w:after="0"/>
              <w:rPr>
                <w:sz w:val="20"/>
                <w:szCs w:val="20"/>
                <w:color w:val="auto"/>
              </w:rPr>
            </w:pPr>
            <w:r>
              <w:rPr>
                <w:rFonts w:ascii="Arial" w:cs="Arial" w:eastAsia="Arial" w:hAnsi="Arial"/>
                <w:sz w:val="11"/>
                <w:szCs w:val="11"/>
                <w:color w:val="auto"/>
              </w:rPr>
              <w:t>- Macau Operations,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4"/>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Pr>
          <w:p>
            <w:pPr>
              <w:ind w:left="40"/>
              <w:spacing w:after="0"/>
              <w:rPr>
                <w:sz w:val="20"/>
                <w:szCs w:val="20"/>
                <w:color w:val="auto"/>
              </w:rPr>
            </w:pPr>
            <w:r>
              <w:rPr>
                <w:rFonts w:ascii="Arial" w:cs="Arial" w:eastAsia="Arial" w:hAnsi="Arial"/>
                <w:sz w:val="11"/>
                <w:szCs w:val="11"/>
                <w:color w:val="auto"/>
              </w:rPr>
              <w:t>2025 Adjusted Property</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3"/>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tcPr>
          <w:p>
            <w:pPr>
              <w:ind w:left="40"/>
              <w:spacing w:after="0"/>
              <w:rPr>
                <w:sz w:val="20"/>
                <w:szCs w:val="20"/>
                <w:color w:val="auto"/>
              </w:rPr>
            </w:pPr>
            <w:r>
              <w:rPr>
                <w:rFonts w:ascii="Arial" w:cs="Arial" w:eastAsia="Arial" w:hAnsi="Arial"/>
                <w:sz w:val="11"/>
                <w:szCs w:val="11"/>
                <w:color w:val="auto"/>
              </w:rPr>
              <w:t>EBITDAR</w:t>
            </w:r>
          </w:p>
        </w:tc>
        <w:tc>
          <w:tcPr>
            <w:tcW w:w="1040" w:type="dxa"/>
            <w:vAlign w:val="bottom"/>
          </w:tcPr>
          <w:p>
            <w:pPr>
              <w:jc w:val="right"/>
              <w:ind w:right="343"/>
              <w:spacing w:after="0"/>
              <w:rPr>
                <w:sz w:val="20"/>
                <w:szCs w:val="20"/>
                <w:color w:val="auto"/>
              </w:rPr>
            </w:pPr>
            <w:r>
              <w:rPr>
                <w:rFonts w:ascii="Arial" w:cs="Arial" w:eastAsia="Arial" w:hAnsi="Arial"/>
                <w:sz w:val="11"/>
                <w:szCs w:val="11"/>
                <w:color w:val="auto"/>
              </w:rPr>
              <w:t>40%</w:t>
            </w:r>
          </w:p>
        </w:tc>
        <w:tc>
          <w:tcPr>
            <w:tcW w:w="160" w:type="dxa"/>
            <w:vAlign w:val="bottom"/>
          </w:tcPr>
          <w:p>
            <w:pPr>
              <w:spacing w:after="0"/>
              <w:rPr>
                <w:sz w:val="16"/>
                <w:szCs w:val="16"/>
                <w:color w:val="auto"/>
              </w:rPr>
            </w:pPr>
          </w:p>
        </w:tc>
        <w:tc>
          <w:tcPr>
            <w:tcW w:w="1020" w:type="dxa"/>
            <w:vAlign w:val="bottom"/>
          </w:tcPr>
          <w:p>
            <w:pPr>
              <w:jc w:val="center"/>
              <w:ind w:right="3"/>
              <w:spacing w:after="0"/>
              <w:rPr>
                <w:sz w:val="20"/>
                <w:szCs w:val="20"/>
                <w:color w:val="auto"/>
              </w:rPr>
            </w:pPr>
            <w:r>
              <w:rPr>
                <w:rFonts w:ascii="Arial" w:cs="Arial" w:eastAsia="Arial" w:hAnsi="Arial"/>
                <w:sz w:val="11"/>
                <w:szCs w:val="11"/>
                <w:color w:val="auto"/>
              </w:rPr>
              <w:t>$1,000,000</w:t>
            </w:r>
          </w:p>
        </w:tc>
        <w:tc>
          <w:tcPr>
            <w:tcW w:w="1140" w:type="dxa"/>
            <w:vAlign w:val="bottom"/>
          </w:tcPr>
          <w:p>
            <w:pPr>
              <w:jc w:val="center"/>
              <w:spacing w:after="0"/>
              <w:rPr>
                <w:sz w:val="20"/>
                <w:szCs w:val="20"/>
                <w:color w:val="auto"/>
              </w:rPr>
            </w:pPr>
            <w:r>
              <w:rPr>
                <w:rFonts w:ascii="Arial" w:cs="Arial" w:eastAsia="Arial" w:hAnsi="Arial"/>
                <w:sz w:val="11"/>
                <w:szCs w:val="11"/>
                <w:color w:val="auto"/>
              </w:rPr>
              <w:t>$1,065,000</w:t>
            </w:r>
          </w:p>
        </w:tc>
        <w:tc>
          <w:tcPr>
            <w:tcW w:w="1120" w:type="dxa"/>
            <w:vAlign w:val="bottom"/>
          </w:tcPr>
          <w:p>
            <w:pPr>
              <w:jc w:val="center"/>
              <w:spacing w:after="0"/>
              <w:rPr>
                <w:sz w:val="20"/>
                <w:szCs w:val="20"/>
                <w:color w:val="auto"/>
              </w:rPr>
            </w:pPr>
            <w:r>
              <w:rPr>
                <w:rFonts w:ascii="Arial" w:cs="Arial" w:eastAsia="Arial" w:hAnsi="Arial"/>
                <w:sz w:val="11"/>
                <w:szCs w:val="11"/>
                <w:color w:val="auto"/>
              </w:rPr>
              <w:t>$1,165,000</w:t>
            </w:r>
          </w:p>
        </w:tc>
        <w:tc>
          <w:tcPr>
            <w:tcW w:w="1140" w:type="dxa"/>
            <w:vAlign w:val="bottom"/>
          </w:tcPr>
          <w:p>
            <w:pPr>
              <w:jc w:val="center"/>
              <w:spacing w:after="0"/>
              <w:rPr>
                <w:sz w:val="20"/>
                <w:szCs w:val="20"/>
                <w:color w:val="auto"/>
              </w:rPr>
            </w:pPr>
            <w:r>
              <w:rPr>
                <w:rFonts w:ascii="Arial" w:cs="Arial" w:eastAsia="Arial" w:hAnsi="Arial"/>
                <w:sz w:val="11"/>
                <w:szCs w:val="11"/>
                <w:color w:val="auto"/>
              </w:rPr>
              <w:t>$1,085,025</w:t>
            </w:r>
          </w:p>
        </w:tc>
        <w:tc>
          <w:tcPr>
            <w:tcW w:w="820" w:type="dxa"/>
            <w:vAlign w:val="bottom"/>
          </w:tcPr>
          <w:p>
            <w:pPr>
              <w:jc w:val="center"/>
              <w:ind w:left="3"/>
              <w:spacing w:after="0"/>
              <w:rPr>
                <w:sz w:val="20"/>
                <w:szCs w:val="20"/>
                <w:color w:val="auto"/>
              </w:rPr>
            </w:pPr>
            <w:r>
              <w:rPr>
                <w:rFonts w:ascii="Arial" w:cs="Arial" w:eastAsia="Arial" w:hAnsi="Arial"/>
                <w:sz w:val="11"/>
                <w:szCs w:val="11"/>
                <w:color w:val="auto"/>
              </w:rPr>
              <w:t>Target</w:t>
            </w:r>
          </w:p>
        </w:tc>
      </w:tr>
      <w:tr>
        <w:trPr>
          <w:trHeight w:val="71"/>
        </w:trPr>
        <w:tc>
          <w:tcPr>
            <w:tcW w:w="400" w:type="dxa"/>
            <w:vAlign w:val="bottom"/>
          </w:tcPr>
          <w:p>
            <w:pPr>
              <w:spacing w:after="0"/>
              <w:rPr>
                <w:sz w:val="6"/>
                <w:szCs w:val="6"/>
                <w:color w:val="auto"/>
              </w:rPr>
            </w:pPr>
          </w:p>
        </w:tc>
        <w:tc>
          <w:tcPr>
            <w:tcW w:w="1900" w:type="dxa"/>
            <w:vAlign w:val="bottom"/>
            <w:gridSpan w:val="2"/>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229"/>
        </w:trPr>
        <w:tc>
          <w:tcPr>
            <w:tcW w:w="400" w:type="dxa"/>
            <w:vAlign w:val="bottom"/>
            <w:shd w:val="clear" w:color="auto" w:fill="F1EFEC"/>
          </w:tcPr>
          <w:p>
            <w:pPr>
              <w:ind w:left="40"/>
              <w:spacing w:after="0"/>
              <w:rPr>
                <w:sz w:val="20"/>
                <w:szCs w:val="20"/>
                <w:color w:val="auto"/>
              </w:rPr>
            </w:pPr>
            <w:r>
              <w:rPr>
                <w:rFonts w:ascii="Arial" w:cs="Arial" w:eastAsia="Arial" w:hAnsi="Arial"/>
                <w:sz w:val="11"/>
                <w:szCs w:val="11"/>
                <w:color w:val="auto"/>
              </w:rPr>
              <w:t>Goal 3</w:t>
            </w:r>
          </w:p>
        </w:tc>
        <w:tc>
          <w:tcPr>
            <w:tcW w:w="60" w:type="dxa"/>
            <w:vAlign w:val="bottom"/>
            <w:shd w:val="clear" w:color="auto" w:fill="F1EFEC"/>
          </w:tcPr>
          <w:p>
            <w:pPr>
              <w:ind w:left="20"/>
              <w:spacing w:after="0"/>
              <w:rPr>
                <w:sz w:val="20"/>
                <w:szCs w:val="20"/>
                <w:color w:val="auto"/>
              </w:rPr>
            </w:pPr>
            <w:r>
              <w:rPr>
                <w:rFonts w:ascii="Arial" w:cs="Arial" w:eastAsia="Arial" w:hAnsi="Arial"/>
                <w:sz w:val="8"/>
                <w:szCs w:val="8"/>
                <w:color w:val="auto"/>
                <w:w w:val="73"/>
              </w:rPr>
              <w:t>-</w:t>
            </w: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Wynn Las Vegas,</w:t>
            </w:r>
          </w:p>
        </w:tc>
        <w:tc>
          <w:tcPr>
            <w:tcW w:w="1040" w:type="dxa"/>
            <w:vAlign w:val="bottom"/>
            <w:shd w:val="clear" w:color="auto" w:fill="F1EFEC"/>
          </w:tcPr>
          <w:p>
            <w:pPr>
              <w:spacing w:after="0"/>
              <w:rPr>
                <w:sz w:val="19"/>
                <w:szCs w:val="19"/>
                <w:color w:val="auto"/>
              </w:rPr>
            </w:pPr>
          </w:p>
        </w:tc>
        <w:tc>
          <w:tcPr>
            <w:tcW w:w="160" w:type="dxa"/>
            <w:vAlign w:val="bottom"/>
            <w:shd w:val="clear" w:color="auto" w:fill="F1EFEC"/>
          </w:tcPr>
          <w:p>
            <w:pPr>
              <w:spacing w:after="0"/>
              <w:rPr>
                <w:sz w:val="19"/>
                <w:szCs w:val="19"/>
                <w:color w:val="auto"/>
              </w:rPr>
            </w:pPr>
          </w:p>
        </w:tc>
        <w:tc>
          <w:tcPr>
            <w:tcW w:w="1020" w:type="dxa"/>
            <w:vAlign w:val="bottom"/>
            <w:shd w:val="clear" w:color="auto" w:fill="F1EFEC"/>
          </w:tcPr>
          <w:p>
            <w:pPr>
              <w:spacing w:after="0"/>
              <w:rPr>
                <w:sz w:val="19"/>
                <w:szCs w:val="19"/>
                <w:color w:val="auto"/>
              </w:rPr>
            </w:pPr>
          </w:p>
        </w:tc>
        <w:tc>
          <w:tcPr>
            <w:tcW w:w="1140" w:type="dxa"/>
            <w:vAlign w:val="bottom"/>
            <w:shd w:val="clear" w:color="auto" w:fill="F1EFEC"/>
          </w:tcPr>
          <w:p>
            <w:pPr>
              <w:spacing w:after="0"/>
              <w:rPr>
                <w:sz w:val="19"/>
                <w:szCs w:val="19"/>
                <w:color w:val="auto"/>
              </w:rPr>
            </w:pPr>
          </w:p>
        </w:tc>
        <w:tc>
          <w:tcPr>
            <w:tcW w:w="1120" w:type="dxa"/>
            <w:vAlign w:val="bottom"/>
            <w:shd w:val="clear" w:color="auto" w:fill="F1EFEC"/>
          </w:tcPr>
          <w:p>
            <w:pPr>
              <w:spacing w:after="0"/>
              <w:rPr>
                <w:sz w:val="19"/>
                <w:szCs w:val="19"/>
                <w:color w:val="auto"/>
              </w:rPr>
            </w:pPr>
          </w:p>
        </w:tc>
        <w:tc>
          <w:tcPr>
            <w:tcW w:w="1140" w:type="dxa"/>
            <w:vAlign w:val="bottom"/>
            <w:shd w:val="clear" w:color="auto" w:fill="F1EFEC"/>
          </w:tcPr>
          <w:p>
            <w:pPr>
              <w:spacing w:after="0"/>
              <w:rPr>
                <w:sz w:val="19"/>
                <w:szCs w:val="19"/>
                <w:color w:val="auto"/>
              </w:rPr>
            </w:pPr>
          </w:p>
        </w:tc>
        <w:tc>
          <w:tcPr>
            <w:tcW w:w="820" w:type="dxa"/>
            <w:vAlign w:val="bottom"/>
            <w:shd w:val="clear" w:color="auto" w:fill="F1EFEC"/>
          </w:tcPr>
          <w:p>
            <w:pPr>
              <w:spacing w:after="0"/>
              <w:rPr>
                <w:sz w:val="19"/>
                <w:szCs w:val="19"/>
                <w:color w:val="auto"/>
              </w:rPr>
            </w:pPr>
          </w:p>
        </w:tc>
      </w:tr>
      <w:tr>
        <w:trPr>
          <w:trHeight w:val="204"/>
        </w:trPr>
        <w:tc>
          <w:tcPr>
            <w:tcW w:w="400" w:type="dxa"/>
            <w:vAlign w:val="bottom"/>
            <w:shd w:val="clear" w:color="auto" w:fill="F1EFEC"/>
          </w:tcPr>
          <w:p>
            <w:pPr>
              <w:spacing w:after="0"/>
              <w:rPr>
                <w:sz w:val="17"/>
                <w:szCs w:val="17"/>
                <w:color w:val="auto"/>
              </w:rPr>
            </w:pPr>
          </w:p>
        </w:tc>
        <w:tc>
          <w:tcPr>
            <w:tcW w:w="60" w:type="dxa"/>
            <w:vAlign w:val="bottom"/>
            <w:shd w:val="clear" w:color="auto" w:fill="F1EFEC"/>
          </w:tcPr>
          <w:p>
            <w:pPr>
              <w:spacing w:after="0"/>
              <w:rPr>
                <w:sz w:val="17"/>
                <w:szCs w:val="17"/>
                <w:color w:val="auto"/>
              </w:rPr>
            </w:pP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Market Share of Gross</w:t>
            </w:r>
          </w:p>
        </w:tc>
        <w:tc>
          <w:tcPr>
            <w:tcW w:w="1040" w:type="dxa"/>
            <w:vAlign w:val="bottom"/>
            <w:shd w:val="clear" w:color="auto" w:fill="F1EFEC"/>
          </w:tcPr>
          <w:p>
            <w:pPr>
              <w:spacing w:after="0"/>
              <w:rPr>
                <w:sz w:val="17"/>
                <w:szCs w:val="17"/>
                <w:color w:val="auto"/>
              </w:rPr>
            </w:pPr>
          </w:p>
        </w:tc>
        <w:tc>
          <w:tcPr>
            <w:tcW w:w="160" w:type="dxa"/>
            <w:vAlign w:val="bottom"/>
            <w:shd w:val="clear" w:color="auto" w:fill="F1EFEC"/>
          </w:tcPr>
          <w:p>
            <w:pPr>
              <w:spacing w:after="0"/>
              <w:rPr>
                <w:sz w:val="17"/>
                <w:szCs w:val="17"/>
                <w:color w:val="auto"/>
              </w:rPr>
            </w:pPr>
          </w:p>
        </w:tc>
        <w:tc>
          <w:tcPr>
            <w:tcW w:w="1020" w:type="dxa"/>
            <w:vAlign w:val="bottom"/>
            <w:shd w:val="clear" w:color="auto" w:fill="F1EFEC"/>
          </w:tcPr>
          <w:p>
            <w:pPr>
              <w:spacing w:after="0"/>
              <w:rPr>
                <w:sz w:val="17"/>
                <w:szCs w:val="17"/>
                <w:color w:val="auto"/>
              </w:rPr>
            </w:pPr>
          </w:p>
        </w:tc>
        <w:tc>
          <w:tcPr>
            <w:tcW w:w="1140" w:type="dxa"/>
            <w:vAlign w:val="bottom"/>
            <w:shd w:val="clear" w:color="auto" w:fill="F1EFEC"/>
          </w:tcPr>
          <w:p>
            <w:pPr>
              <w:spacing w:after="0"/>
              <w:rPr>
                <w:sz w:val="17"/>
                <w:szCs w:val="17"/>
                <w:color w:val="auto"/>
              </w:rPr>
            </w:pPr>
          </w:p>
        </w:tc>
        <w:tc>
          <w:tcPr>
            <w:tcW w:w="1120" w:type="dxa"/>
            <w:vAlign w:val="bottom"/>
            <w:shd w:val="clear" w:color="auto" w:fill="F1EFEC"/>
          </w:tcPr>
          <w:p>
            <w:pPr>
              <w:spacing w:after="0"/>
              <w:rPr>
                <w:sz w:val="17"/>
                <w:szCs w:val="17"/>
                <w:color w:val="auto"/>
              </w:rPr>
            </w:pPr>
          </w:p>
        </w:tc>
        <w:tc>
          <w:tcPr>
            <w:tcW w:w="1140" w:type="dxa"/>
            <w:vAlign w:val="bottom"/>
            <w:shd w:val="clear" w:color="auto" w:fill="F1EFEC"/>
          </w:tcPr>
          <w:p>
            <w:pPr>
              <w:spacing w:after="0"/>
              <w:rPr>
                <w:sz w:val="17"/>
                <w:szCs w:val="17"/>
                <w:color w:val="auto"/>
              </w:rPr>
            </w:pPr>
          </w:p>
        </w:tc>
        <w:tc>
          <w:tcPr>
            <w:tcW w:w="820" w:type="dxa"/>
            <w:vAlign w:val="bottom"/>
            <w:shd w:val="clear" w:color="auto" w:fill="F1EFEC"/>
          </w:tcPr>
          <w:p>
            <w:pPr>
              <w:spacing w:after="0"/>
              <w:rPr>
                <w:sz w:val="17"/>
                <w:szCs w:val="17"/>
                <w:color w:val="auto"/>
              </w:rPr>
            </w:pPr>
          </w:p>
        </w:tc>
      </w:tr>
      <w:tr>
        <w:trPr>
          <w:trHeight w:val="193"/>
        </w:trPr>
        <w:tc>
          <w:tcPr>
            <w:tcW w:w="400" w:type="dxa"/>
            <w:vAlign w:val="bottom"/>
            <w:shd w:val="clear" w:color="auto" w:fill="F1EFEC"/>
          </w:tcPr>
          <w:p>
            <w:pPr>
              <w:spacing w:after="0"/>
              <w:rPr>
                <w:sz w:val="16"/>
                <w:szCs w:val="16"/>
                <w:color w:val="auto"/>
              </w:rPr>
            </w:pPr>
          </w:p>
        </w:tc>
        <w:tc>
          <w:tcPr>
            <w:tcW w:w="60" w:type="dxa"/>
            <w:vAlign w:val="bottom"/>
            <w:shd w:val="clear" w:color="auto" w:fill="F1EFEC"/>
          </w:tcPr>
          <w:p>
            <w:pPr>
              <w:spacing w:after="0"/>
              <w:rPr>
                <w:sz w:val="16"/>
                <w:szCs w:val="16"/>
                <w:color w:val="auto"/>
              </w:rPr>
            </w:pP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Gaming Revenues</w:t>
            </w:r>
          </w:p>
        </w:tc>
        <w:tc>
          <w:tcPr>
            <w:tcW w:w="1040" w:type="dxa"/>
            <w:vAlign w:val="bottom"/>
            <w:shd w:val="clear" w:color="auto" w:fill="F1EFEC"/>
          </w:tcPr>
          <w:p>
            <w:pPr>
              <w:jc w:val="right"/>
              <w:ind w:right="343"/>
              <w:spacing w:after="0"/>
              <w:rPr>
                <w:sz w:val="20"/>
                <w:szCs w:val="20"/>
                <w:color w:val="auto"/>
              </w:rPr>
            </w:pPr>
            <w:r>
              <w:rPr>
                <w:rFonts w:ascii="Arial" w:cs="Arial" w:eastAsia="Arial" w:hAnsi="Arial"/>
                <w:sz w:val="11"/>
                <w:szCs w:val="11"/>
                <w:color w:val="auto"/>
              </w:rPr>
              <w:t>10%</w:t>
            </w:r>
          </w:p>
        </w:tc>
        <w:tc>
          <w:tcPr>
            <w:tcW w:w="160" w:type="dxa"/>
            <w:vAlign w:val="bottom"/>
            <w:shd w:val="clear" w:color="auto" w:fill="F1EFEC"/>
          </w:tcPr>
          <w:p>
            <w:pPr>
              <w:spacing w:after="0"/>
              <w:rPr>
                <w:sz w:val="16"/>
                <w:szCs w:val="16"/>
                <w:color w:val="auto"/>
              </w:rPr>
            </w:pPr>
          </w:p>
        </w:tc>
        <w:tc>
          <w:tcPr>
            <w:tcW w:w="102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11.75%</w:t>
            </w:r>
          </w:p>
        </w:tc>
        <w:tc>
          <w:tcPr>
            <w:tcW w:w="114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12.25%</w:t>
            </w:r>
          </w:p>
        </w:tc>
        <w:tc>
          <w:tcPr>
            <w:tcW w:w="112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13.00%</w:t>
            </w:r>
          </w:p>
        </w:tc>
        <w:tc>
          <w:tcPr>
            <w:tcW w:w="114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13.70%</w:t>
            </w:r>
          </w:p>
        </w:tc>
        <w:tc>
          <w:tcPr>
            <w:tcW w:w="82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Maximum</w:t>
            </w:r>
          </w:p>
        </w:tc>
      </w:tr>
      <w:tr>
        <w:trPr>
          <w:trHeight w:val="71"/>
        </w:trPr>
        <w:tc>
          <w:tcPr>
            <w:tcW w:w="400" w:type="dxa"/>
            <w:vAlign w:val="bottom"/>
            <w:shd w:val="clear" w:color="auto" w:fill="F1EFEC"/>
          </w:tcPr>
          <w:p>
            <w:pPr>
              <w:spacing w:after="0"/>
              <w:rPr>
                <w:sz w:val="6"/>
                <w:szCs w:val="6"/>
                <w:color w:val="auto"/>
              </w:rPr>
            </w:pPr>
          </w:p>
        </w:tc>
        <w:tc>
          <w:tcPr>
            <w:tcW w:w="60" w:type="dxa"/>
            <w:vAlign w:val="bottom"/>
            <w:shd w:val="clear" w:color="auto" w:fill="F1EFEC"/>
          </w:tcPr>
          <w:p>
            <w:pPr>
              <w:spacing w:after="0"/>
              <w:rPr>
                <w:sz w:val="6"/>
                <w:szCs w:val="6"/>
                <w:color w:val="auto"/>
              </w:rPr>
            </w:pPr>
          </w:p>
        </w:tc>
        <w:tc>
          <w:tcPr>
            <w:tcW w:w="1840" w:type="dxa"/>
            <w:vAlign w:val="bottom"/>
            <w:shd w:val="clear" w:color="auto" w:fill="F1EFEC"/>
          </w:tcPr>
          <w:p>
            <w:pPr>
              <w:spacing w:after="0"/>
              <w:rPr>
                <w:sz w:val="6"/>
                <w:szCs w:val="6"/>
                <w:color w:val="auto"/>
              </w:rPr>
            </w:pPr>
          </w:p>
        </w:tc>
        <w:tc>
          <w:tcPr>
            <w:tcW w:w="1040" w:type="dxa"/>
            <w:vAlign w:val="bottom"/>
            <w:shd w:val="clear" w:color="auto" w:fill="F1EFEC"/>
          </w:tcPr>
          <w:p>
            <w:pPr>
              <w:spacing w:after="0"/>
              <w:rPr>
                <w:sz w:val="6"/>
                <w:szCs w:val="6"/>
                <w:color w:val="auto"/>
              </w:rPr>
            </w:pPr>
          </w:p>
        </w:tc>
        <w:tc>
          <w:tcPr>
            <w:tcW w:w="160" w:type="dxa"/>
            <w:vAlign w:val="bottom"/>
            <w:shd w:val="clear" w:color="auto" w:fill="F1EFEC"/>
          </w:tcPr>
          <w:p>
            <w:pPr>
              <w:spacing w:after="0"/>
              <w:rPr>
                <w:sz w:val="6"/>
                <w:szCs w:val="6"/>
                <w:color w:val="auto"/>
              </w:rPr>
            </w:pPr>
          </w:p>
        </w:tc>
        <w:tc>
          <w:tcPr>
            <w:tcW w:w="1020" w:type="dxa"/>
            <w:vAlign w:val="bottom"/>
            <w:shd w:val="clear" w:color="auto" w:fill="F1EFEC"/>
          </w:tcPr>
          <w:p>
            <w:pPr>
              <w:spacing w:after="0"/>
              <w:rPr>
                <w:sz w:val="6"/>
                <w:szCs w:val="6"/>
                <w:color w:val="auto"/>
              </w:rPr>
            </w:pPr>
          </w:p>
        </w:tc>
        <w:tc>
          <w:tcPr>
            <w:tcW w:w="1140" w:type="dxa"/>
            <w:vAlign w:val="bottom"/>
            <w:shd w:val="clear" w:color="auto" w:fill="F1EFEC"/>
          </w:tcPr>
          <w:p>
            <w:pPr>
              <w:spacing w:after="0"/>
              <w:rPr>
                <w:sz w:val="6"/>
                <w:szCs w:val="6"/>
                <w:color w:val="auto"/>
              </w:rPr>
            </w:pPr>
          </w:p>
        </w:tc>
        <w:tc>
          <w:tcPr>
            <w:tcW w:w="1120" w:type="dxa"/>
            <w:vAlign w:val="bottom"/>
            <w:shd w:val="clear" w:color="auto" w:fill="F1EFEC"/>
          </w:tcPr>
          <w:p>
            <w:pPr>
              <w:spacing w:after="0"/>
              <w:rPr>
                <w:sz w:val="6"/>
                <w:szCs w:val="6"/>
                <w:color w:val="auto"/>
              </w:rPr>
            </w:pPr>
          </w:p>
        </w:tc>
        <w:tc>
          <w:tcPr>
            <w:tcW w:w="1140" w:type="dxa"/>
            <w:vAlign w:val="bottom"/>
            <w:shd w:val="clear" w:color="auto" w:fill="F1EFEC"/>
          </w:tcPr>
          <w:p>
            <w:pPr>
              <w:spacing w:after="0"/>
              <w:rPr>
                <w:sz w:val="6"/>
                <w:szCs w:val="6"/>
                <w:color w:val="auto"/>
              </w:rPr>
            </w:pPr>
          </w:p>
        </w:tc>
        <w:tc>
          <w:tcPr>
            <w:tcW w:w="820" w:type="dxa"/>
            <w:vAlign w:val="bottom"/>
            <w:shd w:val="clear" w:color="auto" w:fill="F1EFEC"/>
          </w:tcPr>
          <w:p>
            <w:pPr>
              <w:spacing w:after="0"/>
              <w:rPr>
                <w:sz w:val="6"/>
                <w:szCs w:val="6"/>
                <w:color w:val="auto"/>
              </w:rPr>
            </w:pPr>
          </w:p>
        </w:tc>
      </w:tr>
      <w:tr>
        <w:trPr>
          <w:trHeight w:val="229"/>
        </w:trPr>
        <w:tc>
          <w:tcPr>
            <w:tcW w:w="400" w:type="dxa"/>
            <w:vAlign w:val="bottom"/>
          </w:tcPr>
          <w:p>
            <w:pPr>
              <w:ind w:left="40"/>
              <w:spacing w:after="0"/>
              <w:rPr>
                <w:sz w:val="20"/>
                <w:szCs w:val="20"/>
                <w:color w:val="auto"/>
              </w:rPr>
            </w:pPr>
            <w:r>
              <w:rPr>
                <w:rFonts w:ascii="Arial" w:cs="Arial" w:eastAsia="Arial" w:hAnsi="Arial"/>
                <w:sz w:val="11"/>
                <w:szCs w:val="11"/>
                <w:color w:val="auto"/>
              </w:rPr>
              <w:t>Goal 4</w:t>
            </w:r>
          </w:p>
        </w:tc>
        <w:tc>
          <w:tcPr>
            <w:tcW w:w="1900" w:type="dxa"/>
            <w:vAlign w:val="bottom"/>
            <w:gridSpan w:val="2"/>
          </w:tcPr>
          <w:p>
            <w:pPr>
              <w:ind w:left="20"/>
              <w:spacing w:after="0"/>
              <w:rPr>
                <w:sz w:val="20"/>
                <w:szCs w:val="20"/>
                <w:color w:val="auto"/>
              </w:rPr>
            </w:pPr>
            <w:r>
              <w:rPr>
                <w:rFonts w:ascii="Arial" w:cs="Arial" w:eastAsia="Arial" w:hAnsi="Arial"/>
                <w:sz w:val="11"/>
                <w:szCs w:val="11"/>
                <w:color w:val="auto"/>
              </w:rPr>
              <w:t>- Wynn Las Vegas,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4"/>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Pr>
          <w:p>
            <w:pPr>
              <w:ind w:left="40"/>
              <w:spacing w:after="0"/>
              <w:rPr>
                <w:sz w:val="20"/>
                <w:szCs w:val="20"/>
                <w:color w:val="auto"/>
              </w:rPr>
            </w:pPr>
            <w:r>
              <w:rPr>
                <w:rFonts w:ascii="Arial" w:cs="Arial" w:eastAsia="Arial" w:hAnsi="Arial"/>
                <w:sz w:val="11"/>
                <w:szCs w:val="11"/>
                <w:color w:val="auto"/>
              </w:rPr>
              <w:t>Achievement of Forbes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3"/>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tcPr>
          <w:p>
            <w:pPr>
              <w:ind w:left="40"/>
              <w:spacing w:after="0"/>
              <w:rPr>
                <w:sz w:val="20"/>
                <w:szCs w:val="20"/>
                <w:color w:val="auto"/>
              </w:rPr>
            </w:pPr>
            <w:r>
              <w:rPr>
                <w:rFonts w:ascii="Arial" w:cs="Arial" w:eastAsia="Arial" w:hAnsi="Arial"/>
                <w:sz w:val="11"/>
                <w:szCs w:val="11"/>
                <w:color w:val="auto"/>
              </w:rPr>
              <w:t>Five-Star (1)</w:t>
            </w:r>
          </w:p>
        </w:tc>
        <w:tc>
          <w:tcPr>
            <w:tcW w:w="1040" w:type="dxa"/>
            <w:vAlign w:val="bottom"/>
          </w:tcPr>
          <w:p>
            <w:pPr>
              <w:jc w:val="right"/>
              <w:ind w:right="343"/>
              <w:spacing w:after="0"/>
              <w:rPr>
                <w:sz w:val="20"/>
                <w:szCs w:val="20"/>
                <w:color w:val="auto"/>
              </w:rPr>
            </w:pPr>
            <w:r>
              <w:rPr>
                <w:rFonts w:ascii="Arial" w:cs="Arial" w:eastAsia="Arial" w:hAnsi="Arial"/>
                <w:sz w:val="11"/>
                <w:szCs w:val="11"/>
                <w:color w:val="auto"/>
              </w:rPr>
              <w:t>10%</w:t>
            </w:r>
          </w:p>
        </w:tc>
        <w:tc>
          <w:tcPr>
            <w:tcW w:w="160" w:type="dxa"/>
            <w:vAlign w:val="bottom"/>
          </w:tcPr>
          <w:p>
            <w:pPr>
              <w:spacing w:after="0"/>
              <w:rPr>
                <w:sz w:val="16"/>
                <w:szCs w:val="16"/>
                <w:color w:val="auto"/>
              </w:rPr>
            </w:pPr>
          </w:p>
        </w:tc>
        <w:tc>
          <w:tcPr>
            <w:tcW w:w="1020" w:type="dxa"/>
            <w:vAlign w:val="bottom"/>
          </w:tcPr>
          <w:p>
            <w:pPr>
              <w:jc w:val="center"/>
              <w:ind w:right="3"/>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rPr>
              <w:t>Achievement</w:t>
            </w:r>
          </w:p>
        </w:tc>
        <w:tc>
          <w:tcPr>
            <w:tcW w:w="1120" w:type="dxa"/>
            <w:vAlign w:val="bottom"/>
          </w:tcPr>
          <w:p>
            <w:pPr>
              <w:jc w:val="center"/>
              <w:spacing w:after="0"/>
              <w:rPr>
                <w:sz w:val="20"/>
                <w:szCs w:val="20"/>
                <w:color w:val="auto"/>
              </w:rPr>
            </w:pPr>
            <w:r>
              <w:rPr>
                <w:rFonts w:ascii="Arial" w:cs="Arial" w:eastAsia="Arial" w:hAnsi="Arial"/>
                <w:sz w:val="11"/>
                <w:szCs w:val="11"/>
                <w:color w:val="auto"/>
              </w:rPr>
              <w:t>-</w:t>
            </w:r>
          </w:p>
        </w:tc>
        <w:tc>
          <w:tcPr>
            <w:tcW w:w="1140" w:type="dxa"/>
            <w:vAlign w:val="bottom"/>
          </w:tcPr>
          <w:p>
            <w:pPr>
              <w:jc w:val="center"/>
              <w:spacing w:after="0"/>
              <w:rPr>
                <w:sz w:val="20"/>
                <w:szCs w:val="20"/>
                <w:color w:val="auto"/>
              </w:rPr>
            </w:pPr>
            <w:r>
              <w:rPr>
                <w:rFonts w:ascii="Arial" w:cs="Arial" w:eastAsia="Arial" w:hAnsi="Arial"/>
                <w:sz w:val="11"/>
                <w:szCs w:val="11"/>
                <w:color w:val="auto"/>
              </w:rPr>
              <w:t>Achieved</w:t>
            </w:r>
          </w:p>
        </w:tc>
        <w:tc>
          <w:tcPr>
            <w:tcW w:w="820" w:type="dxa"/>
            <w:vAlign w:val="bottom"/>
          </w:tcPr>
          <w:p>
            <w:pPr>
              <w:jc w:val="center"/>
              <w:ind w:left="3"/>
              <w:spacing w:after="0"/>
              <w:rPr>
                <w:sz w:val="20"/>
                <w:szCs w:val="20"/>
                <w:color w:val="auto"/>
              </w:rPr>
            </w:pPr>
            <w:r>
              <w:rPr>
                <w:rFonts w:ascii="Arial" w:cs="Arial" w:eastAsia="Arial" w:hAnsi="Arial"/>
                <w:sz w:val="11"/>
                <w:szCs w:val="11"/>
                <w:color w:val="auto"/>
              </w:rPr>
              <w:t>Target</w:t>
            </w:r>
          </w:p>
        </w:tc>
      </w:tr>
      <w:tr>
        <w:trPr>
          <w:trHeight w:val="71"/>
        </w:trPr>
        <w:tc>
          <w:tcPr>
            <w:tcW w:w="400" w:type="dxa"/>
            <w:vAlign w:val="bottom"/>
          </w:tcPr>
          <w:p>
            <w:pPr>
              <w:spacing w:after="0"/>
              <w:rPr>
                <w:sz w:val="6"/>
                <w:szCs w:val="6"/>
                <w:color w:val="auto"/>
              </w:rPr>
            </w:pPr>
          </w:p>
        </w:tc>
        <w:tc>
          <w:tcPr>
            <w:tcW w:w="1900" w:type="dxa"/>
            <w:vAlign w:val="bottom"/>
            <w:gridSpan w:val="2"/>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229"/>
        </w:trPr>
        <w:tc>
          <w:tcPr>
            <w:tcW w:w="400" w:type="dxa"/>
            <w:vAlign w:val="bottom"/>
            <w:shd w:val="clear" w:color="auto" w:fill="F1EFEC"/>
          </w:tcPr>
          <w:p>
            <w:pPr>
              <w:ind w:left="40"/>
              <w:spacing w:after="0"/>
              <w:rPr>
                <w:sz w:val="20"/>
                <w:szCs w:val="20"/>
                <w:color w:val="auto"/>
              </w:rPr>
            </w:pPr>
            <w:r>
              <w:rPr>
                <w:rFonts w:ascii="Arial" w:cs="Arial" w:eastAsia="Arial" w:hAnsi="Arial"/>
                <w:sz w:val="11"/>
                <w:szCs w:val="11"/>
                <w:color w:val="auto"/>
              </w:rPr>
              <w:t>Goal 5</w:t>
            </w:r>
          </w:p>
        </w:tc>
        <w:tc>
          <w:tcPr>
            <w:tcW w:w="60" w:type="dxa"/>
            <w:vAlign w:val="bottom"/>
            <w:shd w:val="clear" w:color="auto" w:fill="F1EFEC"/>
          </w:tcPr>
          <w:p>
            <w:pPr>
              <w:ind w:left="20"/>
              <w:spacing w:after="0"/>
              <w:rPr>
                <w:sz w:val="20"/>
                <w:szCs w:val="20"/>
                <w:color w:val="auto"/>
              </w:rPr>
            </w:pPr>
            <w:r>
              <w:rPr>
                <w:rFonts w:ascii="Arial" w:cs="Arial" w:eastAsia="Arial" w:hAnsi="Arial"/>
                <w:sz w:val="8"/>
                <w:szCs w:val="8"/>
                <w:color w:val="auto"/>
                <w:w w:val="73"/>
              </w:rPr>
              <w:t>-</w:t>
            </w: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Wynn Resorts Development,</w:t>
            </w:r>
          </w:p>
        </w:tc>
        <w:tc>
          <w:tcPr>
            <w:tcW w:w="1040" w:type="dxa"/>
            <w:vAlign w:val="bottom"/>
            <w:shd w:val="clear" w:color="auto" w:fill="F1EFEC"/>
          </w:tcPr>
          <w:p>
            <w:pPr>
              <w:spacing w:after="0"/>
              <w:rPr>
                <w:sz w:val="19"/>
                <w:szCs w:val="19"/>
                <w:color w:val="auto"/>
              </w:rPr>
            </w:pPr>
          </w:p>
        </w:tc>
        <w:tc>
          <w:tcPr>
            <w:tcW w:w="160" w:type="dxa"/>
            <w:vAlign w:val="bottom"/>
            <w:shd w:val="clear" w:color="auto" w:fill="F1EFEC"/>
          </w:tcPr>
          <w:p>
            <w:pPr>
              <w:spacing w:after="0"/>
              <w:rPr>
                <w:sz w:val="19"/>
                <w:szCs w:val="19"/>
                <w:color w:val="auto"/>
              </w:rPr>
            </w:pPr>
          </w:p>
        </w:tc>
        <w:tc>
          <w:tcPr>
            <w:tcW w:w="1020" w:type="dxa"/>
            <w:vAlign w:val="bottom"/>
            <w:shd w:val="clear" w:color="auto" w:fill="F1EFEC"/>
          </w:tcPr>
          <w:p>
            <w:pPr>
              <w:spacing w:after="0"/>
              <w:rPr>
                <w:sz w:val="19"/>
                <w:szCs w:val="19"/>
                <w:color w:val="auto"/>
              </w:rPr>
            </w:pPr>
          </w:p>
        </w:tc>
        <w:tc>
          <w:tcPr>
            <w:tcW w:w="1140" w:type="dxa"/>
            <w:vAlign w:val="bottom"/>
            <w:shd w:val="clear" w:color="auto" w:fill="F1EFEC"/>
          </w:tcPr>
          <w:p>
            <w:pPr>
              <w:spacing w:after="0"/>
              <w:rPr>
                <w:sz w:val="19"/>
                <w:szCs w:val="19"/>
                <w:color w:val="auto"/>
              </w:rPr>
            </w:pPr>
          </w:p>
        </w:tc>
        <w:tc>
          <w:tcPr>
            <w:tcW w:w="1120" w:type="dxa"/>
            <w:vAlign w:val="bottom"/>
            <w:shd w:val="clear" w:color="auto" w:fill="F1EFEC"/>
          </w:tcPr>
          <w:p>
            <w:pPr>
              <w:spacing w:after="0"/>
              <w:rPr>
                <w:sz w:val="19"/>
                <w:szCs w:val="19"/>
                <w:color w:val="auto"/>
              </w:rPr>
            </w:pPr>
          </w:p>
        </w:tc>
        <w:tc>
          <w:tcPr>
            <w:tcW w:w="1140" w:type="dxa"/>
            <w:vAlign w:val="bottom"/>
            <w:shd w:val="clear" w:color="auto" w:fill="F1EFEC"/>
          </w:tcPr>
          <w:p>
            <w:pPr>
              <w:spacing w:after="0"/>
              <w:rPr>
                <w:sz w:val="19"/>
                <w:szCs w:val="19"/>
                <w:color w:val="auto"/>
              </w:rPr>
            </w:pPr>
          </w:p>
        </w:tc>
        <w:tc>
          <w:tcPr>
            <w:tcW w:w="820" w:type="dxa"/>
            <w:vAlign w:val="bottom"/>
            <w:shd w:val="clear" w:color="auto" w:fill="F1EFEC"/>
          </w:tcPr>
          <w:p>
            <w:pPr>
              <w:spacing w:after="0"/>
              <w:rPr>
                <w:sz w:val="19"/>
                <w:szCs w:val="19"/>
                <w:color w:val="auto"/>
              </w:rPr>
            </w:pPr>
          </w:p>
        </w:tc>
      </w:tr>
      <w:tr>
        <w:trPr>
          <w:trHeight w:val="204"/>
        </w:trPr>
        <w:tc>
          <w:tcPr>
            <w:tcW w:w="400" w:type="dxa"/>
            <w:vAlign w:val="bottom"/>
            <w:shd w:val="clear" w:color="auto" w:fill="F1EFEC"/>
          </w:tcPr>
          <w:p>
            <w:pPr>
              <w:spacing w:after="0"/>
              <w:rPr>
                <w:sz w:val="17"/>
                <w:szCs w:val="17"/>
                <w:color w:val="auto"/>
              </w:rPr>
            </w:pPr>
          </w:p>
        </w:tc>
        <w:tc>
          <w:tcPr>
            <w:tcW w:w="60" w:type="dxa"/>
            <w:vAlign w:val="bottom"/>
            <w:shd w:val="clear" w:color="auto" w:fill="F1EFEC"/>
          </w:tcPr>
          <w:p>
            <w:pPr>
              <w:spacing w:after="0"/>
              <w:rPr>
                <w:sz w:val="17"/>
                <w:szCs w:val="17"/>
                <w:color w:val="auto"/>
              </w:rPr>
            </w:pP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Advancement of Design &amp;</w:t>
            </w:r>
          </w:p>
        </w:tc>
        <w:tc>
          <w:tcPr>
            <w:tcW w:w="1040" w:type="dxa"/>
            <w:vAlign w:val="bottom"/>
            <w:shd w:val="clear" w:color="auto" w:fill="F1EFEC"/>
          </w:tcPr>
          <w:p>
            <w:pPr>
              <w:spacing w:after="0"/>
              <w:rPr>
                <w:sz w:val="17"/>
                <w:szCs w:val="17"/>
                <w:color w:val="auto"/>
              </w:rPr>
            </w:pPr>
          </w:p>
        </w:tc>
        <w:tc>
          <w:tcPr>
            <w:tcW w:w="160" w:type="dxa"/>
            <w:vAlign w:val="bottom"/>
            <w:shd w:val="clear" w:color="auto" w:fill="F1EFEC"/>
          </w:tcPr>
          <w:p>
            <w:pPr>
              <w:spacing w:after="0"/>
              <w:rPr>
                <w:sz w:val="17"/>
                <w:szCs w:val="17"/>
                <w:color w:val="auto"/>
              </w:rPr>
            </w:pPr>
          </w:p>
        </w:tc>
        <w:tc>
          <w:tcPr>
            <w:tcW w:w="1020" w:type="dxa"/>
            <w:vAlign w:val="bottom"/>
            <w:shd w:val="clear" w:color="auto" w:fill="F1EFEC"/>
          </w:tcPr>
          <w:p>
            <w:pPr>
              <w:spacing w:after="0"/>
              <w:rPr>
                <w:sz w:val="17"/>
                <w:szCs w:val="17"/>
                <w:color w:val="auto"/>
              </w:rPr>
            </w:pPr>
          </w:p>
        </w:tc>
        <w:tc>
          <w:tcPr>
            <w:tcW w:w="1140" w:type="dxa"/>
            <w:vAlign w:val="bottom"/>
            <w:shd w:val="clear" w:color="auto" w:fill="F1EFEC"/>
          </w:tcPr>
          <w:p>
            <w:pPr>
              <w:spacing w:after="0"/>
              <w:rPr>
                <w:sz w:val="17"/>
                <w:szCs w:val="17"/>
                <w:color w:val="auto"/>
              </w:rPr>
            </w:pPr>
          </w:p>
        </w:tc>
        <w:tc>
          <w:tcPr>
            <w:tcW w:w="1120" w:type="dxa"/>
            <w:vAlign w:val="bottom"/>
            <w:shd w:val="clear" w:color="auto" w:fill="F1EFEC"/>
          </w:tcPr>
          <w:p>
            <w:pPr>
              <w:spacing w:after="0"/>
              <w:rPr>
                <w:sz w:val="17"/>
                <w:szCs w:val="17"/>
                <w:color w:val="auto"/>
              </w:rPr>
            </w:pPr>
          </w:p>
        </w:tc>
        <w:tc>
          <w:tcPr>
            <w:tcW w:w="1140" w:type="dxa"/>
            <w:vAlign w:val="bottom"/>
            <w:shd w:val="clear" w:color="auto" w:fill="F1EFEC"/>
          </w:tcPr>
          <w:p>
            <w:pPr>
              <w:spacing w:after="0"/>
              <w:rPr>
                <w:sz w:val="17"/>
                <w:szCs w:val="17"/>
                <w:color w:val="auto"/>
              </w:rPr>
            </w:pPr>
          </w:p>
        </w:tc>
        <w:tc>
          <w:tcPr>
            <w:tcW w:w="820" w:type="dxa"/>
            <w:vAlign w:val="bottom"/>
            <w:shd w:val="clear" w:color="auto" w:fill="F1EFEC"/>
          </w:tcPr>
          <w:p>
            <w:pPr>
              <w:spacing w:after="0"/>
              <w:rPr>
                <w:sz w:val="17"/>
                <w:szCs w:val="17"/>
                <w:color w:val="auto"/>
              </w:rPr>
            </w:pPr>
          </w:p>
        </w:tc>
      </w:tr>
      <w:tr>
        <w:trPr>
          <w:trHeight w:val="193"/>
        </w:trPr>
        <w:tc>
          <w:tcPr>
            <w:tcW w:w="400" w:type="dxa"/>
            <w:vAlign w:val="bottom"/>
            <w:shd w:val="clear" w:color="auto" w:fill="F1EFEC"/>
          </w:tcPr>
          <w:p>
            <w:pPr>
              <w:spacing w:after="0"/>
              <w:rPr>
                <w:sz w:val="16"/>
                <w:szCs w:val="16"/>
                <w:color w:val="auto"/>
              </w:rPr>
            </w:pPr>
          </w:p>
        </w:tc>
        <w:tc>
          <w:tcPr>
            <w:tcW w:w="60" w:type="dxa"/>
            <w:vAlign w:val="bottom"/>
            <w:shd w:val="clear" w:color="auto" w:fill="F1EFEC"/>
          </w:tcPr>
          <w:p>
            <w:pPr>
              <w:spacing w:after="0"/>
              <w:rPr>
                <w:sz w:val="16"/>
                <w:szCs w:val="16"/>
                <w:color w:val="auto"/>
              </w:rPr>
            </w:pP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Development of Wynn Al Marjan</w:t>
            </w:r>
          </w:p>
        </w:tc>
        <w:tc>
          <w:tcPr>
            <w:tcW w:w="1040" w:type="dxa"/>
            <w:vAlign w:val="bottom"/>
            <w:shd w:val="clear" w:color="auto" w:fill="F1EFEC"/>
          </w:tcPr>
          <w:p>
            <w:pPr>
              <w:spacing w:after="0"/>
              <w:rPr>
                <w:sz w:val="16"/>
                <w:szCs w:val="16"/>
                <w:color w:val="auto"/>
              </w:rPr>
            </w:pPr>
          </w:p>
        </w:tc>
        <w:tc>
          <w:tcPr>
            <w:tcW w:w="160" w:type="dxa"/>
            <w:vAlign w:val="bottom"/>
            <w:shd w:val="clear" w:color="auto" w:fill="F1EFEC"/>
          </w:tcPr>
          <w:p>
            <w:pPr>
              <w:spacing w:after="0"/>
              <w:rPr>
                <w:sz w:val="16"/>
                <w:szCs w:val="16"/>
                <w:color w:val="auto"/>
              </w:rPr>
            </w:pPr>
          </w:p>
        </w:tc>
        <w:tc>
          <w:tcPr>
            <w:tcW w:w="1020" w:type="dxa"/>
            <w:vAlign w:val="bottom"/>
            <w:shd w:val="clear" w:color="auto" w:fill="F1EFEC"/>
          </w:tcPr>
          <w:p>
            <w:pPr>
              <w:spacing w:after="0"/>
              <w:rPr>
                <w:sz w:val="16"/>
                <w:szCs w:val="16"/>
                <w:color w:val="auto"/>
              </w:rPr>
            </w:pPr>
          </w:p>
        </w:tc>
        <w:tc>
          <w:tcPr>
            <w:tcW w:w="1140" w:type="dxa"/>
            <w:vAlign w:val="bottom"/>
            <w:shd w:val="clear" w:color="auto" w:fill="F1EFEC"/>
          </w:tcPr>
          <w:p>
            <w:pPr>
              <w:spacing w:after="0"/>
              <w:rPr>
                <w:sz w:val="16"/>
                <w:szCs w:val="16"/>
                <w:color w:val="auto"/>
              </w:rPr>
            </w:pPr>
          </w:p>
        </w:tc>
        <w:tc>
          <w:tcPr>
            <w:tcW w:w="1120" w:type="dxa"/>
            <w:vAlign w:val="bottom"/>
            <w:shd w:val="clear" w:color="auto" w:fill="F1EFEC"/>
          </w:tcPr>
          <w:p>
            <w:pPr>
              <w:spacing w:after="0"/>
              <w:rPr>
                <w:sz w:val="16"/>
                <w:szCs w:val="16"/>
                <w:color w:val="auto"/>
              </w:rPr>
            </w:pPr>
          </w:p>
        </w:tc>
        <w:tc>
          <w:tcPr>
            <w:tcW w:w="1140" w:type="dxa"/>
            <w:vAlign w:val="bottom"/>
            <w:shd w:val="clear" w:color="auto" w:fill="F1EFEC"/>
          </w:tcPr>
          <w:p>
            <w:pPr>
              <w:spacing w:after="0"/>
              <w:rPr>
                <w:sz w:val="16"/>
                <w:szCs w:val="16"/>
                <w:color w:val="auto"/>
              </w:rPr>
            </w:pPr>
          </w:p>
        </w:tc>
        <w:tc>
          <w:tcPr>
            <w:tcW w:w="820" w:type="dxa"/>
            <w:vAlign w:val="bottom"/>
            <w:shd w:val="clear" w:color="auto" w:fill="F1EFEC"/>
          </w:tcPr>
          <w:p>
            <w:pPr>
              <w:spacing w:after="0"/>
              <w:rPr>
                <w:sz w:val="16"/>
                <w:szCs w:val="16"/>
                <w:color w:val="auto"/>
              </w:rPr>
            </w:pPr>
          </w:p>
        </w:tc>
      </w:tr>
      <w:tr>
        <w:trPr>
          <w:trHeight w:val="204"/>
        </w:trPr>
        <w:tc>
          <w:tcPr>
            <w:tcW w:w="400" w:type="dxa"/>
            <w:vAlign w:val="bottom"/>
            <w:shd w:val="clear" w:color="auto" w:fill="F1EFEC"/>
          </w:tcPr>
          <w:p>
            <w:pPr>
              <w:spacing w:after="0"/>
              <w:rPr>
                <w:sz w:val="17"/>
                <w:szCs w:val="17"/>
                <w:color w:val="auto"/>
              </w:rPr>
            </w:pPr>
          </w:p>
        </w:tc>
        <w:tc>
          <w:tcPr>
            <w:tcW w:w="60" w:type="dxa"/>
            <w:vAlign w:val="bottom"/>
            <w:shd w:val="clear" w:color="auto" w:fill="F1EFEC"/>
          </w:tcPr>
          <w:p>
            <w:pPr>
              <w:spacing w:after="0"/>
              <w:rPr>
                <w:sz w:val="17"/>
                <w:szCs w:val="17"/>
                <w:color w:val="auto"/>
              </w:rPr>
            </w:pPr>
          </w:p>
        </w:tc>
        <w:tc>
          <w:tcPr>
            <w:tcW w:w="1840" w:type="dxa"/>
            <w:vAlign w:val="bottom"/>
            <w:shd w:val="clear" w:color="auto" w:fill="F1EFEC"/>
          </w:tcPr>
          <w:p>
            <w:pPr>
              <w:ind w:left="40"/>
              <w:spacing w:after="0"/>
              <w:rPr>
                <w:sz w:val="20"/>
                <w:szCs w:val="20"/>
                <w:color w:val="auto"/>
              </w:rPr>
            </w:pPr>
            <w:r>
              <w:rPr>
                <w:rFonts w:ascii="Arial" w:cs="Arial" w:eastAsia="Arial" w:hAnsi="Arial"/>
                <w:sz w:val="11"/>
                <w:szCs w:val="11"/>
                <w:color w:val="auto"/>
              </w:rPr>
              <w:t>Island (2)</w:t>
            </w:r>
          </w:p>
        </w:tc>
        <w:tc>
          <w:tcPr>
            <w:tcW w:w="1040" w:type="dxa"/>
            <w:vAlign w:val="bottom"/>
            <w:shd w:val="clear" w:color="auto" w:fill="F1EFEC"/>
          </w:tcPr>
          <w:p>
            <w:pPr>
              <w:jc w:val="right"/>
              <w:ind w:right="343"/>
              <w:spacing w:after="0"/>
              <w:rPr>
                <w:sz w:val="20"/>
                <w:szCs w:val="20"/>
                <w:color w:val="auto"/>
              </w:rPr>
            </w:pPr>
            <w:r>
              <w:rPr>
                <w:rFonts w:ascii="Arial" w:cs="Arial" w:eastAsia="Arial" w:hAnsi="Arial"/>
                <w:sz w:val="11"/>
                <w:szCs w:val="11"/>
                <w:color w:val="auto"/>
              </w:rPr>
              <w:t>10%</w:t>
            </w:r>
          </w:p>
        </w:tc>
        <w:tc>
          <w:tcPr>
            <w:tcW w:w="160" w:type="dxa"/>
            <w:vAlign w:val="bottom"/>
            <w:shd w:val="clear" w:color="auto" w:fill="F1EFEC"/>
          </w:tcPr>
          <w:p>
            <w:pPr>
              <w:spacing w:after="0"/>
              <w:rPr>
                <w:sz w:val="17"/>
                <w:szCs w:val="17"/>
                <w:color w:val="auto"/>
              </w:rPr>
            </w:pPr>
          </w:p>
        </w:tc>
        <w:tc>
          <w:tcPr>
            <w:tcW w:w="1020" w:type="dxa"/>
            <w:vAlign w:val="bottom"/>
            <w:shd w:val="clear" w:color="auto" w:fill="F1EFEC"/>
          </w:tcPr>
          <w:p>
            <w:pPr>
              <w:jc w:val="center"/>
              <w:ind w:right="3"/>
              <w:spacing w:after="0"/>
              <w:rPr>
                <w:sz w:val="20"/>
                <w:szCs w:val="20"/>
                <w:color w:val="auto"/>
              </w:rPr>
            </w:pPr>
            <w:r>
              <w:rPr>
                <w:rFonts w:ascii="Arial" w:cs="Arial" w:eastAsia="Arial" w:hAnsi="Arial"/>
                <w:sz w:val="11"/>
                <w:szCs w:val="11"/>
                <w:color w:val="auto"/>
              </w:rPr>
              <w:t>-</w:t>
            </w:r>
          </w:p>
        </w:tc>
        <w:tc>
          <w:tcPr>
            <w:tcW w:w="114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Achievement</w:t>
            </w:r>
          </w:p>
        </w:tc>
        <w:tc>
          <w:tcPr>
            <w:tcW w:w="112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114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Achieved</w:t>
            </w:r>
          </w:p>
        </w:tc>
        <w:tc>
          <w:tcPr>
            <w:tcW w:w="82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Target</w:t>
            </w:r>
          </w:p>
        </w:tc>
      </w:tr>
      <w:tr>
        <w:trPr>
          <w:trHeight w:val="71"/>
        </w:trPr>
        <w:tc>
          <w:tcPr>
            <w:tcW w:w="400" w:type="dxa"/>
            <w:vAlign w:val="bottom"/>
            <w:shd w:val="clear" w:color="auto" w:fill="F1EFEC"/>
          </w:tcPr>
          <w:p>
            <w:pPr>
              <w:spacing w:after="0"/>
              <w:rPr>
                <w:sz w:val="6"/>
                <w:szCs w:val="6"/>
                <w:color w:val="auto"/>
              </w:rPr>
            </w:pPr>
          </w:p>
        </w:tc>
        <w:tc>
          <w:tcPr>
            <w:tcW w:w="60" w:type="dxa"/>
            <w:vAlign w:val="bottom"/>
            <w:shd w:val="clear" w:color="auto" w:fill="F1EFEC"/>
          </w:tcPr>
          <w:p>
            <w:pPr>
              <w:spacing w:after="0"/>
              <w:rPr>
                <w:sz w:val="6"/>
                <w:szCs w:val="6"/>
                <w:color w:val="auto"/>
              </w:rPr>
            </w:pPr>
          </w:p>
        </w:tc>
        <w:tc>
          <w:tcPr>
            <w:tcW w:w="1840" w:type="dxa"/>
            <w:vAlign w:val="bottom"/>
            <w:shd w:val="clear" w:color="auto" w:fill="F1EFEC"/>
          </w:tcPr>
          <w:p>
            <w:pPr>
              <w:spacing w:after="0"/>
              <w:rPr>
                <w:sz w:val="6"/>
                <w:szCs w:val="6"/>
                <w:color w:val="auto"/>
              </w:rPr>
            </w:pPr>
          </w:p>
        </w:tc>
        <w:tc>
          <w:tcPr>
            <w:tcW w:w="1040" w:type="dxa"/>
            <w:vAlign w:val="bottom"/>
            <w:shd w:val="clear" w:color="auto" w:fill="F1EFEC"/>
          </w:tcPr>
          <w:p>
            <w:pPr>
              <w:spacing w:after="0"/>
              <w:rPr>
                <w:sz w:val="6"/>
                <w:szCs w:val="6"/>
                <w:color w:val="auto"/>
              </w:rPr>
            </w:pPr>
          </w:p>
        </w:tc>
        <w:tc>
          <w:tcPr>
            <w:tcW w:w="160" w:type="dxa"/>
            <w:vAlign w:val="bottom"/>
            <w:shd w:val="clear" w:color="auto" w:fill="F1EFEC"/>
          </w:tcPr>
          <w:p>
            <w:pPr>
              <w:spacing w:after="0"/>
              <w:rPr>
                <w:sz w:val="6"/>
                <w:szCs w:val="6"/>
                <w:color w:val="auto"/>
              </w:rPr>
            </w:pPr>
          </w:p>
        </w:tc>
        <w:tc>
          <w:tcPr>
            <w:tcW w:w="1020" w:type="dxa"/>
            <w:vAlign w:val="bottom"/>
            <w:shd w:val="clear" w:color="auto" w:fill="F1EFEC"/>
          </w:tcPr>
          <w:p>
            <w:pPr>
              <w:spacing w:after="0"/>
              <w:rPr>
                <w:sz w:val="6"/>
                <w:szCs w:val="6"/>
                <w:color w:val="auto"/>
              </w:rPr>
            </w:pPr>
          </w:p>
        </w:tc>
        <w:tc>
          <w:tcPr>
            <w:tcW w:w="1140" w:type="dxa"/>
            <w:vAlign w:val="bottom"/>
            <w:shd w:val="clear" w:color="auto" w:fill="F1EFEC"/>
          </w:tcPr>
          <w:p>
            <w:pPr>
              <w:spacing w:after="0"/>
              <w:rPr>
                <w:sz w:val="6"/>
                <w:szCs w:val="6"/>
                <w:color w:val="auto"/>
              </w:rPr>
            </w:pPr>
          </w:p>
        </w:tc>
        <w:tc>
          <w:tcPr>
            <w:tcW w:w="1120" w:type="dxa"/>
            <w:vAlign w:val="bottom"/>
            <w:shd w:val="clear" w:color="auto" w:fill="F1EFEC"/>
          </w:tcPr>
          <w:p>
            <w:pPr>
              <w:spacing w:after="0"/>
              <w:rPr>
                <w:sz w:val="6"/>
                <w:szCs w:val="6"/>
                <w:color w:val="auto"/>
              </w:rPr>
            </w:pPr>
          </w:p>
        </w:tc>
        <w:tc>
          <w:tcPr>
            <w:tcW w:w="1140" w:type="dxa"/>
            <w:vAlign w:val="bottom"/>
            <w:shd w:val="clear" w:color="auto" w:fill="F1EFEC"/>
          </w:tcPr>
          <w:p>
            <w:pPr>
              <w:spacing w:after="0"/>
              <w:rPr>
                <w:sz w:val="6"/>
                <w:szCs w:val="6"/>
                <w:color w:val="auto"/>
              </w:rPr>
            </w:pPr>
          </w:p>
        </w:tc>
        <w:tc>
          <w:tcPr>
            <w:tcW w:w="820" w:type="dxa"/>
            <w:vAlign w:val="bottom"/>
            <w:shd w:val="clear" w:color="auto" w:fill="F1EFEC"/>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-2343150</wp:posOffset>
            </wp:positionV>
            <wp:extent cx="6985" cy="442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85" cy="442595"/>
                    </a:xfrm>
                    <a:prstGeom prst="rect">
                      <a:avLst/>
                    </a:prstGeom>
                    <a:noFill/>
                  </pic:spPr>
                </pic:pic>
              </a:graphicData>
            </a:graphic>
          </wp:anchor>
        </w:drawing>
      </w:r>
    </w:p>
    <w:p>
      <w:pPr>
        <w:spacing w:after="0" w:line="51" w:lineRule="exact"/>
        <w:rPr>
          <w:sz w:val="20"/>
          <w:szCs w:val="20"/>
          <w:color w:val="auto"/>
        </w:rPr>
      </w:pPr>
    </w:p>
    <w:p>
      <w:pPr>
        <w:ind w:left="1420" w:hanging="153"/>
        <w:spacing w:after="0"/>
        <w:tabs>
          <w:tab w:leader="none" w:pos="1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In 2026, Wynn Las Vegas received five Forbes Five-Star awards. As a result, the Compensation Committee approved the payout of this goal at target.</w:t>
      </w:r>
    </w:p>
    <w:p>
      <w:pPr>
        <w:spacing w:after="0" w:line="78" w:lineRule="exact"/>
        <w:rPr>
          <w:rFonts w:ascii="Arial" w:cs="Arial" w:eastAsia="Arial" w:hAnsi="Arial"/>
          <w:sz w:val="10"/>
          <w:szCs w:val="10"/>
          <w:color w:val="auto"/>
        </w:rPr>
      </w:pPr>
    </w:p>
    <w:p>
      <w:pPr>
        <w:ind w:left="1260" w:right="139" w:firstLine="7"/>
        <w:spacing w:after="0" w:line="260" w:lineRule="auto"/>
        <w:tabs>
          <w:tab w:leader="none" w:pos="141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 Compensation Committee set a specific goal to achieve a construction milestone of “topping out” the tower, which was achieved in 2025; as such, the Compensation Committee approved the payout of this goal at target.</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0159"/>
          </w:cols>
          <w:pgMar w:left="300" w:top="413" w:right="1440"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59"/>
        <w:spacing w:after="0" w:line="314" w:lineRule="auto"/>
        <w:rPr>
          <w:sz w:val="20"/>
          <w:szCs w:val="20"/>
          <w:color w:val="auto"/>
        </w:rPr>
      </w:pPr>
      <w:r>
        <w:rPr>
          <w:rFonts w:ascii="Arial" w:cs="Arial" w:eastAsia="Arial" w:hAnsi="Arial"/>
          <w:sz w:val="12"/>
          <w:szCs w:val="12"/>
          <w:color w:val="auto"/>
        </w:rPr>
        <w:t>In January 2026, the Compensation Committee approved a final payout percentage of 102.5% of target and the following 2025 annual incentive award payouts based on Company performance against each of the 2025 goals disclosed above, with the payout being split two-thirds cash and one-third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90805</wp:posOffset>
            </wp:positionV>
            <wp:extent cx="6985" cy="9944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85" cy="994410"/>
                    </a:xfrm>
                    <a:prstGeom prst="rect">
                      <a:avLst/>
                    </a:prstGeom>
                    <a:noFill/>
                  </pic:spPr>
                </pic:pic>
              </a:graphicData>
            </a:graphic>
          </wp:anchor>
        </w:drawing>
      </w:r>
    </w:p>
    <w:p>
      <w:pPr>
        <w:spacing w:after="0" w:line="123"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3760" w:type="dxa"/>
            <w:vAlign w:val="bottom"/>
            <w:shd w:val="clear" w:color="auto" w:fill="B9AFA0"/>
          </w:tcPr>
          <w:p>
            <w:pPr>
              <w:spacing w:after="0"/>
              <w:rPr>
                <w:sz w:val="18"/>
                <w:szCs w:val="18"/>
                <w:color w:val="auto"/>
              </w:rPr>
            </w:pPr>
          </w:p>
        </w:tc>
        <w:tc>
          <w:tcPr>
            <w:tcW w:w="940" w:type="dxa"/>
            <w:vAlign w:val="bottom"/>
            <w:shd w:val="clear" w:color="auto" w:fill="B9AFA0"/>
          </w:tcPr>
          <w:p>
            <w:pPr>
              <w:spacing w:after="0"/>
              <w:rPr>
                <w:sz w:val="18"/>
                <w:szCs w:val="18"/>
                <w:color w:val="auto"/>
              </w:rPr>
            </w:pPr>
          </w:p>
        </w:tc>
        <w:tc>
          <w:tcPr>
            <w:tcW w:w="660" w:type="dxa"/>
            <w:vAlign w:val="bottom"/>
            <w:shd w:val="clear" w:color="auto" w:fill="B9AFA0"/>
          </w:tcPr>
          <w:p>
            <w:pPr>
              <w:spacing w:after="0"/>
              <w:rPr>
                <w:sz w:val="18"/>
                <w:szCs w:val="18"/>
                <w:color w:val="auto"/>
              </w:rPr>
            </w:pPr>
          </w:p>
        </w:tc>
        <w:tc>
          <w:tcPr>
            <w:tcW w:w="760" w:type="dxa"/>
            <w:vAlign w:val="bottom"/>
            <w:shd w:val="clear" w:color="auto" w:fill="B9AFA0"/>
          </w:tcPr>
          <w:p>
            <w:pPr>
              <w:spacing w:after="0"/>
              <w:rPr>
                <w:sz w:val="18"/>
                <w:szCs w:val="18"/>
                <w:color w:val="auto"/>
              </w:rPr>
            </w:pPr>
          </w:p>
        </w:tc>
        <w:tc>
          <w:tcPr>
            <w:tcW w:w="1840" w:type="dxa"/>
            <w:vAlign w:val="bottom"/>
            <w:gridSpan w:val="2"/>
            <w:shd w:val="clear" w:color="auto" w:fill="B9AFA0"/>
          </w:tcPr>
          <w:p>
            <w:pPr>
              <w:ind w:left="800"/>
              <w:spacing w:after="0"/>
              <w:rPr>
                <w:sz w:val="20"/>
                <w:szCs w:val="20"/>
                <w:color w:val="auto"/>
              </w:rPr>
            </w:pPr>
            <w:r>
              <w:rPr>
                <w:rFonts w:ascii="Arial" w:cs="Arial" w:eastAsia="Arial" w:hAnsi="Arial"/>
                <w:sz w:val="13"/>
                <w:szCs w:val="13"/>
                <w:color w:val="FFFFFF"/>
                <w:w w:val="98"/>
              </w:rPr>
              <w:t>ACTUAL AWARD</w:t>
            </w:r>
          </w:p>
        </w:tc>
        <w:tc>
          <w:tcPr>
            <w:tcW w:w="140" w:type="dxa"/>
            <w:vAlign w:val="bottom"/>
            <w:shd w:val="clear" w:color="auto" w:fill="B9AFA0"/>
          </w:tcPr>
          <w:p>
            <w:pPr>
              <w:spacing w:after="0"/>
              <w:rPr>
                <w:sz w:val="18"/>
                <w:szCs w:val="18"/>
                <w:color w:val="auto"/>
              </w:rPr>
            </w:pPr>
          </w:p>
        </w:tc>
        <w:tc>
          <w:tcPr>
            <w:tcW w:w="640" w:type="dxa"/>
            <w:vAlign w:val="bottom"/>
            <w:shd w:val="clear" w:color="auto" w:fill="B9AFA0"/>
          </w:tcPr>
          <w:p>
            <w:pPr>
              <w:spacing w:after="0"/>
              <w:rPr>
                <w:sz w:val="18"/>
                <w:szCs w:val="18"/>
                <w:color w:val="auto"/>
              </w:rPr>
            </w:pPr>
          </w:p>
        </w:tc>
      </w:tr>
      <w:tr>
        <w:trPr>
          <w:trHeight w:val="239"/>
        </w:trPr>
        <w:tc>
          <w:tcPr>
            <w:tcW w:w="3760" w:type="dxa"/>
            <w:vAlign w:val="bottom"/>
            <w:shd w:val="clear" w:color="auto" w:fill="B9AFA0"/>
          </w:tcPr>
          <w:p>
            <w:pPr>
              <w:spacing w:after="0"/>
              <w:rPr>
                <w:sz w:val="20"/>
                <w:szCs w:val="20"/>
                <w:color w:val="auto"/>
              </w:rPr>
            </w:pPr>
          </w:p>
        </w:tc>
        <w:tc>
          <w:tcPr>
            <w:tcW w:w="940" w:type="dxa"/>
            <w:vAlign w:val="bottom"/>
            <w:shd w:val="clear" w:color="auto" w:fill="B9AFA0"/>
          </w:tcPr>
          <w:p>
            <w:pPr>
              <w:spacing w:after="0"/>
              <w:rPr>
                <w:sz w:val="20"/>
                <w:szCs w:val="20"/>
                <w:color w:val="auto"/>
              </w:rPr>
            </w:pPr>
          </w:p>
        </w:tc>
        <w:tc>
          <w:tcPr>
            <w:tcW w:w="660" w:type="dxa"/>
            <w:vAlign w:val="bottom"/>
            <w:shd w:val="clear" w:color="auto" w:fill="B9AFA0"/>
          </w:tcPr>
          <w:p>
            <w:pPr>
              <w:spacing w:after="0"/>
              <w:rPr>
                <w:sz w:val="20"/>
                <w:szCs w:val="20"/>
                <w:color w:val="auto"/>
              </w:rPr>
            </w:pPr>
          </w:p>
        </w:tc>
        <w:tc>
          <w:tcPr>
            <w:tcW w:w="760" w:type="dxa"/>
            <w:vAlign w:val="bottom"/>
            <w:shd w:val="clear" w:color="auto" w:fill="B9AFA0"/>
          </w:tcPr>
          <w:p>
            <w:pPr>
              <w:spacing w:after="0"/>
              <w:rPr>
                <w:sz w:val="20"/>
                <w:szCs w:val="20"/>
                <w:color w:val="auto"/>
              </w:rPr>
            </w:pPr>
          </w:p>
        </w:tc>
        <w:tc>
          <w:tcPr>
            <w:tcW w:w="1020" w:type="dxa"/>
            <w:vAlign w:val="bottom"/>
            <w:shd w:val="clear" w:color="auto" w:fill="B9AFA0"/>
          </w:tcPr>
          <w:p>
            <w:pPr>
              <w:ind w:left="60"/>
              <w:spacing w:after="0"/>
              <w:rPr>
                <w:sz w:val="20"/>
                <w:szCs w:val="20"/>
                <w:color w:val="auto"/>
              </w:rPr>
            </w:pPr>
            <w:r>
              <w:rPr>
                <w:rFonts w:ascii="Arial" w:cs="Arial" w:eastAsia="Arial" w:hAnsi="Arial"/>
                <w:sz w:val="13"/>
                <w:szCs w:val="13"/>
                <w:color w:val="FFFFFF"/>
              </w:rPr>
              <w:t> PERCENTAGE</w:t>
            </w:r>
          </w:p>
        </w:tc>
        <w:tc>
          <w:tcPr>
            <w:tcW w:w="820" w:type="dxa"/>
            <w:vAlign w:val="bottom"/>
            <w:shd w:val="clear" w:color="auto" w:fill="B9AFA0"/>
          </w:tcPr>
          <w:p>
            <w:pPr>
              <w:spacing w:after="0"/>
              <w:rPr>
                <w:sz w:val="20"/>
                <w:szCs w:val="20"/>
                <w:color w:val="auto"/>
              </w:rPr>
            </w:pPr>
          </w:p>
        </w:tc>
        <w:tc>
          <w:tcPr>
            <w:tcW w:w="140" w:type="dxa"/>
            <w:vAlign w:val="bottom"/>
            <w:shd w:val="clear" w:color="auto" w:fill="B9AFA0"/>
          </w:tcPr>
          <w:p>
            <w:pPr>
              <w:spacing w:after="0"/>
              <w:rPr>
                <w:sz w:val="20"/>
                <w:szCs w:val="20"/>
                <w:color w:val="auto"/>
              </w:rPr>
            </w:pPr>
          </w:p>
        </w:tc>
        <w:tc>
          <w:tcPr>
            <w:tcW w:w="640" w:type="dxa"/>
            <w:vAlign w:val="bottom"/>
            <w:shd w:val="clear" w:color="auto" w:fill="B9AFA0"/>
          </w:tcPr>
          <w:p>
            <w:pPr>
              <w:spacing w:after="0"/>
              <w:rPr>
                <w:sz w:val="20"/>
                <w:szCs w:val="20"/>
                <w:color w:val="auto"/>
              </w:rPr>
            </w:pPr>
          </w:p>
        </w:tc>
      </w:tr>
      <w:tr>
        <w:trPr>
          <w:trHeight w:val="194"/>
        </w:trPr>
        <w:tc>
          <w:tcPr>
            <w:tcW w:w="376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NAMED EXECUTIVE OFFICER</w:t>
            </w:r>
          </w:p>
        </w:tc>
        <w:tc>
          <w:tcPr>
            <w:tcW w:w="9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6"/>
              </w:rPr>
              <w:t> THRESHOLD </w:t>
            </w:r>
          </w:p>
        </w:tc>
        <w:tc>
          <w:tcPr>
            <w:tcW w:w="66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0"/>
              </w:rPr>
              <w:t> TARGET </w:t>
            </w:r>
          </w:p>
        </w:tc>
        <w:tc>
          <w:tcPr>
            <w:tcW w:w="76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7"/>
              </w:rPr>
              <w:t> MAXIMUM </w:t>
            </w:r>
          </w:p>
        </w:tc>
        <w:tc>
          <w:tcPr>
            <w:tcW w:w="10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4"/>
              </w:rPr>
              <w:t> OF SALARY </w:t>
            </w:r>
          </w:p>
        </w:tc>
        <w:tc>
          <w:tcPr>
            <w:tcW w:w="8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9"/>
              </w:rPr>
              <w:t>CASH</w:t>
            </w:r>
          </w:p>
        </w:tc>
        <w:tc>
          <w:tcPr>
            <w:tcW w:w="780" w:type="dxa"/>
            <w:vAlign w:val="bottom"/>
            <w:tcBorders>
              <w:bottom w:val="single" w:sz="8" w:color="B9AFA0"/>
            </w:tcBorders>
            <w:gridSpan w:val="2"/>
            <w:shd w:val="clear" w:color="auto" w:fill="B9AFA0"/>
          </w:tcPr>
          <w:p>
            <w:pPr>
              <w:ind w:left="20"/>
              <w:spacing w:after="0"/>
              <w:rPr>
                <w:sz w:val="20"/>
                <w:szCs w:val="20"/>
                <w:color w:val="auto"/>
              </w:rPr>
            </w:pPr>
            <w:r>
              <w:rPr>
                <w:rFonts w:ascii="Arial" w:cs="Arial" w:eastAsia="Arial" w:hAnsi="Arial"/>
                <w:sz w:val="13"/>
                <w:szCs w:val="13"/>
                <w:color w:val="FFFFFF"/>
              </w:rPr>
              <w:t> EQUITY (1)</w:t>
            </w:r>
          </w:p>
        </w:tc>
      </w:tr>
      <w:tr>
        <w:trPr>
          <w:trHeight w:val="233"/>
        </w:trPr>
        <w:tc>
          <w:tcPr>
            <w:tcW w:w="3760" w:type="dxa"/>
            <w:vAlign w:val="bottom"/>
            <w:shd w:val="clear" w:color="auto" w:fill="F1EFEC"/>
          </w:tcPr>
          <w:p>
            <w:pPr>
              <w:ind w:left="40"/>
              <w:spacing w:after="0"/>
              <w:rPr>
                <w:sz w:val="20"/>
                <w:szCs w:val="20"/>
                <w:color w:val="auto"/>
              </w:rPr>
            </w:pPr>
            <w:r>
              <w:rPr>
                <w:rFonts w:ascii="Arial" w:cs="Arial" w:eastAsia="Arial" w:hAnsi="Arial"/>
                <w:sz w:val="13"/>
                <w:szCs w:val="13"/>
                <w:color w:val="auto"/>
              </w:rPr>
              <w:t>Craig S. Billings</w:t>
            </w:r>
          </w:p>
        </w:tc>
        <w:tc>
          <w:tcPr>
            <w:tcW w:w="94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200%</w:t>
            </w:r>
          </w:p>
        </w:tc>
        <w:tc>
          <w:tcPr>
            <w:tcW w:w="66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250%</w:t>
            </w:r>
          </w:p>
        </w:tc>
        <w:tc>
          <w:tcPr>
            <w:tcW w:w="76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6"/>
              </w:rPr>
              <w:t>300%</w:t>
            </w:r>
          </w:p>
        </w:tc>
        <w:tc>
          <w:tcPr>
            <w:tcW w:w="1020" w:type="dxa"/>
            <w:vAlign w:val="bottom"/>
            <w:shd w:val="clear" w:color="auto" w:fill="F1EFEC"/>
          </w:tcPr>
          <w:p>
            <w:pPr>
              <w:jc w:val="center"/>
              <w:ind w:left="16"/>
              <w:spacing w:after="0"/>
              <w:rPr>
                <w:sz w:val="20"/>
                <w:szCs w:val="20"/>
                <w:color w:val="auto"/>
              </w:rPr>
            </w:pPr>
            <w:r>
              <w:rPr>
                <w:rFonts w:ascii="Arial" w:cs="Arial" w:eastAsia="Arial" w:hAnsi="Arial"/>
                <w:sz w:val="13"/>
                <w:szCs w:val="13"/>
                <w:color w:val="auto"/>
              </w:rPr>
              <w:t>256%</w:t>
            </w:r>
          </w:p>
        </w:tc>
        <w:tc>
          <w:tcPr>
            <w:tcW w:w="82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$3,433,750</w:t>
            </w:r>
          </w:p>
        </w:tc>
        <w:tc>
          <w:tcPr>
            <w:tcW w:w="140" w:type="dxa"/>
            <w:vAlign w:val="bottom"/>
            <w:shd w:val="clear" w:color="auto" w:fill="F1EFEC"/>
          </w:tcPr>
          <w:p>
            <w:pPr>
              <w:ind w:left="20"/>
              <w:spacing w:after="0"/>
              <w:rPr>
                <w:sz w:val="20"/>
                <w:szCs w:val="20"/>
                <w:color w:val="auto"/>
              </w:rPr>
            </w:pPr>
            <w:r>
              <w:rPr>
                <w:rFonts w:ascii="Arial" w:cs="Arial" w:eastAsia="Arial" w:hAnsi="Arial"/>
                <w:sz w:val="13"/>
                <w:szCs w:val="13"/>
                <w:color w:val="auto"/>
              </w:rPr>
              <w:t> $</w:t>
            </w:r>
          </w:p>
        </w:tc>
        <w:tc>
          <w:tcPr>
            <w:tcW w:w="640" w:type="dxa"/>
            <w:vAlign w:val="bottom"/>
            <w:shd w:val="clear" w:color="auto" w:fill="F1EFEC"/>
          </w:tcPr>
          <w:p>
            <w:pPr>
              <w:jc w:val="right"/>
              <w:spacing w:after="0"/>
              <w:rPr>
                <w:sz w:val="20"/>
                <w:szCs w:val="20"/>
                <w:color w:val="auto"/>
              </w:rPr>
            </w:pPr>
            <w:r>
              <w:rPr>
                <w:rFonts w:ascii="Arial" w:cs="Arial" w:eastAsia="Arial" w:hAnsi="Arial"/>
                <w:sz w:val="13"/>
                <w:szCs w:val="13"/>
                <w:color w:val="auto"/>
                <w:w w:val="96"/>
              </w:rPr>
              <w:t>1,691,250</w:t>
            </w:r>
          </w:p>
        </w:tc>
      </w:tr>
      <w:tr>
        <w:trPr>
          <w:trHeight w:val="67"/>
        </w:trPr>
        <w:tc>
          <w:tcPr>
            <w:tcW w:w="3760" w:type="dxa"/>
            <w:vAlign w:val="bottom"/>
            <w:shd w:val="clear" w:color="auto" w:fill="F1EFEC"/>
          </w:tcPr>
          <w:p>
            <w:pPr>
              <w:spacing w:after="0"/>
              <w:rPr>
                <w:sz w:val="5"/>
                <w:szCs w:val="5"/>
                <w:color w:val="auto"/>
              </w:rPr>
            </w:pPr>
          </w:p>
        </w:tc>
        <w:tc>
          <w:tcPr>
            <w:tcW w:w="940" w:type="dxa"/>
            <w:vAlign w:val="bottom"/>
            <w:shd w:val="clear" w:color="auto" w:fill="F1EFEC"/>
          </w:tcPr>
          <w:p>
            <w:pPr>
              <w:spacing w:after="0"/>
              <w:rPr>
                <w:sz w:val="5"/>
                <w:szCs w:val="5"/>
                <w:color w:val="auto"/>
              </w:rPr>
            </w:pPr>
          </w:p>
        </w:tc>
        <w:tc>
          <w:tcPr>
            <w:tcW w:w="660" w:type="dxa"/>
            <w:vAlign w:val="bottom"/>
            <w:shd w:val="clear" w:color="auto" w:fill="F1EFEC"/>
          </w:tcPr>
          <w:p>
            <w:pPr>
              <w:spacing w:after="0"/>
              <w:rPr>
                <w:sz w:val="5"/>
                <w:szCs w:val="5"/>
                <w:color w:val="auto"/>
              </w:rPr>
            </w:pPr>
          </w:p>
        </w:tc>
        <w:tc>
          <w:tcPr>
            <w:tcW w:w="760" w:type="dxa"/>
            <w:vAlign w:val="bottom"/>
            <w:shd w:val="clear" w:color="auto" w:fill="F1EFEC"/>
          </w:tcPr>
          <w:p>
            <w:pPr>
              <w:spacing w:after="0"/>
              <w:rPr>
                <w:sz w:val="5"/>
                <w:szCs w:val="5"/>
                <w:color w:val="auto"/>
              </w:rPr>
            </w:pPr>
          </w:p>
        </w:tc>
        <w:tc>
          <w:tcPr>
            <w:tcW w:w="1020" w:type="dxa"/>
            <w:vAlign w:val="bottom"/>
            <w:shd w:val="clear" w:color="auto" w:fill="F1EFEC"/>
          </w:tcPr>
          <w:p>
            <w:pPr>
              <w:spacing w:after="0"/>
              <w:rPr>
                <w:sz w:val="5"/>
                <w:szCs w:val="5"/>
                <w:color w:val="auto"/>
              </w:rPr>
            </w:pPr>
          </w:p>
        </w:tc>
        <w:tc>
          <w:tcPr>
            <w:tcW w:w="820" w:type="dxa"/>
            <w:vAlign w:val="bottom"/>
            <w:shd w:val="clear" w:color="auto" w:fill="F1EFEC"/>
          </w:tcPr>
          <w:p>
            <w:pPr>
              <w:spacing w:after="0"/>
              <w:rPr>
                <w:sz w:val="5"/>
                <w:szCs w:val="5"/>
                <w:color w:val="auto"/>
              </w:rPr>
            </w:pPr>
          </w:p>
        </w:tc>
        <w:tc>
          <w:tcPr>
            <w:tcW w:w="140" w:type="dxa"/>
            <w:vAlign w:val="bottom"/>
            <w:shd w:val="clear" w:color="auto" w:fill="F1EFEC"/>
          </w:tcPr>
          <w:p>
            <w:pPr>
              <w:spacing w:after="0"/>
              <w:rPr>
                <w:sz w:val="5"/>
                <w:szCs w:val="5"/>
                <w:color w:val="auto"/>
              </w:rPr>
            </w:pPr>
          </w:p>
        </w:tc>
        <w:tc>
          <w:tcPr>
            <w:tcW w:w="640" w:type="dxa"/>
            <w:vAlign w:val="bottom"/>
            <w:shd w:val="clear" w:color="auto" w:fill="F1EFEC"/>
          </w:tcPr>
          <w:p>
            <w:pPr>
              <w:spacing w:after="0"/>
              <w:rPr>
                <w:sz w:val="5"/>
                <w:szCs w:val="5"/>
                <w:color w:val="auto"/>
              </w:rPr>
            </w:pPr>
          </w:p>
        </w:tc>
      </w:tr>
      <w:tr>
        <w:trPr>
          <w:trHeight w:val="233"/>
        </w:trPr>
        <w:tc>
          <w:tcPr>
            <w:tcW w:w="3760" w:type="dxa"/>
            <w:vAlign w:val="bottom"/>
          </w:tcPr>
          <w:p>
            <w:pPr>
              <w:ind w:left="40"/>
              <w:spacing w:after="0"/>
              <w:rPr>
                <w:sz w:val="20"/>
                <w:szCs w:val="20"/>
                <w:color w:val="auto"/>
              </w:rPr>
            </w:pPr>
            <w:r>
              <w:rPr>
                <w:rFonts w:ascii="Arial" w:cs="Arial" w:eastAsia="Arial" w:hAnsi="Arial"/>
                <w:sz w:val="13"/>
                <w:szCs w:val="13"/>
                <w:color w:val="auto"/>
              </w:rPr>
              <w:t>Julie M. Cameron-Doe</w:t>
            </w:r>
          </w:p>
        </w:tc>
        <w:tc>
          <w:tcPr>
            <w:tcW w:w="940" w:type="dxa"/>
            <w:vAlign w:val="bottom"/>
          </w:tcPr>
          <w:p>
            <w:pPr>
              <w:jc w:val="center"/>
              <w:spacing w:after="0"/>
              <w:rPr>
                <w:sz w:val="20"/>
                <w:szCs w:val="20"/>
                <w:color w:val="auto"/>
              </w:rPr>
            </w:pPr>
            <w:r>
              <w:rPr>
                <w:rFonts w:ascii="Arial" w:cs="Arial" w:eastAsia="Arial" w:hAnsi="Arial"/>
                <w:sz w:val="13"/>
                <w:szCs w:val="13"/>
                <w:color w:val="auto"/>
              </w:rPr>
              <w:t>160%</w:t>
            </w:r>
          </w:p>
        </w:tc>
        <w:tc>
          <w:tcPr>
            <w:tcW w:w="660" w:type="dxa"/>
            <w:vAlign w:val="bottom"/>
          </w:tcPr>
          <w:p>
            <w:pPr>
              <w:jc w:val="center"/>
              <w:spacing w:after="0"/>
              <w:rPr>
                <w:sz w:val="20"/>
                <w:szCs w:val="20"/>
                <w:color w:val="auto"/>
              </w:rPr>
            </w:pPr>
            <w:r>
              <w:rPr>
                <w:rFonts w:ascii="Arial" w:cs="Arial" w:eastAsia="Arial" w:hAnsi="Arial"/>
                <w:sz w:val="13"/>
                <w:szCs w:val="13"/>
                <w:color w:val="auto"/>
              </w:rPr>
              <w:t>200%</w:t>
            </w: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240%</w:t>
            </w:r>
          </w:p>
        </w:tc>
        <w:tc>
          <w:tcPr>
            <w:tcW w:w="1020" w:type="dxa"/>
            <w:vAlign w:val="bottom"/>
          </w:tcPr>
          <w:p>
            <w:pPr>
              <w:jc w:val="center"/>
              <w:ind w:left="16"/>
              <w:spacing w:after="0"/>
              <w:rPr>
                <w:sz w:val="20"/>
                <w:szCs w:val="20"/>
                <w:color w:val="auto"/>
              </w:rPr>
            </w:pPr>
            <w:r>
              <w:rPr>
                <w:rFonts w:ascii="Arial" w:cs="Arial" w:eastAsia="Arial" w:hAnsi="Arial"/>
                <w:sz w:val="13"/>
                <w:szCs w:val="13"/>
                <w:color w:val="auto"/>
              </w:rPr>
              <w:t>205%</w:t>
            </w:r>
          </w:p>
        </w:tc>
        <w:tc>
          <w:tcPr>
            <w:tcW w:w="820" w:type="dxa"/>
            <w:vAlign w:val="bottom"/>
          </w:tcPr>
          <w:p>
            <w:pPr>
              <w:jc w:val="center"/>
              <w:spacing w:after="0"/>
              <w:rPr>
                <w:sz w:val="20"/>
                <w:szCs w:val="20"/>
                <w:color w:val="auto"/>
              </w:rPr>
            </w:pPr>
            <w:r>
              <w:rPr>
                <w:rFonts w:ascii="Arial" w:cs="Arial" w:eastAsia="Arial" w:hAnsi="Arial"/>
                <w:sz w:val="13"/>
                <w:szCs w:val="13"/>
                <w:color w:val="auto"/>
              </w:rPr>
              <w:t>$1,304,825</w:t>
            </w:r>
          </w:p>
        </w:tc>
        <w:tc>
          <w:tcPr>
            <w:tcW w:w="140" w:type="dxa"/>
            <w:vAlign w:val="bottom"/>
          </w:tcPr>
          <w:p>
            <w:pPr>
              <w:ind w:left="2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642,675</w:t>
            </w:r>
          </w:p>
        </w:tc>
      </w:tr>
      <w:tr>
        <w:trPr>
          <w:trHeight w:val="67"/>
        </w:trPr>
        <w:tc>
          <w:tcPr>
            <w:tcW w:w="3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33"/>
        </w:trPr>
        <w:tc>
          <w:tcPr>
            <w:tcW w:w="3760" w:type="dxa"/>
            <w:vAlign w:val="bottom"/>
            <w:shd w:val="clear" w:color="auto" w:fill="F1EFEC"/>
          </w:tcPr>
          <w:p>
            <w:pPr>
              <w:ind w:left="40"/>
              <w:spacing w:after="0"/>
              <w:rPr>
                <w:sz w:val="20"/>
                <w:szCs w:val="20"/>
                <w:color w:val="auto"/>
              </w:rPr>
            </w:pPr>
            <w:r>
              <w:rPr>
                <w:rFonts w:ascii="Arial" w:cs="Arial" w:eastAsia="Arial" w:hAnsi="Arial"/>
                <w:sz w:val="13"/>
                <w:szCs w:val="13"/>
                <w:color w:val="auto"/>
              </w:rPr>
              <w:t>Jacqui Krum</w:t>
            </w:r>
          </w:p>
        </w:tc>
        <w:tc>
          <w:tcPr>
            <w:tcW w:w="94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160%</w:t>
            </w:r>
          </w:p>
        </w:tc>
        <w:tc>
          <w:tcPr>
            <w:tcW w:w="66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200%</w:t>
            </w:r>
          </w:p>
        </w:tc>
        <w:tc>
          <w:tcPr>
            <w:tcW w:w="76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6"/>
              </w:rPr>
              <w:t>240%</w:t>
            </w:r>
          </w:p>
        </w:tc>
        <w:tc>
          <w:tcPr>
            <w:tcW w:w="1020" w:type="dxa"/>
            <w:vAlign w:val="bottom"/>
            <w:shd w:val="clear" w:color="auto" w:fill="F1EFEC"/>
          </w:tcPr>
          <w:p>
            <w:pPr>
              <w:jc w:val="center"/>
              <w:ind w:left="16"/>
              <w:spacing w:after="0"/>
              <w:rPr>
                <w:sz w:val="20"/>
                <w:szCs w:val="20"/>
                <w:color w:val="auto"/>
              </w:rPr>
            </w:pPr>
            <w:r>
              <w:rPr>
                <w:rFonts w:ascii="Arial" w:cs="Arial" w:eastAsia="Arial" w:hAnsi="Arial"/>
                <w:sz w:val="13"/>
                <w:szCs w:val="13"/>
                <w:color w:val="auto"/>
              </w:rPr>
              <w:t>205%</w:t>
            </w:r>
          </w:p>
        </w:tc>
        <w:tc>
          <w:tcPr>
            <w:tcW w:w="82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$1,133,138</w:t>
            </w:r>
          </w:p>
        </w:tc>
        <w:tc>
          <w:tcPr>
            <w:tcW w:w="140" w:type="dxa"/>
            <w:vAlign w:val="bottom"/>
            <w:shd w:val="clear" w:color="auto" w:fill="F1EFEC"/>
          </w:tcPr>
          <w:p>
            <w:pPr>
              <w:ind w:left="20"/>
              <w:spacing w:after="0"/>
              <w:rPr>
                <w:sz w:val="20"/>
                <w:szCs w:val="20"/>
                <w:color w:val="auto"/>
              </w:rPr>
            </w:pPr>
            <w:r>
              <w:rPr>
                <w:rFonts w:ascii="Arial" w:cs="Arial" w:eastAsia="Arial" w:hAnsi="Arial"/>
                <w:sz w:val="13"/>
                <w:szCs w:val="13"/>
                <w:color w:val="auto"/>
              </w:rPr>
              <w:t> $</w:t>
            </w:r>
          </w:p>
        </w:tc>
        <w:tc>
          <w:tcPr>
            <w:tcW w:w="640" w:type="dxa"/>
            <w:vAlign w:val="bottom"/>
            <w:shd w:val="clear" w:color="auto" w:fill="F1EFEC"/>
          </w:tcPr>
          <w:p>
            <w:pPr>
              <w:jc w:val="right"/>
              <w:spacing w:after="0"/>
              <w:rPr>
                <w:sz w:val="20"/>
                <w:szCs w:val="20"/>
                <w:color w:val="auto"/>
              </w:rPr>
            </w:pPr>
            <w:r>
              <w:rPr>
                <w:rFonts w:ascii="Arial" w:cs="Arial" w:eastAsia="Arial" w:hAnsi="Arial"/>
                <w:sz w:val="13"/>
                <w:szCs w:val="13"/>
                <w:color w:val="auto"/>
              </w:rPr>
              <w:t>558,113</w:t>
            </w:r>
          </w:p>
        </w:tc>
      </w:tr>
      <w:tr>
        <w:trPr>
          <w:trHeight w:val="67"/>
        </w:trPr>
        <w:tc>
          <w:tcPr>
            <w:tcW w:w="3760" w:type="dxa"/>
            <w:vAlign w:val="bottom"/>
            <w:shd w:val="clear" w:color="auto" w:fill="F1EFEC"/>
          </w:tcPr>
          <w:p>
            <w:pPr>
              <w:spacing w:after="0"/>
              <w:rPr>
                <w:sz w:val="5"/>
                <w:szCs w:val="5"/>
                <w:color w:val="auto"/>
              </w:rPr>
            </w:pPr>
          </w:p>
        </w:tc>
        <w:tc>
          <w:tcPr>
            <w:tcW w:w="940" w:type="dxa"/>
            <w:vAlign w:val="bottom"/>
            <w:shd w:val="clear" w:color="auto" w:fill="F1EFEC"/>
          </w:tcPr>
          <w:p>
            <w:pPr>
              <w:spacing w:after="0"/>
              <w:rPr>
                <w:sz w:val="5"/>
                <w:szCs w:val="5"/>
                <w:color w:val="auto"/>
              </w:rPr>
            </w:pPr>
          </w:p>
        </w:tc>
        <w:tc>
          <w:tcPr>
            <w:tcW w:w="660" w:type="dxa"/>
            <w:vAlign w:val="bottom"/>
            <w:shd w:val="clear" w:color="auto" w:fill="F1EFEC"/>
          </w:tcPr>
          <w:p>
            <w:pPr>
              <w:spacing w:after="0"/>
              <w:rPr>
                <w:sz w:val="5"/>
                <w:szCs w:val="5"/>
                <w:color w:val="auto"/>
              </w:rPr>
            </w:pPr>
          </w:p>
        </w:tc>
        <w:tc>
          <w:tcPr>
            <w:tcW w:w="760" w:type="dxa"/>
            <w:vAlign w:val="bottom"/>
            <w:shd w:val="clear" w:color="auto" w:fill="F1EFEC"/>
          </w:tcPr>
          <w:p>
            <w:pPr>
              <w:spacing w:after="0"/>
              <w:rPr>
                <w:sz w:val="5"/>
                <w:szCs w:val="5"/>
                <w:color w:val="auto"/>
              </w:rPr>
            </w:pPr>
          </w:p>
        </w:tc>
        <w:tc>
          <w:tcPr>
            <w:tcW w:w="1020" w:type="dxa"/>
            <w:vAlign w:val="bottom"/>
            <w:shd w:val="clear" w:color="auto" w:fill="F1EFEC"/>
          </w:tcPr>
          <w:p>
            <w:pPr>
              <w:spacing w:after="0"/>
              <w:rPr>
                <w:sz w:val="5"/>
                <w:szCs w:val="5"/>
                <w:color w:val="auto"/>
              </w:rPr>
            </w:pPr>
          </w:p>
        </w:tc>
        <w:tc>
          <w:tcPr>
            <w:tcW w:w="820" w:type="dxa"/>
            <w:vAlign w:val="bottom"/>
            <w:shd w:val="clear" w:color="auto" w:fill="F1EFEC"/>
          </w:tcPr>
          <w:p>
            <w:pPr>
              <w:spacing w:after="0"/>
              <w:rPr>
                <w:sz w:val="5"/>
                <w:szCs w:val="5"/>
                <w:color w:val="auto"/>
              </w:rPr>
            </w:pPr>
          </w:p>
        </w:tc>
        <w:tc>
          <w:tcPr>
            <w:tcW w:w="140" w:type="dxa"/>
            <w:vAlign w:val="bottom"/>
            <w:shd w:val="clear" w:color="auto" w:fill="F1EFEC"/>
          </w:tcPr>
          <w:p>
            <w:pPr>
              <w:spacing w:after="0"/>
              <w:rPr>
                <w:sz w:val="5"/>
                <w:szCs w:val="5"/>
                <w:color w:val="auto"/>
              </w:rPr>
            </w:pPr>
          </w:p>
        </w:tc>
        <w:tc>
          <w:tcPr>
            <w:tcW w:w="640" w:type="dxa"/>
            <w:vAlign w:val="bottom"/>
            <w:shd w:val="clear" w:color="auto" w:fill="F1EFE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-830580</wp:posOffset>
            </wp:positionV>
            <wp:extent cx="6985" cy="8312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85" cy="831215"/>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-830580</wp:posOffset>
            </wp:positionV>
            <wp:extent cx="6985" cy="8312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85" cy="8312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-830580</wp:posOffset>
            </wp:positionV>
            <wp:extent cx="6985" cy="8312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85" cy="831215"/>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-830580</wp:posOffset>
            </wp:positionV>
            <wp:extent cx="6985" cy="8312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85" cy="831215"/>
                    </a:xfrm>
                    <a:prstGeom prst="rect">
                      <a:avLst/>
                    </a:prstGeom>
                    <a:noFill/>
                  </pic:spPr>
                </pic:pic>
              </a:graphicData>
            </a:graphic>
          </wp:anchor>
        </w:drawing>
        <w:drawing>
          <wp:anchor simplePos="0" relativeHeight="251657728" behindDoc="1" locked="0" layoutInCell="0" allowOverlap="1">
            <wp:simplePos x="0" y="0"/>
            <wp:positionH relativeFrom="column">
              <wp:posOffset>3199130</wp:posOffset>
            </wp:positionH>
            <wp:positionV relativeFrom="paragraph">
              <wp:posOffset>-830580</wp:posOffset>
            </wp:positionV>
            <wp:extent cx="6985" cy="8312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85" cy="831215"/>
                    </a:xfrm>
                    <a:prstGeom prst="rect">
                      <a:avLst/>
                    </a:prstGeom>
                    <a:noFill/>
                  </pic:spPr>
                </pic:pic>
              </a:graphicData>
            </a:graphic>
          </wp:anchor>
        </w:drawing>
      </w:r>
    </w:p>
    <w:p>
      <w:pPr>
        <w:spacing w:after="0" w:line="51" w:lineRule="exact"/>
        <w:rPr>
          <w:sz w:val="20"/>
          <w:szCs w:val="20"/>
          <w:color w:val="auto"/>
        </w:rPr>
      </w:pPr>
    </w:p>
    <w:p>
      <w:pPr>
        <w:ind w:left="1260" w:right="399" w:firstLine="7"/>
        <w:spacing w:after="0" w:line="260" w:lineRule="auto"/>
        <w:tabs>
          <w:tab w:leader="none" w:pos="1410" w:val="left"/>
        </w:tabs>
        <w:numPr>
          <w:ilvl w:val="0"/>
          <w:numId w:val="27"/>
        </w:numPr>
        <w:rPr>
          <w:rFonts w:ascii="Arial" w:cs="Arial" w:eastAsia="Arial" w:hAnsi="Arial"/>
          <w:sz w:val="10"/>
          <w:szCs w:val="10"/>
          <w:color w:val="auto"/>
        </w:rPr>
      </w:pPr>
      <w:r>
        <w:rPr>
          <w:rFonts w:ascii="Arial" w:cs="Arial" w:eastAsia="Arial" w:hAnsi="Arial"/>
          <w:sz w:val="10"/>
          <w:szCs w:val="10"/>
          <w:color w:val="auto"/>
        </w:rPr>
        <w:t>The amounts set forth in this column reflect the aggregate grant date fair value of stock awards granted, as computed in accordance with FASB ASC Topic 718. These stock awards are fully vested upon grant but remain subject to our stock ownership guidelines.</w:t>
      </w:r>
    </w:p>
    <w:p>
      <w:pPr>
        <w:spacing w:after="0" w:line="141" w:lineRule="exact"/>
        <w:rPr>
          <w:sz w:val="20"/>
          <w:szCs w:val="20"/>
          <w:color w:val="auto"/>
        </w:rPr>
      </w:pPr>
    </w:p>
    <w:p>
      <w:pPr>
        <w:ind w:left="1260" w:right="519"/>
        <w:spacing w:after="0" w:line="256" w:lineRule="auto"/>
        <w:rPr>
          <w:sz w:val="20"/>
          <w:szCs w:val="20"/>
          <w:color w:val="auto"/>
        </w:rPr>
      </w:pPr>
      <w:r>
        <w:rPr>
          <w:rFonts w:ascii="Arial" w:cs="Arial" w:eastAsia="Arial" w:hAnsi="Arial"/>
          <w:sz w:val="13"/>
          <w:szCs w:val="13"/>
          <w:color w:val="B9AFA0"/>
        </w:rPr>
        <w:t xml:space="preserve">LONG-TERM INCENTIVES: </w:t>
      </w:r>
      <w:r>
        <w:rPr>
          <w:rFonts w:ascii="Arial" w:cs="Arial" w:eastAsia="Arial" w:hAnsi="Arial"/>
          <w:sz w:val="13"/>
          <w:szCs w:val="13"/>
          <w:color w:val="000000"/>
        </w:rPr>
        <w:t>Our NEOs receive annual equity incentive grants that vest over three years. In 2023, the Compensation Committee</w:t>
      </w:r>
      <w:r>
        <w:rPr>
          <w:rFonts w:ascii="Arial" w:cs="Arial" w:eastAsia="Arial" w:hAnsi="Arial"/>
          <w:sz w:val="13"/>
          <w:szCs w:val="13"/>
          <w:color w:val="B9AFA0"/>
        </w:rPr>
        <w:t xml:space="preserve"> </w:t>
      </w:r>
      <w:r>
        <w:rPr>
          <w:rFonts w:ascii="Arial" w:cs="Arial" w:eastAsia="Arial" w:hAnsi="Arial"/>
          <w:sz w:val="13"/>
          <w:szCs w:val="13"/>
          <w:color w:val="000000"/>
        </w:rPr>
        <w:t>implemented a policy that at least 55% of the equity granted to our NEOs would be subject to performance conditions to ensure a superior focus on operational excellence as well as better align executives’ interests with those of long-term shareholders.</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RATIONALE FOR CHOICE OF LONG-TERM METRICS</w:t>
      </w:r>
    </w:p>
    <w:p>
      <w:pPr>
        <w:spacing w:after="0" w:line="284" w:lineRule="exact"/>
        <w:rPr>
          <w:sz w:val="20"/>
          <w:szCs w:val="20"/>
          <w:color w:val="auto"/>
        </w:rPr>
      </w:pPr>
    </w:p>
    <w:p>
      <w:pPr>
        <w:ind w:left="1260" w:right="419"/>
        <w:spacing w:after="0" w:line="251" w:lineRule="auto"/>
        <w:rPr>
          <w:sz w:val="20"/>
          <w:szCs w:val="20"/>
          <w:color w:val="auto"/>
        </w:rPr>
      </w:pPr>
      <w:r>
        <w:rPr>
          <w:rFonts w:ascii="Arial" w:cs="Arial" w:eastAsia="Arial" w:hAnsi="Arial"/>
          <w:sz w:val="13"/>
          <w:szCs w:val="13"/>
          <w:color w:val="auto"/>
        </w:rPr>
        <w:t>The Compensation Committee believes that the combination of targeted, high-return investments along with continual revenue and EBITDAR relative outperformance are essential to long-term shareholder value creation. The Compensation Committee believes this is best reflected in the consistent generation of Revenue and EBITDAR “fair share” premiums, which the Compensation Committee expects will be a key driver of strong long-term absolute TSR performance. The decision to select these metrics was based on careful consideration of the following factors:</w:t>
      </w:r>
    </w:p>
    <w:p>
      <w:pPr>
        <w:spacing w:after="0" w:line="169" w:lineRule="exact"/>
        <w:rPr>
          <w:sz w:val="20"/>
          <w:szCs w:val="20"/>
          <w:color w:val="auto"/>
        </w:rPr>
      </w:pPr>
    </w:p>
    <w:p>
      <w:pPr>
        <w:ind w:left="2120" w:right="339" w:hanging="338"/>
        <w:spacing w:after="0" w:line="256" w:lineRule="auto"/>
        <w:tabs>
          <w:tab w:leader="none" w:pos="21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Company’s strategy is to attract and retain premium customers in each market in which the Company operates, driving outsized Operating Revenue and Adjusted Property EBITDAR performance relative to peers over the long run. The consistent generation of “fair share” premiums indicates that our properties are continually outperforming the competition in revenue and EBITDAR.</w:t>
      </w:r>
    </w:p>
    <w:p>
      <w:pPr>
        <w:spacing w:after="0" w:line="165" w:lineRule="exact"/>
        <w:rPr>
          <w:rFonts w:ascii="Arial" w:cs="Arial" w:eastAsia="Arial" w:hAnsi="Arial"/>
          <w:sz w:val="13"/>
          <w:szCs w:val="13"/>
          <w:color w:val="auto"/>
        </w:rPr>
      </w:pPr>
    </w:p>
    <w:p>
      <w:pPr>
        <w:ind w:left="2120" w:right="699" w:hanging="338"/>
        <w:spacing w:after="0" w:line="271" w:lineRule="auto"/>
        <w:tabs>
          <w:tab w:leader="none" w:pos="21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Consistently achieving premium fair share incentivizes a long-term strategic operating approach, including diligent and consistent investment in facilities and team members across the business cycle.</w:t>
      </w:r>
    </w:p>
    <w:p>
      <w:pPr>
        <w:spacing w:after="0" w:line="155" w:lineRule="exact"/>
        <w:rPr>
          <w:rFonts w:ascii="Arial" w:cs="Arial" w:eastAsia="Arial" w:hAnsi="Arial"/>
          <w:sz w:val="13"/>
          <w:szCs w:val="13"/>
          <w:color w:val="auto"/>
        </w:rPr>
      </w:pPr>
    </w:p>
    <w:p>
      <w:pPr>
        <w:ind w:left="2120" w:right="419" w:hanging="338"/>
        <w:spacing w:after="0" w:line="271" w:lineRule="auto"/>
        <w:tabs>
          <w:tab w:leader="none" w:pos="21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Utilizing fair share metrics also prevents management from unduly benefiting from favorable market tailwinds, and instead incentivizes consistent outperformance relative to our competitors regardless of the overall market conditions.</w:t>
      </w:r>
    </w:p>
    <w:p>
      <w:pPr>
        <w:spacing w:after="0" w:line="155" w:lineRule="exact"/>
        <w:rPr>
          <w:rFonts w:ascii="Arial" w:cs="Arial" w:eastAsia="Arial" w:hAnsi="Arial"/>
          <w:sz w:val="13"/>
          <w:szCs w:val="13"/>
          <w:color w:val="auto"/>
        </w:rPr>
      </w:pPr>
    </w:p>
    <w:p>
      <w:pPr>
        <w:ind w:left="2120" w:right="359" w:hanging="338"/>
        <w:spacing w:after="0" w:line="271" w:lineRule="auto"/>
        <w:tabs>
          <w:tab w:leader="none" w:pos="21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Utilizing absolute TSR incentivizes management to focus on driving long-term shareholder returns and directly aligns management with the experience of shareholders.</w:t>
      </w:r>
    </w:p>
    <w:p>
      <w:pPr>
        <w:spacing w:after="0" w:line="81"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0159"/>
          </w:cols>
          <w:pgMar w:left="300" w:top="413"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2025 LONG-TERM INCENTIVE GRANTS</w:t>
      </w:r>
    </w:p>
    <w:p>
      <w:pPr>
        <w:spacing w:after="0" w:line="284" w:lineRule="exact"/>
        <w:rPr>
          <w:sz w:val="20"/>
          <w:szCs w:val="20"/>
          <w:color w:val="auto"/>
        </w:rPr>
      </w:pPr>
    </w:p>
    <w:p>
      <w:pPr>
        <w:ind w:left="1260" w:right="299"/>
        <w:spacing w:after="0" w:line="248" w:lineRule="auto"/>
        <w:rPr>
          <w:sz w:val="20"/>
          <w:szCs w:val="20"/>
          <w:color w:val="auto"/>
        </w:rPr>
      </w:pPr>
      <w:r>
        <w:rPr>
          <w:rFonts w:ascii="Arial" w:cs="Arial" w:eastAsia="Arial" w:hAnsi="Arial"/>
          <w:sz w:val="13"/>
          <w:szCs w:val="13"/>
          <w:color w:val="auto"/>
        </w:rPr>
        <w:t>For 2025, the Compensation Committee granted a combination of performance-based restricted stock awards, performance share units (“PSUs”), and time-based restricted stock awards under the Omnibus Plan to our NEOs, as disclosed in the tables below. Each grant is subject to continued service through the applicable vesting date unless certain acceleration provisions are met, as discussed in “Summary compensation tables” — “Potential payments upon termination, retirement or change in control.” Additional information and the required disclosure under Item 402(d) of Regulation S-K for 2025 can be found in the section titled “2025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115570</wp:posOffset>
            </wp:positionV>
            <wp:extent cx="6985" cy="14236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85" cy="142367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115570</wp:posOffset>
            </wp:positionV>
            <wp:extent cx="6985" cy="14236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85" cy="1423670"/>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115570</wp:posOffset>
            </wp:positionV>
            <wp:extent cx="6985" cy="14236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85" cy="1423670"/>
                    </a:xfrm>
                    <a:prstGeom prst="rect">
                      <a:avLst/>
                    </a:prstGeom>
                    <a:noFill/>
                  </pic:spPr>
                </pic:pic>
              </a:graphicData>
            </a:graphic>
          </wp:anchor>
        </w:drawing>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3180" w:type="dxa"/>
            <w:vAlign w:val="bottom"/>
            <w:shd w:val="clear" w:color="auto" w:fill="B9AFA0"/>
          </w:tcPr>
          <w:p>
            <w:pPr>
              <w:spacing w:after="0"/>
              <w:rPr>
                <w:sz w:val="18"/>
                <w:szCs w:val="18"/>
                <w:color w:val="auto"/>
              </w:rPr>
            </w:pPr>
          </w:p>
        </w:tc>
        <w:tc>
          <w:tcPr>
            <w:tcW w:w="3000" w:type="dxa"/>
            <w:vAlign w:val="bottom"/>
            <w:gridSpan w:val="4"/>
            <w:shd w:val="clear" w:color="auto" w:fill="B9AFA0"/>
          </w:tcPr>
          <w:p>
            <w:pPr>
              <w:jc w:val="right"/>
              <w:ind w:right="136"/>
              <w:spacing w:after="0"/>
              <w:rPr>
                <w:sz w:val="20"/>
                <w:szCs w:val="20"/>
                <w:color w:val="auto"/>
              </w:rPr>
            </w:pPr>
            <w:r>
              <w:rPr>
                <w:rFonts w:ascii="Arial" w:cs="Arial" w:eastAsia="Arial" w:hAnsi="Arial"/>
                <w:sz w:val="13"/>
                <w:szCs w:val="13"/>
                <w:color w:val="FFFFFF"/>
              </w:rPr>
              <w:t>PERFORMANCE BASED STOCK AWARDS</w:t>
            </w:r>
          </w:p>
        </w:tc>
        <w:tc>
          <w:tcPr>
            <w:tcW w:w="680" w:type="dxa"/>
            <w:vAlign w:val="bottom"/>
            <w:shd w:val="clear" w:color="auto" w:fill="B9AFA0"/>
          </w:tcPr>
          <w:p>
            <w:pPr>
              <w:spacing w:after="0"/>
              <w:rPr>
                <w:sz w:val="18"/>
                <w:szCs w:val="18"/>
                <w:color w:val="auto"/>
              </w:rPr>
            </w:pPr>
          </w:p>
        </w:tc>
        <w:tc>
          <w:tcPr>
            <w:tcW w:w="800" w:type="dxa"/>
            <w:vAlign w:val="bottom"/>
            <w:shd w:val="clear" w:color="auto" w:fill="B9AFA0"/>
          </w:tcPr>
          <w:p>
            <w:pPr>
              <w:spacing w:after="0"/>
              <w:rPr>
                <w:sz w:val="18"/>
                <w:szCs w:val="18"/>
                <w:color w:val="auto"/>
              </w:rPr>
            </w:pPr>
          </w:p>
        </w:tc>
        <w:tc>
          <w:tcPr>
            <w:tcW w:w="1080" w:type="dxa"/>
            <w:vAlign w:val="bottom"/>
            <w:shd w:val="clear" w:color="auto" w:fill="B9AFA0"/>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80" w:type="dxa"/>
            <w:vAlign w:val="bottom"/>
            <w:shd w:val="clear" w:color="auto" w:fill="B9AFA0"/>
          </w:tcPr>
          <w:p>
            <w:pPr>
              <w:spacing w:after="0"/>
              <w:rPr>
                <w:sz w:val="20"/>
                <w:szCs w:val="20"/>
                <w:color w:val="auto"/>
              </w:rPr>
            </w:pPr>
          </w:p>
        </w:tc>
        <w:tc>
          <w:tcPr>
            <w:tcW w:w="1500" w:type="dxa"/>
            <w:vAlign w:val="bottom"/>
            <w:gridSpan w:val="2"/>
            <w:shd w:val="clear" w:color="auto" w:fill="B9AFA0"/>
          </w:tcPr>
          <w:p>
            <w:pPr>
              <w:jc w:val="center"/>
              <w:spacing w:after="0"/>
              <w:rPr>
                <w:sz w:val="20"/>
                <w:szCs w:val="20"/>
                <w:color w:val="auto"/>
              </w:rPr>
            </w:pPr>
            <w:r>
              <w:rPr>
                <w:rFonts w:ascii="Arial" w:cs="Arial" w:eastAsia="Arial" w:hAnsi="Arial"/>
                <w:sz w:val="13"/>
                <w:szCs w:val="13"/>
                <w:color w:val="FFFFFF"/>
                <w:w w:val="97"/>
              </w:rPr>
              <w:t>FAIR SHARE</w:t>
            </w:r>
          </w:p>
        </w:tc>
        <w:tc>
          <w:tcPr>
            <w:tcW w:w="680" w:type="dxa"/>
            <w:vAlign w:val="bottom"/>
            <w:shd w:val="clear" w:color="auto" w:fill="B9AFA0"/>
          </w:tcPr>
          <w:p>
            <w:pPr>
              <w:spacing w:after="0"/>
              <w:rPr>
                <w:sz w:val="20"/>
                <w:szCs w:val="20"/>
                <w:color w:val="auto"/>
              </w:rPr>
            </w:pPr>
          </w:p>
        </w:tc>
        <w:tc>
          <w:tcPr>
            <w:tcW w:w="820" w:type="dxa"/>
            <w:vAlign w:val="bottom"/>
            <w:shd w:val="clear" w:color="auto" w:fill="B9AFA0"/>
          </w:tcPr>
          <w:p>
            <w:pPr>
              <w:spacing w:after="0"/>
              <w:rPr>
                <w:sz w:val="20"/>
                <w:szCs w:val="20"/>
                <w:color w:val="auto"/>
              </w:rPr>
            </w:pPr>
          </w:p>
        </w:tc>
        <w:tc>
          <w:tcPr>
            <w:tcW w:w="680" w:type="dxa"/>
            <w:vAlign w:val="bottom"/>
            <w:shd w:val="clear" w:color="auto" w:fill="B9AFA0"/>
          </w:tcPr>
          <w:p>
            <w:pPr>
              <w:spacing w:after="0"/>
              <w:rPr>
                <w:sz w:val="20"/>
                <w:szCs w:val="20"/>
                <w:color w:val="auto"/>
              </w:rPr>
            </w:pPr>
          </w:p>
        </w:tc>
        <w:tc>
          <w:tcPr>
            <w:tcW w:w="800" w:type="dxa"/>
            <w:vAlign w:val="bottom"/>
            <w:shd w:val="clear" w:color="auto" w:fill="B9AFA0"/>
          </w:tcPr>
          <w:p>
            <w:pPr>
              <w:spacing w:after="0"/>
              <w:rPr>
                <w:sz w:val="20"/>
                <w:szCs w:val="20"/>
                <w:color w:val="auto"/>
              </w:rPr>
            </w:pPr>
          </w:p>
        </w:tc>
        <w:tc>
          <w:tcPr>
            <w:tcW w:w="1080" w:type="dxa"/>
            <w:vAlign w:val="bottom"/>
            <w:shd w:val="clear" w:color="auto" w:fill="B9AFA0"/>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3180" w:type="dxa"/>
            <w:vAlign w:val="bottom"/>
            <w:shd w:val="clear" w:color="auto" w:fill="B9AFA0"/>
          </w:tcPr>
          <w:p>
            <w:pPr>
              <w:spacing w:after="0"/>
              <w:rPr>
                <w:sz w:val="13"/>
                <w:szCs w:val="13"/>
                <w:color w:val="auto"/>
              </w:rPr>
            </w:pPr>
          </w:p>
        </w:tc>
        <w:tc>
          <w:tcPr>
            <w:tcW w:w="1500" w:type="dxa"/>
            <w:vAlign w:val="bottom"/>
            <w:gridSpan w:val="2"/>
            <w:shd w:val="clear" w:color="auto" w:fill="B9AFA0"/>
          </w:tcPr>
          <w:p>
            <w:pPr>
              <w:jc w:val="center"/>
              <w:spacing w:after="0"/>
              <w:rPr>
                <w:sz w:val="20"/>
                <w:szCs w:val="20"/>
                <w:color w:val="auto"/>
              </w:rPr>
            </w:pPr>
            <w:r>
              <w:rPr>
                <w:rFonts w:ascii="Arial" w:cs="Arial" w:eastAsia="Arial" w:hAnsi="Arial"/>
                <w:sz w:val="13"/>
                <w:szCs w:val="13"/>
                <w:color w:val="FFFFFF"/>
                <w:w w:val="98"/>
              </w:rPr>
              <w:t>PERFORMANCE</w:t>
            </w:r>
          </w:p>
        </w:tc>
        <w:tc>
          <w:tcPr>
            <w:tcW w:w="680" w:type="dxa"/>
            <w:vAlign w:val="bottom"/>
            <w:shd w:val="clear" w:color="auto" w:fill="B9AFA0"/>
          </w:tcPr>
          <w:p>
            <w:pPr>
              <w:spacing w:after="0"/>
              <w:rPr>
                <w:sz w:val="13"/>
                <w:szCs w:val="13"/>
                <w:color w:val="auto"/>
              </w:rPr>
            </w:pPr>
          </w:p>
        </w:tc>
        <w:tc>
          <w:tcPr>
            <w:tcW w:w="820" w:type="dxa"/>
            <w:vAlign w:val="bottom"/>
            <w:shd w:val="clear" w:color="auto" w:fill="B9AFA0"/>
          </w:tcPr>
          <w:p>
            <w:pPr>
              <w:spacing w:after="0"/>
              <w:rPr>
                <w:sz w:val="13"/>
                <w:szCs w:val="13"/>
                <w:color w:val="auto"/>
              </w:rPr>
            </w:pPr>
          </w:p>
        </w:tc>
        <w:tc>
          <w:tcPr>
            <w:tcW w:w="1480" w:type="dxa"/>
            <w:vAlign w:val="bottom"/>
            <w:gridSpan w:val="2"/>
            <w:shd w:val="clear" w:color="auto" w:fill="B9AFA0"/>
          </w:tcPr>
          <w:p>
            <w:pPr>
              <w:jc w:val="right"/>
              <w:ind w:right="16"/>
              <w:spacing w:after="0"/>
              <w:rPr>
                <w:sz w:val="20"/>
                <w:szCs w:val="20"/>
                <w:color w:val="auto"/>
              </w:rPr>
            </w:pPr>
            <w:r>
              <w:rPr>
                <w:rFonts w:ascii="Arial" w:cs="Arial" w:eastAsia="Arial" w:hAnsi="Arial"/>
                <w:sz w:val="13"/>
                <w:szCs w:val="13"/>
                <w:color w:val="FFFFFF"/>
              </w:rPr>
              <w:t>TIME-BASED STOCK</w:t>
            </w:r>
          </w:p>
        </w:tc>
        <w:tc>
          <w:tcPr>
            <w:tcW w:w="1080" w:type="dxa"/>
            <w:vAlign w:val="bottom"/>
            <w:shd w:val="clear" w:color="auto" w:fill="B9AFA0"/>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180" w:type="dxa"/>
            <w:vAlign w:val="bottom"/>
            <w:shd w:val="clear" w:color="auto" w:fill="B9AFA0"/>
          </w:tcPr>
          <w:p>
            <w:pPr>
              <w:spacing w:after="0"/>
              <w:rPr>
                <w:sz w:val="15"/>
                <w:szCs w:val="15"/>
                <w:color w:val="auto"/>
              </w:rPr>
            </w:pPr>
          </w:p>
        </w:tc>
        <w:tc>
          <w:tcPr>
            <w:tcW w:w="1500" w:type="dxa"/>
            <w:vAlign w:val="bottom"/>
            <w:gridSpan w:val="2"/>
            <w:shd w:val="clear" w:color="auto" w:fill="B9AFA0"/>
          </w:tcPr>
          <w:p>
            <w:pPr>
              <w:jc w:val="center"/>
              <w:spacing w:after="0"/>
              <w:rPr>
                <w:sz w:val="20"/>
                <w:szCs w:val="20"/>
                <w:color w:val="auto"/>
              </w:rPr>
            </w:pPr>
            <w:r>
              <w:rPr>
                <w:rFonts w:ascii="Arial" w:cs="Arial" w:eastAsia="Arial" w:hAnsi="Arial"/>
                <w:sz w:val="13"/>
                <w:szCs w:val="13"/>
                <w:color w:val="FFFFFF"/>
                <w:w w:val="99"/>
              </w:rPr>
              <w:t>AWARDS (1)</w:t>
            </w:r>
          </w:p>
        </w:tc>
        <w:tc>
          <w:tcPr>
            <w:tcW w:w="1500" w:type="dxa"/>
            <w:vAlign w:val="bottom"/>
            <w:gridSpan w:val="2"/>
            <w:shd w:val="clear" w:color="auto" w:fill="B9AFA0"/>
          </w:tcPr>
          <w:p>
            <w:pPr>
              <w:ind w:left="180"/>
              <w:spacing w:after="0"/>
              <w:rPr>
                <w:sz w:val="20"/>
                <w:szCs w:val="20"/>
                <w:color w:val="auto"/>
              </w:rPr>
            </w:pPr>
            <w:r>
              <w:rPr>
                <w:rFonts w:ascii="Arial" w:cs="Arial" w:eastAsia="Arial" w:hAnsi="Arial"/>
                <w:sz w:val="13"/>
                <w:szCs w:val="13"/>
                <w:color w:val="FFFFFF"/>
              </w:rPr>
              <w:t>ABSOLUTE TSR (2)</w:t>
            </w:r>
          </w:p>
        </w:tc>
        <w:tc>
          <w:tcPr>
            <w:tcW w:w="1480" w:type="dxa"/>
            <w:vAlign w:val="bottom"/>
            <w:gridSpan w:val="2"/>
            <w:shd w:val="clear" w:color="auto" w:fill="B9AFA0"/>
          </w:tcPr>
          <w:p>
            <w:pPr>
              <w:jc w:val="right"/>
              <w:ind w:right="276"/>
              <w:spacing w:after="0"/>
              <w:rPr>
                <w:sz w:val="20"/>
                <w:szCs w:val="20"/>
                <w:color w:val="auto"/>
              </w:rPr>
            </w:pPr>
            <w:r>
              <w:rPr>
                <w:rFonts w:ascii="Arial" w:cs="Arial" w:eastAsia="Arial" w:hAnsi="Arial"/>
                <w:sz w:val="13"/>
                <w:szCs w:val="13"/>
                <w:color w:val="FFFFFF"/>
              </w:rPr>
              <w:t>AWARDS (3)</w:t>
            </w:r>
          </w:p>
        </w:tc>
        <w:tc>
          <w:tcPr>
            <w:tcW w:w="1080" w:type="dxa"/>
            <w:vAlign w:val="bottom"/>
            <w:vMerge w:val="restart"/>
            <w:shd w:val="clear" w:color="auto" w:fill="B9AFA0"/>
          </w:tcPr>
          <w:p>
            <w:pPr>
              <w:jc w:val="center"/>
              <w:spacing w:after="0"/>
              <w:rPr>
                <w:sz w:val="20"/>
                <w:szCs w:val="20"/>
                <w:color w:val="auto"/>
              </w:rPr>
            </w:pPr>
            <w:r>
              <w:rPr>
                <w:rFonts w:ascii="Arial" w:cs="Arial" w:eastAsia="Arial" w:hAnsi="Arial"/>
                <w:sz w:val="13"/>
                <w:szCs w:val="13"/>
                <w:color w:val="FFFFFF"/>
                <w:w w:val="95"/>
              </w:rPr>
              <w:t>GRANT DATE</w:t>
            </w:r>
          </w:p>
        </w:tc>
        <w:tc>
          <w:tcPr>
            <w:tcW w:w="0" w:type="dxa"/>
            <w:vAlign w:val="bottom"/>
          </w:tcPr>
          <w:p>
            <w:pPr>
              <w:spacing w:after="0"/>
              <w:rPr>
                <w:sz w:val="1"/>
                <w:szCs w:val="1"/>
                <w:color w:val="auto"/>
              </w:rPr>
            </w:pPr>
          </w:p>
        </w:tc>
      </w:tr>
      <w:tr>
        <w:trPr>
          <w:trHeight w:val="46"/>
        </w:trPr>
        <w:tc>
          <w:tcPr>
            <w:tcW w:w="3180" w:type="dxa"/>
            <w:vAlign w:val="bottom"/>
            <w:shd w:val="clear" w:color="auto" w:fill="B9AFA0"/>
          </w:tcPr>
          <w:p>
            <w:pPr>
              <w:spacing w:after="0"/>
              <w:rPr>
                <w:sz w:val="3"/>
                <w:szCs w:val="3"/>
                <w:color w:val="auto"/>
              </w:rPr>
            </w:pPr>
          </w:p>
        </w:tc>
        <w:tc>
          <w:tcPr>
            <w:tcW w:w="700" w:type="dxa"/>
            <w:vAlign w:val="bottom"/>
            <w:shd w:val="clear" w:color="auto" w:fill="B9AFA0"/>
          </w:tcPr>
          <w:p>
            <w:pPr>
              <w:spacing w:after="0"/>
              <w:rPr>
                <w:sz w:val="3"/>
                <w:szCs w:val="3"/>
                <w:color w:val="auto"/>
              </w:rPr>
            </w:pPr>
          </w:p>
        </w:tc>
        <w:tc>
          <w:tcPr>
            <w:tcW w:w="800" w:type="dxa"/>
            <w:vAlign w:val="bottom"/>
            <w:shd w:val="clear" w:color="auto" w:fill="B9AFA0"/>
          </w:tcPr>
          <w:p>
            <w:pPr>
              <w:spacing w:after="0"/>
              <w:rPr>
                <w:sz w:val="3"/>
                <w:szCs w:val="3"/>
                <w:color w:val="auto"/>
              </w:rPr>
            </w:pPr>
          </w:p>
        </w:tc>
        <w:tc>
          <w:tcPr>
            <w:tcW w:w="680" w:type="dxa"/>
            <w:vAlign w:val="bottom"/>
            <w:shd w:val="clear" w:color="auto" w:fill="B9AFA0"/>
          </w:tcPr>
          <w:p>
            <w:pPr>
              <w:spacing w:after="0"/>
              <w:rPr>
                <w:sz w:val="3"/>
                <w:szCs w:val="3"/>
                <w:color w:val="auto"/>
              </w:rPr>
            </w:pPr>
          </w:p>
        </w:tc>
        <w:tc>
          <w:tcPr>
            <w:tcW w:w="820" w:type="dxa"/>
            <w:vAlign w:val="bottom"/>
            <w:shd w:val="clear" w:color="auto" w:fill="B9AFA0"/>
          </w:tcPr>
          <w:p>
            <w:pPr>
              <w:spacing w:after="0"/>
              <w:rPr>
                <w:sz w:val="3"/>
                <w:szCs w:val="3"/>
                <w:color w:val="auto"/>
              </w:rPr>
            </w:pPr>
          </w:p>
        </w:tc>
        <w:tc>
          <w:tcPr>
            <w:tcW w:w="680" w:type="dxa"/>
            <w:vAlign w:val="bottom"/>
            <w:shd w:val="clear" w:color="auto" w:fill="B9AFA0"/>
          </w:tcPr>
          <w:p>
            <w:pPr>
              <w:spacing w:after="0"/>
              <w:rPr>
                <w:sz w:val="3"/>
                <w:szCs w:val="3"/>
                <w:color w:val="auto"/>
              </w:rPr>
            </w:pPr>
          </w:p>
        </w:tc>
        <w:tc>
          <w:tcPr>
            <w:tcW w:w="800" w:type="dxa"/>
            <w:vAlign w:val="bottom"/>
            <w:shd w:val="clear" w:color="auto" w:fill="B9AFA0"/>
          </w:tcPr>
          <w:p>
            <w:pPr>
              <w:spacing w:after="0"/>
              <w:rPr>
                <w:sz w:val="3"/>
                <w:szCs w:val="3"/>
                <w:color w:val="auto"/>
              </w:rPr>
            </w:pPr>
          </w:p>
        </w:tc>
        <w:tc>
          <w:tcPr>
            <w:tcW w:w="1080" w:type="dxa"/>
            <w:vAlign w:val="bottom"/>
            <w:vMerge w:val="continue"/>
            <w:shd w:val="clear" w:color="auto" w:fill="B9AFA0"/>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3180" w:type="dxa"/>
            <w:vAlign w:val="bottom"/>
            <w:shd w:val="clear" w:color="auto" w:fill="B9AFA0"/>
          </w:tcPr>
          <w:p>
            <w:pPr>
              <w:spacing w:after="0"/>
              <w:rPr>
                <w:sz w:val="12"/>
                <w:szCs w:val="12"/>
                <w:color w:val="auto"/>
              </w:rPr>
            </w:pPr>
          </w:p>
        </w:tc>
        <w:tc>
          <w:tcPr>
            <w:tcW w:w="700" w:type="dxa"/>
            <w:vAlign w:val="bottom"/>
            <w:shd w:val="clear" w:color="auto" w:fill="B9AFA0"/>
          </w:tcPr>
          <w:p>
            <w:pPr>
              <w:spacing w:after="0"/>
              <w:rPr>
                <w:sz w:val="12"/>
                <w:szCs w:val="12"/>
                <w:color w:val="auto"/>
              </w:rPr>
            </w:pPr>
          </w:p>
        </w:tc>
        <w:tc>
          <w:tcPr>
            <w:tcW w:w="800" w:type="dxa"/>
            <w:vAlign w:val="bottom"/>
            <w:shd w:val="clear" w:color="auto" w:fill="B9AFA0"/>
          </w:tcPr>
          <w:p>
            <w:pPr>
              <w:jc w:val="right"/>
              <w:ind w:right="196"/>
              <w:spacing w:after="0" w:line="140" w:lineRule="exact"/>
              <w:rPr>
                <w:sz w:val="20"/>
                <w:szCs w:val="20"/>
                <w:color w:val="auto"/>
              </w:rPr>
            </w:pPr>
            <w:r>
              <w:rPr>
                <w:rFonts w:ascii="Arial" w:cs="Arial" w:eastAsia="Arial" w:hAnsi="Arial"/>
                <w:sz w:val="13"/>
                <w:szCs w:val="13"/>
                <w:color w:val="FFFFFF"/>
              </w:rPr>
              <w:t>% OF</w:t>
            </w:r>
          </w:p>
        </w:tc>
        <w:tc>
          <w:tcPr>
            <w:tcW w:w="680" w:type="dxa"/>
            <w:vAlign w:val="bottom"/>
            <w:shd w:val="clear" w:color="auto" w:fill="B9AFA0"/>
          </w:tcPr>
          <w:p>
            <w:pPr>
              <w:spacing w:after="0"/>
              <w:rPr>
                <w:sz w:val="12"/>
                <w:szCs w:val="12"/>
                <w:color w:val="auto"/>
              </w:rPr>
            </w:pPr>
          </w:p>
        </w:tc>
        <w:tc>
          <w:tcPr>
            <w:tcW w:w="820" w:type="dxa"/>
            <w:vAlign w:val="bottom"/>
            <w:shd w:val="clear" w:color="auto" w:fill="B9AFA0"/>
          </w:tcPr>
          <w:p>
            <w:pPr>
              <w:jc w:val="right"/>
              <w:ind w:right="196"/>
              <w:spacing w:after="0" w:line="140" w:lineRule="exact"/>
              <w:rPr>
                <w:sz w:val="20"/>
                <w:szCs w:val="20"/>
                <w:color w:val="auto"/>
              </w:rPr>
            </w:pPr>
            <w:r>
              <w:rPr>
                <w:rFonts w:ascii="Arial" w:cs="Arial" w:eastAsia="Arial" w:hAnsi="Arial"/>
                <w:sz w:val="13"/>
                <w:szCs w:val="13"/>
                <w:color w:val="FFFFFF"/>
              </w:rPr>
              <w:t>% OF</w:t>
            </w:r>
          </w:p>
        </w:tc>
        <w:tc>
          <w:tcPr>
            <w:tcW w:w="680" w:type="dxa"/>
            <w:vAlign w:val="bottom"/>
            <w:shd w:val="clear" w:color="auto" w:fill="B9AFA0"/>
          </w:tcPr>
          <w:p>
            <w:pPr>
              <w:spacing w:after="0"/>
              <w:rPr>
                <w:sz w:val="12"/>
                <w:szCs w:val="12"/>
                <w:color w:val="auto"/>
              </w:rPr>
            </w:pPr>
          </w:p>
        </w:tc>
        <w:tc>
          <w:tcPr>
            <w:tcW w:w="800" w:type="dxa"/>
            <w:vAlign w:val="bottom"/>
            <w:shd w:val="clear" w:color="auto" w:fill="B9AFA0"/>
          </w:tcPr>
          <w:p>
            <w:pPr>
              <w:jc w:val="right"/>
              <w:ind w:right="196"/>
              <w:spacing w:after="0" w:line="140" w:lineRule="exact"/>
              <w:rPr>
                <w:sz w:val="20"/>
                <w:szCs w:val="20"/>
                <w:color w:val="auto"/>
              </w:rPr>
            </w:pPr>
            <w:r>
              <w:rPr>
                <w:rFonts w:ascii="Arial" w:cs="Arial" w:eastAsia="Arial" w:hAnsi="Arial"/>
                <w:sz w:val="13"/>
                <w:szCs w:val="13"/>
                <w:color w:val="FFFFFF"/>
              </w:rPr>
              <w:t>% OF</w:t>
            </w:r>
          </w:p>
        </w:tc>
        <w:tc>
          <w:tcPr>
            <w:tcW w:w="1080" w:type="dxa"/>
            <w:vAlign w:val="bottom"/>
            <w:shd w:val="clear" w:color="auto" w:fill="B9AFA0"/>
          </w:tcPr>
          <w:p>
            <w:pPr>
              <w:jc w:val="center"/>
              <w:spacing w:after="0" w:line="140" w:lineRule="exact"/>
              <w:rPr>
                <w:sz w:val="20"/>
                <w:szCs w:val="20"/>
                <w:color w:val="auto"/>
              </w:rPr>
            </w:pPr>
            <w:r>
              <w:rPr>
                <w:rFonts w:ascii="Arial" w:cs="Arial" w:eastAsia="Arial" w:hAnsi="Arial"/>
                <w:sz w:val="13"/>
                <w:szCs w:val="13"/>
                <w:color w:val="FFFFFF"/>
                <w:w w:val="98"/>
              </w:rPr>
              <w:t>FAIR VALUE OF</w:t>
            </w:r>
          </w:p>
        </w:tc>
        <w:tc>
          <w:tcPr>
            <w:tcW w:w="0" w:type="dxa"/>
            <w:vAlign w:val="bottom"/>
          </w:tcPr>
          <w:p>
            <w:pPr>
              <w:spacing w:after="0"/>
              <w:rPr>
                <w:sz w:val="1"/>
                <w:szCs w:val="1"/>
                <w:color w:val="auto"/>
              </w:rPr>
            </w:pPr>
          </w:p>
        </w:tc>
      </w:tr>
      <w:tr>
        <w:trPr>
          <w:trHeight w:val="150"/>
        </w:trPr>
        <w:tc>
          <w:tcPr>
            <w:tcW w:w="3180" w:type="dxa"/>
            <w:vAlign w:val="bottom"/>
            <w:shd w:val="clear" w:color="auto" w:fill="B9AFA0"/>
          </w:tcPr>
          <w:p>
            <w:pPr>
              <w:spacing w:after="0"/>
              <w:rPr>
                <w:sz w:val="13"/>
                <w:szCs w:val="13"/>
                <w:color w:val="auto"/>
              </w:rPr>
            </w:pPr>
          </w:p>
        </w:tc>
        <w:tc>
          <w:tcPr>
            <w:tcW w:w="700" w:type="dxa"/>
            <w:vAlign w:val="bottom"/>
            <w:shd w:val="clear" w:color="auto" w:fill="B9AFA0"/>
          </w:tcPr>
          <w:p>
            <w:pPr>
              <w:ind w:left="200"/>
              <w:spacing w:after="0"/>
              <w:rPr>
                <w:sz w:val="20"/>
                <w:szCs w:val="20"/>
                <w:color w:val="auto"/>
              </w:rPr>
            </w:pPr>
            <w:r>
              <w:rPr>
                <w:rFonts w:ascii="Arial" w:cs="Arial" w:eastAsia="Arial" w:hAnsi="Arial"/>
                <w:sz w:val="13"/>
                <w:szCs w:val="13"/>
                <w:color w:val="FFFFFF"/>
              </w:rPr>
              <w:t># OF</w:t>
            </w:r>
          </w:p>
        </w:tc>
        <w:tc>
          <w:tcPr>
            <w:tcW w:w="800" w:type="dxa"/>
            <w:vAlign w:val="bottom"/>
            <w:shd w:val="clear" w:color="auto" w:fill="B9AFA0"/>
          </w:tcPr>
          <w:p>
            <w:pPr>
              <w:jc w:val="right"/>
              <w:ind w:right="96"/>
              <w:spacing w:after="0"/>
              <w:rPr>
                <w:sz w:val="20"/>
                <w:szCs w:val="20"/>
                <w:color w:val="auto"/>
              </w:rPr>
            </w:pPr>
            <w:r>
              <w:rPr>
                <w:rFonts w:ascii="Arial" w:cs="Arial" w:eastAsia="Arial" w:hAnsi="Arial"/>
                <w:sz w:val="13"/>
                <w:szCs w:val="13"/>
                <w:color w:val="FFFFFF"/>
              </w:rPr>
              <w:t>ANNUAL</w:t>
            </w:r>
          </w:p>
        </w:tc>
        <w:tc>
          <w:tcPr>
            <w:tcW w:w="680" w:type="dxa"/>
            <w:vAlign w:val="bottom"/>
            <w:shd w:val="clear" w:color="auto" w:fill="B9AFA0"/>
          </w:tcPr>
          <w:p>
            <w:pPr>
              <w:ind w:left="180"/>
              <w:spacing w:after="0"/>
              <w:rPr>
                <w:sz w:val="20"/>
                <w:szCs w:val="20"/>
                <w:color w:val="auto"/>
              </w:rPr>
            </w:pPr>
            <w:r>
              <w:rPr>
                <w:rFonts w:ascii="Arial" w:cs="Arial" w:eastAsia="Arial" w:hAnsi="Arial"/>
                <w:sz w:val="13"/>
                <w:szCs w:val="13"/>
                <w:color w:val="FFFFFF"/>
              </w:rPr>
              <w:t># OF</w:t>
            </w:r>
          </w:p>
        </w:tc>
        <w:tc>
          <w:tcPr>
            <w:tcW w:w="820" w:type="dxa"/>
            <w:vAlign w:val="bottom"/>
            <w:shd w:val="clear" w:color="auto" w:fill="B9AFA0"/>
          </w:tcPr>
          <w:p>
            <w:pPr>
              <w:jc w:val="right"/>
              <w:ind w:right="96"/>
              <w:spacing w:after="0"/>
              <w:rPr>
                <w:sz w:val="20"/>
                <w:szCs w:val="20"/>
                <w:color w:val="auto"/>
              </w:rPr>
            </w:pPr>
            <w:r>
              <w:rPr>
                <w:rFonts w:ascii="Arial" w:cs="Arial" w:eastAsia="Arial" w:hAnsi="Arial"/>
                <w:sz w:val="13"/>
                <w:szCs w:val="13"/>
                <w:color w:val="FFFFFF"/>
              </w:rPr>
              <w:t>ANNUAL</w:t>
            </w:r>
          </w:p>
        </w:tc>
        <w:tc>
          <w:tcPr>
            <w:tcW w:w="680" w:type="dxa"/>
            <w:vAlign w:val="bottom"/>
            <w:shd w:val="clear" w:color="auto" w:fill="B9AFA0"/>
          </w:tcPr>
          <w:p>
            <w:pPr>
              <w:ind w:left="180"/>
              <w:spacing w:after="0"/>
              <w:rPr>
                <w:sz w:val="20"/>
                <w:szCs w:val="20"/>
                <w:color w:val="auto"/>
              </w:rPr>
            </w:pPr>
            <w:r>
              <w:rPr>
                <w:rFonts w:ascii="Arial" w:cs="Arial" w:eastAsia="Arial" w:hAnsi="Arial"/>
                <w:sz w:val="13"/>
                <w:szCs w:val="13"/>
                <w:color w:val="FFFFFF"/>
              </w:rPr>
              <w:t># OF</w:t>
            </w:r>
          </w:p>
        </w:tc>
        <w:tc>
          <w:tcPr>
            <w:tcW w:w="800" w:type="dxa"/>
            <w:vAlign w:val="bottom"/>
            <w:shd w:val="clear" w:color="auto" w:fill="B9AFA0"/>
          </w:tcPr>
          <w:p>
            <w:pPr>
              <w:jc w:val="right"/>
              <w:ind w:right="96"/>
              <w:spacing w:after="0"/>
              <w:rPr>
                <w:sz w:val="20"/>
                <w:szCs w:val="20"/>
                <w:color w:val="auto"/>
              </w:rPr>
            </w:pPr>
            <w:r>
              <w:rPr>
                <w:rFonts w:ascii="Arial" w:cs="Arial" w:eastAsia="Arial" w:hAnsi="Arial"/>
                <w:sz w:val="13"/>
                <w:szCs w:val="13"/>
                <w:color w:val="FFFFFF"/>
              </w:rPr>
              <w:t>ANNUAL</w:t>
            </w:r>
          </w:p>
        </w:tc>
        <w:tc>
          <w:tcPr>
            <w:tcW w:w="10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AWARDS</w:t>
            </w:r>
          </w:p>
        </w:tc>
        <w:tc>
          <w:tcPr>
            <w:tcW w:w="0" w:type="dxa"/>
            <w:vAlign w:val="bottom"/>
          </w:tcPr>
          <w:p>
            <w:pPr>
              <w:spacing w:after="0"/>
              <w:rPr>
                <w:sz w:val="1"/>
                <w:szCs w:val="1"/>
                <w:color w:val="auto"/>
              </w:rPr>
            </w:pPr>
          </w:p>
        </w:tc>
      </w:tr>
      <w:tr>
        <w:trPr>
          <w:trHeight w:val="205"/>
        </w:trPr>
        <w:tc>
          <w:tcPr>
            <w:tcW w:w="318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NAMED EXECUTIVE OFFICER</w:t>
            </w:r>
          </w:p>
        </w:tc>
        <w:tc>
          <w:tcPr>
            <w:tcW w:w="700" w:type="dxa"/>
            <w:vAlign w:val="bottom"/>
            <w:tcBorders>
              <w:bottom w:val="single" w:sz="8" w:color="B9AFA0"/>
            </w:tcBorders>
            <w:shd w:val="clear" w:color="auto" w:fill="B9AFA0"/>
          </w:tcPr>
          <w:p>
            <w:pPr>
              <w:ind w:left="80"/>
              <w:spacing w:after="0"/>
              <w:rPr>
                <w:sz w:val="20"/>
                <w:szCs w:val="20"/>
                <w:color w:val="auto"/>
              </w:rPr>
            </w:pPr>
            <w:r>
              <w:rPr>
                <w:rFonts w:ascii="Arial" w:cs="Arial" w:eastAsia="Arial" w:hAnsi="Arial"/>
                <w:sz w:val="13"/>
                <w:szCs w:val="13"/>
                <w:color w:val="FFFFFF"/>
                <w:w w:val="99"/>
              </w:rPr>
              <w:t>SHARES </w:t>
            </w:r>
          </w:p>
        </w:tc>
        <w:tc>
          <w:tcPr>
            <w:tcW w:w="800" w:type="dxa"/>
            <w:vAlign w:val="bottom"/>
            <w:tcBorders>
              <w:bottom w:val="single" w:sz="8" w:color="B9AFA0"/>
            </w:tcBorders>
            <w:shd w:val="clear" w:color="auto" w:fill="B9AFA0"/>
          </w:tcPr>
          <w:p>
            <w:pPr>
              <w:jc w:val="right"/>
              <w:spacing w:after="0"/>
              <w:rPr>
                <w:sz w:val="20"/>
                <w:szCs w:val="20"/>
                <w:color w:val="auto"/>
              </w:rPr>
            </w:pPr>
            <w:r>
              <w:rPr>
                <w:rFonts w:ascii="Arial" w:cs="Arial" w:eastAsia="Arial" w:hAnsi="Arial"/>
                <w:sz w:val="13"/>
                <w:szCs w:val="13"/>
                <w:color w:val="FFFFFF"/>
              </w:rPr>
              <w:t xml:space="preserve">EQUITY (4) </w:t>
            </w:r>
          </w:p>
        </w:tc>
        <w:tc>
          <w:tcPr>
            <w:tcW w:w="68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3"/>
                <w:szCs w:val="13"/>
                <w:color w:val="FFFFFF"/>
                <w:w w:val="99"/>
              </w:rPr>
              <w:t>SHARES </w:t>
            </w:r>
          </w:p>
        </w:tc>
        <w:tc>
          <w:tcPr>
            <w:tcW w:w="820" w:type="dxa"/>
            <w:vAlign w:val="bottom"/>
            <w:tcBorders>
              <w:bottom w:val="single" w:sz="8" w:color="B9AFA0"/>
            </w:tcBorders>
            <w:shd w:val="clear" w:color="auto" w:fill="B9AFA0"/>
          </w:tcPr>
          <w:p>
            <w:pPr>
              <w:jc w:val="right"/>
              <w:spacing w:after="0"/>
              <w:rPr>
                <w:sz w:val="20"/>
                <w:szCs w:val="20"/>
                <w:color w:val="auto"/>
              </w:rPr>
            </w:pPr>
            <w:r>
              <w:rPr>
                <w:rFonts w:ascii="Arial" w:cs="Arial" w:eastAsia="Arial" w:hAnsi="Arial"/>
                <w:sz w:val="13"/>
                <w:szCs w:val="13"/>
                <w:color w:val="FFFFFF"/>
              </w:rPr>
              <w:t xml:space="preserve">EQUITY (4) </w:t>
            </w:r>
          </w:p>
        </w:tc>
        <w:tc>
          <w:tcPr>
            <w:tcW w:w="68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3"/>
                <w:szCs w:val="13"/>
                <w:color w:val="FFFFFF"/>
                <w:w w:val="99"/>
              </w:rPr>
              <w:t>SHARES </w:t>
            </w:r>
          </w:p>
        </w:tc>
        <w:tc>
          <w:tcPr>
            <w:tcW w:w="800" w:type="dxa"/>
            <w:vAlign w:val="bottom"/>
            <w:tcBorders>
              <w:bottom w:val="single" w:sz="8" w:color="B9AFA0"/>
            </w:tcBorders>
            <w:shd w:val="clear" w:color="auto" w:fill="B9AFA0"/>
          </w:tcPr>
          <w:p>
            <w:pPr>
              <w:jc w:val="right"/>
              <w:ind w:right="16"/>
              <w:spacing w:after="0"/>
              <w:rPr>
                <w:sz w:val="20"/>
                <w:szCs w:val="20"/>
                <w:color w:val="auto"/>
              </w:rPr>
            </w:pPr>
            <w:r>
              <w:rPr>
                <w:rFonts w:ascii="Arial" w:cs="Arial" w:eastAsia="Arial" w:hAnsi="Arial"/>
                <w:sz w:val="13"/>
                <w:szCs w:val="13"/>
                <w:color w:val="FFFFFF"/>
              </w:rPr>
              <w:t>EQUITY (4)</w:t>
            </w:r>
          </w:p>
        </w:tc>
        <w:tc>
          <w:tcPr>
            <w:tcW w:w="10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 (5)</w:t>
            </w:r>
          </w:p>
        </w:tc>
        <w:tc>
          <w:tcPr>
            <w:tcW w:w="0" w:type="dxa"/>
            <w:vAlign w:val="bottom"/>
          </w:tcPr>
          <w:p>
            <w:pPr>
              <w:spacing w:after="0"/>
              <w:rPr>
                <w:sz w:val="1"/>
                <w:szCs w:val="1"/>
                <w:color w:val="auto"/>
              </w:rPr>
            </w:pPr>
          </w:p>
        </w:tc>
      </w:tr>
      <w:tr>
        <w:trPr>
          <w:trHeight w:val="233"/>
        </w:trPr>
        <w:tc>
          <w:tcPr>
            <w:tcW w:w="3180" w:type="dxa"/>
            <w:vAlign w:val="bottom"/>
            <w:shd w:val="clear" w:color="auto" w:fill="F1EFEC"/>
          </w:tcPr>
          <w:p>
            <w:pPr>
              <w:ind w:left="40"/>
              <w:spacing w:after="0"/>
              <w:rPr>
                <w:sz w:val="20"/>
                <w:szCs w:val="20"/>
                <w:color w:val="auto"/>
              </w:rPr>
            </w:pPr>
            <w:r>
              <w:rPr>
                <w:rFonts w:ascii="Arial" w:cs="Arial" w:eastAsia="Arial" w:hAnsi="Arial"/>
                <w:sz w:val="13"/>
                <w:szCs w:val="13"/>
                <w:color w:val="auto"/>
              </w:rPr>
              <w:t>Craig S. Billings</w:t>
            </w:r>
          </w:p>
        </w:tc>
        <w:tc>
          <w:tcPr>
            <w:tcW w:w="700" w:type="dxa"/>
            <w:vAlign w:val="bottom"/>
            <w:shd w:val="clear" w:color="auto" w:fill="F1EFEC"/>
          </w:tcPr>
          <w:p>
            <w:pPr>
              <w:ind w:left="180"/>
              <w:spacing w:after="0"/>
              <w:rPr>
                <w:sz w:val="20"/>
                <w:szCs w:val="20"/>
                <w:color w:val="auto"/>
              </w:rPr>
            </w:pPr>
            <w:r>
              <w:rPr>
                <w:rFonts w:ascii="Arial" w:cs="Arial" w:eastAsia="Arial" w:hAnsi="Arial"/>
                <w:sz w:val="13"/>
                <w:szCs w:val="13"/>
                <w:color w:val="auto"/>
              </w:rPr>
              <w:t>29,837</w:t>
            </w:r>
          </w:p>
        </w:tc>
        <w:tc>
          <w:tcPr>
            <w:tcW w:w="80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30%</w:t>
            </w:r>
          </w:p>
        </w:tc>
        <w:tc>
          <w:tcPr>
            <w:tcW w:w="68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24,864</w:t>
            </w:r>
          </w:p>
        </w:tc>
        <w:tc>
          <w:tcPr>
            <w:tcW w:w="82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25%</w:t>
            </w:r>
          </w:p>
        </w:tc>
        <w:tc>
          <w:tcPr>
            <w:tcW w:w="680" w:type="dxa"/>
            <w:vAlign w:val="bottom"/>
            <w:shd w:val="clear" w:color="auto" w:fill="F1EFEC"/>
          </w:tcPr>
          <w:p>
            <w:pPr>
              <w:ind w:left="160"/>
              <w:spacing w:after="0"/>
              <w:rPr>
                <w:sz w:val="20"/>
                <w:szCs w:val="20"/>
                <w:color w:val="auto"/>
              </w:rPr>
            </w:pPr>
            <w:r>
              <w:rPr>
                <w:rFonts w:ascii="Arial" w:cs="Arial" w:eastAsia="Arial" w:hAnsi="Arial"/>
                <w:sz w:val="13"/>
                <w:szCs w:val="13"/>
                <w:color w:val="auto"/>
              </w:rPr>
              <w:t>44,755</w:t>
            </w:r>
          </w:p>
        </w:tc>
        <w:tc>
          <w:tcPr>
            <w:tcW w:w="80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45%</w:t>
            </w:r>
          </w:p>
        </w:tc>
        <w:tc>
          <w:tcPr>
            <w:tcW w:w="1080" w:type="dxa"/>
            <w:vAlign w:val="bottom"/>
            <w:shd w:val="clear" w:color="auto" w:fill="F1EFEC"/>
          </w:tcPr>
          <w:p>
            <w:pPr>
              <w:jc w:val="right"/>
              <w:ind w:right="156"/>
              <w:spacing w:after="0"/>
              <w:rPr>
                <w:sz w:val="20"/>
                <w:szCs w:val="20"/>
                <w:color w:val="auto"/>
              </w:rPr>
            </w:pPr>
            <w:r>
              <w:rPr>
                <w:rFonts w:ascii="Arial" w:cs="Arial" w:eastAsia="Arial" w:hAnsi="Arial"/>
                <w:sz w:val="13"/>
                <w:szCs w:val="13"/>
                <w:color w:val="auto"/>
              </w:rPr>
              <w:t>7,932,859</w:t>
            </w:r>
          </w:p>
        </w:tc>
        <w:tc>
          <w:tcPr>
            <w:tcW w:w="0" w:type="dxa"/>
            <w:vAlign w:val="bottom"/>
          </w:tcPr>
          <w:p>
            <w:pPr>
              <w:spacing w:after="0"/>
              <w:rPr>
                <w:sz w:val="1"/>
                <w:szCs w:val="1"/>
                <w:color w:val="auto"/>
              </w:rPr>
            </w:pPr>
          </w:p>
        </w:tc>
      </w:tr>
      <w:tr>
        <w:trPr>
          <w:trHeight w:val="67"/>
        </w:trPr>
        <w:tc>
          <w:tcPr>
            <w:tcW w:w="3180" w:type="dxa"/>
            <w:vAlign w:val="bottom"/>
            <w:shd w:val="clear" w:color="auto" w:fill="F1EFEC"/>
          </w:tcPr>
          <w:p>
            <w:pPr>
              <w:spacing w:after="0"/>
              <w:rPr>
                <w:sz w:val="5"/>
                <w:szCs w:val="5"/>
                <w:color w:val="auto"/>
              </w:rPr>
            </w:pPr>
          </w:p>
        </w:tc>
        <w:tc>
          <w:tcPr>
            <w:tcW w:w="700" w:type="dxa"/>
            <w:vAlign w:val="bottom"/>
            <w:shd w:val="clear" w:color="auto" w:fill="F1EFEC"/>
          </w:tcPr>
          <w:p>
            <w:pPr>
              <w:spacing w:after="0"/>
              <w:rPr>
                <w:sz w:val="5"/>
                <w:szCs w:val="5"/>
                <w:color w:val="auto"/>
              </w:rPr>
            </w:pPr>
          </w:p>
        </w:tc>
        <w:tc>
          <w:tcPr>
            <w:tcW w:w="800" w:type="dxa"/>
            <w:vAlign w:val="bottom"/>
            <w:shd w:val="clear" w:color="auto" w:fill="F1EFEC"/>
          </w:tcPr>
          <w:p>
            <w:pPr>
              <w:spacing w:after="0"/>
              <w:rPr>
                <w:sz w:val="5"/>
                <w:szCs w:val="5"/>
                <w:color w:val="auto"/>
              </w:rPr>
            </w:pPr>
          </w:p>
        </w:tc>
        <w:tc>
          <w:tcPr>
            <w:tcW w:w="680" w:type="dxa"/>
            <w:vAlign w:val="bottom"/>
            <w:shd w:val="clear" w:color="auto" w:fill="F1EFEC"/>
          </w:tcPr>
          <w:p>
            <w:pPr>
              <w:spacing w:after="0"/>
              <w:rPr>
                <w:sz w:val="5"/>
                <w:szCs w:val="5"/>
                <w:color w:val="auto"/>
              </w:rPr>
            </w:pPr>
          </w:p>
        </w:tc>
        <w:tc>
          <w:tcPr>
            <w:tcW w:w="820" w:type="dxa"/>
            <w:vAlign w:val="bottom"/>
            <w:shd w:val="clear" w:color="auto" w:fill="F1EFEC"/>
          </w:tcPr>
          <w:p>
            <w:pPr>
              <w:spacing w:after="0"/>
              <w:rPr>
                <w:sz w:val="5"/>
                <w:szCs w:val="5"/>
                <w:color w:val="auto"/>
              </w:rPr>
            </w:pPr>
          </w:p>
        </w:tc>
        <w:tc>
          <w:tcPr>
            <w:tcW w:w="680" w:type="dxa"/>
            <w:vAlign w:val="bottom"/>
            <w:shd w:val="clear" w:color="auto" w:fill="F1EFEC"/>
          </w:tcPr>
          <w:p>
            <w:pPr>
              <w:spacing w:after="0"/>
              <w:rPr>
                <w:sz w:val="5"/>
                <w:szCs w:val="5"/>
                <w:color w:val="auto"/>
              </w:rPr>
            </w:pPr>
          </w:p>
        </w:tc>
        <w:tc>
          <w:tcPr>
            <w:tcW w:w="800" w:type="dxa"/>
            <w:vAlign w:val="bottom"/>
            <w:shd w:val="clear" w:color="auto" w:fill="F1EFEC"/>
          </w:tcPr>
          <w:p>
            <w:pPr>
              <w:spacing w:after="0"/>
              <w:rPr>
                <w:sz w:val="5"/>
                <w:szCs w:val="5"/>
                <w:color w:val="auto"/>
              </w:rPr>
            </w:pPr>
          </w:p>
        </w:tc>
        <w:tc>
          <w:tcPr>
            <w:tcW w:w="1080" w:type="dxa"/>
            <w:vAlign w:val="bottom"/>
            <w:shd w:val="clear" w:color="auto" w:fill="F1EFEC"/>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180" w:type="dxa"/>
            <w:vAlign w:val="bottom"/>
          </w:tcPr>
          <w:p>
            <w:pPr>
              <w:ind w:left="40"/>
              <w:spacing w:after="0"/>
              <w:rPr>
                <w:sz w:val="20"/>
                <w:szCs w:val="20"/>
                <w:color w:val="auto"/>
              </w:rPr>
            </w:pPr>
            <w:r>
              <w:rPr>
                <w:rFonts w:ascii="Arial" w:cs="Arial" w:eastAsia="Arial" w:hAnsi="Arial"/>
                <w:sz w:val="13"/>
                <w:szCs w:val="13"/>
                <w:color w:val="auto"/>
              </w:rPr>
              <w:t>Julie M. Cameron-Doe</w:t>
            </w:r>
          </w:p>
        </w:tc>
        <w:tc>
          <w:tcPr>
            <w:tcW w:w="700" w:type="dxa"/>
            <w:vAlign w:val="bottom"/>
          </w:tcPr>
          <w:p>
            <w:pPr>
              <w:ind w:left="180"/>
              <w:spacing w:after="0"/>
              <w:rPr>
                <w:sz w:val="20"/>
                <w:szCs w:val="20"/>
                <w:color w:val="auto"/>
              </w:rPr>
            </w:pPr>
            <w:r>
              <w:rPr>
                <w:rFonts w:ascii="Arial" w:cs="Arial" w:eastAsia="Arial" w:hAnsi="Arial"/>
                <w:sz w:val="13"/>
                <w:szCs w:val="13"/>
                <w:color w:val="auto"/>
              </w:rPr>
              <w:t>  6,050</w:t>
            </w:r>
          </w:p>
        </w:tc>
        <w:tc>
          <w:tcPr>
            <w:tcW w:w="800" w:type="dxa"/>
            <w:vAlign w:val="bottom"/>
          </w:tcPr>
          <w:p>
            <w:pPr>
              <w:jc w:val="right"/>
              <w:ind w:right="196"/>
              <w:spacing w:after="0"/>
              <w:rPr>
                <w:sz w:val="20"/>
                <w:szCs w:val="20"/>
                <w:color w:val="auto"/>
              </w:rPr>
            </w:pPr>
            <w:r>
              <w:rPr>
                <w:rFonts w:ascii="Arial" w:cs="Arial" w:eastAsia="Arial" w:hAnsi="Arial"/>
                <w:sz w:val="13"/>
                <w:szCs w:val="13"/>
                <w:color w:val="auto"/>
              </w:rPr>
              <w:t>30%</w:t>
            </w:r>
          </w:p>
        </w:tc>
        <w:tc>
          <w:tcPr>
            <w:tcW w:w="680" w:type="dxa"/>
            <w:vAlign w:val="bottom"/>
          </w:tcPr>
          <w:p>
            <w:pPr>
              <w:jc w:val="center"/>
              <w:spacing w:after="0"/>
              <w:rPr>
                <w:sz w:val="20"/>
                <w:szCs w:val="20"/>
                <w:color w:val="auto"/>
              </w:rPr>
            </w:pPr>
            <w:r>
              <w:rPr>
                <w:rFonts w:ascii="Arial" w:cs="Arial" w:eastAsia="Arial" w:hAnsi="Arial"/>
                <w:sz w:val="13"/>
                <w:szCs w:val="13"/>
                <w:color w:val="auto"/>
                <w:w w:val="94"/>
              </w:rPr>
              <w:t>  5,041</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rPr>
              <w:t>25%</w:t>
            </w:r>
          </w:p>
        </w:tc>
        <w:tc>
          <w:tcPr>
            <w:tcW w:w="680" w:type="dxa"/>
            <w:vAlign w:val="bottom"/>
          </w:tcPr>
          <w:p>
            <w:pPr>
              <w:ind w:left="160"/>
              <w:spacing w:after="0"/>
              <w:rPr>
                <w:sz w:val="20"/>
                <w:szCs w:val="20"/>
                <w:color w:val="auto"/>
              </w:rPr>
            </w:pPr>
            <w:r>
              <w:rPr>
                <w:rFonts w:ascii="Arial" w:cs="Arial" w:eastAsia="Arial" w:hAnsi="Arial"/>
                <w:sz w:val="13"/>
                <w:szCs w:val="13"/>
                <w:color w:val="auto"/>
              </w:rPr>
              <w:t>  9,074</w:t>
            </w:r>
          </w:p>
        </w:tc>
        <w:tc>
          <w:tcPr>
            <w:tcW w:w="800" w:type="dxa"/>
            <w:vAlign w:val="bottom"/>
          </w:tcPr>
          <w:p>
            <w:pPr>
              <w:jc w:val="right"/>
              <w:ind w:right="196"/>
              <w:spacing w:after="0"/>
              <w:rPr>
                <w:sz w:val="20"/>
                <w:szCs w:val="20"/>
                <w:color w:val="auto"/>
              </w:rPr>
            </w:pPr>
            <w:r>
              <w:rPr>
                <w:rFonts w:ascii="Arial" w:cs="Arial" w:eastAsia="Arial" w:hAnsi="Arial"/>
                <w:sz w:val="13"/>
                <w:szCs w:val="13"/>
                <w:color w:val="auto"/>
              </w:rPr>
              <w:t>45%</w:t>
            </w:r>
          </w:p>
        </w:tc>
        <w:tc>
          <w:tcPr>
            <w:tcW w:w="1080" w:type="dxa"/>
            <w:vAlign w:val="bottom"/>
          </w:tcPr>
          <w:p>
            <w:pPr>
              <w:jc w:val="right"/>
              <w:ind w:right="156"/>
              <w:spacing w:after="0"/>
              <w:rPr>
                <w:sz w:val="20"/>
                <w:szCs w:val="20"/>
                <w:color w:val="auto"/>
              </w:rPr>
            </w:pPr>
            <w:r>
              <w:rPr>
                <w:rFonts w:ascii="Arial" w:cs="Arial" w:eastAsia="Arial" w:hAnsi="Arial"/>
                <w:sz w:val="13"/>
                <w:szCs w:val="13"/>
                <w:color w:val="auto"/>
              </w:rPr>
              <w:t>1,608,414</w:t>
            </w:r>
          </w:p>
        </w:tc>
        <w:tc>
          <w:tcPr>
            <w:tcW w:w="0" w:type="dxa"/>
            <w:vAlign w:val="bottom"/>
          </w:tcPr>
          <w:p>
            <w:pPr>
              <w:spacing w:after="0"/>
              <w:rPr>
                <w:sz w:val="1"/>
                <w:szCs w:val="1"/>
                <w:color w:val="auto"/>
              </w:rPr>
            </w:pPr>
          </w:p>
        </w:tc>
      </w:tr>
      <w:tr>
        <w:trPr>
          <w:trHeight w:val="67"/>
        </w:trPr>
        <w:tc>
          <w:tcPr>
            <w:tcW w:w="3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180" w:type="dxa"/>
            <w:vAlign w:val="bottom"/>
            <w:shd w:val="clear" w:color="auto" w:fill="F1EFEC"/>
          </w:tcPr>
          <w:p>
            <w:pPr>
              <w:ind w:left="40"/>
              <w:spacing w:after="0"/>
              <w:rPr>
                <w:sz w:val="20"/>
                <w:szCs w:val="20"/>
                <w:color w:val="auto"/>
              </w:rPr>
            </w:pPr>
            <w:r>
              <w:rPr>
                <w:rFonts w:ascii="Arial" w:cs="Arial" w:eastAsia="Arial" w:hAnsi="Arial"/>
                <w:sz w:val="13"/>
                <w:szCs w:val="13"/>
                <w:color w:val="auto"/>
              </w:rPr>
              <w:t>Jacqui Krum</w:t>
            </w:r>
          </w:p>
        </w:tc>
        <w:tc>
          <w:tcPr>
            <w:tcW w:w="700" w:type="dxa"/>
            <w:vAlign w:val="bottom"/>
            <w:shd w:val="clear" w:color="auto" w:fill="F1EFEC"/>
          </w:tcPr>
          <w:p>
            <w:pPr>
              <w:ind w:left="180"/>
              <w:spacing w:after="0"/>
              <w:rPr>
                <w:sz w:val="20"/>
                <w:szCs w:val="20"/>
                <w:color w:val="auto"/>
              </w:rPr>
            </w:pPr>
            <w:r>
              <w:rPr>
                <w:rFonts w:ascii="Arial" w:cs="Arial" w:eastAsia="Arial" w:hAnsi="Arial"/>
                <w:sz w:val="13"/>
                <w:szCs w:val="13"/>
                <w:color w:val="auto"/>
              </w:rPr>
              <w:t>  4,053</w:t>
            </w:r>
          </w:p>
        </w:tc>
        <w:tc>
          <w:tcPr>
            <w:tcW w:w="80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30%</w:t>
            </w:r>
          </w:p>
        </w:tc>
        <w:tc>
          <w:tcPr>
            <w:tcW w:w="68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3"/>
              </w:rPr>
              <w:t>  3,378</w:t>
            </w:r>
          </w:p>
        </w:tc>
        <w:tc>
          <w:tcPr>
            <w:tcW w:w="82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25%</w:t>
            </w:r>
          </w:p>
        </w:tc>
        <w:tc>
          <w:tcPr>
            <w:tcW w:w="680" w:type="dxa"/>
            <w:vAlign w:val="bottom"/>
            <w:shd w:val="clear" w:color="auto" w:fill="F1EFEC"/>
          </w:tcPr>
          <w:p>
            <w:pPr>
              <w:ind w:left="160"/>
              <w:spacing w:after="0"/>
              <w:rPr>
                <w:sz w:val="20"/>
                <w:szCs w:val="20"/>
                <w:color w:val="auto"/>
              </w:rPr>
            </w:pPr>
            <w:r>
              <w:rPr>
                <w:rFonts w:ascii="Arial" w:cs="Arial" w:eastAsia="Arial" w:hAnsi="Arial"/>
                <w:sz w:val="13"/>
                <w:szCs w:val="13"/>
                <w:color w:val="auto"/>
              </w:rPr>
              <w:t>  6,079</w:t>
            </w:r>
          </w:p>
        </w:tc>
        <w:tc>
          <w:tcPr>
            <w:tcW w:w="80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45%</w:t>
            </w:r>
          </w:p>
        </w:tc>
        <w:tc>
          <w:tcPr>
            <w:tcW w:w="1080" w:type="dxa"/>
            <w:vAlign w:val="bottom"/>
            <w:shd w:val="clear" w:color="auto" w:fill="F1EFEC"/>
          </w:tcPr>
          <w:p>
            <w:pPr>
              <w:jc w:val="right"/>
              <w:ind w:right="156"/>
              <w:spacing w:after="0"/>
              <w:rPr>
                <w:sz w:val="20"/>
                <w:szCs w:val="20"/>
                <w:color w:val="auto"/>
              </w:rPr>
            </w:pPr>
            <w:r>
              <w:rPr>
                <w:rFonts w:ascii="Arial" w:cs="Arial" w:eastAsia="Arial" w:hAnsi="Arial"/>
                <w:sz w:val="13"/>
                <w:szCs w:val="13"/>
                <w:color w:val="auto"/>
              </w:rPr>
              <w:t>1,077,586</w:t>
            </w:r>
          </w:p>
        </w:tc>
        <w:tc>
          <w:tcPr>
            <w:tcW w:w="0" w:type="dxa"/>
            <w:vAlign w:val="bottom"/>
          </w:tcPr>
          <w:p>
            <w:pPr>
              <w:spacing w:after="0"/>
              <w:rPr>
                <w:sz w:val="1"/>
                <w:szCs w:val="1"/>
                <w:color w:val="auto"/>
              </w:rPr>
            </w:pPr>
          </w:p>
        </w:tc>
      </w:tr>
      <w:tr>
        <w:trPr>
          <w:trHeight w:val="67"/>
        </w:trPr>
        <w:tc>
          <w:tcPr>
            <w:tcW w:w="3180" w:type="dxa"/>
            <w:vAlign w:val="bottom"/>
            <w:shd w:val="clear" w:color="auto" w:fill="F1EFEC"/>
          </w:tcPr>
          <w:p>
            <w:pPr>
              <w:spacing w:after="0"/>
              <w:rPr>
                <w:sz w:val="5"/>
                <w:szCs w:val="5"/>
                <w:color w:val="auto"/>
              </w:rPr>
            </w:pPr>
          </w:p>
        </w:tc>
        <w:tc>
          <w:tcPr>
            <w:tcW w:w="700" w:type="dxa"/>
            <w:vAlign w:val="bottom"/>
            <w:shd w:val="clear" w:color="auto" w:fill="F1EFEC"/>
          </w:tcPr>
          <w:p>
            <w:pPr>
              <w:spacing w:after="0"/>
              <w:rPr>
                <w:sz w:val="5"/>
                <w:szCs w:val="5"/>
                <w:color w:val="auto"/>
              </w:rPr>
            </w:pPr>
          </w:p>
        </w:tc>
        <w:tc>
          <w:tcPr>
            <w:tcW w:w="800" w:type="dxa"/>
            <w:vAlign w:val="bottom"/>
            <w:shd w:val="clear" w:color="auto" w:fill="F1EFEC"/>
          </w:tcPr>
          <w:p>
            <w:pPr>
              <w:spacing w:after="0"/>
              <w:rPr>
                <w:sz w:val="5"/>
                <w:szCs w:val="5"/>
                <w:color w:val="auto"/>
              </w:rPr>
            </w:pPr>
          </w:p>
        </w:tc>
        <w:tc>
          <w:tcPr>
            <w:tcW w:w="680" w:type="dxa"/>
            <w:vAlign w:val="bottom"/>
            <w:shd w:val="clear" w:color="auto" w:fill="F1EFEC"/>
          </w:tcPr>
          <w:p>
            <w:pPr>
              <w:spacing w:after="0"/>
              <w:rPr>
                <w:sz w:val="5"/>
                <w:szCs w:val="5"/>
                <w:color w:val="auto"/>
              </w:rPr>
            </w:pPr>
          </w:p>
        </w:tc>
        <w:tc>
          <w:tcPr>
            <w:tcW w:w="820" w:type="dxa"/>
            <w:vAlign w:val="bottom"/>
            <w:shd w:val="clear" w:color="auto" w:fill="F1EFEC"/>
          </w:tcPr>
          <w:p>
            <w:pPr>
              <w:spacing w:after="0"/>
              <w:rPr>
                <w:sz w:val="5"/>
                <w:szCs w:val="5"/>
                <w:color w:val="auto"/>
              </w:rPr>
            </w:pPr>
          </w:p>
        </w:tc>
        <w:tc>
          <w:tcPr>
            <w:tcW w:w="680" w:type="dxa"/>
            <w:vAlign w:val="bottom"/>
            <w:shd w:val="clear" w:color="auto" w:fill="F1EFEC"/>
          </w:tcPr>
          <w:p>
            <w:pPr>
              <w:spacing w:after="0"/>
              <w:rPr>
                <w:sz w:val="5"/>
                <w:szCs w:val="5"/>
                <w:color w:val="auto"/>
              </w:rPr>
            </w:pPr>
          </w:p>
        </w:tc>
        <w:tc>
          <w:tcPr>
            <w:tcW w:w="800" w:type="dxa"/>
            <w:vAlign w:val="bottom"/>
            <w:shd w:val="clear" w:color="auto" w:fill="F1EFEC"/>
          </w:tcPr>
          <w:p>
            <w:pPr>
              <w:spacing w:after="0"/>
              <w:rPr>
                <w:sz w:val="5"/>
                <w:szCs w:val="5"/>
                <w:color w:val="auto"/>
              </w:rPr>
            </w:pPr>
          </w:p>
        </w:tc>
        <w:tc>
          <w:tcPr>
            <w:tcW w:w="1080" w:type="dxa"/>
            <w:vAlign w:val="bottom"/>
            <w:shd w:val="clear" w:color="auto" w:fill="F1EFEC"/>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5154295</wp:posOffset>
            </wp:positionH>
            <wp:positionV relativeFrom="paragraph">
              <wp:posOffset>-898525</wp:posOffset>
            </wp:positionV>
            <wp:extent cx="6985" cy="899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85" cy="89916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-898525</wp:posOffset>
            </wp:positionV>
            <wp:extent cx="6985" cy="899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85" cy="89916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-898525</wp:posOffset>
            </wp:positionV>
            <wp:extent cx="6985" cy="899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85" cy="89916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-1259840</wp:posOffset>
            </wp:positionV>
            <wp:extent cx="6985" cy="12604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85" cy="1260475"/>
                    </a:xfrm>
                    <a:prstGeom prst="rect">
                      <a:avLst/>
                    </a:prstGeom>
                    <a:noFill/>
                  </pic:spPr>
                </pic:pic>
              </a:graphicData>
            </a:graphic>
          </wp:anchor>
        </w:drawing>
      </w:r>
    </w:p>
    <w:p>
      <w:pPr>
        <w:spacing w:after="0" w:line="51" w:lineRule="exact"/>
        <w:rPr>
          <w:sz w:val="20"/>
          <w:szCs w:val="20"/>
          <w:color w:val="auto"/>
        </w:rPr>
      </w:pPr>
    </w:p>
    <w:p>
      <w:pPr>
        <w:ind w:left="1260" w:right="299" w:firstLine="7"/>
        <w:spacing w:after="0" w:line="260" w:lineRule="auto"/>
        <w:tabs>
          <w:tab w:leader="none" w:pos="1410" w:val="left"/>
        </w:tabs>
        <w:numPr>
          <w:ilvl w:val="0"/>
          <w:numId w:val="29"/>
        </w:numPr>
        <w:rPr>
          <w:rFonts w:ascii="Arial" w:cs="Arial" w:eastAsia="Arial" w:hAnsi="Arial"/>
          <w:sz w:val="10"/>
          <w:szCs w:val="10"/>
          <w:color w:val="auto"/>
        </w:rPr>
      </w:pPr>
      <w:r>
        <w:rPr>
          <w:rFonts w:ascii="Arial" w:cs="Arial" w:eastAsia="Arial" w:hAnsi="Arial"/>
          <w:sz w:val="10"/>
          <w:szCs w:val="10"/>
          <w:color w:val="auto"/>
        </w:rPr>
        <w:t>Except as otherwise described in the section titled “Potential payments upon termination, retirement or change in control,” such restricted stock awards vest ratably over three years on each of the dates of February 28 in the three successive years, based on achievement of pre-established financial performance goals, subject to continued employment through such vesting date.</w:t>
      </w:r>
    </w:p>
    <w:p>
      <w:pPr>
        <w:spacing w:after="0" w:line="51" w:lineRule="exact"/>
        <w:rPr>
          <w:rFonts w:ascii="Arial" w:cs="Arial" w:eastAsia="Arial" w:hAnsi="Arial"/>
          <w:sz w:val="10"/>
          <w:szCs w:val="10"/>
          <w:color w:val="auto"/>
        </w:rPr>
      </w:pPr>
    </w:p>
    <w:p>
      <w:pPr>
        <w:ind w:left="1260" w:right="139" w:firstLine="7"/>
        <w:spacing w:after="0" w:line="231" w:lineRule="auto"/>
        <w:tabs>
          <w:tab w:leader="none" w:pos="1410" w:val="left"/>
        </w:tabs>
        <w:numPr>
          <w:ilvl w:val="0"/>
          <w:numId w:val="29"/>
        </w:numPr>
        <w:rPr>
          <w:rFonts w:ascii="Arial" w:cs="Arial" w:eastAsia="Arial" w:hAnsi="Arial"/>
          <w:sz w:val="10"/>
          <w:szCs w:val="10"/>
          <w:color w:val="auto"/>
        </w:rPr>
      </w:pPr>
      <w:r>
        <w:rPr>
          <w:rFonts w:ascii="Arial" w:cs="Arial" w:eastAsia="Arial" w:hAnsi="Arial"/>
          <w:sz w:val="10"/>
          <w:szCs w:val="10"/>
          <w:color w:val="auto"/>
        </w:rPr>
        <w:t>Represents the grant of PSUs pursuant to the Omnibus Plan. Each PSU represents the right to receive between 0 and 1.6 shares of the Company’s common stock depending on the performance of the common stock from January 1, 2025 to January 1, 2028 (the “ PSU Vesting Date”), with such performance determined as the multiple of the volume-weighted average closing price (“VWAP”) of the Company’s common stock over the 60-trading day period ending on the PSU Vesting Date, as adjusted to include dividends paid during the term of the PSU, to the VWAP of the Company’s common stock over the 60-trading day period ending on January 1, 2025 (“TSR”), which was $93.61. Threshold performance is achieved if TSR is greater than or equal to -25% but less than 0% and results in a 60% payout. Below Target performance is achieved if TSR is greater than or equal to 0% but less than 25% and results in an 80% payout. Target performance is achieved if TSR is greater than or equal to 25% but less than 50% and results in a 100% payout. Below Maximum performance is achieved if TSR is greater than or equal to 50% but less than 100% and results in a 120% payout. Maximum performance is achieved if TSR is greater than or equal to 100% and results in a 160% payout.</w:t>
      </w:r>
    </w:p>
    <w:p>
      <w:pPr>
        <w:spacing w:after="0" w:line="62" w:lineRule="exact"/>
        <w:rPr>
          <w:rFonts w:ascii="Arial" w:cs="Arial" w:eastAsia="Arial" w:hAnsi="Arial"/>
          <w:sz w:val="10"/>
          <w:szCs w:val="10"/>
          <w:color w:val="auto"/>
        </w:rPr>
      </w:pPr>
    </w:p>
    <w:p>
      <w:pPr>
        <w:ind w:left="1260" w:right="259" w:firstLine="7"/>
        <w:spacing w:after="0" w:line="260" w:lineRule="auto"/>
        <w:tabs>
          <w:tab w:leader="none" w:pos="1410" w:val="left"/>
        </w:tabs>
        <w:numPr>
          <w:ilvl w:val="0"/>
          <w:numId w:val="29"/>
        </w:numPr>
        <w:rPr>
          <w:rFonts w:ascii="Arial" w:cs="Arial" w:eastAsia="Arial" w:hAnsi="Arial"/>
          <w:sz w:val="10"/>
          <w:szCs w:val="10"/>
          <w:color w:val="auto"/>
        </w:rPr>
      </w:pPr>
      <w:r>
        <w:rPr>
          <w:rFonts w:ascii="Arial" w:cs="Arial" w:eastAsia="Arial" w:hAnsi="Arial"/>
          <w:sz w:val="10"/>
          <w:szCs w:val="10"/>
          <w:color w:val="auto"/>
        </w:rPr>
        <w:t>Except as otherwise described in the section titled “Potential payments upon termination, retirement or change in control,” such time-based restricted stock awards vest ratably over three years on each anniversary of the grant date, subject to continued employment through each such vesting date.</w:t>
      </w:r>
    </w:p>
    <w:p>
      <w:pPr>
        <w:spacing w:after="0" w:line="51" w:lineRule="exact"/>
        <w:rPr>
          <w:rFonts w:ascii="Arial" w:cs="Arial" w:eastAsia="Arial" w:hAnsi="Arial"/>
          <w:sz w:val="10"/>
          <w:szCs w:val="10"/>
          <w:color w:val="auto"/>
        </w:rPr>
      </w:pPr>
    </w:p>
    <w:p>
      <w:pPr>
        <w:ind w:left="1420" w:hanging="153"/>
        <w:spacing w:after="0"/>
        <w:tabs>
          <w:tab w:leader="none" w:pos="1420" w:val="left"/>
        </w:tabs>
        <w:numPr>
          <w:ilvl w:val="0"/>
          <w:numId w:val="29"/>
        </w:numPr>
        <w:rPr>
          <w:rFonts w:ascii="Arial" w:cs="Arial" w:eastAsia="Arial" w:hAnsi="Arial"/>
          <w:sz w:val="10"/>
          <w:szCs w:val="10"/>
          <w:color w:val="auto"/>
        </w:rPr>
      </w:pPr>
      <w:r>
        <w:rPr>
          <w:rFonts w:ascii="Arial" w:cs="Arial" w:eastAsia="Arial" w:hAnsi="Arial"/>
          <w:sz w:val="10"/>
          <w:szCs w:val="10"/>
          <w:color w:val="auto"/>
        </w:rPr>
        <w:t>Percentages in these columns are based on the number of target shares issued as determined on the date of grant.</w:t>
      </w:r>
    </w:p>
    <w:p>
      <w:pPr>
        <w:spacing w:after="0" w:line="78" w:lineRule="exact"/>
        <w:rPr>
          <w:rFonts w:ascii="Arial" w:cs="Arial" w:eastAsia="Arial" w:hAnsi="Arial"/>
          <w:sz w:val="10"/>
          <w:szCs w:val="10"/>
          <w:color w:val="auto"/>
        </w:rPr>
      </w:pPr>
    </w:p>
    <w:p>
      <w:pPr>
        <w:ind w:left="1260" w:right="239" w:firstLine="7"/>
        <w:spacing w:after="0" w:line="260" w:lineRule="auto"/>
        <w:tabs>
          <w:tab w:leader="none" w:pos="1410" w:val="left"/>
        </w:tabs>
        <w:numPr>
          <w:ilvl w:val="0"/>
          <w:numId w:val="29"/>
        </w:numPr>
        <w:rPr>
          <w:rFonts w:ascii="Arial" w:cs="Arial" w:eastAsia="Arial" w:hAnsi="Arial"/>
          <w:sz w:val="10"/>
          <w:szCs w:val="10"/>
          <w:color w:val="auto"/>
        </w:rPr>
      </w:pPr>
      <w:r>
        <w:rPr>
          <w:rFonts w:ascii="Arial" w:cs="Arial" w:eastAsia="Arial" w:hAnsi="Arial"/>
          <w:sz w:val="10"/>
          <w:szCs w:val="10"/>
          <w:color w:val="auto"/>
        </w:rPr>
        <w:t>The amounts set forth in this column reflect the aggregate grant date fair value of stock awards, as computed in accordance with FASB ASC Topic 718. Performance awards are included in this table based on target performance.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2025 FAIR SHARE PERFORMANCE AWARDS</w:t>
      </w:r>
    </w:p>
    <w:p>
      <w:pPr>
        <w:spacing w:after="0" w:line="273" w:lineRule="exact"/>
        <w:rPr>
          <w:sz w:val="20"/>
          <w:szCs w:val="20"/>
          <w:color w:val="auto"/>
        </w:rPr>
      </w:pPr>
    </w:p>
    <w:p>
      <w:pPr>
        <w:ind w:left="1260" w:right="139"/>
        <w:spacing w:after="0" w:line="251" w:lineRule="auto"/>
        <w:rPr>
          <w:sz w:val="20"/>
          <w:szCs w:val="20"/>
          <w:color w:val="auto"/>
        </w:rPr>
      </w:pPr>
      <w:r>
        <w:rPr>
          <w:rFonts w:ascii="Arial" w:cs="Arial" w:eastAsia="Arial" w:hAnsi="Arial"/>
          <w:sz w:val="13"/>
          <w:szCs w:val="13"/>
          <w:color w:val="auto"/>
        </w:rPr>
        <w:t>The Compensation Committee approved the use of “fair share” metrics for performance conditions over one, two-, and three-year performance periods for our Las Vegas Operations. Since our Macau Operations weigh heavily on the performance of our stock price and therefore, are already reflected in our total shareholder return, the Compensation Committee decided to exclude Macau-specific fair-share performance measures from the LTI awards as this is reflected in the absolute TSR performance.</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0159"/>
          </w:cols>
          <w:pgMar w:left="300" w:top="413"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fair share metrics were generally calculated as follows:</w:t>
      </w:r>
    </w:p>
    <w:p>
      <w:pPr>
        <w:spacing w:after="0" w:line="194" w:lineRule="exact"/>
        <w:rPr>
          <w:sz w:val="20"/>
          <w:szCs w:val="20"/>
          <w:color w:val="auto"/>
        </w:rPr>
      </w:pPr>
    </w:p>
    <w:p>
      <w:pPr>
        <w:ind w:left="2120" w:right="159" w:hanging="338"/>
        <w:spacing w:after="0" w:line="271" w:lineRule="auto"/>
        <w:tabs>
          <w:tab w:leader="none" w:pos="21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Las Vegas, the Company’s share of total revenue relative to selected peers divided by the Company’s share of hotel rooms among such peers; and</w:t>
      </w:r>
    </w:p>
    <w:p>
      <w:pPr>
        <w:spacing w:after="0" w:line="155" w:lineRule="exact"/>
        <w:rPr>
          <w:rFonts w:ascii="Arial" w:cs="Arial" w:eastAsia="Arial" w:hAnsi="Arial"/>
          <w:sz w:val="13"/>
          <w:szCs w:val="13"/>
          <w:color w:val="auto"/>
        </w:rPr>
      </w:pPr>
    </w:p>
    <w:p>
      <w:pPr>
        <w:ind w:left="2120" w:right="139" w:hanging="338"/>
        <w:spacing w:after="0" w:line="271" w:lineRule="auto"/>
        <w:tabs>
          <w:tab w:leader="none" w:pos="21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Las Vegas, the Company’s share of total Adjusted Property EBITDAR relative to selected peers divided by the Company’s share of hotel rooms among such peers.</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2025 ABSOLUTE TOTAL SHAREHOLDER RETURN PERFORMANCE (“TSR”) AWARDS</w:t>
      </w:r>
    </w:p>
    <w:p>
      <w:pPr>
        <w:spacing w:after="0" w:line="284" w:lineRule="exact"/>
        <w:rPr>
          <w:sz w:val="20"/>
          <w:szCs w:val="20"/>
          <w:color w:val="auto"/>
        </w:rPr>
      </w:pPr>
    </w:p>
    <w:p>
      <w:pPr>
        <w:ind w:left="1260" w:right="219"/>
        <w:spacing w:after="0" w:line="247" w:lineRule="auto"/>
        <w:rPr>
          <w:sz w:val="20"/>
          <w:szCs w:val="20"/>
          <w:color w:val="auto"/>
        </w:rPr>
      </w:pPr>
      <w:r>
        <w:rPr>
          <w:rFonts w:ascii="Arial" w:cs="Arial" w:eastAsia="Arial" w:hAnsi="Arial"/>
          <w:sz w:val="13"/>
          <w:szCs w:val="13"/>
          <w:color w:val="auto"/>
        </w:rPr>
        <w:t>For 2025, the Compensation Committee awarded 25% of the 2025 annual restricted stock grant to our NEOs based on achievement of an absolute TSR hurdle rate over a three-year performance period. In designing the payout curve for the 2025 absolute TSR performance awards, the Compensation Committee sought to appropriately balance the need to reward executives for incremental shareholder value, maintain executive focus on strategic goals and performance, and incorporate a reasonable upper limit for maximum performance. To that end, awards were designed to vest at target for a three-year absolute TSR increase of 25%. The maximum vesting of the awards was limited to 160% of target for an absolute TSR increase of 100%, while the award would vest at only 60% for threshold performance of -25%, below which the entire award would be forfeited.</w:t>
      </w:r>
    </w:p>
    <w:p>
      <w:pPr>
        <w:spacing w:after="0" w:line="150" w:lineRule="exact"/>
        <w:rPr>
          <w:sz w:val="20"/>
          <w:szCs w:val="20"/>
          <w:color w:val="auto"/>
        </w:rPr>
      </w:pPr>
    </w:p>
    <w:p>
      <w:pPr>
        <w:jc w:val="both"/>
        <w:ind w:left="1260" w:right="199"/>
        <w:spacing w:after="0" w:line="256" w:lineRule="auto"/>
        <w:rPr>
          <w:sz w:val="20"/>
          <w:szCs w:val="20"/>
          <w:color w:val="auto"/>
        </w:rPr>
      </w:pPr>
      <w:r>
        <w:rPr>
          <w:rFonts w:ascii="Arial" w:cs="Arial" w:eastAsia="Arial" w:hAnsi="Arial"/>
          <w:sz w:val="13"/>
          <w:szCs w:val="13"/>
          <w:color w:val="auto"/>
        </w:rPr>
        <w:t>In addition, to ensure against windfall gains purely as a result of stock market and Company stock price volatility, the TSR hurdle rate and the actual TSR at the end of the performance period will be computed using the Company’s volume weighted average stock price over the 60 trading days preceding the beginning of the performance period, January 1, 2025, and end of the performance period, January 1, 2028, respectively.</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2026 LONG-TERM INCENTIVE GRANTS</w:t>
      </w:r>
    </w:p>
    <w:p>
      <w:pPr>
        <w:spacing w:after="0" w:line="273" w:lineRule="exact"/>
        <w:rPr>
          <w:sz w:val="20"/>
          <w:szCs w:val="20"/>
          <w:color w:val="auto"/>
        </w:rPr>
      </w:pPr>
    </w:p>
    <w:p>
      <w:pPr>
        <w:ind w:left="1260" w:right="259"/>
        <w:spacing w:after="0" w:line="248" w:lineRule="auto"/>
        <w:rPr>
          <w:sz w:val="20"/>
          <w:szCs w:val="20"/>
          <w:color w:val="auto"/>
        </w:rPr>
      </w:pPr>
      <w:r>
        <w:rPr>
          <w:rFonts w:ascii="Arial" w:cs="Arial" w:eastAsia="Arial" w:hAnsi="Arial"/>
          <w:sz w:val="13"/>
          <w:szCs w:val="13"/>
          <w:color w:val="auto"/>
        </w:rPr>
        <w:t>In accordance with each NEO’s applicable employment contract and in line with its regular equity grant practice, on January 7, 2026, the Compensation Committee granted the NEOs’ 2026 long-term incentive awards. Mr. Billings, Ms. Cameron-Doe, and Ms. Krum received grants totaling $8.20 million, $1.66 million, and $1.11 million, respectively, with 45% of the award vesting ratably over three years, 35% of the award vesting ratably over three years subject to fair share performance conditions being achieved, and 20% vesting three-years from the grant date if an certain absolute TSR performance is achieved.</w:t>
      </w:r>
    </w:p>
    <w:p>
      <w:pPr>
        <w:spacing w:after="0" w:line="97"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0159"/>
          </w:cols>
          <w:pgMar w:left="300" w:top="412"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FAIR SHARE PERFORMANCE AWARD VESTING OUTCOMES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2022 – 2024 GRANT DATE FAIR SHARE PERFORMANCE AWARD VESTING OUTCOMES (VESTED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5855970</wp:posOffset>
            </wp:positionH>
            <wp:positionV relativeFrom="paragraph">
              <wp:posOffset>125730</wp:posOffset>
            </wp:positionV>
            <wp:extent cx="6985" cy="21189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125730</wp:posOffset>
            </wp:positionV>
            <wp:extent cx="6985" cy="21189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125730</wp:posOffset>
            </wp:positionV>
            <wp:extent cx="6985" cy="21189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125730</wp:posOffset>
            </wp:positionV>
            <wp:extent cx="6985" cy="21189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125730</wp:posOffset>
            </wp:positionV>
            <wp:extent cx="6985" cy="21189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125730</wp:posOffset>
            </wp:positionV>
            <wp:extent cx="6985" cy="21189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125730</wp:posOffset>
            </wp:positionV>
            <wp:extent cx="6985" cy="21189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85" cy="2118995"/>
                    </a:xfrm>
                    <a:prstGeom prst="rect">
                      <a:avLst/>
                    </a:prstGeom>
                    <a:noFill/>
                  </pic:spPr>
                </pic:pic>
              </a:graphicData>
            </a:graphic>
          </wp:anchor>
        </w:drawing>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500" w:type="dxa"/>
            <w:vAlign w:val="bottom"/>
            <w:shd w:val="clear" w:color="auto" w:fill="B9AFA0"/>
          </w:tcPr>
          <w:p>
            <w:pPr>
              <w:ind w:left="40"/>
              <w:spacing w:after="0"/>
              <w:rPr>
                <w:sz w:val="20"/>
                <w:szCs w:val="20"/>
                <w:color w:val="auto"/>
              </w:rPr>
            </w:pPr>
            <w:r>
              <w:rPr>
                <w:rFonts w:ascii="Arial" w:cs="Arial" w:eastAsia="Arial" w:hAnsi="Arial"/>
                <w:sz w:val="11"/>
                <w:szCs w:val="11"/>
                <w:color w:val="FFFFFF"/>
              </w:rPr>
              <w:t>GRANT</w:t>
            </w:r>
          </w:p>
        </w:tc>
        <w:tc>
          <w:tcPr>
            <w:tcW w:w="560" w:type="dxa"/>
            <w:vAlign w:val="bottom"/>
            <w:shd w:val="clear" w:color="auto" w:fill="B9AFA0"/>
          </w:tcPr>
          <w:p>
            <w:pPr>
              <w:ind w:left="60"/>
              <w:spacing w:after="0"/>
              <w:rPr>
                <w:sz w:val="20"/>
                <w:szCs w:val="20"/>
                <w:color w:val="auto"/>
              </w:rPr>
            </w:pPr>
            <w:r>
              <w:rPr>
                <w:rFonts w:ascii="Arial" w:cs="Arial" w:eastAsia="Arial" w:hAnsi="Arial"/>
                <w:sz w:val="11"/>
                <w:szCs w:val="11"/>
                <w:color w:val="FFFFFF"/>
              </w:rPr>
              <w:t>  VEST</w:t>
            </w:r>
          </w:p>
        </w:tc>
        <w:tc>
          <w:tcPr>
            <w:tcW w:w="1040" w:type="dxa"/>
            <w:vAlign w:val="bottom"/>
            <w:shd w:val="clear" w:color="auto" w:fill="B9AFA0"/>
          </w:tcPr>
          <w:p>
            <w:pPr>
              <w:ind w:left="80"/>
              <w:spacing w:after="0"/>
              <w:rPr>
                <w:sz w:val="20"/>
                <w:szCs w:val="20"/>
                <w:color w:val="auto"/>
              </w:rPr>
            </w:pPr>
            <w:r>
              <w:rPr>
                <w:rFonts w:ascii="Arial" w:cs="Arial" w:eastAsia="Arial" w:hAnsi="Arial"/>
                <w:sz w:val="11"/>
                <w:szCs w:val="11"/>
                <w:color w:val="FFFFFF"/>
              </w:rPr>
              <w:t>PERFORMANCE</w:t>
            </w:r>
          </w:p>
        </w:tc>
        <w:tc>
          <w:tcPr>
            <w:tcW w:w="3300" w:type="dxa"/>
            <w:vAlign w:val="bottom"/>
            <w:shd w:val="clear" w:color="auto" w:fill="B9AFA0"/>
          </w:tcPr>
          <w:p>
            <w:pPr>
              <w:spacing w:after="0"/>
              <w:rPr>
                <w:sz w:val="15"/>
                <w:szCs w:val="15"/>
                <w:color w:val="auto"/>
              </w:rPr>
            </w:pPr>
          </w:p>
        </w:tc>
        <w:tc>
          <w:tcPr>
            <w:tcW w:w="860" w:type="dxa"/>
            <w:vAlign w:val="bottom"/>
            <w:shd w:val="clear" w:color="auto" w:fill="B9AFA0"/>
          </w:tcPr>
          <w:p>
            <w:pPr>
              <w:spacing w:after="0"/>
              <w:rPr>
                <w:sz w:val="15"/>
                <w:szCs w:val="15"/>
                <w:color w:val="auto"/>
              </w:rPr>
            </w:pPr>
          </w:p>
        </w:tc>
        <w:tc>
          <w:tcPr>
            <w:tcW w:w="980" w:type="dxa"/>
            <w:vAlign w:val="bottom"/>
            <w:shd w:val="clear" w:color="auto" w:fill="B9AFA0"/>
          </w:tcPr>
          <w:p>
            <w:pPr>
              <w:spacing w:after="0"/>
              <w:rPr>
                <w:sz w:val="15"/>
                <w:szCs w:val="15"/>
                <w:color w:val="auto"/>
              </w:rPr>
            </w:pPr>
          </w:p>
        </w:tc>
        <w:tc>
          <w:tcPr>
            <w:tcW w:w="720" w:type="dxa"/>
            <w:vAlign w:val="bottom"/>
            <w:shd w:val="clear" w:color="auto" w:fill="B9AFA0"/>
          </w:tcPr>
          <w:p>
            <w:pPr>
              <w:spacing w:after="0"/>
              <w:rPr>
                <w:sz w:val="15"/>
                <w:szCs w:val="15"/>
                <w:color w:val="auto"/>
              </w:rPr>
            </w:pPr>
          </w:p>
        </w:tc>
        <w:tc>
          <w:tcPr>
            <w:tcW w:w="780" w:type="dxa"/>
            <w:vAlign w:val="bottom"/>
            <w:shd w:val="clear" w:color="auto" w:fill="B9AFA0"/>
          </w:tcPr>
          <w:p>
            <w:pPr>
              <w:jc w:val="right"/>
              <w:ind w:right="123"/>
              <w:spacing w:after="0"/>
              <w:rPr>
                <w:sz w:val="20"/>
                <w:szCs w:val="20"/>
                <w:color w:val="auto"/>
              </w:rPr>
            </w:pPr>
            <w:r>
              <w:rPr>
                <w:rFonts w:ascii="Arial" w:cs="Arial" w:eastAsia="Arial" w:hAnsi="Arial"/>
                <w:sz w:val="11"/>
                <w:szCs w:val="11"/>
                <w:color w:val="FFFFFF"/>
              </w:rPr>
              <w:t>GRANT</w:t>
            </w:r>
          </w:p>
        </w:tc>
      </w:tr>
      <w:tr>
        <w:trPr>
          <w:trHeight w:val="179"/>
        </w:trPr>
        <w:tc>
          <w:tcPr>
            <w:tcW w:w="50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1"/>
                <w:szCs w:val="11"/>
                <w:color w:val="FFFFFF"/>
              </w:rPr>
              <w:t>DATE </w:t>
            </w:r>
          </w:p>
        </w:tc>
        <w:tc>
          <w:tcPr>
            <w:tcW w:w="56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1"/>
                <w:szCs w:val="11"/>
                <w:color w:val="FFFFFF"/>
              </w:rPr>
              <w:t>  DATE </w:t>
            </w:r>
          </w:p>
        </w:tc>
        <w:tc>
          <w:tcPr>
            <w:tcW w:w="10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PERIOD </w:t>
            </w:r>
          </w:p>
        </w:tc>
        <w:tc>
          <w:tcPr>
            <w:tcW w:w="3300" w:type="dxa"/>
            <w:vAlign w:val="bottom"/>
            <w:tcBorders>
              <w:bottom w:val="single" w:sz="8" w:color="B9AFA0"/>
            </w:tcBorders>
            <w:shd w:val="clear" w:color="auto" w:fill="B9AFA0"/>
          </w:tcPr>
          <w:p>
            <w:pPr>
              <w:ind w:left="1440"/>
              <w:spacing w:after="0"/>
              <w:rPr>
                <w:sz w:val="20"/>
                <w:szCs w:val="20"/>
                <w:color w:val="auto"/>
              </w:rPr>
            </w:pPr>
            <w:r>
              <w:rPr>
                <w:rFonts w:ascii="Arial" w:cs="Arial" w:eastAsia="Arial" w:hAnsi="Arial"/>
                <w:sz w:val="11"/>
                <w:szCs w:val="11"/>
                <w:color w:val="FFFFFF"/>
              </w:rPr>
              <w:t>GOAL (1)</w:t>
            </w:r>
          </w:p>
        </w:tc>
        <w:tc>
          <w:tcPr>
            <w:tcW w:w="86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1"/>
                <w:szCs w:val="11"/>
                <w:color w:val="FFFFFF"/>
              </w:rPr>
              <w:t>THRESHOLD </w:t>
            </w:r>
          </w:p>
        </w:tc>
        <w:tc>
          <w:tcPr>
            <w:tcW w:w="9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ACHIEVEMENT </w:t>
            </w:r>
          </w:p>
        </w:tc>
        <w:tc>
          <w:tcPr>
            <w:tcW w:w="7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OUTCOME </w:t>
            </w:r>
          </w:p>
        </w:tc>
        <w:tc>
          <w:tcPr>
            <w:tcW w:w="780" w:type="dxa"/>
            <w:vAlign w:val="bottom"/>
            <w:tcBorders>
              <w:bottom w:val="single" w:sz="8" w:color="B9AFA0"/>
            </w:tcBorders>
            <w:shd w:val="clear" w:color="auto" w:fill="B9AFA0"/>
          </w:tcPr>
          <w:p>
            <w:pPr>
              <w:jc w:val="right"/>
              <w:ind w:right="3"/>
              <w:spacing w:after="0"/>
              <w:rPr>
                <w:sz w:val="20"/>
                <w:szCs w:val="20"/>
                <w:color w:val="auto"/>
              </w:rPr>
            </w:pPr>
            <w:r>
              <w:rPr>
                <w:rFonts w:ascii="Arial" w:cs="Arial" w:eastAsia="Arial" w:hAnsi="Arial"/>
                <w:sz w:val="11"/>
                <w:szCs w:val="11"/>
                <w:color w:val="FFFFFF"/>
              </w:rPr>
              <w:t>WEIGHTING</w:t>
            </w:r>
          </w:p>
        </w:tc>
      </w:tr>
      <w:tr>
        <w:trPr>
          <w:trHeight w:val="229"/>
        </w:trPr>
        <w:tc>
          <w:tcPr>
            <w:tcW w:w="500" w:type="dxa"/>
            <w:vAlign w:val="bottom"/>
            <w:shd w:val="clear" w:color="auto" w:fill="F1EFEC"/>
          </w:tcPr>
          <w:p>
            <w:pPr>
              <w:ind w:left="40"/>
              <w:spacing w:after="0"/>
              <w:rPr>
                <w:sz w:val="20"/>
                <w:szCs w:val="20"/>
                <w:color w:val="auto"/>
              </w:rPr>
            </w:pPr>
            <w:r>
              <w:rPr>
                <w:rFonts w:ascii="Arial" w:cs="Arial" w:eastAsia="Arial" w:hAnsi="Arial"/>
                <w:sz w:val="11"/>
                <w:szCs w:val="11"/>
                <w:color w:val="auto"/>
              </w:rPr>
              <w:t>1/12/22</w:t>
            </w:r>
          </w:p>
        </w:tc>
        <w:tc>
          <w:tcPr>
            <w:tcW w:w="560" w:type="dxa"/>
            <w:vAlign w:val="bottom"/>
            <w:shd w:val="clear" w:color="auto" w:fill="F1EFEC"/>
          </w:tcPr>
          <w:p>
            <w:pPr>
              <w:jc w:val="right"/>
              <w:ind w:right="23"/>
              <w:spacing w:after="0"/>
              <w:rPr>
                <w:sz w:val="20"/>
                <w:szCs w:val="20"/>
                <w:color w:val="auto"/>
              </w:rPr>
            </w:pPr>
            <w:r>
              <w:rPr>
                <w:rFonts w:ascii="Arial" w:cs="Arial" w:eastAsia="Arial" w:hAnsi="Arial"/>
                <w:sz w:val="11"/>
                <w:szCs w:val="11"/>
                <w:color w:val="auto"/>
              </w:rPr>
              <w:t>2/28/25</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3-years ending</w:t>
            </w:r>
          </w:p>
        </w:tc>
        <w:tc>
          <w:tcPr>
            <w:tcW w:w="3300" w:type="dxa"/>
            <w:vAlign w:val="bottom"/>
            <w:shd w:val="clear" w:color="auto" w:fill="F1EFEC"/>
          </w:tcPr>
          <w:p>
            <w:pPr>
              <w:ind w:left="80"/>
              <w:spacing w:after="0"/>
              <w:rPr>
                <w:sz w:val="20"/>
                <w:szCs w:val="20"/>
                <w:color w:val="auto"/>
              </w:rPr>
            </w:pPr>
            <w:r>
              <w:rPr>
                <w:rFonts w:ascii="Arial" w:cs="Arial" w:eastAsia="Arial" w:hAnsi="Arial"/>
                <w:sz w:val="11"/>
                <w:szCs w:val="11"/>
                <w:color w:val="auto"/>
              </w:rPr>
              <w:t>Las Vegas Operations Revenue Fair Share of Hotel Rooms (2)</w:t>
            </w:r>
          </w:p>
        </w:tc>
        <w:tc>
          <w:tcPr>
            <w:tcW w:w="86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1.7x</w:t>
            </w:r>
          </w:p>
        </w:tc>
        <w:tc>
          <w:tcPr>
            <w:tcW w:w="98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2.1x</w:t>
            </w:r>
          </w:p>
        </w:tc>
        <w:tc>
          <w:tcPr>
            <w:tcW w:w="720" w:type="dxa"/>
            <w:vAlign w:val="bottom"/>
            <w:shd w:val="clear" w:color="auto" w:fill="F1EFEC"/>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shd w:val="clear" w:color="auto" w:fill="F1EFEC"/>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shd w:val="clear" w:color="auto" w:fill="F1EFEC"/>
          </w:tcPr>
          <w:p>
            <w:pPr>
              <w:spacing w:after="0"/>
              <w:rPr>
                <w:sz w:val="16"/>
                <w:szCs w:val="16"/>
                <w:color w:val="auto"/>
              </w:rPr>
            </w:pPr>
          </w:p>
        </w:tc>
        <w:tc>
          <w:tcPr>
            <w:tcW w:w="560" w:type="dxa"/>
            <w:vAlign w:val="bottom"/>
            <w:shd w:val="clear" w:color="auto" w:fill="F1EFEC"/>
          </w:tcPr>
          <w:p>
            <w:pPr>
              <w:spacing w:after="0"/>
              <w:rPr>
                <w:sz w:val="16"/>
                <w:szCs w:val="16"/>
                <w:color w:val="auto"/>
              </w:rPr>
            </w:pP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12/31/2024</w:t>
            </w:r>
          </w:p>
        </w:tc>
        <w:tc>
          <w:tcPr>
            <w:tcW w:w="3300" w:type="dxa"/>
            <w:vAlign w:val="bottom"/>
            <w:shd w:val="clear" w:color="auto" w:fill="F1EFEC"/>
          </w:tcPr>
          <w:p>
            <w:pPr>
              <w:spacing w:after="0"/>
              <w:rPr>
                <w:sz w:val="16"/>
                <w:szCs w:val="16"/>
                <w:color w:val="auto"/>
              </w:rPr>
            </w:pPr>
          </w:p>
        </w:tc>
        <w:tc>
          <w:tcPr>
            <w:tcW w:w="860" w:type="dxa"/>
            <w:vAlign w:val="bottom"/>
            <w:shd w:val="clear" w:color="auto" w:fill="F1EFEC"/>
          </w:tcPr>
          <w:p>
            <w:pPr>
              <w:spacing w:after="0"/>
              <w:rPr>
                <w:sz w:val="16"/>
                <w:szCs w:val="16"/>
                <w:color w:val="auto"/>
              </w:rPr>
            </w:pPr>
          </w:p>
        </w:tc>
        <w:tc>
          <w:tcPr>
            <w:tcW w:w="980" w:type="dxa"/>
            <w:vAlign w:val="bottom"/>
            <w:shd w:val="clear" w:color="auto" w:fill="F1EFEC"/>
          </w:tcPr>
          <w:p>
            <w:pPr>
              <w:spacing w:after="0"/>
              <w:rPr>
                <w:sz w:val="16"/>
                <w:szCs w:val="16"/>
                <w:color w:val="auto"/>
              </w:rPr>
            </w:pPr>
          </w:p>
        </w:tc>
        <w:tc>
          <w:tcPr>
            <w:tcW w:w="720" w:type="dxa"/>
            <w:vAlign w:val="bottom"/>
            <w:shd w:val="clear" w:color="auto" w:fill="F1EFEC"/>
          </w:tcPr>
          <w:p>
            <w:pPr>
              <w:spacing w:after="0"/>
              <w:rPr>
                <w:sz w:val="16"/>
                <w:szCs w:val="16"/>
                <w:color w:val="auto"/>
              </w:rPr>
            </w:pPr>
          </w:p>
        </w:tc>
        <w:tc>
          <w:tcPr>
            <w:tcW w:w="780" w:type="dxa"/>
            <w:vAlign w:val="bottom"/>
            <w:shd w:val="clear" w:color="auto" w:fill="F1EFEC"/>
          </w:tcPr>
          <w:p>
            <w:pPr>
              <w:spacing w:after="0"/>
              <w:rPr>
                <w:sz w:val="16"/>
                <w:szCs w:val="16"/>
                <w:color w:val="auto"/>
              </w:rPr>
            </w:pPr>
          </w:p>
        </w:tc>
      </w:tr>
      <w:tr>
        <w:trPr>
          <w:trHeight w:val="71"/>
        </w:trPr>
        <w:tc>
          <w:tcPr>
            <w:tcW w:w="500" w:type="dxa"/>
            <w:vAlign w:val="bottom"/>
            <w:shd w:val="clear" w:color="auto" w:fill="F1EFEC"/>
          </w:tcPr>
          <w:p>
            <w:pPr>
              <w:spacing w:after="0"/>
              <w:rPr>
                <w:sz w:val="6"/>
                <w:szCs w:val="6"/>
                <w:color w:val="auto"/>
              </w:rPr>
            </w:pPr>
          </w:p>
        </w:tc>
        <w:tc>
          <w:tcPr>
            <w:tcW w:w="560" w:type="dxa"/>
            <w:vAlign w:val="bottom"/>
            <w:shd w:val="clear" w:color="auto" w:fill="F1EFEC"/>
          </w:tcPr>
          <w:p>
            <w:pPr>
              <w:spacing w:after="0"/>
              <w:rPr>
                <w:sz w:val="6"/>
                <w:szCs w:val="6"/>
                <w:color w:val="auto"/>
              </w:rPr>
            </w:pPr>
          </w:p>
        </w:tc>
        <w:tc>
          <w:tcPr>
            <w:tcW w:w="1040" w:type="dxa"/>
            <w:vAlign w:val="bottom"/>
            <w:shd w:val="clear" w:color="auto" w:fill="F1EFEC"/>
          </w:tcPr>
          <w:p>
            <w:pPr>
              <w:spacing w:after="0"/>
              <w:rPr>
                <w:sz w:val="6"/>
                <w:szCs w:val="6"/>
                <w:color w:val="auto"/>
              </w:rPr>
            </w:pPr>
          </w:p>
        </w:tc>
        <w:tc>
          <w:tcPr>
            <w:tcW w:w="3300" w:type="dxa"/>
            <w:vAlign w:val="bottom"/>
            <w:shd w:val="clear" w:color="auto" w:fill="F1EFEC"/>
          </w:tcPr>
          <w:p>
            <w:pPr>
              <w:spacing w:after="0"/>
              <w:rPr>
                <w:sz w:val="6"/>
                <w:szCs w:val="6"/>
                <w:color w:val="auto"/>
              </w:rPr>
            </w:pPr>
          </w:p>
        </w:tc>
        <w:tc>
          <w:tcPr>
            <w:tcW w:w="860" w:type="dxa"/>
            <w:vAlign w:val="bottom"/>
            <w:shd w:val="clear" w:color="auto" w:fill="F1EFEC"/>
          </w:tcPr>
          <w:p>
            <w:pPr>
              <w:spacing w:after="0"/>
              <w:rPr>
                <w:sz w:val="6"/>
                <w:szCs w:val="6"/>
                <w:color w:val="auto"/>
              </w:rPr>
            </w:pPr>
          </w:p>
        </w:tc>
        <w:tc>
          <w:tcPr>
            <w:tcW w:w="980" w:type="dxa"/>
            <w:vAlign w:val="bottom"/>
            <w:shd w:val="clear" w:color="auto" w:fill="F1EFEC"/>
          </w:tcPr>
          <w:p>
            <w:pPr>
              <w:spacing w:after="0"/>
              <w:rPr>
                <w:sz w:val="6"/>
                <w:szCs w:val="6"/>
                <w:color w:val="auto"/>
              </w:rPr>
            </w:pPr>
          </w:p>
        </w:tc>
        <w:tc>
          <w:tcPr>
            <w:tcW w:w="720" w:type="dxa"/>
            <w:vAlign w:val="bottom"/>
            <w:shd w:val="clear" w:color="auto" w:fill="F1EFEC"/>
          </w:tcPr>
          <w:p>
            <w:pPr>
              <w:spacing w:after="0"/>
              <w:rPr>
                <w:sz w:val="6"/>
                <w:szCs w:val="6"/>
                <w:color w:val="auto"/>
              </w:rPr>
            </w:pPr>
          </w:p>
        </w:tc>
        <w:tc>
          <w:tcPr>
            <w:tcW w:w="780" w:type="dxa"/>
            <w:vAlign w:val="bottom"/>
            <w:shd w:val="clear" w:color="auto" w:fill="F1EFEC"/>
          </w:tcPr>
          <w:p>
            <w:pPr>
              <w:spacing w:after="0"/>
              <w:rPr>
                <w:sz w:val="6"/>
                <w:szCs w:val="6"/>
                <w:color w:val="auto"/>
              </w:rPr>
            </w:pPr>
          </w:p>
        </w:tc>
      </w:tr>
      <w:tr>
        <w:trPr>
          <w:trHeight w:val="229"/>
        </w:trPr>
        <w:tc>
          <w:tcPr>
            <w:tcW w:w="500" w:type="dxa"/>
            <w:vAlign w:val="bottom"/>
          </w:tcPr>
          <w:p>
            <w:pPr>
              <w:ind w:left="40"/>
              <w:spacing w:after="0"/>
              <w:rPr>
                <w:sz w:val="20"/>
                <w:szCs w:val="20"/>
                <w:color w:val="auto"/>
              </w:rPr>
            </w:pPr>
            <w:r>
              <w:rPr>
                <w:rFonts w:ascii="Arial" w:cs="Arial" w:eastAsia="Arial" w:hAnsi="Arial"/>
                <w:sz w:val="11"/>
                <w:szCs w:val="11"/>
                <w:color w:val="auto"/>
              </w:rPr>
              <w:t>1/12/22</w:t>
            </w: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2/28/25</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3-years ending</w:t>
            </w:r>
          </w:p>
        </w:tc>
        <w:tc>
          <w:tcPr>
            <w:tcW w:w="3300" w:type="dxa"/>
            <w:vAlign w:val="bottom"/>
          </w:tcPr>
          <w:p>
            <w:pPr>
              <w:ind w:left="80"/>
              <w:spacing w:after="0"/>
              <w:rPr>
                <w:sz w:val="20"/>
                <w:szCs w:val="20"/>
                <w:color w:val="auto"/>
              </w:rPr>
            </w:pPr>
            <w:r>
              <w:rPr>
                <w:rFonts w:ascii="Arial" w:cs="Arial" w:eastAsia="Arial" w:hAnsi="Arial"/>
                <w:sz w:val="11"/>
                <w:szCs w:val="11"/>
                <w:color w:val="auto"/>
              </w:rPr>
              <w:t>Las Vegas Operations Adjusted Property EBITDAR (4) Fair</w:t>
            </w:r>
          </w:p>
        </w:tc>
        <w:tc>
          <w:tcPr>
            <w:tcW w:w="860" w:type="dxa"/>
            <w:vAlign w:val="bottom"/>
          </w:tcPr>
          <w:p>
            <w:pPr>
              <w:jc w:val="center"/>
              <w:spacing w:after="0"/>
              <w:rPr>
                <w:sz w:val="20"/>
                <w:szCs w:val="20"/>
                <w:color w:val="auto"/>
              </w:rPr>
            </w:pPr>
            <w:r>
              <w:rPr>
                <w:rFonts w:ascii="Arial" w:cs="Arial" w:eastAsia="Arial" w:hAnsi="Arial"/>
                <w:sz w:val="11"/>
                <w:szCs w:val="11"/>
                <w:color w:val="auto"/>
              </w:rPr>
              <w:t>1.5x</w:t>
            </w:r>
          </w:p>
        </w:tc>
        <w:tc>
          <w:tcPr>
            <w:tcW w:w="980" w:type="dxa"/>
            <w:vAlign w:val="bottom"/>
          </w:tcPr>
          <w:p>
            <w:pPr>
              <w:jc w:val="center"/>
              <w:spacing w:after="0"/>
              <w:rPr>
                <w:sz w:val="20"/>
                <w:szCs w:val="20"/>
                <w:color w:val="auto"/>
              </w:rPr>
            </w:pPr>
            <w:r>
              <w:rPr>
                <w:rFonts w:ascii="Arial" w:cs="Arial" w:eastAsia="Arial" w:hAnsi="Arial"/>
                <w:sz w:val="11"/>
                <w:szCs w:val="11"/>
                <w:color w:val="auto"/>
              </w:rPr>
              <w:t>2.0x</w:t>
            </w:r>
          </w:p>
        </w:tc>
        <w:tc>
          <w:tcPr>
            <w:tcW w:w="720" w:type="dxa"/>
            <w:vAlign w:val="bottom"/>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12/31/2024</w:t>
            </w:r>
          </w:p>
        </w:tc>
        <w:tc>
          <w:tcPr>
            <w:tcW w:w="3300" w:type="dxa"/>
            <w:vAlign w:val="bottom"/>
          </w:tcPr>
          <w:p>
            <w:pPr>
              <w:ind w:left="80"/>
              <w:spacing w:after="0"/>
              <w:rPr>
                <w:sz w:val="20"/>
                <w:szCs w:val="20"/>
                <w:color w:val="auto"/>
              </w:rPr>
            </w:pPr>
            <w:r>
              <w:rPr>
                <w:rFonts w:ascii="Arial" w:cs="Arial" w:eastAsia="Arial" w:hAnsi="Arial"/>
                <w:sz w:val="11"/>
                <w:szCs w:val="11"/>
                <w:color w:val="auto"/>
              </w:rPr>
              <w:t>Share of Hotel Rooms (2)</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1"/>
        </w:trPr>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29"/>
        </w:trPr>
        <w:tc>
          <w:tcPr>
            <w:tcW w:w="500" w:type="dxa"/>
            <w:vAlign w:val="bottom"/>
            <w:shd w:val="clear" w:color="auto" w:fill="F1EFEC"/>
          </w:tcPr>
          <w:p>
            <w:pPr>
              <w:ind w:left="40"/>
              <w:spacing w:after="0"/>
              <w:rPr>
                <w:sz w:val="20"/>
                <w:szCs w:val="20"/>
                <w:color w:val="auto"/>
              </w:rPr>
            </w:pPr>
            <w:r>
              <w:rPr>
                <w:rFonts w:ascii="Arial" w:cs="Arial" w:eastAsia="Arial" w:hAnsi="Arial"/>
                <w:sz w:val="11"/>
                <w:szCs w:val="11"/>
                <w:color w:val="auto"/>
              </w:rPr>
              <w:t>1/12/23</w:t>
            </w:r>
          </w:p>
        </w:tc>
        <w:tc>
          <w:tcPr>
            <w:tcW w:w="560" w:type="dxa"/>
            <w:vAlign w:val="bottom"/>
            <w:shd w:val="clear" w:color="auto" w:fill="F1EFEC"/>
          </w:tcPr>
          <w:p>
            <w:pPr>
              <w:jc w:val="right"/>
              <w:ind w:right="23"/>
              <w:spacing w:after="0"/>
              <w:rPr>
                <w:sz w:val="20"/>
                <w:szCs w:val="20"/>
                <w:color w:val="auto"/>
              </w:rPr>
            </w:pPr>
            <w:r>
              <w:rPr>
                <w:rFonts w:ascii="Arial" w:cs="Arial" w:eastAsia="Arial" w:hAnsi="Arial"/>
                <w:sz w:val="11"/>
                <w:szCs w:val="11"/>
                <w:color w:val="auto"/>
              </w:rPr>
              <w:t>2/28/25</w:t>
            </w: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2-year ending</w:t>
            </w:r>
          </w:p>
        </w:tc>
        <w:tc>
          <w:tcPr>
            <w:tcW w:w="3300" w:type="dxa"/>
            <w:vAlign w:val="bottom"/>
            <w:shd w:val="clear" w:color="auto" w:fill="F1EFEC"/>
          </w:tcPr>
          <w:p>
            <w:pPr>
              <w:ind w:left="80"/>
              <w:spacing w:after="0"/>
              <w:rPr>
                <w:sz w:val="20"/>
                <w:szCs w:val="20"/>
                <w:color w:val="auto"/>
              </w:rPr>
            </w:pPr>
            <w:r>
              <w:rPr>
                <w:rFonts w:ascii="Arial" w:cs="Arial" w:eastAsia="Arial" w:hAnsi="Arial"/>
                <w:sz w:val="11"/>
                <w:szCs w:val="11"/>
                <w:color w:val="auto"/>
              </w:rPr>
              <w:t>Las Vegas Operations Revenue Fair Share of Hotel Rooms (2)</w:t>
            </w:r>
          </w:p>
        </w:tc>
        <w:tc>
          <w:tcPr>
            <w:tcW w:w="86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1.65x</w:t>
            </w:r>
          </w:p>
        </w:tc>
        <w:tc>
          <w:tcPr>
            <w:tcW w:w="98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2.2x</w:t>
            </w:r>
          </w:p>
        </w:tc>
        <w:tc>
          <w:tcPr>
            <w:tcW w:w="720" w:type="dxa"/>
            <w:vAlign w:val="bottom"/>
            <w:shd w:val="clear" w:color="auto" w:fill="F1EFEC"/>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shd w:val="clear" w:color="auto" w:fill="F1EFEC"/>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shd w:val="clear" w:color="auto" w:fill="F1EFEC"/>
          </w:tcPr>
          <w:p>
            <w:pPr>
              <w:spacing w:after="0"/>
              <w:rPr>
                <w:sz w:val="16"/>
                <w:szCs w:val="16"/>
                <w:color w:val="auto"/>
              </w:rPr>
            </w:pPr>
          </w:p>
        </w:tc>
        <w:tc>
          <w:tcPr>
            <w:tcW w:w="560" w:type="dxa"/>
            <w:vAlign w:val="bottom"/>
            <w:shd w:val="clear" w:color="auto" w:fill="F1EFEC"/>
          </w:tcPr>
          <w:p>
            <w:pPr>
              <w:spacing w:after="0"/>
              <w:rPr>
                <w:sz w:val="16"/>
                <w:szCs w:val="16"/>
                <w:color w:val="auto"/>
              </w:rPr>
            </w:pP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12/31/2024</w:t>
            </w:r>
          </w:p>
        </w:tc>
        <w:tc>
          <w:tcPr>
            <w:tcW w:w="3300" w:type="dxa"/>
            <w:vAlign w:val="bottom"/>
            <w:shd w:val="clear" w:color="auto" w:fill="F1EFEC"/>
          </w:tcPr>
          <w:p>
            <w:pPr>
              <w:spacing w:after="0"/>
              <w:rPr>
                <w:sz w:val="16"/>
                <w:szCs w:val="16"/>
                <w:color w:val="auto"/>
              </w:rPr>
            </w:pPr>
          </w:p>
        </w:tc>
        <w:tc>
          <w:tcPr>
            <w:tcW w:w="860" w:type="dxa"/>
            <w:vAlign w:val="bottom"/>
            <w:shd w:val="clear" w:color="auto" w:fill="F1EFEC"/>
          </w:tcPr>
          <w:p>
            <w:pPr>
              <w:spacing w:after="0"/>
              <w:rPr>
                <w:sz w:val="16"/>
                <w:szCs w:val="16"/>
                <w:color w:val="auto"/>
              </w:rPr>
            </w:pPr>
          </w:p>
        </w:tc>
        <w:tc>
          <w:tcPr>
            <w:tcW w:w="980" w:type="dxa"/>
            <w:vAlign w:val="bottom"/>
            <w:shd w:val="clear" w:color="auto" w:fill="F1EFEC"/>
          </w:tcPr>
          <w:p>
            <w:pPr>
              <w:spacing w:after="0"/>
              <w:rPr>
                <w:sz w:val="16"/>
                <w:szCs w:val="16"/>
                <w:color w:val="auto"/>
              </w:rPr>
            </w:pPr>
          </w:p>
        </w:tc>
        <w:tc>
          <w:tcPr>
            <w:tcW w:w="720" w:type="dxa"/>
            <w:vAlign w:val="bottom"/>
            <w:shd w:val="clear" w:color="auto" w:fill="F1EFEC"/>
          </w:tcPr>
          <w:p>
            <w:pPr>
              <w:spacing w:after="0"/>
              <w:rPr>
                <w:sz w:val="16"/>
                <w:szCs w:val="16"/>
                <w:color w:val="auto"/>
              </w:rPr>
            </w:pPr>
          </w:p>
        </w:tc>
        <w:tc>
          <w:tcPr>
            <w:tcW w:w="780" w:type="dxa"/>
            <w:vAlign w:val="bottom"/>
            <w:shd w:val="clear" w:color="auto" w:fill="F1EFEC"/>
          </w:tcPr>
          <w:p>
            <w:pPr>
              <w:spacing w:after="0"/>
              <w:rPr>
                <w:sz w:val="16"/>
                <w:szCs w:val="16"/>
                <w:color w:val="auto"/>
              </w:rPr>
            </w:pPr>
          </w:p>
        </w:tc>
      </w:tr>
      <w:tr>
        <w:trPr>
          <w:trHeight w:val="71"/>
        </w:trPr>
        <w:tc>
          <w:tcPr>
            <w:tcW w:w="500" w:type="dxa"/>
            <w:vAlign w:val="bottom"/>
            <w:shd w:val="clear" w:color="auto" w:fill="F1EFEC"/>
          </w:tcPr>
          <w:p>
            <w:pPr>
              <w:spacing w:after="0"/>
              <w:rPr>
                <w:sz w:val="6"/>
                <w:szCs w:val="6"/>
                <w:color w:val="auto"/>
              </w:rPr>
            </w:pPr>
          </w:p>
        </w:tc>
        <w:tc>
          <w:tcPr>
            <w:tcW w:w="560" w:type="dxa"/>
            <w:vAlign w:val="bottom"/>
            <w:shd w:val="clear" w:color="auto" w:fill="F1EFEC"/>
          </w:tcPr>
          <w:p>
            <w:pPr>
              <w:spacing w:after="0"/>
              <w:rPr>
                <w:sz w:val="6"/>
                <w:szCs w:val="6"/>
                <w:color w:val="auto"/>
              </w:rPr>
            </w:pPr>
          </w:p>
        </w:tc>
        <w:tc>
          <w:tcPr>
            <w:tcW w:w="1040" w:type="dxa"/>
            <w:vAlign w:val="bottom"/>
            <w:shd w:val="clear" w:color="auto" w:fill="F1EFEC"/>
          </w:tcPr>
          <w:p>
            <w:pPr>
              <w:spacing w:after="0"/>
              <w:rPr>
                <w:sz w:val="6"/>
                <w:szCs w:val="6"/>
                <w:color w:val="auto"/>
              </w:rPr>
            </w:pPr>
          </w:p>
        </w:tc>
        <w:tc>
          <w:tcPr>
            <w:tcW w:w="3300" w:type="dxa"/>
            <w:vAlign w:val="bottom"/>
            <w:shd w:val="clear" w:color="auto" w:fill="F1EFEC"/>
          </w:tcPr>
          <w:p>
            <w:pPr>
              <w:spacing w:after="0"/>
              <w:rPr>
                <w:sz w:val="6"/>
                <w:szCs w:val="6"/>
                <w:color w:val="auto"/>
              </w:rPr>
            </w:pPr>
          </w:p>
        </w:tc>
        <w:tc>
          <w:tcPr>
            <w:tcW w:w="860" w:type="dxa"/>
            <w:vAlign w:val="bottom"/>
            <w:shd w:val="clear" w:color="auto" w:fill="F1EFEC"/>
          </w:tcPr>
          <w:p>
            <w:pPr>
              <w:spacing w:after="0"/>
              <w:rPr>
                <w:sz w:val="6"/>
                <w:szCs w:val="6"/>
                <w:color w:val="auto"/>
              </w:rPr>
            </w:pPr>
          </w:p>
        </w:tc>
        <w:tc>
          <w:tcPr>
            <w:tcW w:w="980" w:type="dxa"/>
            <w:vAlign w:val="bottom"/>
            <w:shd w:val="clear" w:color="auto" w:fill="F1EFEC"/>
          </w:tcPr>
          <w:p>
            <w:pPr>
              <w:spacing w:after="0"/>
              <w:rPr>
                <w:sz w:val="6"/>
                <w:szCs w:val="6"/>
                <w:color w:val="auto"/>
              </w:rPr>
            </w:pPr>
          </w:p>
        </w:tc>
        <w:tc>
          <w:tcPr>
            <w:tcW w:w="720" w:type="dxa"/>
            <w:vAlign w:val="bottom"/>
            <w:shd w:val="clear" w:color="auto" w:fill="F1EFEC"/>
          </w:tcPr>
          <w:p>
            <w:pPr>
              <w:spacing w:after="0"/>
              <w:rPr>
                <w:sz w:val="6"/>
                <w:szCs w:val="6"/>
                <w:color w:val="auto"/>
              </w:rPr>
            </w:pPr>
          </w:p>
        </w:tc>
        <w:tc>
          <w:tcPr>
            <w:tcW w:w="780" w:type="dxa"/>
            <w:vAlign w:val="bottom"/>
            <w:shd w:val="clear" w:color="auto" w:fill="F1EFEC"/>
          </w:tcPr>
          <w:p>
            <w:pPr>
              <w:spacing w:after="0"/>
              <w:rPr>
                <w:sz w:val="6"/>
                <w:szCs w:val="6"/>
                <w:color w:val="auto"/>
              </w:rPr>
            </w:pPr>
          </w:p>
        </w:tc>
      </w:tr>
      <w:tr>
        <w:trPr>
          <w:trHeight w:val="229"/>
        </w:trPr>
        <w:tc>
          <w:tcPr>
            <w:tcW w:w="500" w:type="dxa"/>
            <w:vAlign w:val="bottom"/>
          </w:tcPr>
          <w:p>
            <w:pPr>
              <w:ind w:left="40"/>
              <w:spacing w:after="0"/>
              <w:rPr>
                <w:sz w:val="20"/>
                <w:szCs w:val="20"/>
                <w:color w:val="auto"/>
              </w:rPr>
            </w:pPr>
            <w:r>
              <w:rPr>
                <w:rFonts w:ascii="Arial" w:cs="Arial" w:eastAsia="Arial" w:hAnsi="Arial"/>
                <w:sz w:val="11"/>
                <w:szCs w:val="11"/>
                <w:color w:val="auto"/>
              </w:rPr>
              <w:t>1/12/23</w:t>
            </w: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2/28/25</w:t>
            </w: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2-year ending</w:t>
            </w:r>
          </w:p>
        </w:tc>
        <w:tc>
          <w:tcPr>
            <w:tcW w:w="3300" w:type="dxa"/>
            <w:vAlign w:val="bottom"/>
          </w:tcPr>
          <w:p>
            <w:pPr>
              <w:ind w:left="80"/>
              <w:spacing w:after="0"/>
              <w:rPr>
                <w:sz w:val="20"/>
                <w:szCs w:val="20"/>
                <w:color w:val="auto"/>
              </w:rPr>
            </w:pPr>
            <w:r>
              <w:rPr>
                <w:rFonts w:ascii="Arial" w:cs="Arial" w:eastAsia="Arial" w:hAnsi="Arial"/>
                <w:sz w:val="11"/>
                <w:szCs w:val="11"/>
                <w:color w:val="auto"/>
              </w:rPr>
              <w:t>Las Vegas Operations Adjusted Property EBITDAR (4) Fair</w:t>
            </w:r>
          </w:p>
        </w:tc>
        <w:tc>
          <w:tcPr>
            <w:tcW w:w="860" w:type="dxa"/>
            <w:vAlign w:val="bottom"/>
          </w:tcPr>
          <w:p>
            <w:pPr>
              <w:jc w:val="center"/>
              <w:spacing w:after="0"/>
              <w:rPr>
                <w:sz w:val="20"/>
                <w:szCs w:val="20"/>
                <w:color w:val="auto"/>
              </w:rPr>
            </w:pPr>
            <w:r>
              <w:rPr>
                <w:rFonts w:ascii="Arial" w:cs="Arial" w:eastAsia="Arial" w:hAnsi="Arial"/>
                <w:sz w:val="11"/>
                <w:szCs w:val="11"/>
                <w:color w:val="auto"/>
              </w:rPr>
              <w:t>1.5x</w:t>
            </w:r>
          </w:p>
        </w:tc>
        <w:tc>
          <w:tcPr>
            <w:tcW w:w="980" w:type="dxa"/>
            <w:vAlign w:val="bottom"/>
          </w:tcPr>
          <w:p>
            <w:pPr>
              <w:jc w:val="center"/>
              <w:spacing w:after="0"/>
              <w:rPr>
                <w:sz w:val="20"/>
                <w:szCs w:val="20"/>
                <w:color w:val="auto"/>
              </w:rPr>
            </w:pPr>
            <w:r>
              <w:rPr>
                <w:rFonts w:ascii="Arial" w:cs="Arial" w:eastAsia="Arial" w:hAnsi="Arial"/>
                <w:sz w:val="11"/>
                <w:szCs w:val="11"/>
                <w:color w:val="auto"/>
              </w:rPr>
              <w:t>2.1x</w:t>
            </w:r>
          </w:p>
        </w:tc>
        <w:tc>
          <w:tcPr>
            <w:tcW w:w="720" w:type="dxa"/>
            <w:vAlign w:val="bottom"/>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12/31/2024</w:t>
            </w:r>
          </w:p>
        </w:tc>
        <w:tc>
          <w:tcPr>
            <w:tcW w:w="3300" w:type="dxa"/>
            <w:vAlign w:val="bottom"/>
          </w:tcPr>
          <w:p>
            <w:pPr>
              <w:ind w:left="80"/>
              <w:spacing w:after="0"/>
              <w:rPr>
                <w:sz w:val="20"/>
                <w:szCs w:val="20"/>
                <w:color w:val="auto"/>
              </w:rPr>
            </w:pPr>
            <w:r>
              <w:rPr>
                <w:rFonts w:ascii="Arial" w:cs="Arial" w:eastAsia="Arial" w:hAnsi="Arial"/>
                <w:sz w:val="11"/>
                <w:szCs w:val="11"/>
                <w:color w:val="auto"/>
              </w:rPr>
              <w:t>Share of Hotel Rooms (2)</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1"/>
        </w:trPr>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29"/>
        </w:trPr>
        <w:tc>
          <w:tcPr>
            <w:tcW w:w="500" w:type="dxa"/>
            <w:vAlign w:val="bottom"/>
            <w:shd w:val="clear" w:color="auto" w:fill="F1EFEC"/>
          </w:tcPr>
          <w:p>
            <w:pPr>
              <w:ind w:left="40"/>
              <w:spacing w:after="0"/>
              <w:rPr>
                <w:sz w:val="20"/>
                <w:szCs w:val="20"/>
                <w:color w:val="auto"/>
              </w:rPr>
            </w:pPr>
            <w:r>
              <w:rPr>
                <w:rFonts w:ascii="Arial" w:cs="Arial" w:eastAsia="Arial" w:hAnsi="Arial"/>
                <w:sz w:val="11"/>
                <w:szCs w:val="11"/>
                <w:color w:val="auto"/>
              </w:rPr>
              <w:t>1/9/24</w:t>
            </w:r>
          </w:p>
        </w:tc>
        <w:tc>
          <w:tcPr>
            <w:tcW w:w="560" w:type="dxa"/>
            <w:vAlign w:val="bottom"/>
            <w:shd w:val="clear" w:color="auto" w:fill="F1EFEC"/>
          </w:tcPr>
          <w:p>
            <w:pPr>
              <w:jc w:val="right"/>
              <w:ind w:right="23"/>
              <w:spacing w:after="0"/>
              <w:rPr>
                <w:sz w:val="20"/>
                <w:szCs w:val="20"/>
                <w:color w:val="auto"/>
              </w:rPr>
            </w:pPr>
            <w:r>
              <w:rPr>
                <w:rFonts w:ascii="Arial" w:cs="Arial" w:eastAsia="Arial" w:hAnsi="Arial"/>
                <w:sz w:val="11"/>
                <w:szCs w:val="11"/>
                <w:color w:val="auto"/>
              </w:rPr>
              <w:t>2/28/25</w:t>
            </w: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1-year ending</w:t>
            </w:r>
          </w:p>
        </w:tc>
        <w:tc>
          <w:tcPr>
            <w:tcW w:w="3300" w:type="dxa"/>
            <w:vAlign w:val="bottom"/>
            <w:shd w:val="clear" w:color="auto" w:fill="F1EFEC"/>
          </w:tcPr>
          <w:p>
            <w:pPr>
              <w:ind w:left="80"/>
              <w:spacing w:after="0"/>
              <w:rPr>
                <w:sz w:val="20"/>
                <w:szCs w:val="20"/>
                <w:color w:val="auto"/>
              </w:rPr>
            </w:pPr>
            <w:r>
              <w:rPr>
                <w:rFonts w:ascii="Arial" w:cs="Arial" w:eastAsia="Arial" w:hAnsi="Arial"/>
                <w:sz w:val="11"/>
                <w:szCs w:val="11"/>
                <w:color w:val="auto"/>
              </w:rPr>
              <w:t>Las Vegas Operations Revenue Fair Share of Hotel Rooms (2)</w:t>
            </w:r>
          </w:p>
        </w:tc>
        <w:tc>
          <w:tcPr>
            <w:tcW w:w="86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1.65x</w:t>
            </w:r>
          </w:p>
        </w:tc>
        <w:tc>
          <w:tcPr>
            <w:tcW w:w="98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2.2x</w:t>
            </w:r>
          </w:p>
        </w:tc>
        <w:tc>
          <w:tcPr>
            <w:tcW w:w="720" w:type="dxa"/>
            <w:vAlign w:val="bottom"/>
            <w:shd w:val="clear" w:color="auto" w:fill="F1EFEC"/>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shd w:val="clear" w:color="auto" w:fill="F1EFEC"/>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shd w:val="clear" w:color="auto" w:fill="F1EFEC"/>
          </w:tcPr>
          <w:p>
            <w:pPr>
              <w:spacing w:after="0"/>
              <w:rPr>
                <w:sz w:val="16"/>
                <w:szCs w:val="16"/>
                <w:color w:val="auto"/>
              </w:rPr>
            </w:pPr>
          </w:p>
        </w:tc>
        <w:tc>
          <w:tcPr>
            <w:tcW w:w="560" w:type="dxa"/>
            <w:vAlign w:val="bottom"/>
            <w:shd w:val="clear" w:color="auto" w:fill="F1EFEC"/>
          </w:tcPr>
          <w:p>
            <w:pPr>
              <w:spacing w:after="0"/>
              <w:rPr>
                <w:sz w:val="16"/>
                <w:szCs w:val="16"/>
                <w:color w:val="auto"/>
              </w:rPr>
            </w:pP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12/31/2024</w:t>
            </w:r>
          </w:p>
        </w:tc>
        <w:tc>
          <w:tcPr>
            <w:tcW w:w="3300" w:type="dxa"/>
            <w:vAlign w:val="bottom"/>
            <w:shd w:val="clear" w:color="auto" w:fill="F1EFEC"/>
          </w:tcPr>
          <w:p>
            <w:pPr>
              <w:spacing w:after="0"/>
              <w:rPr>
                <w:sz w:val="16"/>
                <w:szCs w:val="16"/>
                <w:color w:val="auto"/>
              </w:rPr>
            </w:pPr>
          </w:p>
        </w:tc>
        <w:tc>
          <w:tcPr>
            <w:tcW w:w="860" w:type="dxa"/>
            <w:vAlign w:val="bottom"/>
            <w:shd w:val="clear" w:color="auto" w:fill="F1EFEC"/>
          </w:tcPr>
          <w:p>
            <w:pPr>
              <w:spacing w:after="0"/>
              <w:rPr>
                <w:sz w:val="16"/>
                <w:szCs w:val="16"/>
                <w:color w:val="auto"/>
              </w:rPr>
            </w:pPr>
          </w:p>
        </w:tc>
        <w:tc>
          <w:tcPr>
            <w:tcW w:w="980" w:type="dxa"/>
            <w:vAlign w:val="bottom"/>
            <w:shd w:val="clear" w:color="auto" w:fill="F1EFEC"/>
          </w:tcPr>
          <w:p>
            <w:pPr>
              <w:spacing w:after="0"/>
              <w:rPr>
                <w:sz w:val="16"/>
                <w:szCs w:val="16"/>
                <w:color w:val="auto"/>
              </w:rPr>
            </w:pPr>
          </w:p>
        </w:tc>
        <w:tc>
          <w:tcPr>
            <w:tcW w:w="720" w:type="dxa"/>
            <w:vAlign w:val="bottom"/>
            <w:shd w:val="clear" w:color="auto" w:fill="F1EFEC"/>
          </w:tcPr>
          <w:p>
            <w:pPr>
              <w:spacing w:after="0"/>
              <w:rPr>
                <w:sz w:val="16"/>
                <w:szCs w:val="16"/>
                <w:color w:val="auto"/>
              </w:rPr>
            </w:pPr>
          </w:p>
        </w:tc>
        <w:tc>
          <w:tcPr>
            <w:tcW w:w="780" w:type="dxa"/>
            <w:vAlign w:val="bottom"/>
            <w:shd w:val="clear" w:color="auto" w:fill="F1EFEC"/>
          </w:tcPr>
          <w:p>
            <w:pPr>
              <w:spacing w:after="0"/>
              <w:rPr>
                <w:sz w:val="16"/>
                <w:szCs w:val="16"/>
                <w:color w:val="auto"/>
              </w:rPr>
            </w:pPr>
          </w:p>
        </w:tc>
      </w:tr>
      <w:tr>
        <w:trPr>
          <w:trHeight w:val="71"/>
        </w:trPr>
        <w:tc>
          <w:tcPr>
            <w:tcW w:w="500" w:type="dxa"/>
            <w:vAlign w:val="bottom"/>
            <w:shd w:val="clear" w:color="auto" w:fill="F1EFEC"/>
          </w:tcPr>
          <w:p>
            <w:pPr>
              <w:spacing w:after="0"/>
              <w:rPr>
                <w:sz w:val="6"/>
                <w:szCs w:val="6"/>
                <w:color w:val="auto"/>
              </w:rPr>
            </w:pPr>
          </w:p>
        </w:tc>
        <w:tc>
          <w:tcPr>
            <w:tcW w:w="560" w:type="dxa"/>
            <w:vAlign w:val="bottom"/>
            <w:shd w:val="clear" w:color="auto" w:fill="F1EFEC"/>
          </w:tcPr>
          <w:p>
            <w:pPr>
              <w:spacing w:after="0"/>
              <w:rPr>
                <w:sz w:val="6"/>
                <w:szCs w:val="6"/>
                <w:color w:val="auto"/>
              </w:rPr>
            </w:pPr>
          </w:p>
        </w:tc>
        <w:tc>
          <w:tcPr>
            <w:tcW w:w="1040" w:type="dxa"/>
            <w:vAlign w:val="bottom"/>
            <w:shd w:val="clear" w:color="auto" w:fill="F1EFEC"/>
          </w:tcPr>
          <w:p>
            <w:pPr>
              <w:spacing w:after="0"/>
              <w:rPr>
                <w:sz w:val="6"/>
                <w:szCs w:val="6"/>
                <w:color w:val="auto"/>
              </w:rPr>
            </w:pPr>
          </w:p>
        </w:tc>
        <w:tc>
          <w:tcPr>
            <w:tcW w:w="3300" w:type="dxa"/>
            <w:vAlign w:val="bottom"/>
            <w:shd w:val="clear" w:color="auto" w:fill="F1EFEC"/>
          </w:tcPr>
          <w:p>
            <w:pPr>
              <w:spacing w:after="0"/>
              <w:rPr>
                <w:sz w:val="6"/>
                <w:szCs w:val="6"/>
                <w:color w:val="auto"/>
              </w:rPr>
            </w:pPr>
          </w:p>
        </w:tc>
        <w:tc>
          <w:tcPr>
            <w:tcW w:w="860" w:type="dxa"/>
            <w:vAlign w:val="bottom"/>
            <w:shd w:val="clear" w:color="auto" w:fill="F1EFEC"/>
          </w:tcPr>
          <w:p>
            <w:pPr>
              <w:spacing w:after="0"/>
              <w:rPr>
                <w:sz w:val="6"/>
                <w:szCs w:val="6"/>
                <w:color w:val="auto"/>
              </w:rPr>
            </w:pPr>
          </w:p>
        </w:tc>
        <w:tc>
          <w:tcPr>
            <w:tcW w:w="980" w:type="dxa"/>
            <w:vAlign w:val="bottom"/>
            <w:shd w:val="clear" w:color="auto" w:fill="F1EFEC"/>
          </w:tcPr>
          <w:p>
            <w:pPr>
              <w:spacing w:after="0"/>
              <w:rPr>
                <w:sz w:val="6"/>
                <w:szCs w:val="6"/>
                <w:color w:val="auto"/>
              </w:rPr>
            </w:pPr>
          </w:p>
        </w:tc>
        <w:tc>
          <w:tcPr>
            <w:tcW w:w="720" w:type="dxa"/>
            <w:vAlign w:val="bottom"/>
            <w:shd w:val="clear" w:color="auto" w:fill="F1EFEC"/>
          </w:tcPr>
          <w:p>
            <w:pPr>
              <w:spacing w:after="0"/>
              <w:rPr>
                <w:sz w:val="6"/>
                <w:szCs w:val="6"/>
                <w:color w:val="auto"/>
              </w:rPr>
            </w:pPr>
          </w:p>
        </w:tc>
        <w:tc>
          <w:tcPr>
            <w:tcW w:w="780" w:type="dxa"/>
            <w:vAlign w:val="bottom"/>
            <w:shd w:val="clear" w:color="auto" w:fill="F1EFEC"/>
          </w:tcPr>
          <w:p>
            <w:pPr>
              <w:spacing w:after="0"/>
              <w:rPr>
                <w:sz w:val="6"/>
                <w:szCs w:val="6"/>
                <w:color w:val="auto"/>
              </w:rPr>
            </w:pPr>
          </w:p>
        </w:tc>
      </w:tr>
      <w:tr>
        <w:trPr>
          <w:trHeight w:val="229"/>
        </w:trPr>
        <w:tc>
          <w:tcPr>
            <w:tcW w:w="500" w:type="dxa"/>
            <w:vAlign w:val="bottom"/>
          </w:tcPr>
          <w:p>
            <w:pPr>
              <w:ind w:left="40"/>
              <w:spacing w:after="0"/>
              <w:rPr>
                <w:sz w:val="20"/>
                <w:szCs w:val="20"/>
                <w:color w:val="auto"/>
              </w:rPr>
            </w:pPr>
            <w:r>
              <w:rPr>
                <w:rFonts w:ascii="Arial" w:cs="Arial" w:eastAsia="Arial" w:hAnsi="Arial"/>
                <w:sz w:val="11"/>
                <w:szCs w:val="11"/>
                <w:color w:val="auto"/>
              </w:rPr>
              <w:t>1/9/24</w:t>
            </w:r>
          </w:p>
        </w:tc>
        <w:tc>
          <w:tcPr>
            <w:tcW w:w="560" w:type="dxa"/>
            <w:vAlign w:val="bottom"/>
          </w:tcPr>
          <w:p>
            <w:pPr>
              <w:jc w:val="right"/>
              <w:ind w:right="23"/>
              <w:spacing w:after="0"/>
              <w:rPr>
                <w:sz w:val="20"/>
                <w:szCs w:val="20"/>
                <w:color w:val="auto"/>
              </w:rPr>
            </w:pPr>
            <w:r>
              <w:rPr>
                <w:rFonts w:ascii="Arial" w:cs="Arial" w:eastAsia="Arial" w:hAnsi="Arial"/>
                <w:sz w:val="11"/>
                <w:szCs w:val="11"/>
                <w:color w:val="auto"/>
              </w:rPr>
              <w:t>2/28/25</w:t>
            </w: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1-year ending</w:t>
            </w:r>
          </w:p>
        </w:tc>
        <w:tc>
          <w:tcPr>
            <w:tcW w:w="3300" w:type="dxa"/>
            <w:vAlign w:val="bottom"/>
          </w:tcPr>
          <w:p>
            <w:pPr>
              <w:ind w:left="80"/>
              <w:spacing w:after="0"/>
              <w:rPr>
                <w:sz w:val="20"/>
                <w:szCs w:val="20"/>
                <w:color w:val="auto"/>
              </w:rPr>
            </w:pPr>
            <w:r>
              <w:rPr>
                <w:rFonts w:ascii="Arial" w:cs="Arial" w:eastAsia="Arial" w:hAnsi="Arial"/>
                <w:sz w:val="11"/>
                <w:szCs w:val="11"/>
                <w:color w:val="auto"/>
              </w:rPr>
              <w:t>Las Vegas Operations Adjusted Property EBITDAR (4) Fair</w:t>
            </w:r>
          </w:p>
        </w:tc>
        <w:tc>
          <w:tcPr>
            <w:tcW w:w="860" w:type="dxa"/>
            <w:vAlign w:val="bottom"/>
          </w:tcPr>
          <w:p>
            <w:pPr>
              <w:jc w:val="center"/>
              <w:spacing w:after="0"/>
              <w:rPr>
                <w:sz w:val="20"/>
                <w:szCs w:val="20"/>
                <w:color w:val="auto"/>
              </w:rPr>
            </w:pPr>
            <w:r>
              <w:rPr>
                <w:rFonts w:ascii="Arial" w:cs="Arial" w:eastAsia="Arial" w:hAnsi="Arial"/>
                <w:sz w:val="11"/>
                <w:szCs w:val="11"/>
                <w:color w:val="auto"/>
              </w:rPr>
              <w:t>1.5x</w:t>
            </w:r>
          </w:p>
        </w:tc>
        <w:tc>
          <w:tcPr>
            <w:tcW w:w="980" w:type="dxa"/>
            <w:vAlign w:val="bottom"/>
          </w:tcPr>
          <w:p>
            <w:pPr>
              <w:jc w:val="center"/>
              <w:spacing w:after="0"/>
              <w:rPr>
                <w:sz w:val="20"/>
                <w:szCs w:val="20"/>
                <w:color w:val="auto"/>
              </w:rPr>
            </w:pPr>
            <w:r>
              <w:rPr>
                <w:rFonts w:ascii="Arial" w:cs="Arial" w:eastAsia="Arial" w:hAnsi="Arial"/>
                <w:sz w:val="11"/>
                <w:szCs w:val="11"/>
                <w:color w:val="auto"/>
              </w:rPr>
              <w:t>2.1x</w:t>
            </w:r>
          </w:p>
        </w:tc>
        <w:tc>
          <w:tcPr>
            <w:tcW w:w="720" w:type="dxa"/>
            <w:vAlign w:val="bottom"/>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12/31/2024</w:t>
            </w:r>
          </w:p>
        </w:tc>
        <w:tc>
          <w:tcPr>
            <w:tcW w:w="3300" w:type="dxa"/>
            <w:vAlign w:val="bottom"/>
          </w:tcPr>
          <w:p>
            <w:pPr>
              <w:ind w:left="80"/>
              <w:spacing w:after="0"/>
              <w:rPr>
                <w:sz w:val="20"/>
                <w:szCs w:val="20"/>
                <w:color w:val="auto"/>
              </w:rPr>
            </w:pPr>
            <w:r>
              <w:rPr>
                <w:rFonts w:ascii="Arial" w:cs="Arial" w:eastAsia="Arial" w:hAnsi="Arial"/>
                <w:sz w:val="11"/>
                <w:szCs w:val="11"/>
                <w:color w:val="auto"/>
              </w:rPr>
              <w:t>Share of Hotel Rooms (2)</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31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2023 – 2025 GRANT DATE FAIR SHARE PERFORMANCE AWARD VESTING OUTCOMES (VESTED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5855970</wp:posOffset>
            </wp:positionH>
            <wp:positionV relativeFrom="paragraph">
              <wp:posOffset>125730</wp:posOffset>
            </wp:positionV>
            <wp:extent cx="6985" cy="21189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125730</wp:posOffset>
            </wp:positionV>
            <wp:extent cx="6985" cy="21189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4772660</wp:posOffset>
            </wp:positionH>
            <wp:positionV relativeFrom="paragraph">
              <wp:posOffset>125730</wp:posOffset>
            </wp:positionV>
            <wp:extent cx="6985" cy="21189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125730</wp:posOffset>
            </wp:positionV>
            <wp:extent cx="6985" cy="21189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125730</wp:posOffset>
            </wp:positionV>
            <wp:extent cx="6985" cy="21189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125730</wp:posOffset>
            </wp:positionV>
            <wp:extent cx="6985" cy="21189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85" cy="211899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125730</wp:posOffset>
            </wp:positionV>
            <wp:extent cx="6985" cy="21189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85" cy="2118995"/>
                    </a:xfrm>
                    <a:prstGeom prst="rect">
                      <a:avLst/>
                    </a:prstGeom>
                    <a:noFill/>
                  </pic:spPr>
                </pic:pic>
              </a:graphicData>
            </a:graphic>
          </wp:anchor>
        </w:drawing>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500" w:type="dxa"/>
            <w:vAlign w:val="bottom"/>
            <w:shd w:val="clear" w:color="auto" w:fill="B9AFA0"/>
          </w:tcPr>
          <w:p>
            <w:pPr>
              <w:ind w:left="40"/>
              <w:spacing w:after="0"/>
              <w:rPr>
                <w:sz w:val="20"/>
                <w:szCs w:val="20"/>
                <w:color w:val="auto"/>
              </w:rPr>
            </w:pPr>
            <w:r>
              <w:rPr>
                <w:rFonts w:ascii="Arial" w:cs="Arial" w:eastAsia="Arial" w:hAnsi="Arial"/>
                <w:sz w:val="11"/>
                <w:szCs w:val="11"/>
                <w:color w:val="FFFFFF"/>
              </w:rPr>
              <w:t>GRANT</w:t>
            </w:r>
          </w:p>
        </w:tc>
        <w:tc>
          <w:tcPr>
            <w:tcW w:w="560" w:type="dxa"/>
            <w:vAlign w:val="bottom"/>
            <w:shd w:val="clear" w:color="auto" w:fill="B9AFA0"/>
          </w:tcPr>
          <w:p>
            <w:pPr>
              <w:ind w:left="100"/>
              <w:spacing w:after="0"/>
              <w:rPr>
                <w:sz w:val="20"/>
                <w:szCs w:val="20"/>
                <w:color w:val="auto"/>
              </w:rPr>
            </w:pPr>
            <w:r>
              <w:rPr>
                <w:rFonts w:ascii="Arial" w:cs="Arial" w:eastAsia="Arial" w:hAnsi="Arial"/>
                <w:sz w:val="11"/>
                <w:szCs w:val="11"/>
                <w:color w:val="FFFFFF"/>
              </w:rPr>
              <w:t>VEST</w:t>
            </w:r>
          </w:p>
        </w:tc>
        <w:tc>
          <w:tcPr>
            <w:tcW w:w="1040" w:type="dxa"/>
            <w:vAlign w:val="bottom"/>
            <w:shd w:val="clear" w:color="auto" w:fill="B9AFA0"/>
          </w:tcPr>
          <w:p>
            <w:pPr>
              <w:ind w:left="80"/>
              <w:spacing w:after="0"/>
              <w:rPr>
                <w:sz w:val="20"/>
                <w:szCs w:val="20"/>
                <w:color w:val="auto"/>
              </w:rPr>
            </w:pPr>
            <w:r>
              <w:rPr>
                <w:rFonts w:ascii="Arial" w:cs="Arial" w:eastAsia="Arial" w:hAnsi="Arial"/>
                <w:sz w:val="11"/>
                <w:szCs w:val="11"/>
                <w:color w:val="FFFFFF"/>
              </w:rPr>
              <w:t>PERFORMANCE</w:t>
            </w:r>
          </w:p>
        </w:tc>
        <w:tc>
          <w:tcPr>
            <w:tcW w:w="3300" w:type="dxa"/>
            <w:vAlign w:val="bottom"/>
            <w:shd w:val="clear" w:color="auto" w:fill="B9AFA0"/>
          </w:tcPr>
          <w:p>
            <w:pPr>
              <w:spacing w:after="0"/>
              <w:rPr>
                <w:sz w:val="15"/>
                <w:szCs w:val="15"/>
                <w:color w:val="auto"/>
              </w:rPr>
            </w:pPr>
          </w:p>
        </w:tc>
        <w:tc>
          <w:tcPr>
            <w:tcW w:w="860" w:type="dxa"/>
            <w:vAlign w:val="bottom"/>
            <w:shd w:val="clear" w:color="auto" w:fill="B9AFA0"/>
          </w:tcPr>
          <w:p>
            <w:pPr>
              <w:spacing w:after="0"/>
              <w:rPr>
                <w:sz w:val="15"/>
                <w:szCs w:val="15"/>
                <w:color w:val="auto"/>
              </w:rPr>
            </w:pPr>
          </w:p>
        </w:tc>
        <w:tc>
          <w:tcPr>
            <w:tcW w:w="980" w:type="dxa"/>
            <w:vAlign w:val="bottom"/>
            <w:shd w:val="clear" w:color="auto" w:fill="B9AFA0"/>
          </w:tcPr>
          <w:p>
            <w:pPr>
              <w:spacing w:after="0"/>
              <w:rPr>
                <w:sz w:val="15"/>
                <w:szCs w:val="15"/>
                <w:color w:val="auto"/>
              </w:rPr>
            </w:pPr>
          </w:p>
        </w:tc>
        <w:tc>
          <w:tcPr>
            <w:tcW w:w="720" w:type="dxa"/>
            <w:vAlign w:val="bottom"/>
            <w:shd w:val="clear" w:color="auto" w:fill="B9AFA0"/>
          </w:tcPr>
          <w:p>
            <w:pPr>
              <w:spacing w:after="0"/>
              <w:rPr>
                <w:sz w:val="15"/>
                <w:szCs w:val="15"/>
                <w:color w:val="auto"/>
              </w:rPr>
            </w:pPr>
          </w:p>
        </w:tc>
        <w:tc>
          <w:tcPr>
            <w:tcW w:w="780" w:type="dxa"/>
            <w:vAlign w:val="bottom"/>
            <w:shd w:val="clear" w:color="auto" w:fill="B9AFA0"/>
          </w:tcPr>
          <w:p>
            <w:pPr>
              <w:jc w:val="right"/>
              <w:ind w:right="123"/>
              <w:spacing w:after="0"/>
              <w:rPr>
                <w:sz w:val="20"/>
                <w:szCs w:val="20"/>
                <w:color w:val="auto"/>
              </w:rPr>
            </w:pPr>
            <w:r>
              <w:rPr>
                <w:rFonts w:ascii="Arial" w:cs="Arial" w:eastAsia="Arial" w:hAnsi="Arial"/>
                <w:sz w:val="11"/>
                <w:szCs w:val="11"/>
                <w:color w:val="FFFFFF"/>
              </w:rPr>
              <w:t>GRANT</w:t>
            </w:r>
          </w:p>
        </w:tc>
      </w:tr>
      <w:tr>
        <w:trPr>
          <w:trHeight w:val="179"/>
        </w:trPr>
        <w:tc>
          <w:tcPr>
            <w:tcW w:w="50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1"/>
                <w:szCs w:val="11"/>
                <w:color w:val="FFFFFF"/>
              </w:rPr>
              <w:t>DATE </w:t>
            </w:r>
          </w:p>
        </w:tc>
        <w:tc>
          <w:tcPr>
            <w:tcW w:w="560" w:type="dxa"/>
            <w:vAlign w:val="bottom"/>
            <w:tcBorders>
              <w:bottom w:val="single" w:sz="8" w:color="B9AFA0"/>
            </w:tcBorders>
            <w:shd w:val="clear" w:color="auto" w:fill="B9AFA0"/>
          </w:tcPr>
          <w:p>
            <w:pPr>
              <w:ind w:left="100"/>
              <w:spacing w:after="0"/>
              <w:rPr>
                <w:sz w:val="20"/>
                <w:szCs w:val="20"/>
                <w:color w:val="auto"/>
              </w:rPr>
            </w:pPr>
            <w:r>
              <w:rPr>
                <w:rFonts w:ascii="Arial" w:cs="Arial" w:eastAsia="Arial" w:hAnsi="Arial"/>
                <w:sz w:val="11"/>
                <w:szCs w:val="11"/>
                <w:color w:val="FFFFFF"/>
              </w:rPr>
              <w:t>DATE </w:t>
            </w:r>
          </w:p>
        </w:tc>
        <w:tc>
          <w:tcPr>
            <w:tcW w:w="10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PERIOD </w:t>
            </w:r>
          </w:p>
        </w:tc>
        <w:tc>
          <w:tcPr>
            <w:tcW w:w="3300" w:type="dxa"/>
            <w:vAlign w:val="bottom"/>
            <w:tcBorders>
              <w:bottom w:val="single" w:sz="8" w:color="B9AFA0"/>
            </w:tcBorders>
            <w:shd w:val="clear" w:color="auto" w:fill="B9AFA0"/>
          </w:tcPr>
          <w:p>
            <w:pPr>
              <w:ind w:left="1440"/>
              <w:spacing w:after="0"/>
              <w:rPr>
                <w:sz w:val="20"/>
                <w:szCs w:val="20"/>
                <w:color w:val="auto"/>
              </w:rPr>
            </w:pPr>
            <w:r>
              <w:rPr>
                <w:rFonts w:ascii="Arial" w:cs="Arial" w:eastAsia="Arial" w:hAnsi="Arial"/>
                <w:sz w:val="11"/>
                <w:szCs w:val="11"/>
                <w:color w:val="FFFFFF"/>
              </w:rPr>
              <w:t>GOAL (1)</w:t>
            </w:r>
          </w:p>
        </w:tc>
        <w:tc>
          <w:tcPr>
            <w:tcW w:w="860" w:type="dxa"/>
            <w:vAlign w:val="bottom"/>
            <w:tcBorders>
              <w:bottom w:val="single" w:sz="8" w:color="B9AFA0"/>
            </w:tcBorders>
            <w:shd w:val="clear" w:color="auto" w:fill="B9AFA0"/>
          </w:tcPr>
          <w:p>
            <w:pPr>
              <w:ind w:left="60"/>
              <w:spacing w:after="0"/>
              <w:rPr>
                <w:sz w:val="20"/>
                <w:szCs w:val="20"/>
                <w:color w:val="auto"/>
              </w:rPr>
            </w:pPr>
            <w:r>
              <w:rPr>
                <w:rFonts w:ascii="Arial" w:cs="Arial" w:eastAsia="Arial" w:hAnsi="Arial"/>
                <w:sz w:val="11"/>
                <w:szCs w:val="11"/>
                <w:color w:val="FFFFFF"/>
              </w:rPr>
              <w:t>THRESHOLD </w:t>
            </w:r>
          </w:p>
        </w:tc>
        <w:tc>
          <w:tcPr>
            <w:tcW w:w="9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ACHIEVEMENT </w:t>
            </w:r>
          </w:p>
        </w:tc>
        <w:tc>
          <w:tcPr>
            <w:tcW w:w="7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OUTCOME </w:t>
            </w:r>
          </w:p>
        </w:tc>
        <w:tc>
          <w:tcPr>
            <w:tcW w:w="780" w:type="dxa"/>
            <w:vAlign w:val="bottom"/>
            <w:tcBorders>
              <w:bottom w:val="single" w:sz="8" w:color="B9AFA0"/>
            </w:tcBorders>
            <w:shd w:val="clear" w:color="auto" w:fill="B9AFA0"/>
          </w:tcPr>
          <w:p>
            <w:pPr>
              <w:jc w:val="right"/>
              <w:ind w:right="3"/>
              <w:spacing w:after="0"/>
              <w:rPr>
                <w:sz w:val="20"/>
                <w:szCs w:val="20"/>
                <w:color w:val="auto"/>
              </w:rPr>
            </w:pPr>
            <w:r>
              <w:rPr>
                <w:rFonts w:ascii="Arial" w:cs="Arial" w:eastAsia="Arial" w:hAnsi="Arial"/>
                <w:sz w:val="11"/>
                <w:szCs w:val="11"/>
                <w:color w:val="FFFFFF"/>
              </w:rPr>
              <w:t>WEIGHTING</w:t>
            </w:r>
          </w:p>
        </w:tc>
      </w:tr>
      <w:tr>
        <w:trPr>
          <w:trHeight w:val="229"/>
        </w:trPr>
        <w:tc>
          <w:tcPr>
            <w:tcW w:w="500" w:type="dxa"/>
            <w:vAlign w:val="bottom"/>
            <w:shd w:val="clear" w:color="auto" w:fill="F1EFEC"/>
          </w:tcPr>
          <w:p>
            <w:pPr>
              <w:ind w:left="40"/>
              <w:spacing w:after="0"/>
              <w:rPr>
                <w:sz w:val="20"/>
                <w:szCs w:val="20"/>
                <w:color w:val="auto"/>
              </w:rPr>
            </w:pPr>
            <w:r>
              <w:rPr>
                <w:rFonts w:ascii="Arial" w:cs="Arial" w:eastAsia="Arial" w:hAnsi="Arial"/>
                <w:sz w:val="11"/>
                <w:szCs w:val="11"/>
                <w:color w:val="auto"/>
              </w:rPr>
              <w:t>1/12/23</w:t>
            </w:r>
          </w:p>
        </w:tc>
        <w:tc>
          <w:tcPr>
            <w:tcW w:w="560" w:type="dxa"/>
            <w:vAlign w:val="bottom"/>
            <w:shd w:val="clear" w:color="auto" w:fill="F1EFEC"/>
          </w:tcPr>
          <w:p>
            <w:pPr>
              <w:ind w:left="100"/>
              <w:spacing w:after="0"/>
              <w:rPr>
                <w:sz w:val="20"/>
                <w:szCs w:val="20"/>
                <w:color w:val="auto"/>
              </w:rPr>
            </w:pPr>
            <w:r>
              <w:rPr>
                <w:rFonts w:ascii="Arial" w:cs="Arial" w:eastAsia="Arial" w:hAnsi="Arial"/>
                <w:sz w:val="11"/>
                <w:szCs w:val="11"/>
                <w:color w:val="auto"/>
              </w:rPr>
              <w:t>2/28/26</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3-years ending</w:t>
            </w:r>
          </w:p>
        </w:tc>
        <w:tc>
          <w:tcPr>
            <w:tcW w:w="3300" w:type="dxa"/>
            <w:vAlign w:val="bottom"/>
            <w:shd w:val="clear" w:color="auto" w:fill="F1EFEC"/>
          </w:tcPr>
          <w:p>
            <w:pPr>
              <w:ind w:left="80"/>
              <w:spacing w:after="0"/>
              <w:rPr>
                <w:sz w:val="20"/>
                <w:szCs w:val="20"/>
                <w:color w:val="auto"/>
              </w:rPr>
            </w:pPr>
            <w:r>
              <w:rPr>
                <w:rFonts w:ascii="Arial" w:cs="Arial" w:eastAsia="Arial" w:hAnsi="Arial"/>
                <w:sz w:val="11"/>
                <w:szCs w:val="11"/>
                <w:color w:val="auto"/>
              </w:rPr>
              <w:t>Las Vegas Operations Revenue Fair Share of Hotel Rooms (2)</w:t>
            </w:r>
          </w:p>
        </w:tc>
        <w:tc>
          <w:tcPr>
            <w:tcW w:w="86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1.65x</w:t>
            </w:r>
          </w:p>
        </w:tc>
        <w:tc>
          <w:tcPr>
            <w:tcW w:w="98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2.2x</w:t>
            </w:r>
          </w:p>
        </w:tc>
        <w:tc>
          <w:tcPr>
            <w:tcW w:w="720" w:type="dxa"/>
            <w:vAlign w:val="bottom"/>
            <w:shd w:val="clear" w:color="auto" w:fill="F1EFEC"/>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shd w:val="clear" w:color="auto" w:fill="F1EFEC"/>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shd w:val="clear" w:color="auto" w:fill="F1EFEC"/>
          </w:tcPr>
          <w:p>
            <w:pPr>
              <w:spacing w:after="0"/>
              <w:rPr>
                <w:sz w:val="16"/>
                <w:szCs w:val="16"/>
                <w:color w:val="auto"/>
              </w:rPr>
            </w:pPr>
          </w:p>
        </w:tc>
        <w:tc>
          <w:tcPr>
            <w:tcW w:w="560" w:type="dxa"/>
            <w:vAlign w:val="bottom"/>
            <w:shd w:val="clear" w:color="auto" w:fill="F1EFEC"/>
          </w:tcPr>
          <w:p>
            <w:pPr>
              <w:spacing w:after="0"/>
              <w:rPr>
                <w:sz w:val="16"/>
                <w:szCs w:val="16"/>
                <w:color w:val="auto"/>
              </w:rPr>
            </w:pP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12/31/2025</w:t>
            </w:r>
          </w:p>
        </w:tc>
        <w:tc>
          <w:tcPr>
            <w:tcW w:w="3300" w:type="dxa"/>
            <w:vAlign w:val="bottom"/>
            <w:shd w:val="clear" w:color="auto" w:fill="F1EFEC"/>
          </w:tcPr>
          <w:p>
            <w:pPr>
              <w:spacing w:after="0"/>
              <w:rPr>
                <w:sz w:val="16"/>
                <w:szCs w:val="16"/>
                <w:color w:val="auto"/>
              </w:rPr>
            </w:pPr>
          </w:p>
        </w:tc>
        <w:tc>
          <w:tcPr>
            <w:tcW w:w="860" w:type="dxa"/>
            <w:vAlign w:val="bottom"/>
            <w:shd w:val="clear" w:color="auto" w:fill="F1EFEC"/>
          </w:tcPr>
          <w:p>
            <w:pPr>
              <w:spacing w:after="0"/>
              <w:rPr>
                <w:sz w:val="16"/>
                <w:szCs w:val="16"/>
                <w:color w:val="auto"/>
              </w:rPr>
            </w:pPr>
          </w:p>
        </w:tc>
        <w:tc>
          <w:tcPr>
            <w:tcW w:w="980" w:type="dxa"/>
            <w:vAlign w:val="bottom"/>
            <w:shd w:val="clear" w:color="auto" w:fill="F1EFEC"/>
          </w:tcPr>
          <w:p>
            <w:pPr>
              <w:spacing w:after="0"/>
              <w:rPr>
                <w:sz w:val="16"/>
                <w:szCs w:val="16"/>
                <w:color w:val="auto"/>
              </w:rPr>
            </w:pPr>
          </w:p>
        </w:tc>
        <w:tc>
          <w:tcPr>
            <w:tcW w:w="720" w:type="dxa"/>
            <w:vAlign w:val="bottom"/>
            <w:shd w:val="clear" w:color="auto" w:fill="F1EFEC"/>
          </w:tcPr>
          <w:p>
            <w:pPr>
              <w:spacing w:after="0"/>
              <w:rPr>
                <w:sz w:val="16"/>
                <w:szCs w:val="16"/>
                <w:color w:val="auto"/>
              </w:rPr>
            </w:pPr>
          </w:p>
        </w:tc>
        <w:tc>
          <w:tcPr>
            <w:tcW w:w="780" w:type="dxa"/>
            <w:vAlign w:val="bottom"/>
            <w:shd w:val="clear" w:color="auto" w:fill="F1EFEC"/>
          </w:tcPr>
          <w:p>
            <w:pPr>
              <w:spacing w:after="0"/>
              <w:rPr>
                <w:sz w:val="16"/>
                <w:szCs w:val="16"/>
                <w:color w:val="auto"/>
              </w:rPr>
            </w:pPr>
          </w:p>
        </w:tc>
      </w:tr>
      <w:tr>
        <w:trPr>
          <w:trHeight w:val="71"/>
        </w:trPr>
        <w:tc>
          <w:tcPr>
            <w:tcW w:w="500" w:type="dxa"/>
            <w:vAlign w:val="bottom"/>
            <w:shd w:val="clear" w:color="auto" w:fill="F1EFEC"/>
          </w:tcPr>
          <w:p>
            <w:pPr>
              <w:spacing w:after="0"/>
              <w:rPr>
                <w:sz w:val="6"/>
                <w:szCs w:val="6"/>
                <w:color w:val="auto"/>
              </w:rPr>
            </w:pPr>
          </w:p>
        </w:tc>
        <w:tc>
          <w:tcPr>
            <w:tcW w:w="560" w:type="dxa"/>
            <w:vAlign w:val="bottom"/>
            <w:shd w:val="clear" w:color="auto" w:fill="F1EFEC"/>
          </w:tcPr>
          <w:p>
            <w:pPr>
              <w:spacing w:after="0"/>
              <w:rPr>
                <w:sz w:val="6"/>
                <w:szCs w:val="6"/>
                <w:color w:val="auto"/>
              </w:rPr>
            </w:pPr>
          </w:p>
        </w:tc>
        <w:tc>
          <w:tcPr>
            <w:tcW w:w="1040" w:type="dxa"/>
            <w:vAlign w:val="bottom"/>
            <w:shd w:val="clear" w:color="auto" w:fill="F1EFEC"/>
          </w:tcPr>
          <w:p>
            <w:pPr>
              <w:spacing w:after="0"/>
              <w:rPr>
                <w:sz w:val="6"/>
                <w:szCs w:val="6"/>
                <w:color w:val="auto"/>
              </w:rPr>
            </w:pPr>
          </w:p>
        </w:tc>
        <w:tc>
          <w:tcPr>
            <w:tcW w:w="3300" w:type="dxa"/>
            <w:vAlign w:val="bottom"/>
            <w:shd w:val="clear" w:color="auto" w:fill="F1EFEC"/>
          </w:tcPr>
          <w:p>
            <w:pPr>
              <w:spacing w:after="0"/>
              <w:rPr>
                <w:sz w:val="6"/>
                <w:szCs w:val="6"/>
                <w:color w:val="auto"/>
              </w:rPr>
            </w:pPr>
          </w:p>
        </w:tc>
        <w:tc>
          <w:tcPr>
            <w:tcW w:w="860" w:type="dxa"/>
            <w:vAlign w:val="bottom"/>
            <w:shd w:val="clear" w:color="auto" w:fill="F1EFEC"/>
          </w:tcPr>
          <w:p>
            <w:pPr>
              <w:spacing w:after="0"/>
              <w:rPr>
                <w:sz w:val="6"/>
                <w:szCs w:val="6"/>
                <w:color w:val="auto"/>
              </w:rPr>
            </w:pPr>
          </w:p>
        </w:tc>
        <w:tc>
          <w:tcPr>
            <w:tcW w:w="980" w:type="dxa"/>
            <w:vAlign w:val="bottom"/>
            <w:shd w:val="clear" w:color="auto" w:fill="F1EFEC"/>
          </w:tcPr>
          <w:p>
            <w:pPr>
              <w:spacing w:after="0"/>
              <w:rPr>
                <w:sz w:val="6"/>
                <w:szCs w:val="6"/>
                <w:color w:val="auto"/>
              </w:rPr>
            </w:pPr>
          </w:p>
        </w:tc>
        <w:tc>
          <w:tcPr>
            <w:tcW w:w="720" w:type="dxa"/>
            <w:vAlign w:val="bottom"/>
            <w:shd w:val="clear" w:color="auto" w:fill="F1EFEC"/>
          </w:tcPr>
          <w:p>
            <w:pPr>
              <w:spacing w:after="0"/>
              <w:rPr>
                <w:sz w:val="6"/>
                <w:szCs w:val="6"/>
                <w:color w:val="auto"/>
              </w:rPr>
            </w:pPr>
          </w:p>
        </w:tc>
        <w:tc>
          <w:tcPr>
            <w:tcW w:w="780" w:type="dxa"/>
            <w:vAlign w:val="bottom"/>
            <w:shd w:val="clear" w:color="auto" w:fill="F1EFEC"/>
          </w:tcPr>
          <w:p>
            <w:pPr>
              <w:spacing w:after="0"/>
              <w:rPr>
                <w:sz w:val="6"/>
                <w:szCs w:val="6"/>
                <w:color w:val="auto"/>
              </w:rPr>
            </w:pPr>
          </w:p>
        </w:tc>
      </w:tr>
      <w:tr>
        <w:trPr>
          <w:trHeight w:val="229"/>
        </w:trPr>
        <w:tc>
          <w:tcPr>
            <w:tcW w:w="500" w:type="dxa"/>
            <w:vAlign w:val="bottom"/>
          </w:tcPr>
          <w:p>
            <w:pPr>
              <w:ind w:left="40"/>
              <w:spacing w:after="0"/>
              <w:rPr>
                <w:sz w:val="20"/>
                <w:szCs w:val="20"/>
                <w:color w:val="auto"/>
              </w:rPr>
            </w:pPr>
            <w:r>
              <w:rPr>
                <w:rFonts w:ascii="Arial" w:cs="Arial" w:eastAsia="Arial" w:hAnsi="Arial"/>
                <w:sz w:val="11"/>
                <w:szCs w:val="11"/>
                <w:color w:val="auto"/>
              </w:rPr>
              <w:t>1/12/23</w:t>
            </w:r>
          </w:p>
        </w:tc>
        <w:tc>
          <w:tcPr>
            <w:tcW w:w="560" w:type="dxa"/>
            <w:vAlign w:val="bottom"/>
          </w:tcPr>
          <w:p>
            <w:pPr>
              <w:ind w:left="100"/>
              <w:spacing w:after="0"/>
              <w:rPr>
                <w:sz w:val="20"/>
                <w:szCs w:val="20"/>
                <w:color w:val="auto"/>
              </w:rPr>
            </w:pPr>
            <w:r>
              <w:rPr>
                <w:rFonts w:ascii="Arial" w:cs="Arial" w:eastAsia="Arial" w:hAnsi="Arial"/>
                <w:sz w:val="11"/>
                <w:szCs w:val="11"/>
                <w:color w:val="auto"/>
              </w:rPr>
              <w:t>2/28/26</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3-years ending</w:t>
            </w:r>
          </w:p>
        </w:tc>
        <w:tc>
          <w:tcPr>
            <w:tcW w:w="3300" w:type="dxa"/>
            <w:vAlign w:val="bottom"/>
          </w:tcPr>
          <w:p>
            <w:pPr>
              <w:ind w:left="80"/>
              <w:spacing w:after="0"/>
              <w:rPr>
                <w:sz w:val="20"/>
                <w:szCs w:val="20"/>
                <w:color w:val="auto"/>
              </w:rPr>
            </w:pPr>
            <w:r>
              <w:rPr>
                <w:rFonts w:ascii="Arial" w:cs="Arial" w:eastAsia="Arial" w:hAnsi="Arial"/>
                <w:sz w:val="11"/>
                <w:szCs w:val="11"/>
                <w:color w:val="auto"/>
              </w:rPr>
              <w:t>Las Vegas Operations Adjusted Property EBITDAR (4) Fair</w:t>
            </w:r>
          </w:p>
        </w:tc>
        <w:tc>
          <w:tcPr>
            <w:tcW w:w="860" w:type="dxa"/>
            <w:vAlign w:val="bottom"/>
          </w:tcPr>
          <w:p>
            <w:pPr>
              <w:jc w:val="center"/>
              <w:spacing w:after="0"/>
              <w:rPr>
                <w:sz w:val="20"/>
                <w:szCs w:val="20"/>
                <w:color w:val="auto"/>
              </w:rPr>
            </w:pPr>
            <w:r>
              <w:rPr>
                <w:rFonts w:ascii="Arial" w:cs="Arial" w:eastAsia="Arial" w:hAnsi="Arial"/>
                <w:sz w:val="11"/>
                <w:szCs w:val="11"/>
                <w:color w:val="auto"/>
              </w:rPr>
              <w:t>1.5x</w:t>
            </w:r>
          </w:p>
        </w:tc>
        <w:tc>
          <w:tcPr>
            <w:tcW w:w="980" w:type="dxa"/>
            <w:vAlign w:val="bottom"/>
          </w:tcPr>
          <w:p>
            <w:pPr>
              <w:jc w:val="center"/>
              <w:spacing w:after="0"/>
              <w:rPr>
                <w:sz w:val="20"/>
                <w:szCs w:val="20"/>
                <w:color w:val="auto"/>
              </w:rPr>
            </w:pPr>
            <w:r>
              <w:rPr>
                <w:rFonts w:ascii="Arial" w:cs="Arial" w:eastAsia="Arial" w:hAnsi="Arial"/>
                <w:sz w:val="11"/>
                <w:szCs w:val="11"/>
                <w:color w:val="auto"/>
              </w:rPr>
              <w:t>2.1x</w:t>
            </w:r>
          </w:p>
        </w:tc>
        <w:tc>
          <w:tcPr>
            <w:tcW w:w="720" w:type="dxa"/>
            <w:vAlign w:val="bottom"/>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12/31/2025</w:t>
            </w:r>
          </w:p>
        </w:tc>
        <w:tc>
          <w:tcPr>
            <w:tcW w:w="3300" w:type="dxa"/>
            <w:vAlign w:val="bottom"/>
          </w:tcPr>
          <w:p>
            <w:pPr>
              <w:ind w:left="80"/>
              <w:spacing w:after="0"/>
              <w:rPr>
                <w:sz w:val="20"/>
                <w:szCs w:val="20"/>
                <w:color w:val="auto"/>
              </w:rPr>
            </w:pPr>
            <w:r>
              <w:rPr>
                <w:rFonts w:ascii="Arial" w:cs="Arial" w:eastAsia="Arial" w:hAnsi="Arial"/>
                <w:sz w:val="11"/>
                <w:szCs w:val="11"/>
                <w:color w:val="auto"/>
              </w:rPr>
              <w:t>Share of Hotel Rooms (2)</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1"/>
        </w:trPr>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29"/>
        </w:trPr>
        <w:tc>
          <w:tcPr>
            <w:tcW w:w="500" w:type="dxa"/>
            <w:vAlign w:val="bottom"/>
            <w:shd w:val="clear" w:color="auto" w:fill="F1EFEC"/>
          </w:tcPr>
          <w:p>
            <w:pPr>
              <w:ind w:left="40"/>
              <w:spacing w:after="0"/>
              <w:rPr>
                <w:sz w:val="20"/>
                <w:szCs w:val="20"/>
                <w:color w:val="auto"/>
              </w:rPr>
            </w:pPr>
            <w:r>
              <w:rPr>
                <w:rFonts w:ascii="Arial" w:cs="Arial" w:eastAsia="Arial" w:hAnsi="Arial"/>
                <w:sz w:val="11"/>
                <w:szCs w:val="11"/>
                <w:color w:val="auto"/>
              </w:rPr>
              <w:t>1/9/24</w:t>
            </w:r>
          </w:p>
        </w:tc>
        <w:tc>
          <w:tcPr>
            <w:tcW w:w="560" w:type="dxa"/>
            <w:vAlign w:val="bottom"/>
            <w:shd w:val="clear" w:color="auto" w:fill="F1EFEC"/>
          </w:tcPr>
          <w:p>
            <w:pPr>
              <w:ind w:left="100"/>
              <w:spacing w:after="0"/>
              <w:rPr>
                <w:sz w:val="20"/>
                <w:szCs w:val="20"/>
                <w:color w:val="auto"/>
              </w:rPr>
            </w:pPr>
            <w:r>
              <w:rPr>
                <w:rFonts w:ascii="Arial" w:cs="Arial" w:eastAsia="Arial" w:hAnsi="Arial"/>
                <w:sz w:val="11"/>
                <w:szCs w:val="11"/>
                <w:color w:val="auto"/>
              </w:rPr>
              <w:t>2/28/26</w:t>
            </w: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2-year ending</w:t>
            </w:r>
          </w:p>
        </w:tc>
        <w:tc>
          <w:tcPr>
            <w:tcW w:w="3300" w:type="dxa"/>
            <w:vAlign w:val="bottom"/>
            <w:shd w:val="clear" w:color="auto" w:fill="F1EFEC"/>
          </w:tcPr>
          <w:p>
            <w:pPr>
              <w:ind w:left="80"/>
              <w:spacing w:after="0"/>
              <w:rPr>
                <w:sz w:val="20"/>
                <w:szCs w:val="20"/>
                <w:color w:val="auto"/>
              </w:rPr>
            </w:pPr>
            <w:r>
              <w:rPr>
                <w:rFonts w:ascii="Arial" w:cs="Arial" w:eastAsia="Arial" w:hAnsi="Arial"/>
                <w:sz w:val="11"/>
                <w:szCs w:val="11"/>
                <w:color w:val="auto"/>
              </w:rPr>
              <w:t>Las Vegas Operations Revenue Fair Share of Hotel Rooms (2)</w:t>
            </w:r>
          </w:p>
        </w:tc>
        <w:tc>
          <w:tcPr>
            <w:tcW w:w="86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1.65x</w:t>
            </w:r>
          </w:p>
        </w:tc>
        <w:tc>
          <w:tcPr>
            <w:tcW w:w="98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2.2x</w:t>
            </w:r>
          </w:p>
        </w:tc>
        <w:tc>
          <w:tcPr>
            <w:tcW w:w="720" w:type="dxa"/>
            <w:vAlign w:val="bottom"/>
            <w:shd w:val="clear" w:color="auto" w:fill="F1EFEC"/>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shd w:val="clear" w:color="auto" w:fill="F1EFEC"/>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shd w:val="clear" w:color="auto" w:fill="F1EFEC"/>
          </w:tcPr>
          <w:p>
            <w:pPr>
              <w:spacing w:after="0"/>
              <w:rPr>
                <w:sz w:val="16"/>
                <w:szCs w:val="16"/>
                <w:color w:val="auto"/>
              </w:rPr>
            </w:pPr>
          </w:p>
        </w:tc>
        <w:tc>
          <w:tcPr>
            <w:tcW w:w="560" w:type="dxa"/>
            <w:vAlign w:val="bottom"/>
            <w:shd w:val="clear" w:color="auto" w:fill="F1EFEC"/>
          </w:tcPr>
          <w:p>
            <w:pPr>
              <w:spacing w:after="0"/>
              <w:rPr>
                <w:sz w:val="16"/>
                <w:szCs w:val="16"/>
                <w:color w:val="auto"/>
              </w:rPr>
            </w:pP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12/31/2025</w:t>
            </w:r>
          </w:p>
        </w:tc>
        <w:tc>
          <w:tcPr>
            <w:tcW w:w="3300" w:type="dxa"/>
            <w:vAlign w:val="bottom"/>
            <w:shd w:val="clear" w:color="auto" w:fill="F1EFEC"/>
          </w:tcPr>
          <w:p>
            <w:pPr>
              <w:spacing w:after="0"/>
              <w:rPr>
                <w:sz w:val="16"/>
                <w:szCs w:val="16"/>
                <w:color w:val="auto"/>
              </w:rPr>
            </w:pPr>
          </w:p>
        </w:tc>
        <w:tc>
          <w:tcPr>
            <w:tcW w:w="860" w:type="dxa"/>
            <w:vAlign w:val="bottom"/>
            <w:shd w:val="clear" w:color="auto" w:fill="F1EFEC"/>
          </w:tcPr>
          <w:p>
            <w:pPr>
              <w:spacing w:after="0"/>
              <w:rPr>
                <w:sz w:val="16"/>
                <w:szCs w:val="16"/>
                <w:color w:val="auto"/>
              </w:rPr>
            </w:pPr>
          </w:p>
        </w:tc>
        <w:tc>
          <w:tcPr>
            <w:tcW w:w="980" w:type="dxa"/>
            <w:vAlign w:val="bottom"/>
            <w:shd w:val="clear" w:color="auto" w:fill="F1EFEC"/>
          </w:tcPr>
          <w:p>
            <w:pPr>
              <w:spacing w:after="0"/>
              <w:rPr>
                <w:sz w:val="16"/>
                <w:szCs w:val="16"/>
                <w:color w:val="auto"/>
              </w:rPr>
            </w:pPr>
          </w:p>
        </w:tc>
        <w:tc>
          <w:tcPr>
            <w:tcW w:w="720" w:type="dxa"/>
            <w:vAlign w:val="bottom"/>
            <w:shd w:val="clear" w:color="auto" w:fill="F1EFEC"/>
          </w:tcPr>
          <w:p>
            <w:pPr>
              <w:spacing w:after="0"/>
              <w:rPr>
                <w:sz w:val="16"/>
                <w:szCs w:val="16"/>
                <w:color w:val="auto"/>
              </w:rPr>
            </w:pPr>
          </w:p>
        </w:tc>
        <w:tc>
          <w:tcPr>
            <w:tcW w:w="780" w:type="dxa"/>
            <w:vAlign w:val="bottom"/>
            <w:shd w:val="clear" w:color="auto" w:fill="F1EFEC"/>
          </w:tcPr>
          <w:p>
            <w:pPr>
              <w:spacing w:after="0"/>
              <w:rPr>
                <w:sz w:val="16"/>
                <w:szCs w:val="16"/>
                <w:color w:val="auto"/>
              </w:rPr>
            </w:pPr>
          </w:p>
        </w:tc>
      </w:tr>
      <w:tr>
        <w:trPr>
          <w:trHeight w:val="71"/>
        </w:trPr>
        <w:tc>
          <w:tcPr>
            <w:tcW w:w="500" w:type="dxa"/>
            <w:vAlign w:val="bottom"/>
            <w:shd w:val="clear" w:color="auto" w:fill="F1EFEC"/>
          </w:tcPr>
          <w:p>
            <w:pPr>
              <w:spacing w:after="0"/>
              <w:rPr>
                <w:sz w:val="6"/>
                <w:szCs w:val="6"/>
                <w:color w:val="auto"/>
              </w:rPr>
            </w:pPr>
          </w:p>
        </w:tc>
        <w:tc>
          <w:tcPr>
            <w:tcW w:w="560" w:type="dxa"/>
            <w:vAlign w:val="bottom"/>
            <w:shd w:val="clear" w:color="auto" w:fill="F1EFEC"/>
          </w:tcPr>
          <w:p>
            <w:pPr>
              <w:spacing w:after="0"/>
              <w:rPr>
                <w:sz w:val="6"/>
                <w:szCs w:val="6"/>
                <w:color w:val="auto"/>
              </w:rPr>
            </w:pPr>
          </w:p>
        </w:tc>
        <w:tc>
          <w:tcPr>
            <w:tcW w:w="1040" w:type="dxa"/>
            <w:vAlign w:val="bottom"/>
            <w:shd w:val="clear" w:color="auto" w:fill="F1EFEC"/>
          </w:tcPr>
          <w:p>
            <w:pPr>
              <w:spacing w:after="0"/>
              <w:rPr>
                <w:sz w:val="6"/>
                <w:szCs w:val="6"/>
                <w:color w:val="auto"/>
              </w:rPr>
            </w:pPr>
          </w:p>
        </w:tc>
        <w:tc>
          <w:tcPr>
            <w:tcW w:w="3300" w:type="dxa"/>
            <w:vAlign w:val="bottom"/>
            <w:shd w:val="clear" w:color="auto" w:fill="F1EFEC"/>
          </w:tcPr>
          <w:p>
            <w:pPr>
              <w:spacing w:after="0"/>
              <w:rPr>
                <w:sz w:val="6"/>
                <w:szCs w:val="6"/>
                <w:color w:val="auto"/>
              </w:rPr>
            </w:pPr>
          </w:p>
        </w:tc>
        <w:tc>
          <w:tcPr>
            <w:tcW w:w="860" w:type="dxa"/>
            <w:vAlign w:val="bottom"/>
            <w:shd w:val="clear" w:color="auto" w:fill="F1EFEC"/>
          </w:tcPr>
          <w:p>
            <w:pPr>
              <w:spacing w:after="0"/>
              <w:rPr>
                <w:sz w:val="6"/>
                <w:szCs w:val="6"/>
                <w:color w:val="auto"/>
              </w:rPr>
            </w:pPr>
          </w:p>
        </w:tc>
        <w:tc>
          <w:tcPr>
            <w:tcW w:w="980" w:type="dxa"/>
            <w:vAlign w:val="bottom"/>
            <w:shd w:val="clear" w:color="auto" w:fill="F1EFEC"/>
          </w:tcPr>
          <w:p>
            <w:pPr>
              <w:spacing w:after="0"/>
              <w:rPr>
                <w:sz w:val="6"/>
                <w:szCs w:val="6"/>
                <w:color w:val="auto"/>
              </w:rPr>
            </w:pPr>
          </w:p>
        </w:tc>
        <w:tc>
          <w:tcPr>
            <w:tcW w:w="720" w:type="dxa"/>
            <w:vAlign w:val="bottom"/>
            <w:shd w:val="clear" w:color="auto" w:fill="F1EFEC"/>
          </w:tcPr>
          <w:p>
            <w:pPr>
              <w:spacing w:after="0"/>
              <w:rPr>
                <w:sz w:val="6"/>
                <w:szCs w:val="6"/>
                <w:color w:val="auto"/>
              </w:rPr>
            </w:pPr>
          </w:p>
        </w:tc>
        <w:tc>
          <w:tcPr>
            <w:tcW w:w="780" w:type="dxa"/>
            <w:vAlign w:val="bottom"/>
            <w:shd w:val="clear" w:color="auto" w:fill="F1EFEC"/>
          </w:tcPr>
          <w:p>
            <w:pPr>
              <w:spacing w:after="0"/>
              <w:rPr>
                <w:sz w:val="6"/>
                <w:szCs w:val="6"/>
                <w:color w:val="auto"/>
              </w:rPr>
            </w:pPr>
          </w:p>
        </w:tc>
      </w:tr>
      <w:tr>
        <w:trPr>
          <w:trHeight w:val="229"/>
        </w:trPr>
        <w:tc>
          <w:tcPr>
            <w:tcW w:w="500" w:type="dxa"/>
            <w:vAlign w:val="bottom"/>
          </w:tcPr>
          <w:p>
            <w:pPr>
              <w:ind w:left="40"/>
              <w:spacing w:after="0"/>
              <w:rPr>
                <w:sz w:val="20"/>
                <w:szCs w:val="20"/>
                <w:color w:val="auto"/>
              </w:rPr>
            </w:pPr>
            <w:r>
              <w:rPr>
                <w:rFonts w:ascii="Arial" w:cs="Arial" w:eastAsia="Arial" w:hAnsi="Arial"/>
                <w:sz w:val="11"/>
                <w:szCs w:val="11"/>
                <w:color w:val="auto"/>
              </w:rPr>
              <w:t>1/9/24</w:t>
            </w:r>
          </w:p>
        </w:tc>
        <w:tc>
          <w:tcPr>
            <w:tcW w:w="560" w:type="dxa"/>
            <w:vAlign w:val="bottom"/>
          </w:tcPr>
          <w:p>
            <w:pPr>
              <w:ind w:left="100"/>
              <w:spacing w:after="0"/>
              <w:rPr>
                <w:sz w:val="20"/>
                <w:szCs w:val="20"/>
                <w:color w:val="auto"/>
              </w:rPr>
            </w:pPr>
            <w:r>
              <w:rPr>
                <w:rFonts w:ascii="Arial" w:cs="Arial" w:eastAsia="Arial" w:hAnsi="Arial"/>
                <w:sz w:val="11"/>
                <w:szCs w:val="11"/>
                <w:color w:val="auto"/>
              </w:rPr>
              <w:t>2/28/26</w:t>
            </w: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2-year ending</w:t>
            </w:r>
          </w:p>
        </w:tc>
        <w:tc>
          <w:tcPr>
            <w:tcW w:w="3300" w:type="dxa"/>
            <w:vAlign w:val="bottom"/>
          </w:tcPr>
          <w:p>
            <w:pPr>
              <w:ind w:left="80"/>
              <w:spacing w:after="0"/>
              <w:rPr>
                <w:sz w:val="20"/>
                <w:szCs w:val="20"/>
                <w:color w:val="auto"/>
              </w:rPr>
            </w:pPr>
            <w:r>
              <w:rPr>
                <w:rFonts w:ascii="Arial" w:cs="Arial" w:eastAsia="Arial" w:hAnsi="Arial"/>
                <w:sz w:val="11"/>
                <w:szCs w:val="11"/>
                <w:color w:val="auto"/>
              </w:rPr>
              <w:t>Las Vegas Operations Adjusted Property EBITDAR (4) Fair</w:t>
            </w:r>
          </w:p>
        </w:tc>
        <w:tc>
          <w:tcPr>
            <w:tcW w:w="860" w:type="dxa"/>
            <w:vAlign w:val="bottom"/>
          </w:tcPr>
          <w:p>
            <w:pPr>
              <w:jc w:val="center"/>
              <w:spacing w:after="0"/>
              <w:rPr>
                <w:sz w:val="20"/>
                <w:szCs w:val="20"/>
                <w:color w:val="auto"/>
              </w:rPr>
            </w:pPr>
            <w:r>
              <w:rPr>
                <w:rFonts w:ascii="Arial" w:cs="Arial" w:eastAsia="Arial" w:hAnsi="Arial"/>
                <w:sz w:val="11"/>
                <w:szCs w:val="11"/>
                <w:color w:val="auto"/>
              </w:rPr>
              <w:t>1.5x</w:t>
            </w:r>
          </w:p>
        </w:tc>
        <w:tc>
          <w:tcPr>
            <w:tcW w:w="980" w:type="dxa"/>
            <w:vAlign w:val="bottom"/>
          </w:tcPr>
          <w:p>
            <w:pPr>
              <w:jc w:val="center"/>
              <w:spacing w:after="0"/>
              <w:rPr>
                <w:sz w:val="20"/>
                <w:szCs w:val="20"/>
                <w:color w:val="auto"/>
              </w:rPr>
            </w:pPr>
            <w:r>
              <w:rPr>
                <w:rFonts w:ascii="Arial" w:cs="Arial" w:eastAsia="Arial" w:hAnsi="Arial"/>
                <w:sz w:val="11"/>
                <w:szCs w:val="11"/>
                <w:color w:val="auto"/>
              </w:rPr>
              <w:t>2.1x</w:t>
            </w:r>
          </w:p>
        </w:tc>
        <w:tc>
          <w:tcPr>
            <w:tcW w:w="720" w:type="dxa"/>
            <w:vAlign w:val="bottom"/>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12/31/2025</w:t>
            </w:r>
          </w:p>
        </w:tc>
        <w:tc>
          <w:tcPr>
            <w:tcW w:w="3300" w:type="dxa"/>
            <w:vAlign w:val="bottom"/>
          </w:tcPr>
          <w:p>
            <w:pPr>
              <w:ind w:left="80"/>
              <w:spacing w:after="0"/>
              <w:rPr>
                <w:sz w:val="20"/>
                <w:szCs w:val="20"/>
                <w:color w:val="auto"/>
              </w:rPr>
            </w:pPr>
            <w:r>
              <w:rPr>
                <w:rFonts w:ascii="Arial" w:cs="Arial" w:eastAsia="Arial" w:hAnsi="Arial"/>
                <w:sz w:val="11"/>
                <w:szCs w:val="11"/>
                <w:color w:val="auto"/>
              </w:rPr>
              <w:t>Share of Hotel Rooms (2)</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1"/>
        </w:trPr>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29"/>
        </w:trPr>
        <w:tc>
          <w:tcPr>
            <w:tcW w:w="500" w:type="dxa"/>
            <w:vAlign w:val="bottom"/>
            <w:shd w:val="clear" w:color="auto" w:fill="F1EFEC"/>
          </w:tcPr>
          <w:p>
            <w:pPr>
              <w:ind w:left="40"/>
              <w:spacing w:after="0"/>
              <w:rPr>
                <w:sz w:val="20"/>
                <w:szCs w:val="20"/>
                <w:color w:val="auto"/>
              </w:rPr>
            </w:pPr>
            <w:r>
              <w:rPr>
                <w:rFonts w:ascii="Arial" w:cs="Arial" w:eastAsia="Arial" w:hAnsi="Arial"/>
                <w:sz w:val="11"/>
                <w:szCs w:val="11"/>
                <w:color w:val="auto"/>
              </w:rPr>
              <w:t>1/7/25</w:t>
            </w:r>
          </w:p>
        </w:tc>
        <w:tc>
          <w:tcPr>
            <w:tcW w:w="560" w:type="dxa"/>
            <w:vAlign w:val="bottom"/>
            <w:shd w:val="clear" w:color="auto" w:fill="F1EFEC"/>
          </w:tcPr>
          <w:p>
            <w:pPr>
              <w:ind w:left="100"/>
              <w:spacing w:after="0"/>
              <w:rPr>
                <w:sz w:val="20"/>
                <w:szCs w:val="20"/>
                <w:color w:val="auto"/>
              </w:rPr>
            </w:pPr>
            <w:r>
              <w:rPr>
                <w:rFonts w:ascii="Arial" w:cs="Arial" w:eastAsia="Arial" w:hAnsi="Arial"/>
                <w:sz w:val="11"/>
                <w:szCs w:val="11"/>
                <w:color w:val="auto"/>
              </w:rPr>
              <w:t>2/28/26</w:t>
            </w: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1-year ending</w:t>
            </w:r>
          </w:p>
        </w:tc>
        <w:tc>
          <w:tcPr>
            <w:tcW w:w="3300" w:type="dxa"/>
            <w:vAlign w:val="bottom"/>
            <w:shd w:val="clear" w:color="auto" w:fill="F1EFEC"/>
          </w:tcPr>
          <w:p>
            <w:pPr>
              <w:ind w:left="80"/>
              <w:spacing w:after="0"/>
              <w:rPr>
                <w:sz w:val="20"/>
                <w:szCs w:val="20"/>
                <w:color w:val="auto"/>
              </w:rPr>
            </w:pPr>
            <w:r>
              <w:rPr>
                <w:rFonts w:ascii="Arial" w:cs="Arial" w:eastAsia="Arial" w:hAnsi="Arial"/>
                <w:sz w:val="11"/>
                <w:szCs w:val="11"/>
                <w:color w:val="auto"/>
              </w:rPr>
              <w:t>Las Vegas Operations Revenue Fair Share of Hotel Rooms (2)</w:t>
            </w:r>
          </w:p>
        </w:tc>
        <w:tc>
          <w:tcPr>
            <w:tcW w:w="86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1.65x</w:t>
            </w:r>
          </w:p>
        </w:tc>
        <w:tc>
          <w:tcPr>
            <w:tcW w:w="98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2.2x</w:t>
            </w:r>
          </w:p>
        </w:tc>
        <w:tc>
          <w:tcPr>
            <w:tcW w:w="720" w:type="dxa"/>
            <w:vAlign w:val="bottom"/>
            <w:shd w:val="clear" w:color="auto" w:fill="F1EFEC"/>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shd w:val="clear" w:color="auto" w:fill="F1EFEC"/>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shd w:val="clear" w:color="auto" w:fill="F1EFEC"/>
          </w:tcPr>
          <w:p>
            <w:pPr>
              <w:spacing w:after="0"/>
              <w:rPr>
                <w:sz w:val="16"/>
                <w:szCs w:val="16"/>
                <w:color w:val="auto"/>
              </w:rPr>
            </w:pPr>
          </w:p>
        </w:tc>
        <w:tc>
          <w:tcPr>
            <w:tcW w:w="560" w:type="dxa"/>
            <w:vAlign w:val="bottom"/>
            <w:shd w:val="clear" w:color="auto" w:fill="F1EFEC"/>
          </w:tcPr>
          <w:p>
            <w:pPr>
              <w:spacing w:after="0"/>
              <w:rPr>
                <w:sz w:val="16"/>
                <w:szCs w:val="16"/>
                <w:color w:val="auto"/>
              </w:rPr>
            </w:pPr>
          </w:p>
        </w:tc>
        <w:tc>
          <w:tcPr>
            <w:tcW w:w="1040" w:type="dxa"/>
            <w:vAlign w:val="bottom"/>
            <w:shd w:val="clear" w:color="auto" w:fill="F1EFEC"/>
          </w:tcPr>
          <w:p>
            <w:pPr>
              <w:jc w:val="center"/>
              <w:ind w:left="3"/>
              <w:spacing w:after="0"/>
              <w:rPr>
                <w:sz w:val="20"/>
                <w:szCs w:val="20"/>
                <w:color w:val="auto"/>
              </w:rPr>
            </w:pPr>
            <w:r>
              <w:rPr>
                <w:rFonts w:ascii="Arial" w:cs="Arial" w:eastAsia="Arial" w:hAnsi="Arial"/>
                <w:sz w:val="11"/>
                <w:szCs w:val="11"/>
                <w:color w:val="auto"/>
              </w:rPr>
              <w:t>12/31/2025</w:t>
            </w:r>
          </w:p>
        </w:tc>
        <w:tc>
          <w:tcPr>
            <w:tcW w:w="3300" w:type="dxa"/>
            <w:vAlign w:val="bottom"/>
            <w:shd w:val="clear" w:color="auto" w:fill="F1EFEC"/>
          </w:tcPr>
          <w:p>
            <w:pPr>
              <w:spacing w:after="0"/>
              <w:rPr>
                <w:sz w:val="16"/>
                <w:szCs w:val="16"/>
                <w:color w:val="auto"/>
              </w:rPr>
            </w:pPr>
          </w:p>
        </w:tc>
        <w:tc>
          <w:tcPr>
            <w:tcW w:w="860" w:type="dxa"/>
            <w:vAlign w:val="bottom"/>
            <w:shd w:val="clear" w:color="auto" w:fill="F1EFEC"/>
          </w:tcPr>
          <w:p>
            <w:pPr>
              <w:spacing w:after="0"/>
              <w:rPr>
                <w:sz w:val="16"/>
                <w:szCs w:val="16"/>
                <w:color w:val="auto"/>
              </w:rPr>
            </w:pPr>
          </w:p>
        </w:tc>
        <w:tc>
          <w:tcPr>
            <w:tcW w:w="980" w:type="dxa"/>
            <w:vAlign w:val="bottom"/>
            <w:shd w:val="clear" w:color="auto" w:fill="F1EFEC"/>
          </w:tcPr>
          <w:p>
            <w:pPr>
              <w:spacing w:after="0"/>
              <w:rPr>
                <w:sz w:val="16"/>
                <w:szCs w:val="16"/>
                <w:color w:val="auto"/>
              </w:rPr>
            </w:pPr>
          </w:p>
        </w:tc>
        <w:tc>
          <w:tcPr>
            <w:tcW w:w="720" w:type="dxa"/>
            <w:vAlign w:val="bottom"/>
            <w:shd w:val="clear" w:color="auto" w:fill="F1EFEC"/>
          </w:tcPr>
          <w:p>
            <w:pPr>
              <w:spacing w:after="0"/>
              <w:rPr>
                <w:sz w:val="16"/>
                <w:szCs w:val="16"/>
                <w:color w:val="auto"/>
              </w:rPr>
            </w:pPr>
          </w:p>
        </w:tc>
        <w:tc>
          <w:tcPr>
            <w:tcW w:w="780" w:type="dxa"/>
            <w:vAlign w:val="bottom"/>
            <w:shd w:val="clear" w:color="auto" w:fill="F1EFEC"/>
          </w:tcPr>
          <w:p>
            <w:pPr>
              <w:spacing w:after="0"/>
              <w:rPr>
                <w:sz w:val="16"/>
                <w:szCs w:val="16"/>
                <w:color w:val="auto"/>
              </w:rPr>
            </w:pPr>
          </w:p>
        </w:tc>
      </w:tr>
      <w:tr>
        <w:trPr>
          <w:trHeight w:val="71"/>
        </w:trPr>
        <w:tc>
          <w:tcPr>
            <w:tcW w:w="500" w:type="dxa"/>
            <w:vAlign w:val="bottom"/>
            <w:shd w:val="clear" w:color="auto" w:fill="F1EFEC"/>
          </w:tcPr>
          <w:p>
            <w:pPr>
              <w:spacing w:after="0"/>
              <w:rPr>
                <w:sz w:val="6"/>
                <w:szCs w:val="6"/>
                <w:color w:val="auto"/>
              </w:rPr>
            </w:pPr>
          </w:p>
        </w:tc>
        <w:tc>
          <w:tcPr>
            <w:tcW w:w="560" w:type="dxa"/>
            <w:vAlign w:val="bottom"/>
            <w:shd w:val="clear" w:color="auto" w:fill="F1EFEC"/>
          </w:tcPr>
          <w:p>
            <w:pPr>
              <w:spacing w:after="0"/>
              <w:rPr>
                <w:sz w:val="6"/>
                <w:szCs w:val="6"/>
                <w:color w:val="auto"/>
              </w:rPr>
            </w:pPr>
          </w:p>
        </w:tc>
        <w:tc>
          <w:tcPr>
            <w:tcW w:w="1040" w:type="dxa"/>
            <w:vAlign w:val="bottom"/>
            <w:shd w:val="clear" w:color="auto" w:fill="F1EFEC"/>
          </w:tcPr>
          <w:p>
            <w:pPr>
              <w:spacing w:after="0"/>
              <w:rPr>
                <w:sz w:val="6"/>
                <w:szCs w:val="6"/>
                <w:color w:val="auto"/>
              </w:rPr>
            </w:pPr>
          </w:p>
        </w:tc>
        <w:tc>
          <w:tcPr>
            <w:tcW w:w="3300" w:type="dxa"/>
            <w:vAlign w:val="bottom"/>
            <w:shd w:val="clear" w:color="auto" w:fill="F1EFEC"/>
          </w:tcPr>
          <w:p>
            <w:pPr>
              <w:spacing w:after="0"/>
              <w:rPr>
                <w:sz w:val="6"/>
                <w:szCs w:val="6"/>
                <w:color w:val="auto"/>
              </w:rPr>
            </w:pPr>
          </w:p>
        </w:tc>
        <w:tc>
          <w:tcPr>
            <w:tcW w:w="860" w:type="dxa"/>
            <w:vAlign w:val="bottom"/>
            <w:shd w:val="clear" w:color="auto" w:fill="F1EFEC"/>
          </w:tcPr>
          <w:p>
            <w:pPr>
              <w:spacing w:after="0"/>
              <w:rPr>
                <w:sz w:val="6"/>
                <w:szCs w:val="6"/>
                <w:color w:val="auto"/>
              </w:rPr>
            </w:pPr>
          </w:p>
        </w:tc>
        <w:tc>
          <w:tcPr>
            <w:tcW w:w="980" w:type="dxa"/>
            <w:vAlign w:val="bottom"/>
            <w:shd w:val="clear" w:color="auto" w:fill="F1EFEC"/>
          </w:tcPr>
          <w:p>
            <w:pPr>
              <w:spacing w:after="0"/>
              <w:rPr>
                <w:sz w:val="6"/>
                <w:szCs w:val="6"/>
                <w:color w:val="auto"/>
              </w:rPr>
            </w:pPr>
          </w:p>
        </w:tc>
        <w:tc>
          <w:tcPr>
            <w:tcW w:w="720" w:type="dxa"/>
            <w:vAlign w:val="bottom"/>
            <w:shd w:val="clear" w:color="auto" w:fill="F1EFEC"/>
          </w:tcPr>
          <w:p>
            <w:pPr>
              <w:spacing w:after="0"/>
              <w:rPr>
                <w:sz w:val="6"/>
                <w:szCs w:val="6"/>
                <w:color w:val="auto"/>
              </w:rPr>
            </w:pPr>
          </w:p>
        </w:tc>
        <w:tc>
          <w:tcPr>
            <w:tcW w:w="780" w:type="dxa"/>
            <w:vAlign w:val="bottom"/>
            <w:shd w:val="clear" w:color="auto" w:fill="F1EFEC"/>
          </w:tcPr>
          <w:p>
            <w:pPr>
              <w:spacing w:after="0"/>
              <w:rPr>
                <w:sz w:val="6"/>
                <w:szCs w:val="6"/>
                <w:color w:val="auto"/>
              </w:rPr>
            </w:pPr>
          </w:p>
        </w:tc>
      </w:tr>
      <w:tr>
        <w:trPr>
          <w:trHeight w:val="229"/>
        </w:trPr>
        <w:tc>
          <w:tcPr>
            <w:tcW w:w="500" w:type="dxa"/>
            <w:vAlign w:val="bottom"/>
          </w:tcPr>
          <w:p>
            <w:pPr>
              <w:ind w:left="40"/>
              <w:spacing w:after="0"/>
              <w:rPr>
                <w:sz w:val="20"/>
                <w:szCs w:val="20"/>
                <w:color w:val="auto"/>
              </w:rPr>
            </w:pPr>
            <w:r>
              <w:rPr>
                <w:rFonts w:ascii="Arial" w:cs="Arial" w:eastAsia="Arial" w:hAnsi="Arial"/>
                <w:sz w:val="11"/>
                <w:szCs w:val="11"/>
                <w:color w:val="auto"/>
              </w:rPr>
              <w:t>1/7/25</w:t>
            </w:r>
          </w:p>
        </w:tc>
        <w:tc>
          <w:tcPr>
            <w:tcW w:w="560" w:type="dxa"/>
            <w:vAlign w:val="bottom"/>
          </w:tcPr>
          <w:p>
            <w:pPr>
              <w:ind w:left="100"/>
              <w:spacing w:after="0"/>
              <w:rPr>
                <w:sz w:val="20"/>
                <w:szCs w:val="20"/>
                <w:color w:val="auto"/>
              </w:rPr>
            </w:pPr>
            <w:r>
              <w:rPr>
                <w:rFonts w:ascii="Arial" w:cs="Arial" w:eastAsia="Arial" w:hAnsi="Arial"/>
                <w:sz w:val="11"/>
                <w:szCs w:val="11"/>
                <w:color w:val="auto"/>
              </w:rPr>
              <w:t>2/28/26</w:t>
            </w: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1-year ending</w:t>
            </w:r>
          </w:p>
        </w:tc>
        <w:tc>
          <w:tcPr>
            <w:tcW w:w="3300" w:type="dxa"/>
            <w:vAlign w:val="bottom"/>
          </w:tcPr>
          <w:p>
            <w:pPr>
              <w:ind w:left="80"/>
              <w:spacing w:after="0"/>
              <w:rPr>
                <w:sz w:val="20"/>
                <w:szCs w:val="20"/>
                <w:color w:val="auto"/>
              </w:rPr>
            </w:pPr>
            <w:r>
              <w:rPr>
                <w:rFonts w:ascii="Arial" w:cs="Arial" w:eastAsia="Arial" w:hAnsi="Arial"/>
                <w:sz w:val="11"/>
                <w:szCs w:val="11"/>
                <w:color w:val="auto"/>
              </w:rPr>
              <w:t>Las Vegas Operations Adjusted Property EBITDAR (4) Fair</w:t>
            </w:r>
          </w:p>
        </w:tc>
        <w:tc>
          <w:tcPr>
            <w:tcW w:w="860" w:type="dxa"/>
            <w:vAlign w:val="bottom"/>
          </w:tcPr>
          <w:p>
            <w:pPr>
              <w:jc w:val="center"/>
              <w:spacing w:after="0"/>
              <w:rPr>
                <w:sz w:val="20"/>
                <w:szCs w:val="20"/>
                <w:color w:val="auto"/>
              </w:rPr>
            </w:pPr>
            <w:r>
              <w:rPr>
                <w:rFonts w:ascii="Arial" w:cs="Arial" w:eastAsia="Arial" w:hAnsi="Arial"/>
                <w:sz w:val="11"/>
                <w:szCs w:val="11"/>
                <w:color w:val="auto"/>
              </w:rPr>
              <w:t>1.5x</w:t>
            </w:r>
          </w:p>
        </w:tc>
        <w:tc>
          <w:tcPr>
            <w:tcW w:w="980" w:type="dxa"/>
            <w:vAlign w:val="bottom"/>
          </w:tcPr>
          <w:p>
            <w:pPr>
              <w:jc w:val="center"/>
              <w:spacing w:after="0"/>
              <w:rPr>
                <w:sz w:val="20"/>
                <w:szCs w:val="20"/>
                <w:color w:val="auto"/>
              </w:rPr>
            </w:pPr>
            <w:r>
              <w:rPr>
                <w:rFonts w:ascii="Arial" w:cs="Arial" w:eastAsia="Arial" w:hAnsi="Arial"/>
                <w:sz w:val="11"/>
                <w:szCs w:val="11"/>
                <w:color w:val="auto"/>
              </w:rPr>
              <w:t>2.2x</w:t>
            </w:r>
          </w:p>
        </w:tc>
        <w:tc>
          <w:tcPr>
            <w:tcW w:w="720" w:type="dxa"/>
            <w:vAlign w:val="bottom"/>
          </w:tcPr>
          <w:p>
            <w:pPr>
              <w:jc w:val="center"/>
              <w:spacing w:after="0"/>
              <w:rPr>
                <w:sz w:val="20"/>
                <w:szCs w:val="20"/>
                <w:color w:val="auto"/>
              </w:rPr>
            </w:pPr>
            <w:r>
              <w:rPr>
                <w:rFonts w:ascii="Arial" w:cs="Arial" w:eastAsia="Arial" w:hAnsi="Arial"/>
                <w:sz w:val="11"/>
                <w:szCs w:val="11"/>
                <w:color w:val="auto"/>
                <w:w w:val="99"/>
              </w:rPr>
              <w:t>Vested</w:t>
            </w:r>
          </w:p>
        </w:tc>
        <w:tc>
          <w:tcPr>
            <w:tcW w:w="780" w:type="dxa"/>
            <w:vAlign w:val="bottom"/>
          </w:tcPr>
          <w:p>
            <w:pPr>
              <w:jc w:val="right"/>
              <w:ind w:right="183"/>
              <w:spacing w:after="0"/>
              <w:rPr>
                <w:sz w:val="20"/>
                <w:szCs w:val="20"/>
                <w:color w:val="auto"/>
              </w:rPr>
            </w:pPr>
            <w:r>
              <w:rPr>
                <w:rFonts w:ascii="Arial" w:cs="Arial" w:eastAsia="Arial" w:hAnsi="Arial"/>
                <w:sz w:val="11"/>
                <w:szCs w:val="11"/>
                <w:color w:val="auto"/>
              </w:rPr>
              <w:t>50%</w:t>
            </w:r>
          </w:p>
        </w:tc>
      </w:tr>
      <w:tr>
        <w:trPr>
          <w:trHeight w:val="193"/>
        </w:trPr>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center"/>
              <w:ind w:left="3"/>
              <w:spacing w:after="0"/>
              <w:rPr>
                <w:sz w:val="20"/>
                <w:szCs w:val="20"/>
                <w:color w:val="auto"/>
              </w:rPr>
            </w:pPr>
            <w:r>
              <w:rPr>
                <w:rFonts w:ascii="Arial" w:cs="Arial" w:eastAsia="Arial" w:hAnsi="Arial"/>
                <w:sz w:val="11"/>
                <w:szCs w:val="11"/>
                <w:color w:val="auto"/>
              </w:rPr>
              <w:t>12/31/2025</w:t>
            </w:r>
          </w:p>
        </w:tc>
        <w:tc>
          <w:tcPr>
            <w:tcW w:w="3300" w:type="dxa"/>
            <w:vAlign w:val="bottom"/>
          </w:tcPr>
          <w:p>
            <w:pPr>
              <w:ind w:left="80"/>
              <w:spacing w:after="0"/>
              <w:rPr>
                <w:sz w:val="20"/>
                <w:szCs w:val="20"/>
                <w:color w:val="auto"/>
              </w:rPr>
            </w:pPr>
            <w:r>
              <w:rPr>
                <w:rFonts w:ascii="Arial" w:cs="Arial" w:eastAsia="Arial" w:hAnsi="Arial"/>
                <w:sz w:val="11"/>
                <w:szCs w:val="11"/>
                <w:color w:val="auto"/>
              </w:rPr>
              <w:t>Share of Hotel Rooms (2)</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142" w:lineRule="exact"/>
        <w:rPr>
          <w:sz w:val="20"/>
          <w:szCs w:val="20"/>
          <w:color w:val="auto"/>
        </w:rPr>
      </w:pPr>
    </w:p>
    <w:p>
      <w:pPr>
        <w:ind w:left="1420" w:hanging="153"/>
        <w:spacing w:after="0"/>
        <w:tabs>
          <w:tab w:leader="none" w:pos="1420" w:val="left"/>
        </w:tabs>
        <w:numPr>
          <w:ilvl w:val="0"/>
          <w:numId w:val="31"/>
        </w:numPr>
        <w:rPr>
          <w:rFonts w:ascii="Arial" w:cs="Arial" w:eastAsia="Arial" w:hAnsi="Arial"/>
          <w:sz w:val="10"/>
          <w:szCs w:val="10"/>
          <w:color w:val="auto"/>
        </w:rPr>
      </w:pPr>
      <w:r>
        <w:rPr>
          <w:rFonts w:ascii="Arial" w:cs="Arial" w:eastAsia="Arial" w:hAnsi="Arial"/>
          <w:sz w:val="10"/>
          <w:szCs w:val="10"/>
          <w:color w:val="auto"/>
        </w:rPr>
        <w:t>Each goal vests such that either 100% of the award vests if the performance target is achieved or 0% of the award vests if the performance target is not achieved.</w:t>
      </w:r>
    </w:p>
    <w:p>
      <w:pPr>
        <w:spacing w:after="0" w:line="78" w:lineRule="exact"/>
        <w:rPr>
          <w:rFonts w:ascii="Arial" w:cs="Arial" w:eastAsia="Arial" w:hAnsi="Arial"/>
          <w:sz w:val="10"/>
          <w:szCs w:val="10"/>
          <w:color w:val="auto"/>
        </w:rPr>
      </w:pPr>
    </w:p>
    <w:p>
      <w:pPr>
        <w:ind w:left="1260" w:right="319" w:firstLine="7"/>
        <w:spacing w:after="0" w:line="260" w:lineRule="auto"/>
        <w:tabs>
          <w:tab w:leader="none" w:pos="1410" w:val="left"/>
        </w:tabs>
        <w:numPr>
          <w:ilvl w:val="0"/>
          <w:numId w:val="31"/>
        </w:numPr>
        <w:rPr>
          <w:rFonts w:ascii="Arial" w:cs="Arial" w:eastAsia="Arial" w:hAnsi="Arial"/>
          <w:sz w:val="10"/>
          <w:szCs w:val="10"/>
          <w:color w:val="auto"/>
        </w:rPr>
      </w:pPr>
      <w:r>
        <w:rPr>
          <w:rFonts w:ascii="Arial" w:cs="Arial" w:eastAsia="Arial" w:hAnsi="Arial"/>
          <w:sz w:val="10"/>
          <w:szCs w:val="10"/>
          <w:color w:val="auto"/>
        </w:rPr>
        <w:t>Represents the share of Las Vegas Operations revenue or Adjusted Property EBITDAR relative to selected Las Vegas Strip peers divided by the Company’s share of hotel rooms among such peers.</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0159"/>
          </w:cols>
          <w:pgMar w:left="300" w:top="412"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339" w:firstLine="7"/>
        <w:spacing w:after="0" w:line="260" w:lineRule="auto"/>
        <w:tabs>
          <w:tab w:leader="none" w:pos="1410" w:val="left"/>
        </w:tabs>
        <w:numPr>
          <w:ilvl w:val="0"/>
          <w:numId w:val="32"/>
        </w:numPr>
        <w:rPr>
          <w:rFonts w:ascii="Arial" w:cs="Arial" w:eastAsia="Arial" w:hAnsi="Arial"/>
          <w:sz w:val="10"/>
          <w:szCs w:val="10"/>
          <w:color w:val="auto"/>
        </w:rPr>
      </w:pPr>
      <w:r>
        <w:rPr>
          <w:rFonts w:ascii="Arial" w:cs="Arial" w:eastAsia="Arial" w:hAnsi="Arial"/>
          <w:sz w:val="10"/>
          <w:szCs w:val="10"/>
          <w:color w:val="auto"/>
        </w:rPr>
        <w:t>Represents the share of Macau Operations GGR or Adjusted Property EBITDAR relative to selected Macau concessionaire peers divided by the Company’s share of gaming positions among such peers.</w:t>
      </w:r>
    </w:p>
    <w:p>
      <w:pPr>
        <w:spacing w:after="0" w:line="51" w:lineRule="exact"/>
        <w:rPr>
          <w:rFonts w:ascii="Arial" w:cs="Arial" w:eastAsia="Arial" w:hAnsi="Arial"/>
          <w:sz w:val="10"/>
          <w:szCs w:val="10"/>
          <w:color w:val="auto"/>
        </w:rPr>
      </w:pPr>
    </w:p>
    <w:p>
      <w:pPr>
        <w:ind w:left="1260" w:right="159" w:firstLine="7"/>
        <w:spacing w:after="0" w:line="234" w:lineRule="auto"/>
        <w:tabs>
          <w:tab w:leader="none" w:pos="1410" w:val="left"/>
        </w:tabs>
        <w:numPr>
          <w:ilvl w:val="0"/>
          <w:numId w:val="32"/>
        </w:numPr>
        <w:rPr>
          <w:rFonts w:ascii="Arial" w:cs="Arial" w:eastAsia="Arial" w:hAnsi="Arial"/>
          <w:sz w:val="10"/>
          <w:szCs w:val="10"/>
          <w:color w:val="auto"/>
        </w:rPr>
      </w:pPr>
      <w:r>
        <w:rPr>
          <w:rFonts w:ascii="Arial" w:cs="Arial" w:eastAsia="Arial" w:hAnsi="Arial"/>
          <w:sz w:val="10"/>
          <w:szCs w:val="10"/>
          <w:color w:val="auto"/>
        </w:rPr>
        <w:t>Adjusted Property EBITDAR is net income before interest, income taxes, depreciation and amortization, pre-opening expenses,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See our Annual Report on Form 10-K for the fiscal year ended December 31, 2025 (Item 8, Note 20—“Segment Information” to our Consolidated Financial Statements) for the definition of “Adjusted Property EBITDAR” and a reconciliation of Adjusted Property EBITDAR to net income attributable to Wynn Resorts.</w:t>
      </w:r>
    </w:p>
    <w:p>
      <w:pPr>
        <w:spacing w:after="0" w:line="231" w:lineRule="exact"/>
        <w:rPr>
          <w:sz w:val="20"/>
          <w:szCs w:val="20"/>
          <w:color w:val="auto"/>
        </w:rPr>
      </w:pPr>
    </w:p>
    <w:p>
      <w:pPr>
        <w:ind w:left="1260" w:right="679"/>
        <w:spacing w:after="0" w:line="253" w:lineRule="auto"/>
        <w:rPr>
          <w:sz w:val="20"/>
          <w:szCs w:val="20"/>
          <w:color w:val="auto"/>
        </w:rPr>
      </w:pPr>
      <w:r>
        <w:rPr>
          <w:rFonts w:ascii="Arial" w:cs="Arial" w:eastAsia="Arial" w:hAnsi="Arial"/>
          <w:sz w:val="16"/>
          <w:szCs w:val="16"/>
          <w:color w:val="B9AFA0"/>
        </w:rPr>
        <w:t>2023 GRANT DATE ABSOLUTE TOTAL SHAREHOLDER RETURN PERFORMANCE AWARD VESTING OUTCOME (VESTED IN 2026)</w:t>
      </w:r>
    </w:p>
    <w:p>
      <w:pPr>
        <w:spacing w:after="0" w:line="133" w:lineRule="exact"/>
        <w:rPr>
          <w:sz w:val="20"/>
          <w:szCs w:val="20"/>
          <w:color w:val="auto"/>
        </w:rPr>
      </w:pPr>
    </w:p>
    <w:p>
      <w:pPr>
        <w:ind w:left="1260" w:right="179"/>
        <w:spacing w:after="0" w:line="246" w:lineRule="auto"/>
        <w:rPr>
          <w:sz w:val="20"/>
          <w:szCs w:val="20"/>
          <w:color w:val="auto"/>
        </w:rPr>
      </w:pPr>
      <w:r>
        <w:rPr>
          <w:rFonts w:ascii="Arial" w:cs="Arial" w:eastAsia="Arial" w:hAnsi="Arial"/>
          <w:sz w:val="13"/>
          <w:szCs w:val="13"/>
          <w:color w:val="auto"/>
        </w:rPr>
        <w:t>In January 2023, the Company granted absolute TSR performance share awards to Mr. Billings and Ms. Cameron-Doe that were scheduled to cliff-vest based on the achievement of the Company’s share price appreciation measured over a three-year performance period ending on January 1, 2026. Following the completion of such performance period, it was determined that the ending 60-day volume weighted-average stock price, including the value of reinvested dividends of $127.19, was equal to a total shareholder return of 81.2% from the original 60-day volume weighted-average stock price of $70.21. As a result, Mr. Billings and Ms. Cameron-Doe each became eligible to receive shares equal to approximately 1.45x the number of shares they would have received at target. Accordingly, Mr. Billings and Ms. Cameron-Doe vested in 30,312 and 5,789 shares, respectively, compared to target shares of 20,916 and 3,994 shares, respectively.</w:t>
      </w:r>
    </w:p>
    <w:p>
      <w:pPr>
        <w:spacing w:after="0" w:line="387"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0159"/>
          </w:cols>
          <w:pgMar w:left="300" w:top="413"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EQUITY AWARD GRANT PRACTICES</w:t>
      </w: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maintain the following equity award granting practices:</w:t>
      </w:r>
    </w:p>
    <w:p>
      <w:pPr>
        <w:spacing w:after="0" w:line="194" w:lineRule="exact"/>
        <w:rPr>
          <w:sz w:val="20"/>
          <w:szCs w:val="20"/>
          <w:color w:val="auto"/>
        </w:rPr>
      </w:pPr>
    </w:p>
    <w:p>
      <w:pPr>
        <w:ind w:left="2120" w:right="499" w:hanging="338"/>
        <w:spacing w:after="0" w:line="271" w:lineRule="auto"/>
        <w:tabs>
          <w:tab w:leader="none" w:pos="21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Company generally does not grant new awards of stock options, stock appreciation rights or similar option-like instruments to its employees and has not granted such an award to its employees since fiscal year 2022.</w:t>
      </w:r>
    </w:p>
    <w:p>
      <w:pPr>
        <w:spacing w:after="0" w:line="155" w:lineRule="exact"/>
        <w:rPr>
          <w:rFonts w:ascii="Arial" w:cs="Arial" w:eastAsia="Arial" w:hAnsi="Arial"/>
          <w:sz w:val="13"/>
          <w:szCs w:val="13"/>
          <w:color w:val="auto"/>
        </w:rPr>
      </w:pPr>
    </w:p>
    <w:p>
      <w:pPr>
        <w:ind w:left="2120" w:right="479" w:hanging="338"/>
        <w:spacing w:after="0" w:line="271" w:lineRule="auto"/>
        <w:tabs>
          <w:tab w:leader="none" w:pos="21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Commencing in fiscal year 2025, our non-employee directors now have the option to choose to receive all or a portion of their annual equity grant in the form of restricted stock or stock options.</w:t>
      </w:r>
    </w:p>
    <w:p>
      <w:pPr>
        <w:spacing w:after="0" w:line="155" w:lineRule="exact"/>
        <w:rPr>
          <w:rFonts w:ascii="Arial" w:cs="Arial" w:eastAsia="Arial" w:hAnsi="Arial"/>
          <w:sz w:val="13"/>
          <w:szCs w:val="13"/>
          <w:color w:val="auto"/>
        </w:rPr>
      </w:pPr>
    </w:p>
    <w:p>
      <w:pPr>
        <w:ind w:left="2120" w:right="339" w:hanging="338"/>
        <w:spacing w:after="0" w:line="256" w:lineRule="auto"/>
        <w:tabs>
          <w:tab w:leader="none" w:pos="21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Annual restricted stock award grants for our employees are approved by the Compensation Committee and granted in January of the applicable fiscal year. Annual equity award grants for our non-employee directors are generally approved and granted in April or May of the applicable fiscal year.</w:t>
      </w:r>
    </w:p>
    <w:p>
      <w:pPr>
        <w:spacing w:after="0" w:line="165" w:lineRule="exact"/>
        <w:rPr>
          <w:rFonts w:ascii="Arial" w:cs="Arial" w:eastAsia="Arial" w:hAnsi="Arial"/>
          <w:sz w:val="13"/>
          <w:szCs w:val="13"/>
          <w:color w:val="auto"/>
        </w:rPr>
      </w:pPr>
    </w:p>
    <w:p>
      <w:pPr>
        <w:ind w:left="2120" w:right="399" w:hanging="338"/>
        <w:spacing w:after="0" w:line="271" w:lineRule="auto"/>
        <w:tabs>
          <w:tab w:leader="none" w:pos="21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do not take material non-public information (“MNPI”) into account when determining the timing and terms of equity awards, and we have never had a practice of doing so.</w:t>
      </w:r>
    </w:p>
    <w:p>
      <w:pPr>
        <w:spacing w:after="0" w:line="155" w:lineRule="exact"/>
        <w:rPr>
          <w:rFonts w:ascii="Arial" w:cs="Arial" w:eastAsia="Arial" w:hAnsi="Arial"/>
          <w:sz w:val="13"/>
          <w:szCs w:val="13"/>
          <w:color w:val="auto"/>
        </w:rPr>
      </w:pPr>
    </w:p>
    <w:p>
      <w:pPr>
        <w:ind w:left="1260" w:right="519" w:firstLine="522"/>
        <w:spacing w:after="0" w:line="516" w:lineRule="auto"/>
        <w:tabs>
          <w:tab w:leader="none" w:pos="2118"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have never timed, and do not plan to time, the release of MNPI for the purpose of affecting the value of executive compensation. Our equity award accounting complies with U.S. GAAP and is disclosed in our applicable SEC filings.</w:t>
      </w:r>
    </w:p>
    <w:p>
      <w:pPr>
        <w:spacing w:after="0" w:line="1" w:lineRule="exact"/>
        <w:rPr>
          <w:sz w:val="20"/>
          <w:szCs w:val="20"/>
          <w:color w:val="auto"/>
        </w:rPr>
      </w:pPr>
    </w:p>
    <w:p>
      <w:pPr>
        <w:ind w:left="1260" w:right="259"/>
        <w:spacing w:after="0" w:line="244" w:lineRule="auto"/>
        <w:rPr>
          <w:sz w:val="20"/>
          <w:szCs w:val="20"/>
          <w:color w:val="auto"/>
        </w:rPr>
      </w:pPr>
      <w:r>
        <w:rPr>
          <w:rFonts w:ascii="Arial" w:cs="Arial" w:eastAsia="Arial" w:hAnsi="Arial"/>
          <w:sz w:val="13"/>
          <w:szCs w:val="13"/>
          <w:color w:val="B9AFA0"/>
        </w:rPr>
        <w:t xml:space="preserve">EXECUTIVE BENEFITS: </w:t>
      </w:r>
      <w:r>
        <w:rPr>
          <w:rFonts w:ascii="Arial" w:cs="Arial" w:eastAsia="Arial" w:hAnsi="Arial"/>
          <w:sz w:val="13"/>
          <w:szCs w:val="13"/>
          <w:color w:val="000000"/>
        </w:rPr>
        <w:t>We provide our NEOs with benefits that we believe are reasonable, competitive and consistent with our overall executive</w:t>
      </w:r>
      <w:r>
        <w:rPr>
          <w:rFonts w:ascii="Arial" w:cs="Arial" w:eastAsia="Arial" w:hAnsi="Arial"/>
          <w:sz w:val="13"/>
          <w:szCs w:val="13"/>
          <w:color w:val="B9AFA0"/>
        </w:rPr>
        <w:t xml:space="preserve"> </w:t>
      </w:r>
      <w:r>
        <w:rPr>
          <w:rFonts w:ascii="Arial" w:cs="Arial" w:eastAsia="Arial" w:hAnsi="Arial"/>
          <w:sz w:val="13"/>
          <w:szCs w:val="13"/>
          <w:color w:val="000000"/>
        </w:rPr>
        <w:t>compensation program. Our executive benefits include certain health insurance coverage, life insurance premiums, and reimbursement of nonresident state income taxes, all of which are described in the footnotes to the “2025 Summary Compensation Table.” We pay nonresident state income taxes imposed on our executives who we required to travel on Company business and perform services in states other than their states of employment. This primarily arose as a result of travel to, and work in, Massachusetts in connection with our Encore Boston Harbor resort. Our reimbursement covers the incremental cost of the nonresident taxes and puts the executives in the same economic position as though they had worked in their normal places of business. The Company does not gross-up or pay any state income taxes that the employees incur on account of work in their normal work locations. In addition, we provide to certain of our executives, including NEOs, employee discounts at certain of our properties’ outlets, complimentary rooms and meals for business purposes, and access to the Company’s aircraft pursuant to time-sharing agreements described in “Certain relationships and transactions—Aircraft Arrangements.”</w:t>
      </w:r>
    </w:p>
    <w:p>
      <w:pPr>
        <w:spacing w:after="0" w:line="154" w:lineRule="exact"/>
        <w:rPr>
          <w:sz w:val="20"/>
          <w:szCs w:val="20"/>
          <w:color w:val="auto"/>
        </w:rPr>
      </w:pPr>
    </w:p>
    <w:p>
      <w:pPr>
        <w:ind w:left="1260" w:right="339"/>
        <w:spacing w:after="0" w:line="251" w:lineRule="auto"/>
        <w:rPr>
          <w:sz w:val="20"/>
          <w:szCs w:val="20"/>
          <w:color w:val="auto"/>
        </w:rPr>
      </w:pPr>
      <w:r>
        <w:rPr>
          <w:rFonts w:ascii="Arial" w:cs="Arial" w:eastAsia="Arial" w:hAnsi="Arial"/>
          <w:sz w:val="13"/>
          <w:szCs w:val="13"/>
          <w:color w:val="B9AFA0"/>
        </w:rPr>
        <w:t xml:space="preserve">PEER GROUP BENCHMARKING: </w:t>
      </w:r>
      <w:r>
        <w:rPr>
          <w:rFonts w:ascii="Arial" w:cs="Arial" w:eastAsia="Arial" w:hAnsi="Arial"/>
          <w:sz w:val="13"/>
          <w:szCs w:val="13"/>
          <w:color w:val="000000"/>
        </w:rPr>
        <w:t>The Compensation Committee believes that it is appropriate to offer competitive total compensation packages to</w:t>
      </w:r>
      <w:r>
        <w:rPr>
          <w:rFonts w:ascii="Arial" w:cs="Arial" w:eastAsia="Arial" w:hAnsi="Arial"/>
          <w:sz w:val="13"/>
          <w:szCs w:val="13"/>
          <w:color w:val="B9AFA0"/>
        </w:rPr>
        <w:t xml:space="preserve"> </w:t>
      </w:r>
      <w:r>
        <w:rPr>
          <w:rFonts w:ascii="Arial" w:cs="Arial" w:eastAsia="Arial" w:hAnsi="Arial"/>
          <w:sz w:val="13"/>
          <w:szCs w:val="13"/>
          <w:color w:val="000000"/>
        </w:rPr>
        <w:t>senior executive officers to attract and retain top talent in a competitive industry. The compensation peer group allows the Compensation Committee to monitor the compensation practices of our primary competitors for executive talent. The Compensation Committee targets the 50th percentile for the Company’s senior executive officers’ total compensation.</w:t>
      </w:r>
    </w:p>
    <w:p>
      <w:pPr>
        <w:spacing w:after="0" w:line="147" w:lineRule="exact"/>
        <w:rPr>
          <w:sz w:val="20"/>
          <w:szCs w:val="20"/>
          <w:color w:val="auto"/>
        </w:rPr>
      </w:pPr>
    </w:p>
    <w:p>
      <w:pPr>
        <w:jc w:val="both"/>
        <w:ind w:left="1260" w:right="279"/>
        <w:spacing w:after="0" w:line="256" w:lineRule="auto"/>
        <w:rPr>
          <w:sz w:val="20"/>
          <w:szCs w:val="20"/>
          <w:color w:val="auto"/>
        </w:rPr>
      </w:pPr>
      <w:r>
        <w:rPr>
          <w:rFonts w:ascii="Arial" w:cs="Arial" w:eastAsia="Arial" w:hAnsi="Arial"/>
          <w:sz w:val="13"/>
          <w:szCs w:val="13"/>
          <w:color w:val="auto"/>
        </w:rPr>
        <w:t>In 2025, as part of our regular review of our compensation programs, the Compensation Committee considered peer group data from gaming and other related industries that the Compensation Committee believes reflect the competitive market for executive talent similar to that required by the Company. The Compensation Committee did not modify the Company’s peer group for 2025.</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0159"/>
          </w:cols>
          <w:pgMar w:left="300" w:top="412"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Wynn Resorts 2025 Executive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4582160</wp:posOffset>
            </wp:positionH>
            <wp:positionV relativeFrom="paragraph">
              <wp:posOffset>142240</wp:posOffset>
            </wp:positionV>
            <wp:extent cx="6985" cy="11176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85" cy="1117600"/>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142240</wp:posOffset>
            </wp:positionV>
            <wp:extent cx="6985" cy="11176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85" cy="1117600"/>
                    </a:xfrm>
                    <a:prstGeom prst="rect">
                      <a:avLst/>
                    </a:prstGeom>
                    <a:noFill/>
                  </pic:spPr>
                </pic:pic>
              </a:graphicData>
            </a:graphic>
          </wp:anchor>
        </w:drawing>
      </w:r>
    </w:p>
    <w:p>
      <w:pPr>
        <w:spacing w:after="0" w:line="204"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314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GAMING &amp; RESORTS</w:t>
            </w:r>
          </w:p>
        </w:tc>
        <w:tc>
          <w:tcPr>
            <w:tcW w:w="2740" w:type="dxa"/>
            <w:vAlign w:val="bottom"/>
            <w:tcBorders>
              <w:bottom w:val="single" w:sz="8" w:color="B9AFA0"/>
            </w:tcBorders>
            <w:shd w:val="clear" w:color="auto" w:fill="B9AFA0"/>
          </w:tcPr>
          <w:p>
            <w:pPr>
              <w:ind w:left="360"/>
              <w:spacing w:after="0"/>
              <w:rPr>
                <w:sz w:val="20"/>
                <w:szCs w:val="20"/>
                <w:color w:val="auto"/>
              </w:rPr>
            </w:pPr>
            <w:r>
              <w:rPr>
                <w:rFonts w:ascii="Arial" w:cs="Arial" w:eastAsia="Arial" w:hAnsi="Arial"/>
                <w:sz w:val="13"/>
                <w:szCs w:val="13"/>
                <w:color w:val="FFFFFF"/>
              </w:rPr>
              <w:t>TRAVEL, HOSPITALITY &amp; RESORTS</w:t>
            </w:r>
          </w:p>
        </w:tc>
        <w:tc>
          <w:tcPr>
            <w:tcW w:w="2860" w:type="dxa"/>
            <w:vAlign w:val="bottom"/>
            <w:tcBorders>
              <w:bottom w:val="single" w:sz="8" w:color="B9AFA0"/>
            </w:tcBorders>
            <w:shd w:val="clear" w:color="auto" w:fill="B9AFA0"/>
          </w:tcPr>
          <w:p>
            <w:pPr>
              <w:ind w:left="820"/>
              <w:spacing w:after="0"/>
              <w:rPr>
                <w:sz w:val="20"/>
                <w:szCs w:val="20"/>
                <w:color w:val="auto"/>
              </w:rPr>
            </w:pPr>
            <w:r>
              <w:rPr>
                <w:rFonts w:ascii="Arial" w:cs="Arial" w:eastAsia="Arial" w:hAnsi="Arial"/>
                <w:sz w:val="13"/>
                <w:szCs w:val="13"/>
                <w:color w:val="FFFFFF"/>
              </w:rPr>
              <w:t>LIFESTYLE PRODUCTS</w:t>
            </w:r>
          </w:p>
        </w:tc>
      </w:tr>
      <w:tr>
        <w:trPr>
          <w:trHeight w:val="233"/>
        </w:trPr>
        <w:tc>
          <w:tcPr>
            <w:tcW w:w="3140" w:type="dxa"/>
            <w:vAlign w:val="bottom"/>
            <w:shd w:val="clear" w:color="auto" w:fill="F1EFEC"/>
          </w:tcPr>
          <w:p>
            <w:pPr>
              <w:ind w:left="40"/>
              <w:spacing w:after="0"/>
              <w:rPr>
                <w:sz w:val="20"/>
                <w:szCs w:val="20"/>
                <w:color w:val="auto"/>
              </w:rPr>
            </w:pPr>
            <w:r>
              <w:rPr>
                <w:rFonts w:ascii="Arial" w:cs="Arial" w:eastAsia="Arial" w:hAnsi="Arial"/>
                <w:sz w:val="13"/>
                <w:szCs w:val="13"/>
                <w:color w:val="auto"/>
              </w:rPr>
              <w:t>Boyd Gaming Corp.</w:t>
            </w:r>
          </w:p>
        </w:tc>
        <w:tc>
          <w:tcPr>
            <w:tcW w:w="2740" w:type="dxa"/>
            <w:vAlign w:val="bottom"/>
            <w:shd w:val="clear" w:color="auto" w:fill="F1EFEC"/>
          </w:tcPr>
          <w:p>
            <w:pPr>
              <w:ind w:left="80"/>
              <w:spacing w:after="0"/>
              <w:rPr>
                <w:sz w:val="20"/>
                <w:szCs w:val="20"/>
                <w:color w:val="auto"/>
              </w:rPr>
            </w:pPr>
            <w:r>
              <w:rPr>
                <w:rFonts w:ascii="Arial" w:cs="Arial" w:eastAsia="Arial" w:hAnsi="Arial"/>
                <w:sz w:val="13"/>
                <w:szCs w:val="13"/>
                <w:color w:val="auto"/>
              </w:rPr>
              <w:t>Hilton Worldwide Holdings Inc.</w:t>
            </w:r>
          </w:p>
        </w:tc>
        <w:tc>
          <w:tcPr>
            <w:tcW w:w="2860" w:type="dxa"/>
            <w:vAlign w:val="bottom"/>
            <w:shd w:val="clear" w:color="auto" w:fill="F1EFEC"/>
          </w:tcPr>
          <w:p>
            <w:pPr>
              <w:ind w:left="220"/>
              <w:spacing w:after="0"/>
              <w:rPr>
                <w:sz w:val="20"/>
                <w:szCs w:val="20"/>
                <w:color w:val="auto"/>
              </w:rPr>
            </w:pPr>
            <w:r>
              <w:rPr>
                <w:rFonts w:ascii="Arial" w:cs="Arial" w:eastAsia="Arial" w:hAnsi="Arial"/>
                <w:sz w:val="13"/>
                <w:szCs w:val="13"/>
                <w:color w:val="auto"/>
              </w:rPr>
              <w:t>Capri Holdings Limited</w:t>
            </w:r>
          </w:p>
        </w:tc>
      </w:tr>
      <w:tr>
        <w:trPr>
          <w:trHeight w:val="67"/>
        </w:trPr>
        <w:tc>
          <w:tcPr>
            <w:tcW w:w="3140" w:type="dxa"/>
            <w:vAlign w:val="bottom"/>
            <w:shd w:val="clear" w:color="auto" w:fill="F1EFEC"/>
          </w:tcPr>
          <w:p>
            <w:pPr>
              <w:spacing w:after="0"/>
              <w:rPr>
                <w:sz w:val="5"/>
                <w:szCs w:val="5"/>
                <w:color w:val="auto"/>
              </w:rPr>
            </w:pPr>
          </w:p>
        </w:tc>
        <w:tc>
          <w:tcPr>
            <w:tcW w:w="2740" w:type="dxa"/>
            <w:vAlign w:val="bottom"/>
            <w:shd w:val="clear" w:color="auto" w:fill="F1EFEC"/>
          </w:tcPr>
          <w:p>
            <w:pPr>
              <w:spacing w:after="0"/>
              <w:rPr>
                <w:sz w:val="5"/>
                <w:szCs w:val="5"/>
                <w:color w:val="auto"/>
              </w:rPr>
            </w:pPr>
          </w:p>
        </w:tc>
        <w:tc>
          <w:tcPr>
            <w:tcW w:w="2860" w:type="dxa"/>
            <w:vAlign w:val="bottom"/>
            <w:shd w:val="clear" w:color="auto" w:fill="F1EFEC"/>
          </w:tcPr>
          <w:p>
            <w:pPr>
              <w:spacing w:after="0"/>
              <w:rPr>
                <w:sz w:val="5"/>
                <w:szCs w:val="5"/>
                <w:color w:val="auto"/>
              </w:rPr>
            </w:pPr>
          </w:p>
        </w:tc>
      </w:tr>
      <w:tr>
        <w:trPr>
          <w:trHeight w:val="233"/>
        </w:trPr>
        <w:tc>
          <w:tcPr>
            <w:tcW w:w="3140" w:type="dxa"/>
            <w:vAlign w:val="bottom"/>
          </w:tcPr>
          <w:p>
            <w:pPr>
              <w:ind w:left="40"/>
              <w:spacing w:after="0"/>
              <w:rPr>
                <w:sz w:val="20"/>
                <w:szCs w:val="20"/>
                <w:color w:val="auto"/>
              </w:rPr>
            </w:pPr>
            <w:r>
              <w:rPr>
                <w:rFonts w:ascii="Arial" w:cs="Arial" w:eastAsia="Arial" w:hAnsi="Arial"/>
                <w:sz w:val="13"/>
                <w:szCs w:val="13"/>
                <w:color w:val="auto"/>
              </w:rPr>
              <w:t>Caesars Entertainment, Inc.</w:t>
            </w:r>
          </w:p>
        </w:tc>
        <w:tc>
          <w:tcPr>
            <w:tcW w:w="2740" w:type="dxa"/>
            <w:vAlign w:val="bottom"/>
          </w:tcPr>
          <w:p>
            <w:pPr>
              <w:ind w:left="80"/>
              <w:spacing w:after="0"/>
              <w:rPr>
                <w:sz w:val="20"/>
                <w:szCs w:val="20"/>
                <w:color w:val="auto"/>
              </w:rPr>
            </w:pPr>
            <w:r>
              <w:rPr>
                <w:rFonts w:ascii="Arial" w:cs="Arial" w:eastAsia="Arial" w:hAnsi="Arial"/>
                <w:sz w:val="13"/>
                <w:szCs w:val="13"/>
                <w:color w:val="auto"/>
              </w:rPr>
              <w:t>Hyatt Hotels Corporation</w:t>
            </w:r>
          </w:p>
        </w:tc>
        <w:tc>
          <w:tcPr>
            <w:tcW w:w="2860" w:type="dxa"/>
            <w:vAlign w:val="bottom"/>
          </w:tcPr>
          <w:p>
            <w:pPr>
              <w:ind w:left="220"/>
              <w:spacing w:after="0"/>
              <w:rPr>
                <w:sz w:val="20"/>
                <w:szCs w:val="20"/>
                <w:color w:val="auto"/>
              </w:rPr>
            </w:pPr>
            <w:r>
              <w:rPr>
                <w:rFonts w:ascii="Arial" w:cs="Arial" w:eastAsia="Arial" w:hAnsi="Arial"/>
                <w:sz w:val="13"/>
                <w:szCs w:val="13"/>
                <w:color w:val="auto"/>
              </w:rPr>
              <w:t>PVH Corp.</w:t>
            </w:r>
          </w:p>
        </w:tc>
      </w:tr>
      <w:tr>
        <w:trPr>
          <w:trHeight w:val="67"/>
        </w:trPr>
        <w:tc>
          <w:tcPr>
            <w:tcW w:w="314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60" w:type="dxa"/>
            <w:vAlign w:val="bottom"/>
          </w:tcPr>
          <w:p>
            <w:pPr>
              <w:spacing w:after="0"/>
              <w:rPr>
                <w:sz w:val="5"/>
                <w:szCs w:val="5"/>
                <w:color w:val="auto"/>
              </w:rPr>
            </w:pPr>
          </w:p>
        </w:tc>
      </w:tr>
      <w:tr>
        <w:trPr>
          <w:trHeight w:val="233"/>
        </w:trPr>
        <w:tc>
          <w:tcPr>
            <w:tcW w:w="3140" w:type="dxa"/>
            <w:vAlign w:val="bottom"/>
            <w:shd w:val="clear" w:color="auto" w:fill="F1EFEC"/>
          </w:tcPr>
          <w:p>
            <w:pPr>
              <w:ind w:left="40"/>
              <w:spacing w:after="0"/>
              <w:rPr>
                <w:sz w:val="20"/>
                <w:szCs w:val="20"/>
                <w:color w:val="auto"/>
              </w:rPr>
            </w:pPr>
            <w:r>
              <w:rPr>
                <w:rFonts w:ascii="Arial" w:cs="Arial" w:eastAsia="Arial" w:hAnsi="Arial"/>
                <w:sz w:val="13"/>
                <w:szCs w:val="13"/>
                <w:color w:val="auto"/>
              </w:rPr>
              <w:t>Las Vegas Sands Corp.</w:t>
            </w:r>
          </w:p>
        </w:tc>
        <w:tc>
          <w:tcPr>
            <w:tcW w:w="2740" w:type="dxa"/>
            <w:vAlign w:val="bottom"/>
            <w:shd w:val="clear" w:color="auto" w:fill="F1EFEC"/>
          </w:tcPr>
          <w:p>
            <w:pPr>
              <w:ind w:left="80"/>
              <w:spacing w:after="0"/>
              <w:rPr>
                <w:sz w:val="20"/>
                <w:szCs w:val="20"/>
                <w:color w:val="auto"/>
              </w:rPr>
            </w:pPr>
            <w:r>
              <w:rPr>
                <w:rFonts w:ascii="Arial" w:cs="Arial" w:eastAsia="Arial" w:hAnsi="Arial"/>
                <w:sz w:val="13"/>
                <w:szCs w:val="13"/>
                <w:color w:val="auto"/>
              </w:rPr>
              <w:t>Marriott International, Inc.</w:t>
            </w:r>
          </w:p>
        </w:tc>
        <w:tc>
          <w:tcPr>
            <w:tcW w:w="2860" w:type="dxa"/>
            <w:vAlign w:val="bottom"/>
            <w:shd w:val="clear" w:color="auto" w:fill="F1EFEC"/>
          </w:tcPr>
          <w:p>
            <w:pPr>
              <w:ind w:left="220"/>
              <w:spacing w:after="0"/>
              <w:rPr>
                <w:sz w:val="20"/>
                <w:szCs w:val="20"/>
                <w:color w:val="auto"/>
              </w:rPr>
            </w:pPr>
            <w:r>
              <w:rPr>
                <w:rFonts w:ascii="Arial" w:cs="Arial" w:eastAsia="Arial" w:hAnsi="Arial"/>
                <w:sz w:val="13"/>
                <w:szCs w:val="13"/>
                <w:color w:val="auto"/>
              </w:rPr>
              <w:t>Ralph Lauren Corporation</w:t>
            </w:r>
          </w:p>
        </w:tc>
      </w:tr>
      <w:tr>
        <w:trPr>
          <w:trHeight w:val="67"/>
        </w:trPr>
        <w:tc>
          <w:tcPr>
            <w:tcW w:w="3140" w:type="dxa"/>
            <w:vAlign w:val="bottom"/>
            <w:shd w:val="clear" w:color="auto" w:fill="F1EFEC"/>
          </w:tcPr>
          <w:p>
            <w:pPr>
              <w:spacing w:after="0"/>
              <w:rPr>
                <w:sz w:val="5"/>
                <w:szCs w:val="5"/>
                <w:color w:val="auto"/>
              </w:rPr>
            </w:pPr>
          </w:p>
        </w:tc>
        <w:tc>
          <w:tcPr>
            <w:tcW w:w="2740" w:type="dxa"/>
            <w:vAlign w:val="bottom"/>
            <w:shd w:val="clear" w:color="auto" w:fill="F1EFEC"/>
          </w:tcPr>
          <w:p>
            <w:pPr>
              <w:spacing w:after="0"/>
              <w:rPr>
                <w:sz w:val="5"/>
                <w:szCs w:val="5"/>
                <w:color w:val="auto"/>
              </w:rPr>
            </w:pPr>
          </w:p>
        </w:tc>
        <w:tc>
          <w:tcPr>
            <w:tcW w:w="2860" w:type="dxa"/>
            <w:vAlign w:val="bottom"/>
            <w:shd w:val="clear" w:color="auto" w:fill="F1EFEC"/>
          </w:tcPr>
          <w:p>
            <w:pPr>
              <w:spacing w:after="0"/>
              <w:rPr>
                <w:sz w:val="5"/>
                <w:szCs w:val="5"/>
                <w:color w:val="auto"/>
              </w:rPr>
            </w:pPr>
          </w:p>
        </w:tc>
      </w:tr>
      <w:tr>
        <w:trPr>
          <w:trHeight w:val="233"/>
        </w:trPr>
        <w:tc>
          <w:tcPr>
            <w:tcW w:w="3140" w:type="dxa"/>
            <w:vAlign w:val="bottom"/>
          </w:tcPr>
          <w:p>
            <w:pPr>
              <w:ind w:left="40"/>
              <w:spacing w:after="0"/>
              <w:rPr>
                <w:sz w:val="20"/>
                <w:szCs w:val="20"/>
                <w:color w:val="auto"/>
              </w:rPr>
            </w:pPr>
            <w:r>
              <w:rPr>
                <w:rFonts w:ascii="Arial" w:cs="Arial" w:eastAsia="Arial" w:hAnsi="Arial"/>
                <w:sz w:val="13"/>
                <w:szCs w:val="13"/>
                <w:color w:val="auto"/>
              </w:rPr>
              <w:t>MGM Resorts International</w:t>
            </w:r>
          </w:p>
        </w:tc>
        <w:tc>
          <w:tcPr>
            <w:tcW w:w="2740" w:type="dxa"/>
            <w:vAlign w:val="bottom"/>
          </w:tcPr>
          <w:p>
            <w:pPr>
              <w:ind w:left="80"/>
              <w:spacing w:after="0"/>
              <w:rPr>
                <w:sz w:val="20"/>
                <w:szCs w:val="20"/>
                <w:color w:val="auto"/>
              </w:rPr>
            </w:pPr>
            <w:r>
              <w:rPr>
                <w:rFonts w:ascii="Arial" w:cs="Arial" w:eastAsia="Arial" w:hAnsi="Arial"/>
                <w:sz w:val="13"/>
                <w:szCs w:val="13"/>
                <w:color w:val="auto"/>
              </w:rPr>
              <w:t>Norwegian Cruise Line Holdings Ltd</w:t>
            </w:r>
          </w:p>
        </w:tc>
        <w:tc>
          <w:tcPr>
            <w:tcW w:w="2860" w:type="dxa"/>
            <w:vAlign w:val="bottom"/>
          </w:tcPr>
          <w:p>
            <w:pPr>
              <w:ind w:left="220"/>
              <w:spacing w:after="0"/>
              <w:rPr>
                <w:sz w:val="20"/>
                <w:szCs w:val="20"/>
                <w:color w:val="auto"/>
              </w:rPr>
            </w:pPr>
            <w:r>
              <w:rPr>
                <w:rFonts w:ascii="Arial" w:cs="Arial" w:eastAsia="Arial" w:hAnsi="Arial"/>
                <w:sz w:val="13"/>
                <w:szCs w:val="13"/>
                <w:color w:val="auto"/>
              </w:rPr>
              <w:t>Tapestry, Inc.</w:t>
            </w:r>
          </w:p>
        </w:tc>
      </w:tr>
      <w:tr>
        <w:trPr>
          <w:trHeight w:val="67"/>
        </w:trPr>
        <w:tc>
          <w:tcPr>
            <w:tcW w:w="314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60" w:type="dxa"/>
            <w:vAlign w:val="bottom"/>
          </w:tcPr>
          <w:p>
            <w:pPr>
              <w:spacing w:after="0"/>
              <w:rPr>
                <w:sz w:val="5"/>
                <w:szCs w:val="5"/>
                <w:color w:val="auto"/>
              </w:rPr>
            </w:pPr>
          </w:p>
        </w:tc>
      </w:tr>
      <w:tr>
        <w:trPr>
          <w:trHeight w:val="233"/>
        </w:trPr>
        <w:tc>
          <w:tcPr>
            <w:tcW w:w="3140" w:type="dxa"/>
            <w:vAlign w:val="bottom"/>
            <w:shd w:val="clear" w:color="auto" w:fill="F1EFEC"/>
          </w:tcPr>
          <w:p>
            <w:pPr>
              <w:ind w:left="40"/>
              <w:spacing w:after="0"/>
              <w:rPr>
                <w:sz w:val="20"/>
                <w:szCs w:val="20"/>
                <w:color w:val="auto"/>
              </w:rPr>
            </w:pPr>
            <w:r>
              <w:rPr>
                <w:rFonts w:ascii="Arial" w:cs="Arial" w:eastAsia="Arial" w:hAnsi="Arial"/>
                <w:sz w:val="13"/>
                <w:szCs w:val="13"/>
                <w:color w:val="auto"/>
              </w:rPr>
              <w:t>Penn Entertainment</w:t>
            </w:r>
          </w:p>
        </w:tc>
        <w:tc>
          <w:tcPr>
            <w:tcW w:w="2740" w:type="dxa"/>
            <w:vAlign w:val="bottom"/>
            <w:shd w:val="clear" w:color="auto" w:fill="F1EFEC"/>
          </w:tcPr>
          <w:p>
            <w:pPr>
              <w:ind w:left="80"/>
              <w:spacing w:after="0"/>
              <w:rPr>
                <w:sz w:val="20"/>
                <w:szCs w:val="20"/>
                <w:color w:val="auto"/>
              </w:rPr>
            </w:pPr>
            <w:r>
              <w:rPr>
                <w:rFonts w:ascii="Arial" w:cs="Arial" w:eastAsia="Arial" w:hAnsi="Arial"/>
                <w:sz w:val="13"/>
                <w:szCs w:val="13"/>
                <w:color w:val="auto"/>
              </w:rPr>
              <w:t>Royal Caribbean Cruises Ltd</w:t>
            </w:r>
          </w:p>
        </w:tc>
        <w:tc>
          <w:tcPr>
            <w:tcW w:w="2860" w:type="dxa"/>
            <w:vAlign w:val="bottom"/>
            <w:shd w:val="clear" w:color="auto" w:fill="F1EFEC"/>
          </w:tcPr>
          <w:p>
            <w:pPr>
              <w:ind w:left="220"/>
              <w:spacing w:after="0"/>
              <w:rPr>
                <w:sz w:val="20"/>
                <w:szCs w:val="20"/>
                <w:color w:val="auto"/>
              </w:rPr>
            </w:pPr>
            <w:r>
              <w:rPr>
                <w:rFonts w:ascii="Arial" w:cs="Arial" w:eastAsia="Arial" w:hAnsi="Arial"/>
                <w:sz w:val="13"/>
                <w:szCs w:val="13"/>
                <w:color w:val="auto"/>
              </w:rPr>
              <w:t>V.F. Corporation</w:t>
            </w:r>
          </w:p>
        </w:tc>
      </w:tr>
      <w:tr>
        <w:trPr>
          <w:trHeight w:val="67"/>
        </w:trPr>
        <w:tc>
          <w:tcPr>
            <w:tcW w:w="3140" w:type="dxa"/>
            <w:vAlign w:val="bottom"/>
            <w:shd w:val="clear" w:color="auto" w:fill="F1EFEC"/>
          </w:tcPr>
          <w:p>
            <w:pPr>
              <w:spacing w:after="0"/>
              <w:rPr>
                <w:sz w:val="5"/>
                <w:szCs w:val="5"/>
                <w:color w:val="auto"/>
              </w:rPr>
            </w:pPr>
          </w:p>
        </w:tc>
        <w:tc>
          <w:tcPr>
            <w:tcW w:w="2740" w:type="dxa"/>
            <w:vAlign w:val="bottom"/>
            <w:shd w:val="clear" w:color="auto" w:fill="F1EFEC"/>
          </w:tcPr>
          <w:p>
            <w:pPr>
              <w:spacing w:after="0"/>
              <w:rPr>
                <w:sz w:val="5"/>
                <w:szCs w:val="5"/>
                <w:color w:val="auto"/>
              </w:rPr>
            </w:pPr>
          </w:p>
        </w:tc>
        <w:tc>
          <w:tcPr>
            <w:tcW w:w="2860" w:type="dxa"/>
            <w:vAlign w:val="bottom"/>
            <w:shd w:val="clear" w:color="auto" w:fill="F1EFEC"/>
          </w:tcPr>
          <w:p>
            <w:pPr>
              <w:spacing w:after="0"/>
              <w:rPr>
                <w:sz w:val="5"/>
                <w:szCs w:val="5"/>
                <w:color w:val="auto"/>
              </w:rPr>
            </w:pPr>
          </w:p>
        </w:tc>
      </w:tr>
    </w:tbl>
    <w:p>
      <w:pPr>
        <w:spacing w:after="0" w:line="193" w:lineRule="exact"/>
        <w:rPr>
          <w:sz w:val="20"/>
          <w:szCs w:val="20"/>
          <w:color w:val="auto"/>
        </w:rPr>
      </w:pPr>
    </w:p>
    <w:p>
      <w:pPr>
        <w:ind w:left="1260" w:right="179"/>
        <w:spacing w:after="0" w:line="271" w:lineRule="auto"/>
        <w:rPr>
          <w:sz w:val="20"/>
          <w:szCs w:val="20"/>
          <w:color w:val="auto"/>
        </w:rPr>
      </w:pPr>
      <w:r>
        <w:rPr>
          <w:rFonts w:ascii="Arial" w:cs="Arial" w:eastAsia="Arial" w:hAnsi="Arial"/>
          <w:sz w:val="13"/>
          <w:szCs w:val="13"/>
          <w:color w:val="auto"/>
        </w:rPr>
        <w:t>The 15 companies in the peer group generally had revenue, market capitalization and total enterprise value (as of December 31, 2025) similar to those of the Company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5256530</wp:posOffset>
            </wp:positionH>
            <wp:positionV relativeFrom="paragraph">
              <wp:posOffset>105410</wp:posOffset>
            </wp:positionV>
            <wp:extent cx="6985" cy="130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85" cy="130810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105410</wp:posOffset>
            </wp:positionV>
            <wp:extent cx="6985" cy="130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85" cy="130810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105410</wp:posOffset>
            </wp:positionV>
            <wp:extent cx="6985" cy="130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85" cy="1308100"/>
                    </a:xfrm>
                    <a:prstGeom prst="rect">
                      <a:avLst/>
                    </a:prstGeom>
                    <a:noFill/>
                  </pic:spPr>
                </pic:pic>
              </a:graphicData>
            </a:graphic>
          </wp:anchor>
        </w:drawing>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4880" w:type="dxa"/>
            <w:vAlign w:val="bottom"/>
            <w:tcBorders>
              <w:bottom w:val="single" w:sz="8" w:color="B9AFA0"/>
            </w:tcBorders>
            <w:shd w:val="clear" w:color="auto" w:fill="B9AFA0"/>
          </w:tcPr>
          <w:p>
            <w:pPr>
              <w:spacing w:after="0"/>
              <w:rPr>
                <w:sz w:val="20"/>
                <w:szCs w:val="20"/>
                <w:color w:val="auto"/>
              </w:rPr>
            </w:pPr>
          </w:p>
        </w:tc>
        <w:tc>
          <w:tcPr>
            <w:tcW w:w="1360" w:type="dxa"/>
            <w:vAlign w:val="bottom"/>
            <w:tcBorders>
              <w:bottom w:val="single" w:sz="8" w:color="B9AFA0"/>
            </w:tcBorders>
            <w:shd w:val="clear" w:color="auto" w:fill="B9AFA0"/>
          </w:tcPr>
          <w:p>
            <w:pPr>
              <w:ind w:left="120"/>
              <w:spacing w:after="0"/>
              <w:rPr>
                <w:sz w:val="20"/>
                <w:szCs w:val="20"/>
                <w:color w:val="auto"/>
              </w:rPr>
            </w:pPr>
            <w:r>
              <w:rPr>
                <w:rFonts w:ascii="Arial" w:cs="Arial" w:eastAsia="Arial" w:hAnsi="Arial"/>
                <w:sz w:val="13"/>
                <w:szCs w:val="13"/>
                <w:color w:val="FFFFFF"/>
              </w:rPr>
              <w:t>WYNN RESORTS</w:t>
            </w:r>
          </w:p>
        </w:tc>
        <w:tc>
          <w:tcPr>
            <w:tcW w:w="800" w:type="dxa"/>
            <w:vAlign w:val="bottom"/>
            <w:tcBorders>
              <w:bottom w:val="single" w:sz="8" w:color="B9AFA0"/>
            </w:tcBorders>
            <w:shd w:val="clear" w:color="auto" w:fill="B9AFA0"/>
          </w:tcPr>
          <w:p>
            <w:pPr>
              <w:ind w:left="220"/>
              <w:spacing w:after="0"/>
              <w:rPr>
                <w:sz w:val="20"/>
                <w:szCs w:val="20"/>
                <w:color w:val="auto"/>
              </w:rPr>
            </w:pPr>
            <w:r>
              <w:rPr>
                <w:rFonts w:ascii="Arial" w:cs="Arial" w:eastAsia="Arial" w:hAnsi="Arial"/>
                <w:sz w:val="13"/>
                <w:szCs w:val="13"/>
                <w:color w:val="FFFFFF"/>
              </w:rPr>
              <w:t xml:space="preserve">          </w:t>
            </w:r>
          </w:p>
        </w:tc>
        <w:tc>
          <w:tcPr>
            <w:tcW w:w="1700" w:type="dxa"/>
            <w:vAlign w:val="bottom"/>
            <w:tcBorders>
              <w:bottom w:val="single" w:sz="8" w:color="B9AFA0"/>
            </w:tcBorders>
            <w:shd w:val="clear" w:color="auto" w:fill="B9AFA0"/>
          </w:tcPr>
          <w:p>
            <w:pPr>
              <w:ind w:left="480"/>
              <w:spacing w:after="0"/>
              <w:rPr>
                <w:sz w:val="20"/>
                <w:szCs w:val="20"/>
                <w:color w:val="auto"/>
              </w:rPr>
            </w:pPr>
            <w:r>
              <w:rPr>
                <w:rFonts w:ascii="Arial" w:cs="Arial" w:eastAsia="Arial" w:hAnsi="Arial"/>
                <w:sz w:val="13"/>
                <w:szCs w:val="13"/>
                <w:color w:val="FFFFFF"/>
              </w:rPr>
              <w:t>PEER GROUP</w:t>
            </w:r>
          </w:p>
        </w:tc>
      </w:tr>
      <w:tr>
        <w:trPr>
          <w:trHeight w:val="233"/>
        </w:trPr>
        <w:tc>
          <w:tcPr>
            <w:tcW w:w="4880" w:type="dxa"/>
            <w:vAlign w:val="bottom"/>
            <w:shd w:val="clear" w:color="auto" w:fill="F1EFEC"/>
          </w:tcPr>
          <w:p>
            <w:pPr>
              <w:ind w:left="40"/>
              <w:spacing w:after="0"/>
              <w:rPr>
                <w:sz w:val="20"/>
                <w:szCs w:val="20"/>
                <w:color w:val="auto"/>
              </w:rPr>
            </w:pPr>
            <w:r>
              <w:rPr>
                <w:rFonts w:ascii="Arial" w:cs="Arial" w:eastAsia="Arial" w:hAnsi="Arial"/>
                <w:sz w:val="13"/>
                <w:szCs w:val="13"/>
                <w:color w:val="auto"/>
              </w:rPr>
              <w:t>Revenue</w:t>
            </w:r>
          </w:p>
        </w:tc>
        <w:tc>
          <w:tcPr>
            <w:tcW w:w="136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4"/>
              </w:rPr>
              <w:t>    $7.1 billion</w:t>
            </w:r>
          </w:p>
        </w:tc>
        <w:tc>
          <w:tcPr>
            <w:tcW w:w="800" w:type="dxa"/>
            <w:vAlign w:val="bottom"/>
            <w:shd w:val="clear" w:color="auto" w:fill="F1EFEC"/>
          </w:tcPr>
          <w:p>
            <w:pPr>
              <w:ind w:left="200"/>
              <w:spacing w:after="0"/>
              <w:rPr>
                <w:sz w:val="20"/>
                <w:szCs w:val="20"/>
                <w:color w:val="auto"/>
              </w:rPr>
            </w:pPr>
            <w:r>
              <w:rPr>
                <w:rFonts w:ascii="Arial" w:cs="Arial" w:eastAsia="Arial" w:hAnsi="Arial"/>
                <w:sz w:val="13"/>
                <w:szCs w:val="13"/>
                <w:color w:val="auto"/>
              </w:rPr>
              <w:t>Range:</w:t>
            </w:r>
          </w:p>
        </w:tc>
        <w:tc>
          <w:tcPr>
            <w:tcW w:w="1700" w:type="dxa"/>
            <w:vAlign w:val="bottom"/>
            <w:shd w:val="clear" w:color="auto" w:fill="F1EFEC"/>
          </w:tcPr>
          <w:p>
            <w:pPr>
              <w:ind w:left="120"/>
              <w:spacing w:after="0"/>
              <w:rPr>
                <w:sz w:val="20"/>
                <w:szCs w:val="20"/>
                <w:color w:val="auto"/>
              </w:rPr>
            </w:pPr>
            <w:r>
              <w:rPr>
                <w:rFonts w:ascii="Arial" w:cs="Arial" w:eastAsia="Arial" w:hAnsi="Arial"/>
                <w:sz w:val="13"/>
                <w:szCs w:val="13"/>
                <w:color w:val="auto"/>
              </w:rPr>
              <w:t>$4.1 billion–$26.2 billion</w:t>
            </w:r>
          </w:p>
        </w:tc>
      </w:tr>
      <w:tr>
        <w:trPr>
          <w:trHeight w:val="67"/>
        </w:trPr>
        <w:tc>
          <w:tcPr>
            <w:tcW w:w="4880" w:type="dxa"/>
            <w:vAlign w:val="bottom"/>
            <w:shd w:val="clear" w:color="auto" w:fill="F1EFEC"/>
          </w:tcPr>
          <w:p>
            <w:pPr>
              <w:spacing w:after="0"/>
              <w:rPr>
                <w:sz w:val="5"/>
                <w:szCs w:val="5"/>
                <w:color w:val="auto"/>
              </w:rPr>
            </w:pPr>
          </w:p>
        </w:tc>
        <w:tc>
          <w:tcPr>
            <w:tcW w:w="1360" w:type="dxa"/>
            <w:vAlign w:val="bottom"/>
            <w:shd w:val="clear" w:color="auto" w:fill="F1EFEC"/>
          </w:tcPr>
          <w:p>
            <w:pPr>
              <w:spacing w:after="0"/>
              <w:rPr>
                <w:sz w:val="5"/>
                <w:szCs w:val="5"/>
                <w:color w:val="auto"/>
              </w:rPr>
            </w:pPr>
          </w:p>
        </w:tc>
        <w:tc>
          <w:tcPr>
            <w:tcW w:w="800" w:type="dxa"/>
            <w:vAlign w:val="bottom"/>
            <w:shd w:val="clear" w:color="auto" w:fill="F1EFEC"/>
          </w:tcPr>
          <w:p>
            <w:pPr>
              <w:spacing w:after="0"/>
              <w:rPr>
                <w:sz w:val="5"/>
                <w:szCs w:val="5"/>
                <w:color w:val="auto"/>
              </w:rPr>
            </w:pPr>
          </w:p>
        </w:tc>
        <w:tc>
          <w:tcPr>
            <w:tcW w:w="1700" w:type="dxa"/>
            <w:vAlign w:val="bottom"/>
            <w:shd w:val="clear" w:color="auto" w:fill="F1EFEC"/>
          </w:tcPr>
          <w:p>
            <w:pPr>
              <w:spacing w:after="0"/>
              <w:rPr>
                <w:sz w:val="5"/>
                <w:szCs w:val="5"/>
                <w:color w:val="auto"/>
              </w:rPr>
            </w:pPr>
          </w:p>
        </w:tc>
      </w:tr>
      <w:tr>
        <w:trPr>
          <w:trHeight w:val="233"/>
        </w:trPr>
        <w:tc>
          <w:tcPr>
            <w:tcW w:w="4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auto"/>
              </w:rPr>
              <w:t>Median:</w:t>
            </w:r>
          </w:p>
        </w:tc>
        <w:tc>
          <w:tcPr>
            <w:tcW w:w="1700" w:type="dxa"/>
            <w:vAlign w:val="bottom"/>
          </w:tcPr>
          <w:p>
            <w:pPr>
              <w:ind w:left="120"/>
              <w:spacing w:after="0"/>
              <w:rPr>
                <w:sz w:val="20"/>
                <w:szCs w:val="20"/>
                <w:color w:val="auto"/>
              </w:rPr>
            </w:pPr>
            <w:r>
              <w:rPr>
                <w:rFonts w:ascii="Arial" w:cs="Arial" w:eastAsia="Arial" w:hAnsi="Arial"/>
                <w:sz w:val="13"/>
                <w:szCs w:val="13"/>
                <w:color w:val="auto"/>
              </w:rPr>
              <w:t>$9.1 billion</w:t>
            </w:r>
          </w:p>
        </w:tc>
      </w:tr>
      <w:tr>
        <w:trPr>
          <w:trHeight w:val="67"/>
        </w:trPr>
        <w:tc>
          <w:tcPr>
            <w:tcW w:w="48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00" w:type="dxa"/>
            <w:vAlign w:val="bottom"/>
          </w:tcPr>
          <w:p>
            <w:pPr>
              <w:spacing w:after="0"/>
              <w:rPr>
                <w:sz w:val="5"/>
                <w:szCs w:val="5"/>
                <w:color w:val="auto"/>
              </w:rPr>
            </w:pPr>
          </w:p>
        </w:tc>
      </w:tr>
      <w:tr>
        <w:trPr>
          <w:trHeight w:val="233"/>
        </w:trPr>
        <w:tc>
          <w:tcPr>
            <w:tcW w:w="4880" w:type="dxa"/>
            <w:vAlign w:val="bottom"/>
            <w:shd w:val="clear" w:color="auto" w:fill="F1EFEC"/>
          </w:tcPr>
          <w:p>
            <w:pPr>
              <w:ind w:left="40"/>
              <w:spacing w:after="0"/>
              <w:rPr>
                <w:sz w:val="20"/>
                <w:szCs w:val="20"/>
                <w:color w:val="auto"/>
              </w:rPr>
            </w:pPr>
            <w:r>
              <w:rPr>
                <w:rFonts w:ascii="Arial" w:cs="Arial" w:eastAsia="Arial" w:hAnsi="Arial"/>
                <w:sz w:val="13"/>
                <w:szCs w:val="13"/>
                <w:color w:val="auto"/>
              </w:rPr>
              <w:t>Market Capitalization</w:t>
            </w:r>
          </w:p>
        </w:tc>
        <w:tc>
          <w:tcPr>
            <w:tcW w:w="136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9"/>
              </w:rPr>
              <w:t>  $12.5 billion</w:t>
            </w:r>
          </w:p>
        </w:tc>
        <w:tc>
          <w:tcPr>
            <w:tcW w:w="800" w:type="dxa"/>
            <w:vAlign w:val="bottom"/>
            <w:shd w:val="clear" w:color="auto" w:fill="F1EFEC"/>
          </w:tcPr>
          <w:p>
            <w:pPr>
              <w:ind w:left="200"/>
              <w:spacing w:after="0"/>
              <w:rPr>
                <w:sz w:val="20"/>
                <w:szCs w:val="20"/>
                <w:color w:val="auto"/>
              </w:rPr>
            </w:pPr>
            <w:r>
              <w:rPr>
                <w:rFonts w:ascii="Arial" w:cs="Arial" w:eastAsia="Arial" w:hAnsi="Arial"/>
                <w:sz w:val="13"/>
                <w:szCs w:val="13"/>
                <w:color w:val="auto"/>
              </w:rPr>
              <w:t>Range:</w:t>
            </w:r>
          </w:p>
        </w:tc>
        <w:tc>
          <w:tcPr>
            <w:tcW w:w="1700" w:type="dxa"/>
            <w:vAlign w:val="bottom"/>
            <w:shd w:val="clear" w:color="auto" w:fill="F1EFEC"/>
          </w:tcPr>
          <w:p>
            <w:pPr>
              <w:ind w:left="120"/>
              <w:spacing w:after="0"/>
              <w:rPr>
                <w:sz w:val="20"/>
                <w:szCs w:val="20"/>
                <w:color w:val="auto"/>
              </w:rPr>
            </w:pPr>
            <w:r>
              <w:rPr>
                <w:rFonts w:ascii="Arial" w:cs="Arial" w:eastAsia="Arial" w:hAnsi="Arial"/>
                <w:sz w:val="13"/>
                <w:szCs w:val="13"/>
                <w:color w:val="auto"/>
              </w:rPr>
              <w:t>$2.0 billion–$83.3 billion</w:t>
            </w:r>
          </w:p>
        </w:tc>
      </w:tr>
      <w:tr>
        <w:trPr>
          <w:trHeight w:val="67"/>
        </w:trPr>
        <w:tc>
          <w:tcPr>
            <w:tcW w:w="4880" w:type="dxa"/>
            <w:vAlign w:val="bottom"/>
            <w:shd w:val="clear" w:color="auto" w:fill="F1EFEC"/>
          </w:tcPr>
          <w:p>
            <w:pPr>
              <w:spacing w:after="0"/>
              <w:rPr>
                <w:sz w:val="5"/>
                <w:szCs w:val="5"/>
                <w:color w:val="auto"/>
              </w:rPr>
            </w:pPr>
          </w:p>
        </w:tc>
        <w:tc>
          <w:tcPr>
            <w:tcW w:w="1360" w:type="dxa"/>
            <w:vAlign w:val="bottom"/>
            <w:shd w:val="clear" w:color="auto" w:fill="F1EFEC"/>
          </w:tcPr>
          <w:p>
            <w:pPr>
              <w:spacing w:after="0"/>
              <w:rPr>
                <w:sz w:val="5"/>
                <w:szCs w:val="5"/>
                <w:color w:val="auto"/>
              </w:rPr>
            </w:pPr>
          </w:p>
        </w:tc>
        <w:tc>
          <w:tcPr>
            <w:tcW w:w="800" w:type="dxa"/>
            <w:vAlign w:val="bottom"/>
            <w:shd w:val="clear" w:color="auto" w:fill="F1EFEC"/>
          </w:tcPr>
          <w:p>
            <w:pPr>
              <w:spacing w:after="0"/>
              <w:rPr>
                <w:sz w:val="5"/>
                <w:szCs w:val="5"/>
                <w:color w:val="auto"/>
              </w:rPr>
            </w:pPr>
          </w:p>
        </w:tc>
        <w:tc>
          <w:tcPr>
            <w:tcW w:w="1700" w:type="dxa"/>
            <w:vAlign w:val="bottom"/>
            <w:shd w:val="clear" w:color="auto" w:fill="F1EFEC"/>
          </w:tcPr>
          <w:p>
            <w:pPr>
              <w:spacing w:after="0"/>
              <w:rPr>
                <w:sz w:val="5"/>
                <w:szCs w:val="5"/>
                <w:color w:val="auto"/>
              </w:rPr>
            </w:pPr>
          </w:p>
        </w:tc>
      </w:tr>
      <w:tr>
        <w:trPr>
          <w:trHeight w:val="233"/>
        </w:trPr>
        <w:tc>
          <w:tcPr>
            <w:tcW w:w="4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auto"/>
              </w:rPr>
              <w:t>Median:</w:t>
            </w:r>
          </w:p>
        </w:tc>
        <w:tc>
          <w:tcPr>
            <w:tcW w:w="1700" w:type="dxa"/>
            <w:vAlign w:val="bottom"/>
          </w:tcPr>
          <w:p>
            <w:pPr>
              <w:ind w:left="120"/>
              <w:spacing w:after="0"/>
              <w:rPr>
                <w:sz w:val="20"/>
                <w:szCs w:val="20"/>
                <w:color w:val="auto"/>
              </w:rPr>
            </w:pPr>
            <w:r>
              <w:rPr>
                <w:rFonts w:ascii="Arial" w:cs="Arial" w:eastAsia="Arial" w:hAnsi="Arial"/>
                <w:sz w:val="13"/>
                <w:szCs w:val="13"/>
                <w:color w:val="auto"/>
              </w:rPr>
              <w:t>$11.3 billion</w:t>
            </w:r>
          </w:p>
        </w:tc>
      </w:tr>
      <w:tr>
        <w:trPr>
          <w:trHeight w:val="67"/>
        </w:trPr>
        <w:tc>
          <w:tcPr>
            <w:tcW w:w="48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00" w:type="dxa"/>
            <w:vAlign w:val="bottom"/>
          </w:tcPr>
          <w:p>
            <w:pPr>
              <w:spacing w:after="0"/>
              <w:rPr>
                <w:sz w:val="5"/>
                <w:szCs w:val="5"/>
                <w:color w:val="auto"/>
              </w:rPr>
            </w:pPr>
          </w:p>
        </w:tc>
      </w:tr>
      <w:tr>
        <w:trPr>
          <w:trHeight w:val="233"/>
        </w:trPr>
        <w:tc>
          <w:tcPr>
            <w:tcW w:w="4880" w:type="dxa"/>
            <w:vAlign w:val="bottom"/>
            <w:shd w:val="clear" w:color="auto" w:fill="F1EFEC"/>
          </w:tcPr>
          <w:p>
            <w:pPr>
              <w:ind w:left="40"/>
              <w:spacing w:after="0"/>
              <w:rPr>
                <w:sz w:val="20"/>
                <w:szCs w:val="20"/>
                <w:color w:val="auto"/>
              </w:rPr>
            </w:pPr>
            <w:r>
              <w:rPr>
                <w:rFonts w:ascii="Arial" w:cs="Arial" w:eastAsia="Arial" w:hAnsi="Arial"/>
                <w:sz w:val="13"/>
                <w:szCs w:val="13"/>
                <w:color w:val="auto"/>
              </w:rPr>
              <w:t>Enterprise Value</w:t>
            </w:r>
          </w:p>
        </w:tc>
        <w:tc>
          <w:tcPr>
            <w:tcW w:w="136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7"/>
              </w:rPr>
              <w:t>$22.0 billion</w:t>
            </w:r>
          </w:p>
        </w:tc>
        <w:tc>
          <w:tcPr>
            <w:tcW w:w="800" w:type="dxa"/>
            <w:vAlign w:val="bottom"/>
            <w:shd w:val="clear" w:color="auto" w:fill="F1EFEC"/>
          </w:tcPr>
          <w:p>
            <w:pPr>
              <w:ind w:left="200"/>
              <w:spacing w:after="0"/>
              <w:rPr>
                <w:sz w:val="20"/>
                <w:szCs w:val="20"/>
                <w:color w:val="auto"/>
              </w:rPr>
            </w:pPr>
            <w:r>
              <w:rPr>
                <w:rFonts w:ascii="Arial" w:cs="Arial" w:eastAsia="Arial" w:hAnsi="Arial"/>
                <w:sz w:val="13"/>
                <w:szCs w:val="13"/>
                <w:color w:val="auto"/>
              </w:rPr>
              <w:t>Range:</w:t>
            </w:r>
          </w:p>
        </w:tc>
        <w:tc>
          <w:tcPr>
            <w:tcW w:w="1700" w:type="dxa"/>
            <w:vAlign w:val="bottom"/>
            <w:shd w:val="clear" w:color="auto" w:fill="F1EFEC"/>
          </w:tcPr>
          <w:p>
            <w:pPr>
              <w:ind w:left="120"/>
              <w:spacing w:after="0"/>
              <w:rPr>
                <w:sz w:val="20"/>
                <w:szCs w:val="20"/>
                <w:color w:val="auto"/>
              </w:rPr>
            </w:pPr>
            <w:r>
              <w:rPr>
                <w:rFonts w:ascii="Arial" w:cs="Arial" w:eastAsia="Arial" w:hAnsi="Arial"/>
                <w:sz w:val="13"/>
                <w:szCs w:val="13"/>
                <w:color w:val="auto"/>
              </w:rPr>
              <w:t>$4.1 billion–$100.1 billion</w:t>
            </w:r>
          </w:p>
        </w:tc>
      </w:tr>
      <w:tr>
        <w:trPr>
          <w:trHeight w:val="67"/>
        </w:trPr>
        <w:tc>
          <w:tcPr>
            <w:tcW w:w="4880" w:type="dxa"/>
            <w:vAlign w:val="bottom"/>
            <w:shd w:val="clear" w:color="auto" w:fill="F1EFEC"/>
          </w:tcPr>
          <w:p>
            <w:pPr>
              <w:spacing w:after="0"/>
              <w:rPr>
                <w:sz w:val="5"/>
                <w:szCs w:val="5"/>
                <w:color w:val="auto"/>
              </w:rPr>
            </w:pPr>
          </w:p>
        </w:tc>
        <w:tc>
          <w:tcPr>
            <w:tcW w:w="1360" w:type="dxa"/>
            <w:vAlign w:val="bottom"/>
            <w:shd w:val="clear" w:color="auto" w:fill="F1EFEC"/>
          </w:tcPr>
          <w:p>
            <w:pPr>
              <w:spacing w:after="0"/>
              <w:rPr>
                <w:sz w:val="5"/>
                <w:szCs w:val="5"/>
                <w:color w:val="auto"/>
              </w:rPr>
            </w:pPr>
          </w:p>
        </w:tc>
        <w:tc>
          <w:tcPr>
            <w:tcW w:w="800" w:type="dxa"/>
            <w:vAlign w:val="bottom"/>
            <w:shd w:val="clear" w:color="auto" w:fill="F1EFEC"/>
          </w:tcPr>
          <w:p>
            <w:pPr>
              <w:spacing w:after="0"/>
              <w:rPr>
                <w:sz w:val="5"/>
                <w:szCs w:val="5"/>
                <w:color w:val="auto"/>
              </w:rPr>
            </w:pPr>
          </w:p>
        </w:tc>
        <w:tc>
          <w:tcPr>
            <w:tcW w:w="1700" w:type="dxa"/>
            <w:vAlign w:val="bottom"/>
            <w:shd w:val="clear" w:color="auto" w:fill="F1EFEC"/>
          </w:tcPr>
          <w:p>
            <w:pPr>
              <w:spacing w:after="0"/>
              <w:rPr>
                <w:sz w:val="5"/>
                <w:szCs w:val="5"/>
                <w:color w:val="auto"/>
              </w:rPr>
            </w:pPr>
          </w:p>
        </w:tc>
      </w:tr>
      <w:tr>
        <w:trPr>
          <w:trHeight w:val="233"/>
        </w:trPr>
        <w:tc>
          <w:tcPr>
            <w:tcW w:w="4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auto"/>
              </w:rPr>
              <w:t>Median: </w:t>
            </w:r>
          </w:p>
        </w:tc>
        <w:tc>
          <w:tcPr>
            <w:tcW w:w="1700" w:type="dxa"/>
            <w:vAlign w:val="bottom"/>
          </w:tcPr>
          <w:p>
            <w:pPr>
              <w:ind w:left="120"/>
              <w:spacing w:after="0"/>
              <w:rPr>
                <w:sz w:val="20"/>
                <w:szCs w:val="20"/>
                <w:color w:val="auto"/>
              </w:rPr>
            </w:pPr>
            <w:r>
              <w:rPr>
                <w:rFonts w:ascii="Arial" w:cs="Arial" w:eastAsia="Arial" w:hAnsi="Arial"/>
                <w:sz w:val="13"/>
                <w:szCs w:val="13"/>
                <w:color w:val="auto"/>
              </w:rPr>
              <w:t>$23.7 billion</w:t>
            </w:r>
          </w:p>
        </w:tc>
      </w:tr>
    </w:tbl>
    <w:p>
      <w:pPr>
        <w:spacing w:after="0" w:line="138" w:lineRule="exact"/>
        <w:rPr>
          <w:sz w:val="20"/>
          <w:szCs w:val="20"/>
          <w:color w:val="auto"/>
        </w:rPr>
      </w:pPr>
    </w:p>
    <w:p>
      <w:pPr>
        <w:ind w:left="1260"/>
        <w:spacing w:after="0"/>
        <w:rPr>
          <w:sz w:val="20"/>
          <w:szCs w:val="20"/>
          <w:color w:val="auto"/>
        </w:rPr>
      </w:pPr>
      <w:r>
        <w:rPr>
          <w:rFonts w:ascii="Arial" w:cs="Arial" w:eastAsia="Arial" w:hAnsi="Arial"/>
          <w:sz w:val="10"/>
          <w:szCs w:val="10"/>
          <w:color w:val="auto"/>
        </w:rPr>
        <w:t>Data source: Bloomberg.</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Non-Disclosure of Certain Metrics and Targets</w:t>
      </w:r>
    </w:p>
    <w:p>
      <w:pPr>
        <w:spacing w:after="0" w:line="310" w:lineRule="exact"/>
        <w:rPr>
          <w:sz w:val="20"/>
          <w:szCs w:val="20"/>
          <w:color w:val="auto"/>
        </w:rPr>
      </w:pPr>
    </w:p>
    <w:p>
      <w:pPr>
        <w:jc w:val="both"/>
        <w:ind w:left="1260" w:right="339"/>
        <w:spacing w:after="0" w:line="256" w:lineRule="auto"/>
        <w:rPr>
          <w:sz w:val="20"/>
          <w:szCs w:val="20"/>
          <w:color w:val="auto"/>
        </w:rPr>
      </w:pPr>
      <w:r>
        <w:rPr>
          <w:rFonts w:ascii="Arial" w:cs="Arial" w:eastAsia="Arial" w:hAnsi="Arial"/>
          <w:sz w:val="13"/>
          <w:szCs w:val="13"/>
          <w:color w:val="auto"/>
        </w:rPr>
        <w:t>The Company believes in transparency and strives to disclose as much information to shareholders as possible except when we believe that providing full, or even limited, disclosure would be detrimental to the interests of shareholders. We believe certain disclosures could provide our competitors with insight regarding confidential business strategies without meaningfully adding to shareholders’ understanding.</w:t>
      </w:r>
    </w:p>
    <w:p>
      <w:pPr>
        <w:spacing w:after="0" w:line="90"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0159"/>
          </w:cols>
          <w:pgMar w:left="300" w:top="41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Other Aspects of Our Executive Compensation</w:t>
      </w:r>
    </w:p>
    <w:p>
      <w:pPr>
        <w:spacing w:after="0" w:line="278" w:lineRule="exact"/>
        <w:rPr>
          <w:sz w:val="20"/>
          <w:szCs w:val="20"/>
          <w:color w:val="auto"/>
        </w:rPr>
      </w:pPr>
    </w:p>
    <w:p>
      <w:pPr>
        <w:ind w:left="1260" w:right="239"/>
        <w:spacing w:after="0" w:line="271" w:lineRule="auto"/>
        <w:rPr>
          <w:sz w:val="20"/>
          <w:szCs w:val="20"/>
          <w:color w:val="auto"/>
        </w:rPr>
      </w:pPr>
      <w:r>
        <w:rPr>
          <w:rFonts w:ascii="Arial" w:cs="Arial" w:eastAsia="Arial" w:hAnsi="Arial"/>
          <w:sz w:val="13"/>
          <w:szCs w:val="13"/>
          <w:color w:val="B9AFA0"/>
        </w:rPr>
        <w:t xml:space="preserve">STOCK OWNERSHIP REQUIREMENTS: </w:t>
      </w:r>
      <w:r>
        <w:rPr>
          <w:rFonts w:ascii="Arial" w:cs="Arial" w:eastAsia="Arial" w:hAnsi="Arial"/>
          <w:sz w:val="13"/>
          <w:szCs w:val="13"/>
          <w:color w:val="000000"/>
        </w:rPr>
        <w:t>The Board has adopted the following stock ownership requirements applicable to non-employee directors and</w:t>
      </w:r>
      <w:r>
        <w:rPr>
          <w:rFonts w:ascii="Arial" w:cs="Arial" w:eastAsia="Arial" w:hAnsi="Arial"/>
          <w:sz w:val="13"/>
          <w:szCs w:val="13"/>
          <w:color w:val="B9AFA0"/>
        </w:rPr>
        <w:t xml:space="preserve"> </w:t>
      </w:r>
      <w:r>
        <w:rPr>
          <w:rFonts w:ascii="Arial" w:cs="Arial" w:eastAsia="Arial" w:hAnsi="Arial"/>
          <w:sz w:val="13"/>
          <w:szCs w:val="13"/>
          <w:color w:val="000000"/>
        </w:rPr>
        <w:t>senior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105410</wp:posOffset>
            </wp:positionV>
            <wp:extent cx="6985" cy="5721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85" cy="572135"/>
                    </a:xfrm>
                    <a:prstGeom prst="rect">
                      <a:avLst/>
                    </a:prstGeom>
                    <a:noFill/>
                  </pic:spPr>
                </pic:pic>
              </a:graphicData>
            </a:graphic>
          </wp:anchor>
        </w:drawing>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233"/>
        </w:trPr>
        <w:tc>
          <w:tcPr>
            <w:tcW w:w="4540" w:type="dxa"/>
            <w:vAlign w:val="bottom"/>
            <w:shd w:val="clear" w:color="auto" w:fill="F1EFEC"/>
          </w:tcPr>
          <w:p>
            <w:pPr>
              <w:ind w:left="40"/>
              <w:spacing w:after="0"/>
              <w:rPr>
                <w:sz w:val="20"/>
                <w:szCs w:val="20"/>
                <w:color w:val="auto"/>
              </w:rPr>
            </w:pPr>
            <w:r>
              <w:rPr>
                <w:rFonts w:ascii="Arial" w:cs="Arial" w:eastAsia="Arial" w:hAnsi="Arial"/>
                <w:sz w:val="13"/>
                <w:szCs w:val="13"/>
                <w:color w:val="auto"/>
              </w:rPr>
              <w:t>Chief Executive Officer</w:t>
            </w:r>
          </w:p>
        </w:tc>
        <w:tc>
          <w:tcPr>
            <w:tcW w:w="4200" w:type="dxa"/>
            <w:vAlign w:val="bottom"/>
            <w:shd w:val="clear" w:color="auto" w:fill="F1EFEC"/>
          </w:tcPr>
          <w:p>
            <w:pPr>
              <w:ind w:left="80"/>
              <w:spacing w:after="0"/>
              <w:rPr>
                <w:sz w:val="20"/>
                <w:szCs w:val="20"/>
                <w:color w:val="auto"/>
              </w:rPr>
            </w:pPr>
            <w:r>
              <w:rPr>
                <w:rFonts w:ascii="Arial" w:cs="Arial" w:eastAsia="Arial" w:hAnsi="Arial"/>
                <w:sz w:val="13"/>
                <w:szCs w:val="13"/>
                <w:color w:val="auto"/>
              </w:rPr>
              <w:t>6x base salary</w:t>
            </w:r>
          </w:p>
        </w:tc>
      </w:tr>
      <w:tr>
        <w:trPr>
          <w:trHeight w:val="67"/>
        </w:trPr>
        <w:tc>
          <w:tcPr>
            <w:tcW w:w="4540" w:type="dxa"/>
            <w:vAlign w:val="bottom"/>
            <w:shd w:val="clear" w:color="auto" w:fill="F1EFEC"/>
          </w:tcPr>
          <w:p>
            <w:pPr>
              <w:spacing w:after="0"/>
              <w:rPr>
                <w:sz w:val="5"/>
                <w:szCs w:val="5"/>
                <w:color w:val="auto"/>
              </w:rPr>
            </w:pPr>
          </w:p>
        </w:tc>
        <w:tc>
          <w:tcPr>
            <w:tcW w:w="4200" w:type="dxa"/>
            <w:vAlign w:val="bottom"/>
            <w:shd w:val="clear" w:color="auto" w:fill="F1EFEC"/>
          </w:tcPr>
          <w:p>
            <w:pPr>
              <w:spacing w:after="0"/>
              <w:rPr>
                <w:sz w:val="5"/>
                <w:szCs w:val="5"/>
                <w:color w:val="auto"/>
              </w:rPr>
            </w:pPr>
          </w:p>
        </w:tc>
      </w:tr>
      <w:tr>
        <w:trPr>
          <w:trHeight w:val="233"/>
        </w:trPr>
        <w:tc>
          <w:tcPr>
            <w:tcW w:w="4540" w:type="dxa"/>
            <w:vAlign w:val="bottom"/>
          </w:tcPr>
          <w:p>
            <w:pPr>
              <w:ind w:left="40"/>
              <w:spacing w:after="0"/>
              <w:rPr>
                <w:sz w:val="20"/>
                <w:szCs w:val="20"/>
                <w:color w:val="auto"/>
              </w:rPr>
            </w:pPr>
            <w:r>
              <w:rPr>
                <w:rFonts w:ascii="Arial" w:cs="Arial" w:eastAsia="Arial" w:hAnsi="Arial"/>
                <w:sz w:val="13"/>
                <w:szCs w:val="13"/>
                <w:color w:val="auto"/>
              </w:rPr>
              <w:t>Other NEOs</w:t>
            </w:r>
          </w:p>
        </w:tc>
        <w:tc>
          <w:tcPr>
            <w:tcW w:w="4200" w:type="dxa"/>
            <w:vAlign w:val="bottom"/>
          </w:tcPr>
          <w:p>
            <w:pPr>
              <w:ind w:left="80"/>
              <w:spacing w:after="0"/>
              <w:rPr>
                <w:sz w:val="20"/>
                <w:szCs w:val="20"/>
                <w:color w:val="auto"/>
              </w:rPr>
            </w:pPr>
            <w:r>
              <w:rPr>
                <w:rFonts w:ascii="Arial" w:cs="Arial" w:eastAsia="Arial" w:hAnsi="Arial"/>
                <w:sz w:val="13"/>
                <w:szCs w:val="13"/>
                <w:color w:val="auto"/>
              </w:rPr>
              <w:t>3x base salary</w:t>
            </w:r>
          </w:p>
        </w:tc>
      </w:tr>
      <w:tr>
        <w:trPr>
          <w:trHeight w:val="67"/>
        </w:trPr>
        <w:tc>
          <w:tcPr>
            <w:tcW w:w="4540" w:type="dxa"/>
            <w:vAlign w:val="bottom"/>
          </w:tcPr>
          <w:p>
            <w:pPr>
              <w:spacing w:after="0"/>
              <w:rPr>
                <w:sz w:val="5"/>
                <w:szCs w:val="5"/>
                <w:color w:val="auto"/>
              </w:rPr>
            </w:pPr>
          </w:p>
        </w:tc>
        <w:tc>
          <w:tcPr>
            <w:tcW w:w="4200" w:type="dxa"/>
            <w:vAlign w:val="bottom"/>
          </w:tcPr>
          <w:p>
            <w:pPr>
              <w:spacing w:after="0"/>
              <w:rPr>
                <w:sz w:val="5"/>
                <w:szCs w:val="5"/>
                <w:color w:val="auto"/>
              </w:rPr>
            </w:pPr>
          </w:p>
        </w:tc>
      </w:tr>
      <w:tr>
        <w:trPr>
          <w:trHeight w:val="233"/>
        </w:trPr>
        <w:tc>
          <w:tcPr>
            <w:tcW w:w="4540" w:type="dxa"/>
            <w:vAlign w:val="bottom"/>
            <w:shd w:val="clear" w:color="auto" w:fill="F1EFEC"/>
          </w:tcPr>
          <w:p>
            <w:pPr>
              <w:ind w:left="40"/>
              <w:spacing w:after="0"/>
              <w:rPr>
                <w:sz w:val="20"/>
                <w:szCs w:val="20"/>
                <w:color w:val="auto"/>
              </w:rPr>
            </w:pPr>
            <w:r>
              <w:rPr>
                <w:rFonts w:ascii="Arial" w:cs="Arial" w:eastAsia="Arial" w:hAnsi="Arial"/>
                <w:sz w:val="13"/>
                <w:szCs w:val="13"/>
                <w:color w:val="auto"/>
              </w:rPr>
              <w:t>Non-employee directors</w:t>
            </w:r>
          </w:p>
        </w:tc>
        <w:tc>
          <w:tcPr>
            <w:tcW w:w="4200" w:type="dxa"/>
            <w:vAlign w:val="bottom"/>
            <w:shd w:val="clear" w:color="auto" w:fill="F1EFEC"/>
          </w:tcPr>
          <w:p>
            <w:pPr>
              <w:ind w:left="80"/>
              <w:spacing w:after="0"/>
              <w:rPr>
                <w:sz w:val="20"/>
                <w:szCs w:val="20"/>
                <w:color w:val="auto"/>
              </w:rPr>
            </w:pPr>
            <w:r>
              <w:rPr>
                <w:rFonts w:ascii="Arial" w:cs="Arial" w:eastAsia="Arial" w:hAnsi="Arial"/>
                <w:sz w:val="13"/>
                <w:szCs w:val="13"/>
                <w:color w:val="auto"/>
              </w:rPr>
              <w:t>4x annual retainer</w:t>
            </w:r>
          </w:p>
        </w:tc>
      </w:tr>
      <w:tr>
        <w:trPr>
          <w:trHeight w:val="67"/>
        </w:trPr>
        <w:tc>
          <w:tcPr>
            <w:tcW w:w="4540" w:type="dxa"/>
            <w:vAlign w:val="bottom"/>
            <w:shd w:val="clear" w:color="auto" w:fill="F1EFEC"/>
          </w:tcPr>
          <w:p>
            <w:pPr>
              <w:spacing w:after="0"/>
              <w:rPr>
                <w:sz w:val="5"/>
                <w:szCs w:val="5"/>
                <w:color w:val="auto"/>
              </w:rPr>
            </w:pPr>
          </w:p>
        </w:tc>
        <w:tc>
          <w:tcPr>
            <w:tcW w:w="4200" w:type="dxa"/>
            <w:vAlign w:val="bottom"/>
            <w:shd w:val="clear" w:color="auto" w:fill="F1EFEC"/>
          </w:tcPr>
          <w:p>
            <w:pPr>
              <w:spacing w:after="0"/>
              <w:rPr>
                <w:sz w:val="5"/>
                <w:szCs w:val="5"/>
                <w:color w:val="auto"/>
              </w:rPr>
            </w:pPr>
          </w:p>
        </w:tc>
      </w:tr>
    </w:tbl>
    <w:p>
      <w:pPr>
        <w:spacing w:after="0" w:line="16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In 2025, we increased the stock ownership requirements applicable to non-employee directors from 3x the annual retainer to 4x the annual retainer.</w:t>
      </w:r>
    </w:p>
    <w:p>
      <w:pPr>
        <w:spacing w:after="0" w:line="172" w:lineRule="exact"/>
        <w:rPr>
          <w:sz w:val="20"/>
          <w:szCs w:val="20"/>
          <w:color w:val="auto"/>
        </w:rPr>
      </w:pPr>
    </w:p>
    <w:p>
      <w:pPr>
        <w:ind w:left="1260" w:right="279"/>
        <w:spacing w:after="0" w:line="251" w:lineRule="auto"/>
        <w:rPr>
          <w:sz w:val="20"/>
          <w:szCs w:val="20"/>
          <w:color w:val="auto"/>
        </w:rPr>
      </w:pPr>
      <w:r>
        <w:rPr>
          <w:rFonts w:ascii="Arial" w:cs="Arial" w:eastAsia="Arial" w:hAnsi="Arial"/>
          <w:sz w:val="13"/>
          <w:szCs w:val="13"/>
          <w:color w:val="auto"/>
        </w:rPr>
        <w:t>Ownership requirements must be met for NEOs within five years of appointment to office and for directors within five years of election to the Board, with vested options and all restricted stock grants counted toward satisfaction of ownership requirements. If an NEO fails to make progress toward meeting these requirements, he or she will be automatically restricted by the Company from selling shares in future vesting beyond what is required to meet tax obligations. Currently, all our directors and NEOs satisfy the requirements.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CLAWBACK POLICY</w:t>
      </w:r>
    </w:p>
    <w:p>
      <w:pPr>
        <w:spacing w:after="0" w:line="284" w:lineRule="exact"/>
        <w:rPr>
          <w:sz w:val="20"/>
          <w:szCs w:val="20"/>
          <w:color w:val="auto"/>
        </w:rPr>
      </w:pPr>
    </w:p>
    <w:p>
      <w:pPr>
        <w:ind w:left="1260" w:right="139"/>
        <w:spacing w:after="0" w:line="248" w:lineRule="auto"/>
        <w:rPr>
          <w:sz w:val="20"/>
          <w:szCs w:val="20"/>
          <w:color w:val="auto"/>
        </w:rPr>
      </w:pPr>
      <w:r>
        <w:rPr>
          <w:rFonts w:ascii="Arial" w:cs="Arial" w:eastAsia="Arial" w:hAnsi="Arial"/>
          <w:sz w:val="13"/>
          <w:szCs w:val="13"/>
          <w:color w:val="auto"/>
        </w:rPr>
        <w:t xml:space="preserve">The Board has adopted a clawback policy for executive officer compensation. Incentive-based compensation paid to our current or former executive officers, including our current or former NEOs, is subject to clawback ( </w:t>
      </w:r>
      <w:r>
        <w:rPr>
          <w:rFonts w:ascii="Arial" w:cs="Arial" w:eastAsia="Arial" w:hAnsi="Arial"/>
          <w:sz w:val="13"/>
          <w:szCs w:val="13"/>
          <w:i w:val="1"/>
          <w:iCs w:val="1"/>
          <w:color w:val="auto"/>
        </w:rPr>
        <w:t>i.e.</w:t>
      </w:r>
      <w:r>
        <w:rPr>
          <w:rFonts w:ascii="Arial" w:cs="Arial" w:eastAsia="Arial" w:hAnsi="Arial"/>
          <w:sz w:val="13"/>
          <w:szCs w:val="13"/>
          <w:color w:val="auto"/>
        </w:rPr>
        <w:t>, repayments by the NEO to the Company) if there is a restatement of our financial statements within three years of the payment. The amount of the clawback generally is equal to the difference between the compensation received by the NEO and the payment that would have been made based on the restated financial results. The clawback policy is filed as an exhibit to our Annual Report on Form 10-K.</w:t>
      </w:r>
    </w:p>
    <w:p>
      <w:pPr>
        <w:spacing w:after="0" w:line="150" w:lineRule="exact"/>
        <w:rPr>
          <w:sz w:val="20"/>
          <w:szCs w:val="20"/>
          <w:color w:val="auto"/>
        </w:rPr>
      </w:pPr>
    </w:p>
    <w:p>
      <w:pPr>
        <w:ind w:left="1260" w:right="179"/>
        <w:spacing w:after="0" w:line="248" w:lineRule="auto"/>
        <w:rPr>
          <w:sz w:val="20"/>
          <w:szCs w:val="20"/>
          <w:color w:val="auto"/>
        </w:rPr>
      </w:pPr>
      <w:r>
        <w:rPr>
          <w:rFonts w:ascii="Arial" w:cs="Arial" w:eastAsia="Arial" w:hAnsi="Arial"/>
          <w:sz w:val="13"/>
          <w:szCs w:val="13"/>
          <w:color w:val="B9AFA0"/>
        </w:rPr>
        <w:t xml:space="preserve">ROLE OF THE COMPENSATION COMMITTEE AND MANAGEMENT IN SETTING COMPENSATION: </w:t>
      </w:r>
      <w:r>
        <w:rPr>
          <w:rFonts w:ascii="Arial" w:cs="Arial" w:eastAsia="Arial" w:hAnsi="Arial"/>
          <w:sz w:val="13"/>
          <w:szCs w:val="13"/>
          <w:color w:val="000000"/>
        </w:rPr>
        <w:t>The Compensation Committee sets all elements</w:t>
      </w:r>
      <w:r>
        <w:rPr>
          <w:rFonts w:ascii="Arial" w:cs="Arial" w:eastAsia="Arial" w:hAnsi="Arial"/>
          <w:sz w:val="13"/>
          <w:szCs w:val="13"/>
          <w:color w:val="B9AFA0"/>
        </w:rPr>
        <w:t xml:space="preserve"> </w:t>
      </w:r>
      <w:r>
        <w:rPr>
          <w:rFonts w:ascii="Arial" w:cs="Arial" w:eastAsia="Arial" w:hAnsi="Arial"/>
          <w:sz w:val="13"/>
          <w:szCs w:val="13"/>
          <w:color w:val="000000"/>
        </w:rPr>
        <w:t>of compensation for our NEOs based upon the NEO’s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150" w:lineRule="exact"/>
        <w:rPr>
          <w:sz w:val="20"/>
          <w:szCs w:val="20"/>
          <w:color w:val="auto"/>
        </w:rPr>
      </w:pPr>
    </w:p>
    <w:p>
      <w:pPr>
        <w:ind w:left="1260" w:right="279"/>
        <w:spacing w:after="0" w:line="274" w:lineRule="auto"/>
        <w:rPr>
          <w:sz w:val="20"/>
          <w:szCs w:val="20"/>
          <w:color w:val="auto"/>
        </w:rPr>
      </w:pPr>
      <w:r>
        <w:rPr>
          <w:rFonts w:ascii="Arial" w:cs="Arial" w:eastAsia="Arial" w:hAnsi="Arial"/>
          <w:sz w:val="12"/>
          <w:szCs w:val="12"/>
          <w:color w:val="B9AFA0"/>
        </w:rPr>
        <w:t xml:space="preserve">ROLE OF THE COMPENSATION CONSULTANT: </w:t>
      </w:r>
      <w:r>
        <w:rPr>
          <w:rFonts w:ascii="Arial" w:cs="Arial" w:eastAsia="Arial" w:hAnsi="Arial"/>
          <w:sz w:val="12"/>
          <w:szCs w:val="12"/>
          <w:color w:val="000000"/>
        </w:rPr>
        <w:t>The Compensation Committee has the authority to retain compensation consulting firms to assist it in</w:t>
      </w:r>
      <w:r>
        <w:rPr>
          <w:rFonts w:ascii="Arial" w:cs="Arial" w:eastAsia="Arial" w:hAnsi="Arial"/>
          <w:sz w:val="12"/>
          <w:szCs w:val="12"/>
          <w:color w:val="B9AFA0"/>
        </w:rPr>
        <w:t xml:space="preserve"> </w:t>
      </w:r>
      <w:r>
        <w:rPr>
          <w:rFonts w:ascii="Arial" w:cs="Arial" w:eastAsia="Arial" w:hAnsi="Arial"/>
          <w:sz w:val="12"/>
          <w:szCs w:val="12"/>
          <w:color w:val="000000"/>
        </w:rPr>
        <w:t>the evaluation of senior executive officer and employee compensation and benefit programs. In 2024, the Compensation Committee retained Radford a nationally recognized independent compensation consulting firm, to assist in performing its duties. Radford does not provide any other services to the Company. In 2025, Radford, at the direction of the Compensation Committee, completed a peer group review, in connection with the Compensation Committee’s review of compensation levels of our NEOs. The Compensation Committee retains sole responsibility for engaging its advisors.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0159"/>
          </w:cols>
          <w:pgMar w:left="300" w:top="41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439"/>
        <w:spacing w:after="0" w:line="256" w:lineRule="auto"/>
        <w:rPr>
          <w:sz w:val="20"/>
          <w:szCs w:val="20"/>
          <w:color w:val="auto"/>
        </w:rPr>
      </w:pPr>
      <w:r>
        <w:rPr>
          <w:rFonts w:ascii="Arial" w:cs="Arial" w:eastAsia="Arial" w:hAnsi="Arial"/>
          <w:sz w:val="13"/>
          <w:szCs w:val="13"/>
          <w:color w:val="B9AFA0"/>
        </w:rPr>
        <w:t xml:space="preserve">INDEPENDENCE OF THE COMPENSATION CONSULTANT: </w:t>
      </w:r>
      <w:r>
        <w:rPr>
          <w:rFonts w:ascii="Arial" w:cs="Arial" w:eastAsia="Arial" w:hAnsi="Arial"/>
          <w:sz w:val="13"/>
          <w:szCs w:val="13"/>
          <w:color w:val="000000"/>
        </w:rPr>
        <w:t>The Compensation Committee has determined that Radford is independent, and the</w:t>
      </w:r>
      <w:r>
        <w:rPr>
          <w:rFonts w:ascii="Arial" w:cs="Arial" w:eastAsia="Arial" w:hAnsi="Arial"/>
          <w:sz w:val="13"/>
          <w:szCs w:val="13"/>
          <w:color w:val="B9AFA0"/>
        </w:rPr>
        <w:t xml:space="preserve"> </w:t>
      </w:r>
      <w:r>
        <w:rPr>
          <w:rFonts w:ascii="Arial" w:cs="Arial" w:eastAsia="Arial" w:hAnsi="Arial"/>
          <w:sz w:val="13"/>
          <w:szCs w:val="13"/>
          <w:color w:val="000000"/>
        </w:rPr>
        <w:t>services provided by Radford currently do not and during 2025 did not raise any conflict of interest. In reaching these conclusions, the Compensation Committee considered the factors set forth in Rule 10C-1 of the Exchange Act and applicable listing standards.</w:t>
      </w:r>
    </w:p>
    <w:p>
      <w:pPr>
        <w:spacing w:after="0" w:line="144" w:lineRule="exact"/>
        <w:rPr>
          <w:sz w:val="20"/>
          <w:szCs w:val="20"/>
          <w:color w:val="auto"/>
        </w:rPr>
      </w:pPr>
    </w:p>
    <w:p>
      <w:pPr>
        <w:ind w:left="1260" w:right="179"/>
        <w:spacing w:after="0" w:line="244" w:lineRule="auto"/>
        <w:rPr>
          <w:sz w:val="20"/>
          <w:szCs w:val="20"/>
          <w:color w:val="auto"/>
        </w:rPr>
      </w:pPr>
      <w:r>
        <w:rPr>
          <w:rFonts w:ascii="Arial" w:cs="Arial" w:eastAsia="Arial" w:hAnsi="Arial"/>
          <w:sz w:val="13"/>
          <w:szCs w:val="13"/>
          <w:color w:val="B9AFA0"/>
        </w:rPr>
        <w:t xml:space="preserve">EMPLOYMENT CONTRACTS: </w:t>
      </w:r>
      <w:r>
        <w:rPr>
          <w:rFonts w:ascii="Arial" w:cs="Arial" w:eastAsia="Arial" w:hAnsi="Arial"/>
          <w:sz w:val="13"/>
          <w:szCs w:val="13"/>
          <w:color w:val="000000"/>
        </w:rPr>
        <w:t>We have a longstanding practice of entering into multi-year employment contracts with our senior executive officers and</w:t>
      </w:r>
      <w:r>
        <w:rPr>
          <w:rFonts w:ascii="Arial" w:cs="Arial" w:eastAsia="Arial" w:hAnsi="Arial"/>
          <w:sz w:val="13"/>
          <w:szCs w:val="13"/>
          <w:color w:val="B9AFA0"/>
        </w:rPr>
        <w:t xml:space="preserve"> </w:t>
      </w:r>
      <w:r>
        <w:rPr>
          <w:rFonts w:ascii="Arial" w:cs="Arial" w:eastAsia="Arial" w:hAnsi="Arial"/>
          <w:sz w:val="13"/>
          <w:szCs w:val="13"/>
          <w:color w:val="000000"/>
        </w:rPr>
        <w:t>senior management. We believe that employment contracts provide greater assurance of continuity and retention of critical creative and operating talent in a highly competitive industry. Employment contracts for our NEOs are approved by the Compensation Committee in consultation with the Compensation Committee’s independent compensation advisors, as needed. The employment contracts for the NEOs currently employed by the Company specify their base salary and provide that if the executive’s employment terminates upon certain circumstances, the executive will receive specified separation benefits as described in more detail under the section below titled “Potential payments upon termination, retirement or change in control.” The NEOs’ employment contracts and the terms of their equity award agreements also provide that vesting of some or all of an executive’s outstanding equity awards will accelerate upon certain events. Our current employment contracts do not provide for any excise tax gross ups. We believe that providing for these benefits in these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retirement or change in control.”</w:t>
      </w:r>
    </w:p>
    <w:p>
      <w:pPr>
        <w:spacing w:after="0" w:line="152" w:lineRule="exact"/>
        <w:rPr>
          <w:sz w:val="20"/>
          <w:szCs w:val="20"/>
          <w:color w:val="auto"/>
        </w:rPr>
      </w:pPr>
    </w:p>
    <w:p>
      <w:pPr>
        <w:ind w:left="1260" w:right="339"/>
        <w:spacing w:after="0" w:line="256" w:lineRule="auto"/>
        <w:rPr>
          <w:sz w:val="20"/>
          <w:szCs w:val="20"/>
          <w:color w:val="auto"/>
        </w:rPr>
      </w:pPr>
      <w:r>
        <w:rPr>
          <w:rFonts w:ascii="Arial" w:cs="Arial" w:eastAsia="Arial" w:hAnsi="Arial"/>
          <w:sz w:val="13"/>
          <w:szCs w:val="13"/>
          <w:color w:val="B9AFA0"/>
        </w:rPr>
        <w:t xml:space="preserve">RETIREMENT PLAN: </w:t>
      </w:r>
      <w:r>
        <w:rPr>
          <w:rFonts w:ascii="Arial" w:cs="Arial" w:eastAsia="Arial" w:hAnsi="Arial"/>
          <w:sz w:val="13"/>
          <w:szCs w:val="13"/>
          <w:color w:val="000000"/>
        </w:rPr>
        <w:t>On November 1, 2023, we adopted the Wynn Resorts, Limited Executive Retirement Plan (as amended from time to time, the</w:t>
      </w:r>
      <w:r>
        <w:rPr>
          <w:rFonts w:ascii="Arial" w:cs="Arial" w:eastAsia="Arial" w:hAnsi="Arial"/>
          <w:sz w:val="13"/>
          <w:szCs w:val="13"/>
          <w:color w:val="B9AFA0"/>
        </w:rPr>
        <w:t xml:space="preserve"> </w:t>
      </w:r>
      <w:r>
        <w:rPr>
          <w:rFonts w:ascii="Arial" w:cs="Arial" w:eastAsia="Arial" w:hAnsi="Arial"/>
          <w:sz w:val="13"/>
          <w:szCs w:val="13"/>
          <w:color w:val="000000"/>
        </w:rPr>
        <w:t>“Retirement Plan”), which provides specified payments and benefits to certain key executives upon retirement. For more information on the Retirement Plan, see the section below titled “Potential payments upon termination, retirement or change in control”.</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Compensation Committee Report</w:t>
      </w:r>
    </w:p>
    <w:p>
      <w:pPr>
        <w:spacing w:after="0" w:line="278" w:lineRule="exact"/>
        <w:rPr>
          <w:sz w:val="20"/>
          <w:szCs w:val="20"/>
          <w:color w:val="auto"/>
        </w:rPr>
      </w:pPr>
    </w:p>
    <w:p>
      <w:pPr>
        <w:ind w:left="1260" w:right="199"/>
        <w:spacing w:after="0" w:line="256" w:lineRule="auto"/>
        <w:rPr>
          <w:sz w:val="20"/>
          <w:szCs w:val="20"/>
          <w:color w:val="auto"/>
        </w:rPr>
      </w:pPr>
      <w:r>
        <w:rPr>
          <w:rFonts w:ascii="Arial" w:cs="Arial" w:eastAsia="Arial" w:hAnsi="Arial"/>
          <w:sz w:val="13"/>
          <w:szCs w:val="13"/>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44"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Compensation Committee</w:t>
      </w:r>
    </w:p>
    <w:p>
      <w:pPr>
        <w:spacing w:after="0" w:line="172"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Betsy S. Atkins, Chair</w:t>
      </w:r>
    </w:p>
    <w:p>
      <w:pPr>
        <w:spacing w:after="0" w:line="13"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Richard J. Byrne</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Darnell O. Strom</w:t>
      </w:r>
    </w:p>
    <w:p>
      <w:pPr>
        <w:spacing w:after="0" w:line="107"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0159"/>
          </w:cols>
          <w:pgMar w:left="300" w:top="412"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722620" cy="73577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22620" cy="7357745"/>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4" w:lineRule="exact"/>
        <w:rPr>
          <w:sz w:val="20"/>
          <w:szCs w:val="20"/>
          <w:color w:val="auto"/>
        </w:rPr>
      </w:pPr>
    </w:p>
    <w:p>
      <w:pPr>
        <w:ind w:left="7540"/>
        <w:spacing w:after="0"/>
        <w:rPr>
          <w:sz w:val="20"/>
          <w:szCs w:val="20"/>
          <w:color w:val="auto"/>
        </w:rPr>
      </w:pP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0</w:t>
      </w:r>
      <w:r>
        <w:rPr>
          <w:rFonts w:ascii="Arial" w:cs="Arial" w:eastAsia="Arial" w:hAnsi="Arial"/>
          <w:sz w:val="7"/>
          <w:szCs w:val="7"/>
          <w:color w:val="B9AFA0"/>
        </w:rPr>
        <w:t xml:space="preserve"> </w:t>
      </w: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6 PROXY STATEMENT</w:t>
      </w:r>
    </w:p>
    <w:p>
      <w:pPr>
        <w:spacing w:after="0" w:line="3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2025 Summary Compensation Table</w:t>
      </w:r>
    </w:p>
    <w:p>
      <w:pPr>
        <w:spacing w:after="0" w:line="278" w:lineRule="exact"/>
        <w:rPr>
          <w:sz w:val="20"/>
          <w:szCs w:val="20"/>
          <w:color w:val="auto"/>
        </w:rPr>
      </w:pPr>
    </w:p>
    <w:p>
      <w:pPr>
        <w:ind w:left="1260" w:right="239"/>
        <w:spacing w:after="0" w:line="271" w:lineRule="auto"/>
        <w:rPr>
          <w:sz w:val="20"/>
          <w:szCs w:val="20"/>
          <w:color w:val="auto"/>
        </w:rPr>
      </w:pPr>
      <w:r>
        <w:rPr>
          <w:rFonts w:ascii="Arial" w:cs="Arial" w:eastAsia="Arial" w:hAnsi="Arial"/>
          <w:sz w:val="13"/>
          <w:szCs w:val="13"/>
          <w:color w:val="auto"/>
        </w:rPr>
        <w:t>The table below summarizes the total compensation awarded to, earned by, or paid to, each of our NEOs for the fiscal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105410</wp:posOffset>
            </wp:positionV>
            <wp:extent cx="3787775" cy="36042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787775" cy="3604260"/>
                    </a:xfrm>
                    <a:prstGeom prst="rect">
                      <a:avLst/>
                    </a:prstGeom>
                    <a:noFill/>
                  </pic:spPr>
                </pic:pic>
              </a:graphicData>
            </a:graphic>
          </wp:anchor>
        </w:drawing>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322"/>
        </w:trPr>
        <w:tc>
          <w:tcPr>
            <w:tcW w:w="2780" w:type="dxa"/>
            <w:vAlign w:val="bottom"/>
            <w:shd w:val="clear" w:color="auto" w:fill="B9AFA0"/>
          </w:tcPr>
          <w:p>
            <w:pPr>
              <w:spacing w:after="0"/>
              <w:rPr>
                <w:sz w:val="24"/>
                <w:szCs w:val="24"/>
                <w:color w:val="auto"/>
              </w:rPr>
            </w:pPr>
          </w:p>
        </w:tc>
        <w:tc>
          <w:tcPr>
            <w:tcW w:w="60" w:type="dxa"/>
            <w:vAlign w:val="bottom"/>
            <w:shd w:val="clear" w:color="auto" w:fill="B9AFA0"/>
          </w:tcPr>
          <w:p>
            <w:pPr>
              <w:spacing w:after="0"/>
              <w:rPr>
                <w:sz w:val="24"/>
                <w:szCs w:val="24"/>
                <w:color w:val="auto"/>
              </w:rPr>
            </w:pPr>
          </w:p>
        </w:tc>
        <w:tc>
          <w:tcPr>
            <w:tcW w:w="620" w:type="dxa"/>
            <w:vAlign w:val="bottom"/>
            <w:shd w:val="clear" w:color="auto" w:fill="B9AFA0"/>
          </w:tcPr>
          <w:p>
            <w:pPr>
              <w:spacing w:after="0"/>
              <w:rPr>
                <w:sz w:val="24"/>
                <w:szCs w:val="24"/>
                <w:color w:val="auto"/>
              </w:rPr>
            </w:pPr>
          </w:p>
        </w:tc>
        <w:tc>
          <w:tcPr>
            <w:tcW w:w="1120" w:type="dxa"/>
            <w:vAlign w:val="bottom"/>
            <w:shd w:val="clear" w:color="auto" w:fill="B9AFA0"/>
          </w:tcPr>
          <w:p>
            <w:pPr>
              <w:spacing w:after="0"/>
              <w:rPr>
                <w:sz w:val="24"/>
                <w:szCs w:val="24"/>
                <w:color w:val="auto"/>
              </w:rPr>
            </w:pPr>
          </w:p>
        </w:tc>
        <w:tc>
          <w:tcPr>
            <w:tcW w:w="960" w:type="dxa"/>
            <w:vAlign w:val="bottom"/>
            <w:shd w:val="clear" w:color="auto" w:fill="B9AFA0"/>
          </w:tcPr>
          <w:p>
            <w:pPr>
              <w:spacing w:after="0"/>
              <w:rPr>
                <w:sz w:val="24"/>
                <w:szCs w:val="24"/>
                <w:color w:val="auto"/>
              </w:rPr>
            </w:pPr>
          </w:p>
        </w:tc>
        <w:tc>
          <w:tcPr>
            <w:tcW w:w="11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NON-EQUITY</w:t>
            </w:r>
          </w:p>
        </w:tc>
        <w:tc>
          <w:tcPr>
            <w:tcW w:w="1220" w:type="dxa"/>
            <w:vAlign w:val="bottom"/>
            <w:shd w:val="clear" w:color="auto" w:fill="B9AFA0"/>
          </w:tcPr>
          <w:p>
            <w:pPr>
              <w:spacing w:after="0"/>
              <w:rPr>
                <w:sz w:val="24"/>
                <w:szCs w:val="24"/>
                <w:color w:val="auto"/>
              </w:rPr>
            </w:pPr>
          </w:p>
        </w:tc>
        <w:tc>
          <w:tcPr>
            <w:tcW w:w="820" w:type="dxa"/>
            <w:vAlign w:val="bottom"/>
            <w:shd w:val="clear" w:color="auto" w:fill="B9AFA0"/>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780" w:type="dxa"/>
            <w:vAlign w:val="bottom"/>
            <w:vMerge w:val="restart"/>
            <w:shd w:val="clear" w:color="auto" w:fill="B9AFA0"/>
          </w:tcPr>
          <w:p>
            <w:pPr>
              <w:ind w:left="40"/>
              <w:spacing w:after="0"/>
              <w:rPr>
                <w:sz w:val="20"/>
                <w:szCs w:val="20"/>
                <w:color w:val="auto"/>
              </w:rPr>
            </w:pPr>
            <w:r>
              <w:rPr>
                <w:rFonts w:ascii="Arial" w:cs="Arial" w:eastAsia="Arial" w:hAnsi="Arial"/>
                <w:sz w:val="13"/>
                <w:szCs w:val="13"/>
                <w:color w:val="FFFFFF"/>
              </w:rPr>
              <w:t>NAME AND</w:t>
            </w:r>
          </w:p>
        </w:tc>
        <w:tc>
          <w:tcPr>
            <w:tcW w:w="60" w:type="dxa"/>
            <w:vAlign w:val="bottom"/>
            <w:shd w:val="clear" w:color="auto" w:fill="B9AFA0"/>
          </w:tcPr>
          <w:p>
            <w:pPr>
              <w:spacing w:after="0"/>
              <w:rPr>
                <w:sz w:val="13"/>
                <w:szCs w:val="13"/>
                <w:color w:val="auto"/>
              </w:rPr>
            </w:pPr>
          </w:p>
        </w:tc>
        <w:tc>
          <w:tcPr>
            <w:tcW w:w="620" w:type="dxa"/>
            <w:vAlign w:val="bottom"/>
            <w:shd w:val="clear" w:color="auto" w:fill="B9AFA0"/>
          </w:tcPr>
          <w:p>
            <w:pPr>
              <w:spacing w:after="0"/>
              <w:rPr>
                <w:sz w:val="13"/>
                <w:szCs w:val="13"/>
                <w:color w:val="auto"/>
              </w:rPr>
            </w:pPr>
          </w:p>
        </w:tc>
        <w:tc>
          <w:tcPr>
            <w:tcW w:w="1120" w:type="dxa"/>
            <w:vAlign w:val="bottom"/>
            <w:vMerge w:val="restart"/>
            <w:shd w:val="clear" w:color="auto" w:fill="B9AFA0"/>
          </w:tcPr>
          <w:p>
            <w:pPr>
              <w:jc w:val="right"/>
              <w:ind w:right="176"/>
              <w:spacing w:after="0"/>
              <w:rPr>
                <w:sz w:val="20"/>
                <w:szCs w:val="20"/>
                <w:color w:val="auto"/>
              </w:rPr>
            </w:pPr>
            <w:r>
              <w:rPr>
                <w:rFonts w:ascii="Arial" w:cs="Arial" w:eastAsia="Arial" w:hAnsi="Arial"/>
                <w:sz w:val="13"/>
                <w:szCs w:val="13"/>
                <w:color w:val="FFFFFF"/>
              </w:rPr>
              <w:t>SALARY ($)</w:t>
            </w:r>
          </w:p>
        </w:tc>
        <w:tc>
          <w:tcPr>
            <w:tcW w:w="960" w:type="dxa"/>
            <w:vAlign w:val="bottom"/>
            <w:shd w:val="clear" w:color="auto" w:fill="B9AFA0"/>
          </w:tcPr>
          <w:p>
            <w:pPr>
              <w:jc w:val="center"/>
              <w:ind w:left="16"/>
              <w:spacing w:after="0"/>
              <w:rPr>
                <w:sz w:val="20"/>
                <w:szCs w:val="20"/>
                <w:color w:val="auto"/>
              </w:rPr>
            </w:pPr>
            <w:r>
              <w:rPr>
                <w:rFonts w:ascii="Arial" w:cs="Arial" w:eastAsia="Arial" w:hAnsi="Arial"/>
                <w:sz w:val="13"/>
                <w:szCs w:val="13"/>
                <w:color w:val="FFFFFF"/>
                <w:w w:val="98"/>
              </w:rPr>
              <w:t>STOCK</w:t>
            </w:r>
          </w:p>
        </w:tc>
        <w:tc>
          <w:tcPr>
            <w:tcW w:w="11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INCENTIVE</w:t>
            </w:r>
          </w:p>
        </w:tc>
        <w:tc>
          <w:tcPr>
            <w:tcW w:w="12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6"/>
              </w:rPr>
              <w:t>ALL OTHER</w:t>
            </w:r>
          </w:p>
        </w:tc>
        <w:tc>
          <w:tcPr>
            <w:tcW w:w="820" w:type="dxa"/>
            <w:vAlign w:val="bottom"/>
            <w:vMerge w:val="restart"/>
            <w:shd w:val="clear" w:color="auto" w:fill="B9AFA0"/>
          </w:tcPr>
          <w:p>
            <w:pPr>
              <w:jc w:val="right"/>
              <w:ind w:right="136"/>
              <w:spacing w:after="0"/>
              <w:rPr>
                <w:sz w:val="20"/>
                <w:szCs w:val="20"/>
                <w:color w:val="auto"/>
              </w:rPr>
            </w:pPr>
            <w:r>
              <w:rPr>
                <w:rFonts w:ascii="Arial" w:cs="Arial" w:eastAsia="Arial" w:hAnsi="Arial"/>
                <w:sz w:val="13"/>
                <w:szCs w:val="13"/>
                <w:color w:val="FFFFFF"/>
              </w:rPr>
              <w:t>TOTAL</w:t>
            </w:r>
          </w:p>
        </w:tc>
        <w:tc>
          <w:tcPr>
            <w:tcW w:w="0" w:type="dxa"/>
            <w:vAlign w:val="bottom"/>
          </w:tcPr>
          <w:p>
            <w:pPr>
              <w:spacing w:after="0"/>
              <w:rPr>
                <w:sz w:val="1"/>
                <w:szCs w:val="1"/>
                <w:color w:val="auto"/>
              </w:rPr>
            </w:pPr>
          </w:p>
        </w:tc>
      </w:tr>
      <w:tr>
        <w:trPr>
          <w:trHeight w:val="75"/>
        </w:trPr>
        <w:tc>
          <w:tcPr>
            <w:tcW w:w="2780" w:type="dxa"/>
            <w:vAlign w:val="bottom"/>
            <w:vMerge w:val="continue"/>
            <w:shd w:val="clear" w:color="auto" w:fill="B9AFA0"/>
          </w:tcPr>
          <w:p>
            <w:pPr>
              <w:spacing w:after="0"/>
              <w:rPr>
                <w:sz w:val="6"/>
                <w:szCs w:val="6"/>
                <w:color w:val="auto"/>
              </w:rPr>
            </w:pPr>
          </w:p>
        </w:tc>
        <w:tc>
          <w:tcPr>
            <w:tcW w:w="60" w:type="dxa"/>
            <w:vAlign w:val="bottom"/>
            <w:shd w:val="clear" w:color="auto" w:fill="B9AFA0"/>
          </w:tcPr>
          <w:p>
            <w:pPr>
              <w:spacing w:after="0"/>
              <w:rPr>
                <w:sz w:val="6"/>
                <w:szCs w:val="6"/>
                <w:color w:val="auto"/>
              </w:rPr>
            </w:pPr>
          </w:p>
        </w:tc>
        <w:tc>
          <w:tcPr>
            <w:tcW w:w="620" w:type="dxa"/>
            <w:vAlign w:val="bottom"/>
            <w:vMerge w:val="restart"/>
            <w:shd w:val="clear" w:color="auto" w:fill="B9AFA0"/>
          </w:tcPr>
          <w:p>
            <w:pPr>
              <w:ind w:left="40"/>
              <w:spacing w:after="0"/>
              <w:rPr>
                <w:sz w:val="20"/>
                <w:szCs w:val="20"/>
                <w:color w:val="auto"/>
              </w:rPr>
            </w:pPr>
            <w:r>
              <w:rPr>
                <w:rFonts w:ascii="Arial" w:cs="Arial" w:eastAsia="Arial" w:hAnsi="Arial"/>
                <w:sz w:val="13"/>
                <w:szCs w:val="13"/>
                <w:color w:val="FFFFFF"/>
              </w:rPr>
              <w:t>YEAR</w:t>
            </w:r>
          </w:p>
        </w:tc>
        <w:tc>
          <w:tcPr>
            <w:tcW w:w="1120" w:type="dxa"/>
            <w:vAlign w:val="bottom"/>
            <w:vMerge w:val="continue"/>
            <w:shd w:val="clear" w:color="auto" w:fill="B9AFA0"/>
          </w:tcPr>
          <w:p>
            <w:pPr>
              <w:spacing w:after="0"/>
              <w:rPr>
                <w:sz w:val="6"/>
                <w:szCs w:val="6"/>
                <w:color w:val="auto"/>
              </w:rPr>
            </w:pPr>
          </w:p>
        </w:tc>
        <w:tc>
          <w:tcPr>
            <w:tcW w:w="960" w:type="dxa"/>
            <w:vAlign w:val="bottom"/>
            <w:vMerge w:val="restart"/>
            <w:shd w:val="clear" w:color="auto" w:fill="B9AFA0"/>
          </w:tcPr>
          <w:p>
            <w:pPr>
              <w:jc w:val="center"/>
              <w:ind w:left="16"/>
              <w:spacing w:after="0"/>
              <w:rPr>
                <w:sz w:val="20"/>
                <w:szCs w:val="20"/>
                <w:color w:val="auto"/>
              </w:rPr>
            </w:pPr>
            <w:r>
              <w:rPr>
                <w:rFonts w:ascii="Arial" w:cs="Arial" w:eastAsia="Arial" w:hAnsi="Arial"/>
                <w:sz w:val="13"/>
                <w:szCs w:val="13"/>
                <w:color w:val="FFFFFF"/>
                <w:w w:val="98"/>
              </w:rPr>
              <w:t>AWARDS</w:t>
            </w:r>
          </w:p>
        </w:tc>
        <w:tc>
          <w:tcPr>
            <w:tcW w:w="1160" w:type="dxa"/>
            <w:vAlign w:val="bottom"/>
            <w:vMerge w:val="restart"/>
            <w:shd w:val="clear" w:color="auto" w:fill="B9AFA0"/>
          </w:tcPr>
          <w:p>
            <w:pPr>
              <w:jc w:val="center"/>
              <w:spacing w:after="0"/>
              <w:rPr>
                <w:sz w:val="20"/>
                <w:szCs w:val="20"/>
                <w:color w:val="auto"/>
              </w:rPr>
            </w:pPr>
            <w:r>
              <w:rPr>
                <w:rFonts w:ascii="Arial" w:cs="Arial" w:eastAsia="Arial" w:hAnsi="Arial"/>
                <w:sz w:val="13"/>
                <w:szCs w:val="13"/>
                <w:color w:val="FFFFFF"/>
                <w:w w:val="94"/>
              </w:rPr>
              <w:t>PLAN</w:t>
            </w:r>
          </w:p>
        </w:tc>
        <w:tc>
          <w:tcPr>
            <w:tcW w:w="1220" w:type="dxa"/>
            <w:vAlign w:val="bottom"/>
            <w:vMerge w:val="restart"/>
            <w:shd w:val="clear" w:color="auto" w:fill="B9AFA0"/>
          </w:tcPr>
          <w:p>
            <w:pPr>
              <w:jc w:val="center"/>
              <w:spacing w:after="0"/>
              <w:rPr>
                <w:sz w:val="20"/>
                <w:szCs w:val="20"/>
                <w:color w:val="auto"/>
              </w:rPr>
            </w:pPr>
            <w:r>
              <w:rPr>
                <w:rFonts w:ascii="Arial" w:cs="Arial" w:eastAsia="Arial" w:hAnsi="Arial"/>
                <w:sz w:val="13"/>
                <w:szCs w:val="13"/>
                <w:color w:val="FFFFFF"/>
                <w:w w:val="96"/>
              </w:rPr>
              <w:t>COMPENSATION</w:t>
            </w:r>
          </w:p>
        </w:tc>
        <w:tc>
          <w:tcPr>
            <w:tcW w:w="820" w:type="dxa"/>
            <w:vAlign w:val="bottom"/>
            <w:vMerge w:val="continue"/>
            <w:shd w:val="clear" w:color="auto" w:fill="B9AFA0"/>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780" w:type="dxa"/>
            <w:vAlign w:val="bottom"/>
            <w:vMerge w:val="restart"/>
            <w:shd w:val="clear" w:color="auto" w:fill="B9AFA0"/>
          </w:tcPr>
          <w:p>
            <w:pPr>
              <w:ind w:left="40"/>
              <w:spacing w:after="0"/>
              <w:rPr>
                <w:sz w:val="20"/>
                <w:szCs w:val="20"/>
                <w:color w:val="auto"/>
              </w:rPr>
            </w:pPr>
            <w:r>
              <w:rPr>
                <w:rFonts w:ascii="Arial" w:cs="Arial" w:eastAsia="Arial" w:hAnsi="Arial"/>
                <w:sz w:val="13"/>
                <w:szCs w:val="13"/>
                <w:color w:val="FFFFFF"/>
              </w:rPr>
              <w:t>PRINCIPAL POSITION</w:t>
            </w:r>
          </w:p>
        </w:tc>
        <w:tc>
          <w:tcPr>
            <w:tcW w:w="60" w:type="dxa"/>
            <w:vAlign w:val="bottom"/>
            <w:shd w:val="clear" w:color="auto" w:fill="B9AFA0"/>
          </w:tcPr>
          <w:p>
            <w:pPr>
              <w:spacing w:after="0"/>
              <w:rPr>
                <w:sz w:val="6"/>
                <w:szCs w:val="6"/>
                <w:color w:val="auto"/>
              </w:rPr>
            </w:pPr>
          </w:p>
        </w:tc>
        <w:tc>
          <w:tcPr>
            <w:tcW w:w="620" w:type="dxa"/>
            <w:vAlign w:val="bottom"/>
            <w:vMerge w:val="continue"/>
            <w:shd w:val="clear" w:color="auto" w:fill="B9AFA0"/>
          </w:tcPr>
          <w:p>
            <w:pPr>
              <w:spacing w:after="0"/>
              <w:rPr>
                <w:sz w:val="6"/>
                <w:szCs w:val="6"/>
                <w:color w:val="auto"/>
              </w:rPr>
            </w:pPr>
          </w:p>
        </w:tc>
        <w:tc>
          <w:tcPr>
            <w:tcW w:w="1120" w:type="dxa"/>
            <w:vAlign w:val="bottom"/>
            <w:vMerge w:val="restart"/>
            <w:shd w:val="clear" w:color="auto" w:fill="B9AFA0"/>
          </w:tcPr>
          <w:p>
            <w:pPr>
              <w:jc w:val="right"/>
              <w:ind w:right="436"/>
              <w:spacing w:after="0"/>
              <w:rPr>
                <w:sz w:val="20"/>
                <w:szCs w:val="20"/>
                <w:color w:val="auto"/>
              </w:rPr>
            </w:pPr>
            <w:r>
              <w:rPr>
                <w:rFonts w:ascii="Arial" w:cs="Arial" w:eastAsia="Arial" w:hAnsi="Arial"/>
                <w:sz w:val="13"/>
                <w:szCs w:val="13"/>
                <w:color w:val="FFFFFF"/>
              </w:rPr>
              <w:t>(1)</w:t>
            </w:r>
          </w:p>
        </w:tc>
        <w:tc>
          <w:tcPr>
            <w:tcW w:w="960" w:type="dxa"/>
            <w:vAlign w:val="bottom"/>
            <w:vMerge w:val="continue"/>
            <w:shd w:val="clear" w:color="auto" w:fill="B9AFA0"/>
          </w:tcPr>
          <w:p>
            <w:pPr>
              <w:spacing w:after="0"/>
              <w:rPr>
                <w:sz w:val="6"/>
                <w:szCs w:val="6"/>
                <w:color w:val="auto"/>
              </w:rPr>
            </w:pPr>
          </w:p>
        </w:tc>
        <w:tc>
          <w:tcPr>
            <w:tcW w:w="1160" w:type="dxa"/>
            <w:vAlign w:val="bottom"/>
            <w:vMerge w:val="continue"/>
            <w:shd w:val="clear" w:color="auto" w:fill="B9AFA0"/>
          </w:tcPr>
          <w:p>
            <w:pPr>
              <w:spacing w:after="0"/>
              <w:rPr>
                <w:sz w:val="6"/>
                <w:szCs w:val="6"/>
                <w:color w:val="auto"/>
              </w:rPr>
            </w:pPr>
          </w:p>
        </w:tc>
        <w:tc>
          <w:tcPr>
            <w:tcW w:w="1220" w:type="dxa"/>
            <w:vAlign w:val="bottom"/>
            <w:vMerge w:val="continue"/>
            <w:shd w:val="clear" w:color="auto" w:fill="B9AFA0"/>
          </w:tcPr>
          <w:p>
            <w:pPr>
              <w:spacing w:after="0"/>
              <w:rPr>
                <w:sz w:val="6"/>
                <w:szCs w:val="6"/>
                <w:color w:val="auto"/>
              </w:rPr>
            </w:pPr>
          </w:p>
        </w:tc>
        <w:tc>
          <w:tcPr>
            <w:tcW w:w="820" w:type="dxa"/>
            <w:vAlign w:val="bottom"/>
            <w:vMerge w:val="restart"/>
            <w:shd w:val="clear" w:color="auto" w:fill="B9AFA0"/>
          </w:tcPr>
          <w:p>
            <w:pPr>
              <w:jc w:val="right"/>
              <w:ind w:right="296"/>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93"/>
        </w:trPr>
        <w:tc>
          <w:tcPr>
            <w:tcW w:w="2780" w:type="dxa"/>
            <w:vAlign w:val="bottom"/>
            <w:vMerge w:val="continue"/>
            <w:shd w:val="clear" w:color="auto" w:fill="B9AFA0"/>
          </w:tcPr>
          <w:p>
            <w:pPr>
              <w:spacing w:after="0"/>
              <w:rPr>
                <w:sz w:val="8"/>
                <w:szCs w:val="8"/>
                <w:color w:val="auto"/>
              </w:rPr>
            </w:pPr>
          </w:p>
        </w:tc>
        <w:tc>
          <w:tcPr>
            <w:tcW w:w="60" w:type="dxa"/>
            <w:vAlign w:val="bottom"/>
            <w:shd w:val="clear" w:color="auto" w:fill="B9AFA0"/>
          </w:tcPr>
          <w:p>
            <w:pPr>
              <w:spacing w:after="0"/>
              <w:rPr>
                <w:sz w:val="8"/>
                <w:szCs w:val="8"/>
                <w:color w:val="auto"/>
              </w:rPr>
            </w:pPr>
          </w:p>
        </w:tc>
        <w:tc>
          <w:tcPr>
            <w:tcW w:w="620" w:type="dxa"/>
            <w:vAlign w:val="bottom"/>
            <w:shd w:val="clear" w:color="auto" w:fill="B9AFA0"/>
          </w:tcPr>
          <w:p>
            <w:pPr>
              <w:spacing w:after="0"/>
              <w:rPr>
                <w:sz w:val="8"/>
                <w:szCs w:val="8"/>
                <w:color w:val="auto"/>
              </w:rPr>
            </w:pPr>
          </w:p>
        </w:tc>
        <w:tc>
          <w:tcPr>
            <w:tcW w:w="1120" w:type="dxa"/>
            <w:vAlign w:val="bottom"/>
            <w:vMerge w:val="continue"/>
            <w:shd w:val="clear" w:color="auto" w:fill="B9AFA0"/>
          </w:tcPr>
          <w:p>
            <w:pPr>
              <w:spacing w:after="0"/>
              <w:rPr>
                <w:sz w:val="8"/>
                <w:szCs w:val="8"/>
                <w:color w:val="auto"/>
              </w:rPr>
            </w:pPr>
          </w:p>
        </w:tc>
        <w:tc>
          <w:tcPr>
            <w:tcW w:w="960" w:type="dxa"/>
            <w:vAlign w:val="bottom"/>
            <w:vMerge w:val="restart"/>
            <w:shd w:val="clear" w:color="auto" w:fill="B9AFA0"/>
          </w:tcPr>
          <w:p>
            <w:pPr>
              <w:jc w:val="center"/>
              <w:ind w:left="16"/>
              <w:spacing w:after="0"/>
              <w:rPr>
                <w:sz w:val="20"/>
                <w:szCs w:val="20"/>
                <w:color w:val="auto"/>
              </w:rPr>
            </w:pPr>
            <w:r>
              <w:rPr>
                <w:rFonts w:ascii="Arial" w:cs="Arial" w:eastAsia="Arial" w:hAnsi="Arial"/>
                <w:sz w:val="13"/>
                <w:szCs w:val="13"/>
                <w:color w:val="FFFFFF"/>
              </w:rPr>
              <w:t>($)(2)</w:t>
            </w:r>
          </w:p>
        </w:tc>
        <w:tc>
          <w:tcPr>
            <w:tcW w:w="1160" w:type="dxa"/>
            <w:vAlign w:val="bottom"/>
            <w:vMerge w:val="restart"/>
            <w:shd w:val="clear" w:color="auto" w:fill="B9AFA0"/>
          </w:tcPr>
          <w:p>
            <w:pPr>
              <w:jc w:val="center"/>
              <w:spacing w:after="0"/>
              <w:rPr>
                <w:sz w:val="20"/>
                <w:szCs w:val="20"/>
                <w:color w:val="auto"/>
              </w:rPr>
            </w:pPr>
            <w:r>
              <w:rPr>
                <w:rFonts w:ascii="Arial" w:cs="Arial" w:eastAsia="Arial" w:hAnsi="Arial"/>
                <w:sz w:val="13"/>
                <w:szCs w:val="13"/>
                <w:color w:val="FFFFFF"/>
                <w:w w:val="98"/>
              </w:rPr>
              <w:t>COMPENSATION</w:t>
            </w:r>
          </w:p>
        </w:tc>
        <w:tc>
          <w:tcPr>
            <w:tcW w:w="1220" w:type="dxa"/>
            <w:vAlign w:val="bottom"/>
            <w:vMerge w:val="restart"/>
            <w:shd w:val="clear" w:color="auto" w:fill="B9AFA0"/>
          </w:tcPr>
          <w:p>
            <w:pPr>
              <w:jc w:val="center"/>
              <w:spacing w:after="0"/>
              <w:rPr>
                <w:sz w:val="20"/>
                <w:szCs w:val="20"/>
                <w:color w:val="auto"/>
              </w:rPr>
            </w:pPr>
            <w:r>
              <w:rPr>
                <w:rFonts w:ascii="Arial" w:cs="Arial" w:eastAsia="Arial" w:hAnsi="Arial"/>
                <w:sz w:val="13"/>
                <w:szCs w:val="13"/>
                <w:color w:val="FFFFFF"/>
                <w:w w:val="94"/>
              </w:rPr>
              <w:t>($)(4)</w:t>
            </w:r>
          </w:p>
        </w:tc>
        <w:tc>
          <w:tcPr>
            <w:tcW w:w="820" w:type="dxa"/>
            <w:vAlign w:val="bottom"/>
            <w:vMerge w:val="continue"/>
            <w:shd w:val="clear" w:color="auto" w:fill="B9AFA0"/>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780" w:type="dxa"/>
            <w:vAlign w:val="bottom"/>
            <w:shd w:val="clear" w:color="auto" w:fill="B9AFA0"/>
          </w:tcPr>
          <w:p>
            <w:pPr>
              <w:spacing w:after="0"/>
              <w:rPr>
                <w:sz w:val="4"/>
                <w:szCs w:val="4"/>
                <w:color w:val="auto"/>
              </w:rPr>
            </w:pPr>
          </w:p>
        </w:tc>
        <w:tc>
          <w:tcPr>
            <w:tcW w:w="60" w:type="dxa"/>
            <w:vAlign w:val="bottom"/>
            <w:shd w:val="clear" w:color="auto" w:fill="B9AFA0"/>
          </w:tcPr>
          <w:p>
            <w:pPr>
              <w:spacing w:after="0"/>
              <w:rPr>
                <w:sz w:val="4"/>
                <w:szCs w:val="4"/>
                <w:color w:val="auto"/>
              </w:rPr>
            </w:pPr>
          </w:p>
        </w:tc>
        <w:tc>
          <w:tcPr>
            <w:tcW w:w="620" w:type="dxa"/>
            <w:vAlign w:val="bottom"/>
            <w:shd w:val="clear" w:color="auto" w:fill="B9AFA0"/>
          </w:tcPr>
          <w:p>
            <w:pPr>
              <w:spacing w:after="0"/>
              <w:rPr>
                <w:sz w:val="4"/>
                <w:szCs w:val="4"/>
                <w:color w:val="auto"/>
              </w:rPr>
            </w:pPr>
          </w:p>
        </w:tc>
        <w:tc>
          <w:tcPr>
            <w:tcW w:w="1120" w:type="dxa"/>
            <w:vAlign w:val="bottom"/>
            <w:shd w:val="clear" w:color="auto" w:fill="B9AFA0"/>
          </w:tcPr>
          <w:p>
            <w:pPr>
              <w:spacing w:after="0"/>
              <w:rPr>
                <w:sz w:val="4"/>
                <w:szCs w:val="4"/>
                <w:color w:val="auto"/>
              </w:rPr>
            </w:pPr>
          </w:p>
        </w:tc>
        <w:tc>
          <w:tcPr>
            <w:tcW w:w="960" w:type="dxa"/>
            <w:vAlign w:val="bottom"/>
            <w:vMerge w:val="continue"/>
            <w:shd w:val="clear" w:color="auto" w:fill="B9AFA0"/>
          </w:tcPr>
          <w:p>
            <w:pPr>
              <w:spacing w:after="0"/>
              <w:rPr>
                <w:sz w:val="4"/>
                <w:szCs w:val="4"/>
                <w:color w:val="auto"/>
              </w:rPr>
            </w:pPr>
          </w:p>
        </w:tc>
        <w:tc>
          <w:tcPr>
            <w:tcW w:w="1160" w:type="dxa"/>
            <w:vAlign w:val="bottom"/>
            <w:vMerge w:val="continue"/>
            <w:shd w:val="clear" w:color="auto" w:fill="B9AFA0"/>
          </w:tcPr>
          <w:p>
            <w:pPr>
              <w:spacing w:after="0"/>
              <w:rPr>
                <w:sz w:val="4"/>
                <w:szCs w:val="4"/>
                <w:color w:val="auto"/>
              </w:rPr>
            </w:pPr>
          </w:p>
        </w:tc>
        <w:tc>
          <w:tcPr>
            <w:tcW w:w="1220" w:type="dxa"/>
            <w:vAlign w:val="bottom"/>
            <w:vMerge w:val="continue"/>
            <w:shd w:val="clear" w:color="auto" w:fill="B9AFA0"/>
          </w:tcPr>
          <w:p>
            <w:pPr>
              <w:spacing w:after="0"/>
              <w:rPr>
                <w:sz w:val="4"/>
                <w:szCs w:val="4"/>
                <w:color w:val="auto"/>
              </w:rPr>
            </w:pPr>
          </w:p>
        </w:tc>
        <w:tc>
          <w:tcPr>
            <w:tcW w:w="820" w:type="dxa"/>
            <w:vAlign w:val="bottom"/>
            <w:shd w:val="clear" w:color="auto" w:fill="B9AFA0"/>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780" w:type="dxa"/>
            <w:vAlign w:val="bottom"/>
            <w:tcBorders>
              <w:bottom w:val="single" w:sz="8" w:color="B9AFA0"/>
            </w:tcBorders>
            <w:shd w:val="clear" w:color="auto" w:fill="B9AFA0"/>
          </w:tcPr>
          <w:p>
            <w:pPr>
              <w:spacing w:after="0"/>
              <w:rPr>
                <w:sz w:val="17"/>
                <w:szCs w:val="17"/>
                <w:color w:val="auto"/>
              </w:rPr>
            </w:pPr>
          </w:p>
        </w:tc>
        <w:tc>
          <w:tcPr>
            <w:tcW w:w="60" w:type="dxa"/>
            <w:vAlign w:val="bottom"/>
            <w:tcBorders>
              <w:bottom w:val="single" w:sz="8" w:color="B9AFA0"/>
            </w:tcBorders>
            <w:shd w:val="clear" w:color="auto" w:fill="B9AFA0"/>
          </w:tcPr>
          <w:p>
            <w:pPr>
              <w:spacing w:after="0"/>
              <w:rPr>
                <w:sz w:val="17"/>
                <w:szCs w:val="17"/>
                <w:color w:val="auto"/>
              </w:rPr>
            </w:pPr>
          </w:p>
        </w:tc>
        <w:tc>
          <w:tcPr>
            <w:tcW w:w="620" w:type="dxa"/>
            <w:vAlign w:val="bottom"/>
            <w:tcBorders>
              <w:bottom w:val="single" w:sz="8" w:color="B9AFA0"/>
            </w:tcBorders>
            <w:shd w:val="clear" w:color="auto" w:fill="B9AFA0"/>
          </w:tcPr>
          <w:p>
            <w:pPr>
              <w:spacing w:after="0"/>
              <w:rPr>
                <w:sz w:val="17"/>
                <w:szCs w:val="17"/>
                <w:color w:val="auto"/>
              </w:rPr>
            </w:pPr>
          </w:p>
        </w:tc>
        <w:tc>
          <w:tcPr>
            <w:tcW w:w="1120" w:type="dxa"/>
            <w:vAlign w:val="bottom"/>
            <w:tcBorders>
              <w:bottom w:val="single" w:sz="8" w:color="B9AFA0"/>
            </w:tcBorders>
            <w:shd w:val="clear" w:color="auto" w:fill="B9AFA0"/>
          </w:tcPr>
          <w:p>
            <w:pPr>
              <w:spacing w:after="0"/>
              <w:rPr>
                <w:sz w:val="17"/>
                <w:szCs w:val="17"/>
                <w:color w:val="auto"/>
              </w:rPr>
            </w:pPr>
          </w:p>
        </w:tc>
        <w:tc>
          <w:tcPr>
            <w:tcW w:w="960" w:type="dxa"/>
            <w:vAlign w:val="bottom"/>
            <w:tcBorders>
              <w:bottom w:val="single" w:sz="8" w:color="B9AFA0"/>
            </w:tcBorders>
            <w:shd w:val="clear" w:color="auto" w:fill="B9AFA0"/>
          </w:tcPr>
          <w:p>
            <w:pPr>
              <w:spacing w:after="0"/>
              <w:rPr>
                <w:sz w:val="17"/>
                <w:szCs w:val="17"/>
                <w:color w:val="auto"/>
              </w:rPr>
            </w:pPr>
          </w:p>
        </w:tc>
        <w:tc>
          <w:tcPr>
            <w:tcW w:w="116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 xml:space="preserve">($)(3) </w:t>
            </w:r>
          </w:p>
        </w:tc>
        <w:tc>
          <w:tcPr>
            <w:tcW w:w="1220" w:type="dxa"/>
            <w:vAlign w:val="bottom"/>
            <w:tcBorders>
              <w:bottom w:val="single" w:sz="8" w:color="B9AFA0"/>
            </w:tcBorders>
            <w:shd w:val="clear" w:color="auto" w:fill="B9AFA0"/>
          </w:tcPr>
          <w:p>
            <w:pPr>
              <w:spacing w:after="0"/>
              <w:rPr>
                <w:sz w:val="17"/>
                <w:szCs w:val="17"/>
                <w:color w:val="auto"/>
              </w:rPr>
            </w:pPr>
          </w:p>
        </w:tc>
        <w:tc>
          <w:tcPr>
            <w:tcW w:w="820" w:type="dxa"/>
            <w:vAlign w:val="bottom"/>
            <w:tcBorders>
              <w:bottom w:val="single" w:sz="8" w:color="B9AFA0"/>
            </w:tcBorders>
            <w:shd w:val="clear" w:color="auto" w:fill="B9AFA0"/>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780" w:type="dxa"/>
            <w:vAlign w:val="bottom"/>
            <w:shd w:val="clear" w:color="auto" w:fill="F1EFEC"/>
          </w:tcPr>
          <w:p>
            <w:pPr>
              <w:spacing w:after="0"/>
              <w:rPr>
                <w:sz w:val="24"/>
                <w:szCs w:val="24"/>
                <w:color w:val="auto"/>
              </w:rPr>
            </w:pPr>
          </w:p>
        </w:tc>
        <w:tc>
          <w:tcPr>
            <w:tcW w:w="60" w:type="dxa"/>
            <w:vAlign w:val="bottom"/>
            <w:shd w:val="clear" w:color="auto" w:fill="F1EFEC"/>
          </w:tcPr>
          <w:p>
            <w:pPr>
              <w:spacing w:after="0"/>
              <w:rPr>
                <w:sz w:val="24"/>
                <w:szCs w:val="24"/>
                <w:color w:val="auto"/>
              </w:rPr>
            </w:pPr>
          </w:p>
        </w:tc>
        <w:tc>
          <w:tcPr>
            <w:tcW w:w="620" w:type="dxa"/>
            <w:vAlign w:val="bottom"/>
            <w:shd w:val="clear" w:color="auto" w:fill="F1EFEC"/>
          </w:tcPr>
          <w:p>
            <w:pPr>
              <w:ind w:left="80"/>
              <w:spacing w:after="0"/>
              <w:rPr>
                <w:sz w:val="20"/>
                <w:szCs w:val="20"/>
                <w:color w:val="auto"/>
              </w:rPr>
            </w:pPr>
            <w:r>
              <w:rPr>
                <w:rFonts w:ascii="Arial" w:cs="Arial" w:eastAsia="Arial" w:hAnsi="Arial"/>
                <w:sz w:val="13"/>
                <w:szCs w:val="13"/>
                <w:color w:val="auto"/>
              </w:rPr>
              <w:t>2025</w:t>
            </w:r>
          </w:p>
        </w:tc>
        <w:tc>
          <w:tcPr>
            <w:tcW w:w="112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2,000,000</w:t>
            </w:r>
          </w:p>
        </w:tc>
        <w:tc>
          <w:tcPr>
            <w:tcW w:w="96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9,624,110</w:t>
            </w:r>
          </w:p>
        </w:tc>
        <w:tc>
          <w:tcPr>
            <w:tcW w:w="1160" w:type="dxa"/>
            <w:vAlign w:val="bottom"/>
            <w:shd w:val="clear" w:color="auto" w:fill="F1EFEC"/>
          </w:tcPr>
          <w:p>
            <w:pPr>
              <w:jc w:val="right"/>
              <w:spacing w:after="0"/>
              <w:rPr>
                <w:sz w:val="20"/>
                <w:szCs w:val="20"/>
                <w:color w:val="auto"/>
              </w:rPr>
            </w:pPr>
            <w:r>
              <w:rPr>
                <w:rFonts w:ascii="Arial" w:cs="Arial" w:eastAsia="Arial" w:hAnsi="Arial"/>
                <w:sz w:val="13"/>
                <w:szCs w:val="13"/>
                <w:color w:val="auto"/>
              </w:rPr>
              <w:t>3,433,750</w:t>
            </w:r>
          </w:p>
        </w:tc>
        <w:tc>
          <w:tcPr>
            <w:tcW w:w="1220" w:type="dxa"/>
            <w:vAlign w:val="bottom"/>
            <w:shd w:val="clear" w:color="auto" w:fill="F1EFEC"/>
          </w:tcPr>
          <w:p>
            <w:pPr>
              <w:jc w:val="right"/>
              <w:ind w:right="136"/>
              <w:spacing w:after="0"/>
              <w:rPr>
                <w:sz w:val="20"/>
                <w:szCs w:val="20"/>
                <w:color w:val="auto"/>
              </w:rPr>
            </w:pPr>
            <w:r>
              <w:rPr>
                <w:rFonts w:ascii="Arial" w:cs="Arial" w:eastAsia="Arial" w:hAnsi="Arial"/>
                <w:sz w:val="13"/>
                <w:szCs w:val="13"/>
                <w:color w:val="auto"/>
              </w:rPr>
              <w:t>33,041</w:t>
            </w:r>
          </w:p>
        </w:tc>
        <w:tc>
          <w:tcPr>
            <w:tcW w:w="820" w:type="dxa"/>
            <w:vAlign w:val="bottom"/>
            <w:shd w:val="clear" w:color="auto" w:fill="F1EFEC"/>
          </w:tcPr>
          <w:p>
            <w:pPr>
              <w:jc w:val="right"/>
              <w:spacing w:after="0"/>
              <w:rPr>
                <w:sz w:val="20"/>
                <w:szCs w:val="20"/>
                <w:color w:val="auto"/>
              </w:rPr>
            </w:pPr>
            <w:r>
              <w:rPr>
                <w:rFonts w:ascii="Arial" w:cs="Arial" w:eastAsia="Arial" w:hAnsi="Arial"/>
                <w:sz w:val="13"/>
                <w:szCs w:val="13"/>
                <w:color w:val="auto"/>
              </w:rPr>
              <w:t>15,090,901</w:t>
            </w:r>
          </w:p>
        </w:tc>
        <w:tc>
          <w:tcPr>
            <w:tcW w:w="0" w:type="dxa"/>
            <w:vAlign w:val="bottom"/>
          </w:tcPr>
          <w:p>
            <w:pPr>
              <w:spacing w:after="0"/>
              <w:rPr>
                <w:sz w:val="1"/>
                <w:szCs w:val="1"/>
                <w:color w:val="auto"/>
              </w:rPr>
            </w:pPr>
          </w:p>
        </w:tc>
      </w:tr>
      <w:tr>
        <w:trPr>
          <w:trHeight w:val="300"/>
        </w:trPr>
        <w:tc>
          <w:tcPr>
            <w:tcW w:w="2780" w:type="dxa"/>
            <w:vAlign w:val="bottom"/>
            <w:shd w:val="clear" w:color="auto" w:fill="F1EFEC"/>
          </w:tcPr>
          <w:p>
            <w:pPr>
              <w:ind w:left="40"/>
              <w:spacing w:after="0"/>
              <w:rPr>
                <w:sz w:val="20"/>
                <w:szCs w:val="20"/>
                <w:color w:val="auto"/>
              </w:rPr>
            </w:pPr>
            <w:r>
              <w:rPr>
                <w:rFonts w:ascii="Arial" w:cs="Arial" w:eastAsia="Arial" w:hAnsi="Arial"/>
                <w:sz w:val="13"/>
                <w:szCs w:val="13"/>
                <w:color w:val="auto"/>
              </w:rPr>
              <w:t>CRAIG S. BILLINGS</w:t>
            </w:r>
          </w:p>
        </w:tc>
        <w:tc>
          <w:tcPr>
            <w:tcW w:w="60" w:type="dxa"/>
            <w:vAlign w:val="bottom"/>
            <w:shd w:val="clear" w:color="auto" w:fill="F1EFEC"/>
          </w:tcPr>
          <w:p>
            <w:pPr>
              <w:spacing w:after="0"/>
              <w:rPr>
                <w:sz w:val="24"/>
                <w:szCs w:val="24"/>
                <w:color w:val="auto"/>
              </w:rPr>
            </w:pPr>
          </w:p>
        </w:tc>
        <w:tc>
          <w:tcPr>
            <w:tcW w:w="620" w:type="dxa"/>
            <w:vAlign w:val="bottom"/>
            <w:shd w:val="clear" w:color="auto" w:fill="F1EFEC"/>
          </w:tcPr>
          <w:p>
            <w:pPr>
              <w:spacing w:after="0"/>
              <w:rPr>
                <w:sz w:val="24"/>
                <w:szCs w:val="24"/>
                <w:color w:val="auto"/>
              </w:rPr>
            </w:pPr>
          </w:p>
        </w:tc>
        <w:tc>
          <w:tcPr>
            <w:tcW w:w="1120" w:type="dxa"/>
            <w:vAlign w:val="bottom"/>
            <w:shd w:val="clear" w:color="auto" w:fill="F1EFEC"/>
          </w:tcPr>
          <w:p>
            <w:pPr>
              <w:spacing w:after="0"/>
              <w:rPr>
                <w:sz w:val="24"/>
                <w:szCs w:val="24"/>
                <w:color w:val="auto"/>
              </w:rPr>
            </w:pPr>
          </w:p>
        </w:tc>
        <w:tc>
          <w:tcPr>
            <w:tcW w:w="960" w:type="dxa"/>
            <w:vAlign w:val="bottom"/>
            <w:shd w:val="clear" w:color="auto" w:fill="F1EFEC"/>
          </w:tcPr>
          <w:p>
            <w:pPr>
              <w:spacing w:after="0"/>
              <w:rPr>
                <w:sz w:val="24"/>
                <w:szCs w:val="24"/>
                <w:color w:val="auto"/>
              </w:rPr>
            </w:pPr>
          </w:p>
        </w:tc>
        <w:tc>
          <w:tcPr>
            <w:tcW w:w="1160" w:type="dxa"/>
            <w:vAlign w:val="bottom"/>
            <w:shd w:val="clear" w:color="auto" w:fill="F1EFEC"/>
          </w:tcPr>
          <w:p>
            <w:pPr>
              <w:spacing w:after="0"/>
              <w:rPr>
                <w:sz w:val="24"/>
                <w:szCs w:val="24"/>
                <w:color w:val="auto"/>
              </w:rPr>
            </w:pPr>
          </w:p>
        </w:tc>
        <w:tc>
          <w:tcPr>
            <w:tcW w:w="1220" w:type="dxa"/>
            <w:vAlign w:val="bottom"/>
            <w:shd w:val="clear" w:color="auto" w:fill="F1EFEC"/>
          </w:tcPr>
          <w:p>
            <w:pPr>
              <w:spacing w:after="0"/>
              <w:rPr>
                <w:sz w:val="24"/>
                <w:szCs w:val="24"/>
                <w:color w:val="auto"/>
              </w:rPr>
            </w:pPr>
          </w:p>
        </w:tc>
        <w:tc>
          <w:tcPr>
            <w:tcW w:w="820" w:type="dxa"/>
            <w:vAlign w:val="bottom"/>
            <w:shd w:val="clear" w:color="auto" w:fill="F1EFE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780" w:type="dxa"/>
            <w:vAlign w:val="bottom"/>
            <w:shd w:val="clear" w:color="auto" w:fill="F1EFEC"/>
          </w:tcPr>
          <w:p>
            <w:pPr>
              <w:ind w:left="40"/>
              <w:spacing w:after="0"/>
              <w:rPr>
                <w:sz w:val="20"/>
                <w:szCs w:val="20"/>
                <w:color w:val="auto"/>
              </w:rPr>
            </w:pPr>
            <w:r>
              <w:rPr>
                <w:rFonts w:ascii="Arial" w:cs="Arial" w:eastAsia="Arial" w:hAnsi="Arial"/>
                <w:sz w:val="13"/>
                <w:szCs w:val="13"/>
                <w:color w:val="auto"/>
              </w:rPr>
              <w:t>Chief Executive Officer</w:t>
            </w:r>
          </w:p>
        </w:tc>
        <w:tc>
          <w:tcPr>
            <w:tcW w:w="60" w:type="dxa"/>
            <w:vAlign w:val="bottom"/>
            <w:shd w:val="clear" w:color="auto" w:fill="F1EFEC"/>
          </w:tcPr>
          <w:p>
            <w:pPr>
              <w:spacing w:after="0"/>
              <w:rPr>
                <w:sz w:val="19"/>
                <w:szCs w:val="19"/>
                <w:color w:val="auto"/>
              </w:rPr>
            </w:pPr>
          </w:p>
        </w:tc>
        <w:tc>
          <w:tcPr>
            <w:tcW w:w="620" w:type="dxa"/>
            <w:vAlign w:val="bottom"/>
            <w:shd w:val="clear" w:color="auto" w:fill="F1EFEC"/>
          </w:tcPr>
          <w:p>
            <w:pPr>
              <w:ind w:left="80"/>
              <w:spacing w:after="0"/>
              <w:rPr>
                <w:sz w:val="20"/>
                <w:szCs w:val="20"/>
                <w:color w:val="auto"/>
              </w:rPr>
            </w:pPr>
            <w:r>
              <w:rPr>
                <w:rFonts w:ascii="Arial" w:cs="Arial" w:eastAsia="Arial" w:hAnsi="Arial"/>
                <w:sz w:val="13"/>
                <w:szCs w:val="13"/>
                <w:color w:val="auto"/>
              </w:rPr>
              <w:t>2024 </w:t>
            </w:r>
          </w:p>
        </w:tc>
        <w:tc>
          <w:tcPr>
            <w:tcW w:w="112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2,000,000</w:t>
            </w:r>
          </w:p>
        </w:tc>
        <w:tc>
          <w:tcPr>
            <w:tcW w:w="96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11,213,595</w:t>
            </w:r>
          </w:p>
        </w:tc>
        <w:tc>
          <w:tcPr>
            <w:tcW w:w="1160" w:type="dxa"/>
            <w:vAlign w:val="bottom"/>
            <w:shd w:val="clear" w:color="auto" w:fill="F1EFEC"/>
          </w:tcPr>
          <w:p>
            <w:pPr>
              <w:jc w:val="right"/>
              <w:spacing w:after="0"/>
              <w:rPr>
                <w:sz w:val="20"/>
                <w:szCs w:val="20"/>
                <w:color w:val="auto"/>
              </w:rPr>
            </w:pPr>
            <w:r>
              <w:rPr>
                <w:rFonts w:ascii="Arial" w:cs="Arial" w:eastAsia="Arial" w:hAnsi="Arial"/>
                <w:sz w:val="13"/>
                <w:szCs w:val="13"/>
                <w:color w:val="auto"/>
              </w:rPr>
              <w:t>2,687,500</w:t>
            </w:r>
          </w:p>
        </w:tc>
        <w:tc>
          <w:tcPr>
            <w:tcW w:w="1220" w:type="dxa"/>
            <w:vAlign w:val="bottom"/>
            <w:shd w:val="clear" w:color="auto" w:fill="F1EFEC"/>
          </w:tcPr>
          <w:p>
            <w:pPr>
              <w:jc w:val="right"/>
              <w:ind w:right="136"/>
              <w:spacing w:after="0"/>
              <w:rPr>
                <w:sz w:val="20"/>
                <w:szCs w:val="20"/>
                <w:color w:val="auto"/>
              </w:rPr>
            </w:pPr>
            <w:r>
              <w:rPr>
                <w:rFonts w:ascii="Arial" w:cs="Arial" w:eastAsia="Arial" w:hAnsi="Arial"/>
                <w:sz w:val="13"/>
                <w:szCs w:val="13"/>
                <w:color w:val="auto"/>
              </w:rPr>
              <w:t>30,221</w:t>
            </w:r>
          </w:p>
        </w:tc>
        <w:tc>
          <w:tcPr>
            <w:tcW w:w="820" w:type="dxa"/>
            <w:vAlign w:val="bottom"/>
            <w:shd w:val="clear" w:color="auto" w:fill="F1EFEC"/>
          </w:tcPr>
          <w:p>
            <w:pPr>
              <w:jc w:val="right"/>
              <w:spacing w:after="0"/>
              <w:rPr>
                <w:sz w:val="20"/>
                <w:szCs w:val="20"/>
                <w:color w:val="auto"/>
              </w:rPr>
            </w:pPr>
            <w:r>
              <w:rPr>
                <w:rFonts w:ascii="Arial" w:cs="Arial" w:eastAsia="Arial" w:hAnsi="Arial"/>
                <w:sz w:val="13"/>
                <w:szCs w:val="13"/>
                <w:color w:val="auto"/>
              </w:rPr>
              <w:t>15,931,316</w:t>
            </w:r>
          </w:p>
        </w:tc>
        <w:tc>
          <w:tcPr>
            <w:tcW w:w="0" w:type="dxa"/>
            <w:vAlign w:val="bottom"/>
          </w:tcPr>
          <w:p>
            <w:pPr>
              <w:spacing w:after="0"/>
              <w:rPr>
                <w:sz w:val="1"/>
                <w:szCs w:val="1"/>
                <w:color w:val="auto"/>
              </w:rPr>
            </w:pPr>
          </w:p>
        </w:tc>
      </w:tr>
      <w:tr>
        <w:trPr>
          <w:trHeight w:val="526"/>
        </w:trPr>
        <w:tc>
          <w:tcPr>
            <w:tcW w:w="2780" w:type="dxa"/>
            <w:vAlign w:val="bottom"/>
            <w:shd w:val="clear" w:color="auto" w:fill="F1EFEC"/>
          </w:tcPr>
          <w:p>
            <w:pPr>
              <w:spacing w:after="0"/>
              <w:rPr>
                <w:sz w:val="24"/>
                <w:szCs w:val="24"/>
                <w:color w:val="auto"/>
              </w:rPr>
            </w:pPr>
          </w:p>
        </w:tc>
        <w:tc>
          <w:tcPr>
            <w:tcW w:w="60" w:type="dxa"/>
            <w:vAlign w:val="bottom"/>
            <w:shd w:val="clear" w:color="auto" w:fill="F1EFEC"/>
          </w:tcPr>
          <w:p>
            <w:pPr>
              <w:spacing w:after="0"/>
              <w:rPr>
                <w:sz w:val="24"/>
                <w:szCs w:val="24"/>
                <w:color w:val="auto"/>
              </w:rPr>
            </w:pPr>
          </w:p>
        </w:tc>
        <w:tc>
          <w:tcPr>
            <w:tcW w:w="620" w:type="dxa"/>
            <w:vAlign w:val="bottom"/>
            <w:shd w:val="clear" w:color="auto" w:fill="F1EFEC"/>
          </w:tcPr>
          <w:p>
            <w:pPr>
              <w:ind w:left="80"/>
              <w:spacing w:after="0"/>
              <w:rPr>
                <w:sz w:val="20"/>
                <w:szCs w:val="20"/>
                <w:color w:val="auto"/>
              </w:rPr>
            </w:pPr>
            <w:r>
              <w:rPr>
                <w:rFonts w:ascii="Arial" w:cs="Arial" w:eastAsia="Arial" w:hAnsi="Arial"/>
                <w:sz w:val="13"/>
                <w:szCs w:val="13"/>
                <w:color w:val="auto"/>
              </w:rPr>
              <w:t>2023 </w:t>
            </w:r>
          </w:p>
        </w:tc>
        <w:tc>
          <w:tcPr>
            <w:tcW w:w="112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1,900,962</w:t>
            </w:r>
          </w:p>
        </w:tc>
        <w:tc>
          <w:tcPr>
            <w:tcW w:w="96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11,483,057</w:t>
            </w:r>
          </w:p>
        </w:tc>
        <w:tc>
          <w:tcPr>
            <w:tcW w:w="1160" w:type="dxa"/>
            <w:vAlign w:val="bottom"/>
            <w:shd w:val="clear" w:color="auto" w:fill="F1EFEC"/>
          </w:tcPr>
          <w:p>
            <w:pPr>
              <w:jc w:val="right"/>
              <w:spacing w:after="0"/>
              <w:rPr>
                <w:sz w:val="20"/>
                <w:szCs w:val="20"/>
                <w:color w:val="auto"/>
              </w:rPr>
            </w:pPr>
            <w:r>
              <w:rPr>
                <w:rFonts w:ascii="Arial" w:cs="Arial" w:eastAsia="Arial" w:hAnsi="Arial"/>
                <w:sz w:val="13"/>
                <w:szCs w:val="13"/>
                <w:color w:val="auto"/>
              </w:rPr>
              <w:t>2,750,000</w:t>
            </w:r>
          </w:p>
        </w:tc>
        <w:tc>
          <w:tcPr>
            <w:tcW w:w="1220" w:type="dxa"/>
            <w:vAlign w:val="bottom"/>
            <w:shd w:val="clear" w:color="auto" w:fill="F1EFEC"/>
          </w:tcPr>
          <w:p>
            <w:pPr>
              <w:jc w:val="right"/>
              <w:ind w:right="136"/>
              <w:spacing w:after="0"/>
              <w:rPr>
                <w:sz w:val="20"/>
                <w:szCs w:val="20"/>
                <w:color w:val="auto"/>
              </w:rPr>
            </w:pPr>
            <w:r>
              <w:rPr>
                <w:rFonts w:ascii="Arial" w:cs="Arial" w:eastAsia="Arial" w:hAnsi="Arial"/>
                <w:sz w:val="13"/>
                <w:szCs w:val="13"/>
                <w:color w:val="auto"/>
              </w:rPr>
              <w:t>18,615</w:t>
            </w:r>
          </w:p>
        </w:tc>
        <w:tc>
          <w:tcPr>
            <w:tcW w:w="820" w:type="dxa"/>
            <w:vAlign w:val="bottom"/>
            <w:shd w:val="clear" w:color="auto" w:fill="F1EFEC"/>
          </w:tcPr>
          <w:p>
            <w:pPr>
              <w:jc w:val="right"/>
              <w:spacing w:after="0"/>
              <w:rPr>
                <w:sz w:val="20"/>
                <w:szCs w:val="20"/>
                <w:color w:val="auto"/>
              </w:rPr>
            </w:pPr>
            <w:r>
              <w:rPr>
                <w:rFonts w:ascii="Arial" w:cs="Arial" w:eastAsia="Arial" w:hAnsi="Arial"/>
                <w:sz w:val="13"/>
                <w:szCs w:val="13"/>
                <w:color w:val="auto"/>
              </w:rPr>
              <w:t>16,152,634</w:t>
            </w:r>
          </w:p>
        </w:tc>
        <w:tc>
          <w:tcPr>
            <w:tcW w:w="0" w:type="dxa"/>
            <w:vAlign w:val="bottom"/>
          </w:tcPr>
          <w:p>
            <w:pPr>
              <w:spacing w:after="0"/>
              <w:rPr>
                <w:sz w:val="1"/>
                <w:szCs w:val="1"/>
                <w:color w:val="auto"/>
              </w:rPr>
            </w:pPr>
          </w:p>
        </w:tc>
      </w:tr>
      <w:tr>
        <w:trPr>
          <w:trHeight w:val="164"/>
        </w:trPr>
        <w:tc>
          <w:tcPr>
            <w:tcW w:w="2780" w:type="dxa"/>
            <w:vAlign w:val="bottom"/>
            <w:shd w:val="clear" w:color="auto" w:fill="F1EFEC"/>
          </w:tcPr>
          <w:p>
            <w:pPr>
              <w:spacing w:after="0"/>
              <w:rPr>
                <w:sz w:val="14"/>
                <w:szCs w:val="14"/>
                <w:color w:val="auto"/>
              </w:rPr>
            </w:pPr>
          </w:p>
        </w:tc>
        <w:tc>
          <w:tcPr>
            <w:tcW w:w="60" w:type="dxa"/>
            <w:vAlign w:val="bottom"/>
            <w:shd w:val="clear" w:color="auto" w:fill="F1EFEC"/>
          </w:tcPr>
          <w:p>
            <w:pPr>
              <w:spacing w:after="0"/>
              <w:rPr>
                <w:sz w:val="14"/>
                <w:szCs w:val="14"/>
                <w:color w:val="auto"/>
              </w:rPr>
            </w:pPr>
          </w:p>
        </w:tc>
        <w:tc>
          <w:tcPr>
            <w:tcW w:w="620" w:type="dxa"/>
            <w:vAlign w:val="bottom"/>
            <w:shd w:val="clear" w:color="auto" w:fill="F1EFEC"/>
          </w:tcPr>
          <w:p>
            <w:pPr>
              <w:spacing w:after="0"/>
              <w:rPr>
                <w:sz w:val="14"/>
                <w:szCs w:val="14"/>
                <w:color w:val="auto"/>
              </w:rPr>
            </w:pPr>
          </w:p>
        </w:tc>
        <w:tc>
          <w:tcPr>
            <w:tcW w:w="1120" w:type="dxa"/>
            <w:vAlign w:val="bottom"/>
            <w:shd w:val="clear" w:color="auto" w:fill="F1EFEC"/>
          </w:tcPr>
          <w:p>
            <w:pPr>
              <w:spacing w:after="0"/>
              <w:rPr>
                <w:sz w:val="14"/>
                <w:szCs w:val="14"/>
                <w:color w:val="auto"/>
              </w:rPr>
            </w:pPr>
          </w:p>
        </w:tc>
        <w:tc>
          <w:tcPr>
            <w:tcW w:w="960" w:type="dxa"/>
            <w:vAlign w:val="bottom"/>
            <w:shd w:val="clear" w:color="auto" w:fill="F1EFEC"/>
          </w:tcPr>
          <w:p>
            <w:pPr>
              <w:spacing w:after="0"/>
              <w:rPr>
                <w:sz w:val="14"/>
                <w:szCs w:val="14"/>
                <w:color w:val="auto"/>
              </w:rPr>
            </w:pPr>
          </w:p>
        </w:tc>
        <w:tc>
          <w:tcPr>
            <w:tcW w:w="1160" w:type="dxa"/>
            <w:vAlign w:val="bottom"/>
            <w:shd w:val="clear" w:color="auto" w:fill="F1EFEC"/>
          </w:tcPr>
          <w:p>
            <w:pPr>
              <w:spacing w:after="0"/>
              <w:rPr>
                <w:sz w:val="14"/>
                <w:szCs w:val="14"/>
                <w:color w:val="auto"/>
              </w:rPr>
            </w:pPr>
          </w:p>
        </w:tc>
        <w:tc>
          <w:tcPr>
            <w:tcW w:w="1220" w:type="dxa"/>
            <w:vAlign w:val="bottom"/>
            <w:shd w:val="clear" w:color="auto" w:fill="F1EFEC"/>
          </w:tcPr>
          <w:p>
            <w:pPr>
              <w:spacing w:after="0"/>
              <w:rPr>
                <w:sz w:val="14"/>
                <w:szCs w:val="14"/>
                <w:color w:val="auto"/>
              </w:rPr>
            </w:pPr>
          </w:p>
        </w:tc>
        <w:tc>
          <w:tcPr>
            <w:tcW w:w="820" w:type="dxa"/>
            <w:vAlign w:val="bottom"/>
            <w:shd w:val="clear" w:color="auto" w:fill="F1EFEC"/>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78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3"/>
                <w:szCs w:val="13"/>
                <w:color w:val="auto"/>
              </w:rPr>
              <w:t>2025</w:t>
            </w:r>
          </w:p>
        </w:tc>
        <w:tc>
          <w:tcPr>
            <w:tcW w:w="1120" w:type="dxa"/>
            <w:vAlign w:val="bottom"/>
          </w:tcPr>
          <w:p>
            <w:pPr>
              <w:jc w:val="right"/>
              <w:ind w:right="196"/>
              <w:spacing w:after="0"/>
              <w:rPr>
                <w:sz w:val="20"/>
                <w:szCs w:val="20"/>
                <w:color w:val="auto"/>
              </w:rPr>
            </w:pPr>
            <w:r>
              <w:rPr>
                <w:rFonts w:ascii="Arial" w:cs="Arial" w:eastAsia="Arial" w:hAnsi="Arial"/>
                <w:sz w:val="13"/>
                <w:szCs w:val="13"/>
                <w:color w:val="auto"/>
              </w:rPr>
              <w:t>950,000</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2,251,089</w:t>
            </w:r>
          </w:p>
        </w:tc>
        <w:tc>
          <w:tcPr>
            <w:tcW w:w="1160" w:type="dxa"/>
            <w:vAlign w:val="bottom"/>
          </w:tcPr>
          <w:p>
            <w:pPr>
              <w:jc w:val="right"/>
              <w:spacing w:after="0"/>
              <w:rPr>
                <w:sz w:val="20"/>
                <w:szCs w:val="20"/>
                <w:color w:val="auto"/>
              </w:rPr>
            </w:pPr>
            <w:r>
              <w:rPr>
                <w:rFonts w:ascii="Arial" w:cs="Arial" w:eastAsia="Arial" w:hAnsi="Arial"/>
                <w:sz w:val="13"/>
                <w:szCs w:val="13"/>
                <w:color w:val="auto"/>
              </w:rPr>
              <w:t>1,304,825</w:t>
            </w:r>
          </w:p>
        </w:tc>
        <w:tc>
          <w:tcPr>
            <w:tcW w:w="1220" w:type="dxa"/>
            <w:vAlign w:val="bottom"/>
          </w:tcPr>
          <w:p>
            <w:pPr>
              <w:jc w:val="right"/>
              <w:ind w:right="136"/>
              <w:spacing w:after="0"/>
              <w:rPr>
                <w:sz w:val="20"/>
                <w:szCs w:val="20"/>
                <w:color w:val="auto"/>
              </w:rPr>
            </w:pPr>
            <w:r>
              <w:rPr>
                <w:rFonts w:ascii="Arial" w:cs="Arial" w:eastAsia="Arial" w:hAnsi="Arial"/>
                <w:sz w:val="13"/>
                <w:szCs w:val="13"/>
                <w:color w:val="auto"/>
              </w:rPr>
              <w:t>23,473</w:t>
            </w:r>
          </w:p>
        </w:tc>
        <w:tc>
          <w:tcPr>
            <w:tcW w:w="820" w:type="dxa"/>
            <w:vAlign w:val="bottom"/>
          </w:tcPr>
          <w:p>
            <w:pPr>
              <w:jc w:val="right"/>
              <w:spacing w:after="0"/>
              <w:rPr>
                <w:sz w:val="20"/>
                <w:szCs w:val="20"/>
                <w:color w:val="auto"/>
              </w:rPr>
            </w:pPr>
            <w:r>
              <w:rPr>
                <w:rFonts w:ascii="Arial" w:cs="Arial" w:eastAsia="Arial" w:hAnsi="Arial"/>
                <w:sz w:val="13"/>
                <w:szCs w:val="13"/>
                <w:color w:val="auto"/>
              </w:rPr>
              <w:t>4,529,387</w:t>
            </w:r>
          </w:p>
        </w:tc>
        <w:tc>
          <w:tcPr>
            <w:tcW w:w="0" w:type="dxa"/>
            <w:vAlign w:val="bottom"/>
          </w:tcPr>
          <w:p>
            <w:pPr>
              <w:spacing w:after="0"/>
              <w:rPr>
                <w:sz w:val="1"/>
                <w:szCs w:val="1"/>
                <w:color w:val="auto"/>
              </w:rPr>
            </w:pPr>
          </w:p>
        </w:tc>
      </w:tr>
      <w:tr>
        <w:trPr>
          <w:trHeight w:val="300"/>
        </w:trPr>
        <w:tc>
          <w:tcPr>
            <w:tcW w:w="2780" w:type="dxa"/>
            <w:vAlign w:val="bottom"/>
          </w:tcPr>
          <w:p>
            <w:pPr>
              <w:ind w:left="40"/>
              <w:spacing w:after="0"/>
              <w:rPr>
                <w:sz w:val="20"/>
                <w:szCs w:val="20"/>
                <w:color w:val="auto"/>
              </w:rPr>
            </w:pPr>
            <w:r>
              <w:rPr>
                <w:rFonts w:ascii="Arial" w:cs="Arial" w:eastAsia="Arial" w:hAnsi="Arial"/>
                <w:sz w:val="13"/>
                <w:szCs w:val="13"/>
                <w:color w:val="auto"/>
              </w:rPr>
              <w:t>JULIE M. CAMERON-DOE (5)</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780" w:type="dxa"/>
            <w:vAlign w:val="bottom"/>
          </w:tcPr>
          <w:p>
            <w:pPr>
              <w:ind w:left="40"/>
              <w:spacing w:after="0"/>
              <w:rPr>
                <w:sz w:val="20"/>
                <w:szCs w:val="20"/>
                <w:color w:val="auto"/>
              </w:rPr>
            </w:pPr>
            <w:r>
              <w:rPr>
                <w:rFonts w:ascii="Arial" w:cs="Arial" w:eastAsia="Arial" w:hAnsi="Arial"/>
                <w:sz w:val="13"/>
                <w:szCs w:val="13"/>
                <w:color w:val="auto"/>
              </w:rPr>
              <w:t>Chief Financial Officer</w:t>
            </w:r>
          </w:p>
        </w:tc>
        <w:tc>
          <w:tcPr>
            <w:tcW w:w="6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auto"/>
              </w:rPr>
              <w:t>2024 </w:t>
            </w:r>
          </w:p>
        </w:tc>
        <w:tc>
          <w:tcPr>
            <w:tcW w:w="1120" w:type="dxa"/>
            <w:vAlign w:val="bottom"/>
          </w:tcPr>
          <w:p>
            <w:pPr>
              <w:jc w:val="right"/>
              <w:ind w:right="196"/>
              <w:spacing w:after="0"/>
              <w:rPr>
                <w:sz w:val="20"/>
                <w:szCs w:val="20"/>
                <w:color w:val="auto"/>
              </w:rPr>
            </w:pPr>
            <w:r>
              <w:rPr>
                <w:rFonts w:ascii="Arial" w:cs="Arial" w:eastAsia="Arial" w:hAnsi="Arial"/>
                <w:sz w:val="13"/>
                <w:szCs w:val="13"/>
                <w:color w:val="auto"/>
              </w:rPr>
              <w:t>950,000</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2,749,989</w:t>
            </w:r>
          </w:p>
        </w:tc>
        <w:tc>
          <w:tcPr>
            <w:tcW w:w="1160" w:type="dxa"/>
            <w:vAlign w:val="bottom"/>
          </w:tcPr>
          <w:p>
            <w:pPr>
              <w:jc w:val="right"/>
              <w:spacing w:after="0"/>
              <w:rPr>
                <w:sz w:val="20"/>
                <w:szCs w:val="20"/>
                <w:color w:val="auto"/>
              </w:rPr>
            </w:pPr>
            <w:r>
              <w:rPr>
                <w:rFonts w:ascii="Arial" w:cs="Arial" w:eastAsia="Arial" w:hAnsi="Arial"/>
                <w:sz w:val="13"/>
                <w:szCs w:val="13"/>
                <w:color w:val="auto"/>
              </w:rPr>
              <w:t>1,021,250</w:t>
            </w:r>
          </w:p>
        </w:tc>
        <w:tc>
          <w:tcPr>
            <w:tcW w:w="1220" w:type="dxa"/>
            <w:vAlign w:val="bottom"/>
          </w:tcPr>
          <w:p>
            <w:pPr>
              <w:jc w:val="right"/>
              <w:ind w:right="136"/>
              <w:spacing w:after="0"/>
              <w:rPr>
                <w:sz w:val="20"/>
                <w:szCs w:val="20"/>
                <w:color w:val="auto"/>
              </w:rPr>
            </w:pPr>
            <w:r>
              <w:rPr>
                <w:rFonts w:ascii="Arial" w:cs="Arial" w:eastAsia="Arial" w:hAnsi="Arial"/>
                <w:sz w:val="13"/>
                <w:szCs w:val="13"/>
                <w:color w:val="auto"/>
              </w:rPr>
              <w:t>20,936</w:t>
            </w:r>
          </w:p>
        </w:tc>
        <w:tc>
          <w:tcPr>
            <w:tcW w:w="820" w:type="dxa"/>
            <w:vAlign w:val="bottom"/>
          </w:tcPr>
          <w:p>
            <w:pPr>
              <w:jc w:val="right"/>
              <w:spacing w:after="0"/>
              <w:rPr>
                <w:sz w:val="20"/>
                <w:szCs w:val="20"/>
                <w:color w:val="auto"/>
              </w:rPr>
            </w:pPr>
            <w:r>
              <w:rPr>
                <w:rFonts w:ascii="Arial" w:cs="Arial" w:eastAsia="Arial" w:hAnsi="Arial"/>
                <w:sz w:val="13"/>
                <w:szCs w:val="13"/>
                <w:color w:val="auto"/>
              </w:rPr>
              <w:t>4,742,175</w:t>
            </w:r>
          </w:p>
        </w:tc>
        <w:tc>
          <w:tcPr>
            <w:tcW w:w="0" w:type="dxa"/>
            <w:vAlign w:val="bottom"/>
          </w:tcPr>
          <w:p>
            <w:pPr>
              <w:spacing w:after="0"/>
              <w:rPr>
                <w:sz w:val="1"/>
                <w:szCs w:val="1"/>
                <w:color w:val="auto"/>
              </w:rPr>
            </w:pPr>
          </w:p>
        </w:tc>
      </w:tr>
      <w:tr>
        <w:trPr>
          <w:trHeight w:val="515"/>
        </w:trPr>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auto"/>
              </w:rPr>
              <w:t>2023 </w:t>
            </w:r>
          </w:p>
        </w:tc>
        <w:tc>
          <w:tcPr>
            <w:tcW w:w="1120" w:type="dxa"/>
            <w:vAlign w:val="bottom"/>
          </w:tcPr>
          <w:p>
            <w:pPr>
              <w:jc w:val="right"/>
              <w:ind w:right="196"/>
              <w:spacing w:after="0"/>
              <w:rPr>
                <w:sz w:val="20"/>
                <w:szCs w:val="20"/>
                <w:color w:val="auto"/>
              </w:rPr>
            </w:pPr>
            <w:r>
              <w:rPr>
                <w:rFonts w:ascii="Arial" w:cs="Arial" w:eastAsia="Arial" w:hAnsi="Arial"/>
                <w:sz w:val="13"/>
                <w:szCs w:val="13"/>
                <w:color w:val="auto"/>
              </w:rPr>
              <w:t>922,500</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2,712,319</w:t>
            </w:r>
          </w:p>
        </w:tc>
        <w:tc>
          <w:tcPr>
            <w:tcW w:w="1160" w:type="dxa"/>
            <w:vAlign w:val="bottom"/>
          </w:tcPr>
          <w:p>
            <w:pPr>
              <w:jc w:val="right"/>
              <w:spacing w:after="0"/>
              <w:rPr>
                <w:sz w:val="20"/>
                <w:szCs w:val="20"/>
                <w:color w:val="auto"/>
              </w:rPr>
            </w:pPr>
            <w:r>
              <w:rPr>
                <w:rFonts w:ascii="Arial" w:cs="Arial" w:eastAsia="Arial" w:hAnsi="Arial"/>
                <w:sz w:val="13"/>
                <w:szCs w:val="13"/>
                <w:color w:val="auto"/>
              </w:rPr>
              <w:t>1,045,000</w:t>
            </w:r>
          </w:p>
        </w:tc>
        <w:tc>
          <w:tcPr>
            <w:tcW w:w="1220" w:type="dxa"/>
            <w:vAlign w:val="bottom"/>
          </w:tcPr>
          <w:p>
            <w:pPr>
              <w:jc w:val="right"/>
              <w:ind w:right="136"/>
              <w:spacing w:after="0"/>
              <w:rPr>
                <w:sz w:val="20"/>
                <w:szCs w:val="20"/>
                <w:color w:val="auto"/>
              </w:rPr>
            </w:pPr>
            <w:r>
              <w:rPr>
                <w:rFonts w:ascii="Arial" w:cs="Arial" w:eastAsia="Arial" w:hAnsi="Arial"/>
                <w:sz w:val="13"/>
                <w:szCs w:val="13"/>
                <w:color w:val="auto"/>
              </w:rPr>
              <w:t>13,633</w:t>
            </w:r>
          </w:p>
        </w:tc>
        <w:tc>
          <w:tcPr>
            <w:tcW w:w="820" w:type="dxa"/>
            <w:vAlign w:val="bottom"/>
          </w:tcPr>
          <w:p>
            <w:pPr>
              <w:jc w:val="right"/>
              <w:spacing w:after="0"/>
              <w:rPr>
                <w:sz w:val="20"/>
                <w:szCs w:val="20"/>
                <w:color w:val="auto"/>
              </w:rPr>
            </w:pPr>
            <w:r>
              <w:rPr>
                <w:rFonts w:ascii="Arial" w:cs="Arial" w:eastAsia="Arial" w:hAnsi="Arial"/>
                <w:sz w:val="13"/>
                <w:szCs w:val="13"/>
                <w:color w:val="auto"/>
              </w:rPr>
              <w:t>4,693,452</w:t>
            </w:r>
          </w:p>
        </w:tc>
        <w:tc>
          <w:tcPr>
            <w:tcW w:w="0" w:type="dxa"/>
            <w:vAlign w:val="bottom"/>
          </w:tcPr>
          <w:p>
            <w:pPr>
              <w:spacing w:after="0"/>
              <w:rPr>
                <w:sz w:val="1"/>
                <w:szCs w:val="1"/>
                <w:color w:val="auto"/>
              </w:rPr>
            </w:pPr>
          </w:p>
        </w:tc>
      </w:tr>
      <w:tr>
        <w:trPr>
          <w:trHeight w:val="164"/>
        </w:trPr>
        <w:tc>
          <w:tcPr>
            <w:tcW w:w="278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780" w:type="dxa"/>
            <w:vAlign w:val="bottom"/>
            <w:shd w:val="clear" w:color="auto" w:fill="F1EFEC"/>
          </w:tcPr>
          <w:p>
            <w:pPr>
              <w:spacing w:after="0"/>
              <w:rPr>
                <w:sz w:val="24"/>
                <w:szCs w:val="24"/>
                <w:color w:val="auto"/>
              </w:rPr>
            </w:pPr>
          </w:p>
        </w:tc>
        <w:tc>
          <w:tcPr>
            <w:tcW w:w="60" w:type="dxa"/>
            <w:vAlign w:val="bottom"/>
            <w:shd w:val="clear" w:color="auto" w:fill="F1EFEC"/>
          </w:tcPr>
          <w:p>
            <w:pPr>
              <w:spacing w:after="0"/>
              <w:rPr>
                <w:sz w:val="24"/>
                <w:szCs w:val="24"/>
                <w:color w:val="auto"/>
              </w:rPr>
            </w:pPr>
          </w:p>
        </w:tc>
        <w:tc>
          <w:tcPr>
            <w:tcW w:w="620" w:type="dxa"/>
            <w:vAlign w:val="bottom"/>
            <w:shd w:val="clear" w:color="auto" w:fill="F1EFEC"/>
          </w:tcPr>
          <w:p>
            <w:pPr>
              <w:ind w:left="80"/>
              <w:spacing w:after="0"/>
              <w:rPr>
                <w:sz w:val="20"/>
                <w:szCs w:val="20"/>
                <w:color w:val="auto"/>
              </w:rPr>
            </w:pPr>
            <w:r>
              <w:rPr>
                <w:rFonts w:ascii="Arial" w:cs="Arial" w:eastAsia="Arial" w:hAnsi="Arial"/>
                <w:sz w:val="13"/>
                <w:szCs w:val="13"/>
                <w:color w:val="auto"/>
              </w:rPr>
              <w:t>2025</w:t>
            </w:r>
          </w:p>
        </w:tc>
        <w:tc>
          <w:tcPr>
            <w:tcW w:w="112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825,000</w:t>
            </w:r>
          </w:p>
        </w:tc>
        <w:tc>
          <w:tcPr>
            <w:tcW w:w="96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1,635,700</w:t>
            </w:r>
          </w:p>
        </w:tc>
        <w:tc>
          <w:tcPr>
            <w:tcW w:w="1160" w:type="dxa"/>
            <w:vAlign w:val="bottom"/>
            <w:shd w:val="clear" w:color="auto" w:fill="F1EFEC"/>
          </w:tcPr>
          <w:p>
            <w:pPr>
              <w:jc w:val="right"/>
              <w:spacing w:after="0"/>
              <w:rPr>
                <w:sz w:val="20"/>
                <w:szCs w:val="20"/>
                <w:color w:val="auto"/>
              </w:rPr>
            </w:pPr>
            <w:r>
              <w:rPr>
                <w:rFonts w:ascii="Arial" w:cs="Arial" w:eastAsia="Arial" w:hAnsi="Arial"/>
                <w:sz w:val="13"/>
                <w:szCs w:val="13"/>
                <w:color w:val="auto"/>
              </w:rPr>
              <w:t>1,133,138</w:t>
            </w:r>
          </w:p>
        </w:tc>
        <w:tc>
          <w:tcPr>
            <w:tcW w:w="1220" w:type="dxa"/>
            <w:vAlign w:val="bottom"/>
            <w:shd w:val="clear" w:color="auto" w:fill="F1EFEC"/>
          </w:tcPr>
          <w:p>
            <w:pPr>
              <w:jc w:val="right"/>
              <w:ind w:right="136"/>
              <w:spacing w:after="0"/>
              <w:rPr>
                <w:sz w:val="20"/>
                <w:szCs w:val="20"/>
                <w:color w:val="auto"/>
              </w:rPr>
            </w:pPr>
            <w:r>
              <w:rPr>
                <w:rFonts w:ascii="Arial" w:cs="Arial" w:eastAsia="Arial" w:hAnsi="Arial"/>
                <w:sz w:val="13"/>
                <w:szCs w:val="13"/>
                <w:color w:val="auto"/>
              </w:rPr>
              <w:t>23,974</w:t>
            </w:r>
          </w:p>
        </w:tc>
        <w:tc>
          <w:tcPr>
            <w:tcW w:w="820" w:type="dxa"/>
            <w:vAlign w:val="bottom"/>
            <w:shd w:val="clear" w:color="auto" w:fill="F1EFEC"/>
          </w:tcPr>
          <w:p>
            <w:pPr>
              <w:jc w:val="right"/>
              <w:spacing w:after="0"/>
              <w:rPr>
                <w:sz w:val="20"/>
                <w:szCs w:val="20"/>
                <w:color w:val="auto"/>
              </w:rPr>
            </w:pPr>
            <w:r>
              <w:rPr>
                <w:rFonts w:ascii="Arial" w:cs="Arial" w:eastAsia="Arial" w:hAnsi="Arial"/>
                <w:sz w:val="13"/>
                <w:szCs w:val="13"/>
                <w:color w:val="auto"/>
              </w:rPr>
              <w:t>3,617,812</w:t>
            </w:r>
          </w:p>
        </w:tc>
        <w:tc>
          <w:tcPr>
            <w:tcW w:w="0" w:type="dxa"/>
            <w:vAlign w:val="bottom"/>
          </w:tcPr>
          <w:p>
            <w:pPr>
              <w:spacing w:after="0"/>
              <w:rPr>
                <w:sz w:val="1"/>
                <w:szCs w:val="1"/>
                <w:color w:val="auto"/>
              </w:rPr>
            </w:pPr>
          </w:p>
        </w:tc>
      </w:tr>
      <w:tr>
        <w:trPr>
          <w:trHeight w:val="300"/>
        </w:trPr>
        <w:tc>
          <w:tcPr>
            <w:tcW w:w="2780" w:type="dxa"/>
            <w:vAlign w:val="bottom"/>
            <w:shd w:val="clear" w:color="auto" w:fill="F1EFEC"/>
          </w:tcPr>
          <w:p>
            <w:pPr>
              <w:ind w:left="40"/>
              <w:spacing w:after="0"/>
              <w:rPr>
                <w:sz w:val="20"/>
                <w:szCs w:val="20"/>
                <w:color w:val="auto"/>
              </w:rPr>
            </w:pPr>
            <w:r>
              <w:rPr>
                <w:rFonts w:ascii="Arial" w:cs="Arial" w:eastAsia="Arial" w:hAnsi="Arial"/>
                <w:sz w:val="13"/>
                <w:szCs w:val="13"/>
                <w:color w:val="auto"/>
              </w:rPr>
              <w:t>JACQUI KRUM (6)</w:t>
            </w:r>
          </w:p>
        </w:tc>
        <w:tc>
          <w:tcPr>
            <w:tcW w:w="60" w:type="dxa"/>
            <w:vAlign w:val="bottom"/>
            <w:shd w:val="clear" w:color="auto" w:fill="F1EFEC"/>
          </w:tcPr>
          <w:p>
            <w:pPr>
              <w:spacing w:after="0"/>
              <w:rPr>
                <w:sz w:val="24"/>
                <w:szCs w:val="24"/>
                <w:color w:val="auto"/>
              </w:rPr>
            </w:pPr>
          </w:p>
        </w:tc>
        <w:tc>
          <w:tcPr>
            <w:tcW w:w="620" w:type="dxa"/>
            <w:vAlign w:val="bottom"/>
            <w:shd w:val="clear" w:color="auto" w:fill="F1EFEC"/>
          </w:tcPr>
          <w:p>
            <w:pPr>
              <w:spacing w:after="0"/>
              <w:rPr>
                <w:sz w:val="24"/>
                <w:szCs w:val="24"/>
                <w:color w:val="auto"/>
              </w:rPr>
            </w:pPr>
          </w:p>
        </w:tc>
        <w:tc>
          <w:tcPr>
            <w:tcW w:w="1120" w:type="dxa"/>
            <w:vAlign w:val="bottom"/>
            <w:shd w:val="clear" w:color="auto" w:fill="F1EFEC"/>
          </w:tcPr>
          <w:p>
            <w:pPr>
              <w:spacing w:after="0"/>
              <w:rPr>
                <w:sz w:val="24"/>
                <w:szCs w:val="24"/>
                <w:color w:val="auto"/>
              </w:rPr>
            </w:pPr>
          </w:p>
        </w:tc>
        <w:tc>
          <w:tcPr>
            <w:tcW w:w="960" w:type="dxa"/>
            <w:vAlign w:val="bottom"/>
            <w:shd w:val="clear" w:color="auto" w:fill="F1EFEC"/>
          </w:tcPr>
          <w:p>
            <w:pPr>
              <w:spacing w:after="0"/>
              <w:rPr>
                <w:sz w:val="24"/>
                <w:szCs w:val="24"/>
                <w:color w:val="auto"/>
              </w:rPr>
            </w:pPr>
          </w:p>
        </w:tc>
        <w:tc>
          <w:tcPr>
            <w:tcW w:w="1160" w:type="dxa"/>
            <w:vAlign w:val="bottom"/>
            <w:shd w:val="clear" w:color="auto" w:fill="F1EFEC"/>
          </w:tcPr>
          <w:p>
            <w:pPr>
              <w:spacing w:after="0"/>
              <w:rPr>
                <w:sz w:val="24"/>
                <w:szCs w:val="24"/>
                <w:color w:val="auto"/>
              </w:rPr>
            </w:pPr>
          </w:p>
        </w:tc>
        <w:tc>
          <w:tcPr>
            <w:tcW w:w="1220" w:type="dxa"/>
            <w:vAlign w:val="bottom"/>
            <w:shd w:val="clear" w:color="auto" w:fill="F1EFEC"/>
          </w:tcPr>
          <w:p>
            <w:pPr>
              <w:spacing w:after="0"/>
              <w:rPr>
                <w:sz w:val="24"/>
                <w:szCs w:val="24"/>
                <w:color w:val="auto"/>
              </w:rPr>
            </w:pPr>
          </w:p>
        </w:tc>
        <w:tc>
          <w:tcPr>
            <w:tcW w:w="820" w:type="dxa"/>
            <w:vAlign w:val="bottom"/>
            <w:shd w:val="clear" w:color="auto" w:fill="F1EFE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780" w:type="dxa"/>
            <w:vAlign w:val="bottom"/>
            <w:shd w:val="clear" w:color="auto" w:fill="F1EFEC"/>
          </w:tcPr>
          <w:p>
            <w:pPr>
              <w:ind w:left="40"/>
              <w:spacing w:after="0"/>
              <w:rPr>
                <w:sz w:val="20"/>
                <w:szCs w:val="20"/>
                <w:color w:val="auto"/>
              </w:rPr>
            </w:pPr>
            <w:r>
              <w:rPr>
                <w:rFonts w:ascii="Arial" w:cs="Arial" w:eastAsia="Arial" w:hAnsi="Arial"/>
                <w:sz w:val="13"/>
                <w:szCs w:val="13"/>
                <w:color w:val="auto"/>
              </w:rPr>
              <w:t>Executive Vice President,</w:t>
            </w:r>
          </w:p>
        </w:tc>
        <w:tc>
          <w:tcPr>
            <w:tcW w:w="60" w:type="dxa"/>
            <w:vAlign w:val="bottom"/>
            <w:shd w:val="clear" w:color="auto" w:fill="F1EFEC"/>
          </w:tcPr>
          <w:p>
            <w:pPr>
              <w:spacing w:after="0"/>
              <w:rPr>
                <w:sz w:val="19"/>
                <w:szCs w:val="19"/>
                <w:color w:val="auto"/>
              </w:rPr>
            </w:pPr>
          </w:p>
        </w:tc>
        <w:tc>
          <w:tcPr>
            <w:tcW w:w="620" w:type="dxa"/>
            <w:vAlign w:val="bottom"/>
            <w:shd w:val="clear" w:color="auto" w:fill="F1EFEC"/>
          </w:tcPr>
          <w:p>
            <w:pPr>
              <w:ind w:left="80"/>
              <w:spacing w:after="0"/>
              <w:rPr>
                <w:sz w:val="20"/>
                <w:szCs w:val="20"/>
                <w:color w:val="auto"/>
              </w:rPr>
            </w:pPr>
            <w:r>
              <w:rPr>
                <w:rFonts w:ascii="Arial" w:cs="Arial" w:eastAsia="Arial" w:hAnsi="Arial"/>
                <w:sz w:val="13"/>
                <w:szCs w:val="13"/>
                <w:color w:val="auto"/>
              </w:rPr>
              <w:t>2024 </w:t>
            </w:r>
          </w:p>
        </w:tc>
        <w:tc>
          <w:tcPr>
            <w:tcW w:w="1120" w:type="dxa"/>
            <w:vAlign w:val="bottom"/>
            <w:shd w:val="clear" w:color="auto" w:fill="F1EFEC"/>
          </w:tcPr>
          <w:p>
            <w:pPr>
              <w:jc w:val="right"/>
              <w:ind w:right="196"/>
              <w:spacing w:after="0"/>
              <w:rPr>
                <w:sz w:val="20"/>
                <w:szCs w:val="20"/>
                <w:color w:val="auto"/>
              </w:rPr>
            </w:pPr>
            <w:r>
              <w:rPr>
                <w:rFonts w:ascii="Arial" w:cs="Arial" w:eastAsia="Arial" w:hAnsi="Arial"/>
                <w:sz w:val="13"/>
                <w:szCs w:val="13"/>
                <w:color w:val="auto"/>
              </w:rPr>
              <w:t>543,654</w:t>
            </w:r>
          </w:p>
        </w:tc>
        <w:tc>
          <w:tcPr>
            <w:tcW w:w="96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1,978,796</w:t>
            </w:r>
          </w:p>
        </w:tc>
        <w:tc>
          <w:tcPr>
            <w:tcW w:w="1160" w:type="dxa"/>
            <w:vAlign w:val="bottom"/>
            <w:shd w:val="clear" w:color="auto" w:fill="F1EFEC"/>
          </w:tcPr>
          <w:p>
            <w:pPr>
              <w:jc w:val="right"/>
              <w:spacing w:after="0"/>
              <w:rPr>
                <w:sz w:val="20"/>
                <w:szCs w:val="20"/>
                <w:color w:val="auto"/>
              </w:rPr>
            </w:pPr>
            <w:r>
              <w:rPr>
                <w:rFonts w:ascii="Arial" w:cs="Arial" w:eastAsia="Arial" w:hAnsi="Arial"/>
                <w:sz w:val="13"/>
                <w:szCs w:val="13"/>
                <w:color w:val="auto"/>
              </w:rPr>
              <w:t>619,446</w:t>
            </w:r>
          </w:p>
        </w:tc>
        <w:tc>
          <w:tcPr>
            <w:tcW w:w="1220" w:type="dxa"/>
            <w:vAlign w:val="bottom"/>
            <w:shd w:val="clear" w:color="auto" w:fill="F1EFEC"/>
          </w:tcPr>
          <w:p>
            <w:pPr>
              <w:jc w:val="right"/>
              <w:ind w:right="136"/>
              <w:spacing w:after="0"/>
              <w:rPr>
                <w:sz w:val="20"/>
                <w:szCs w:val="20"/>
                <w:color w:val="auto"/>
              </w:rPr>
            </w:pPr>
            <w:r>
              <w:rPr>
                <w:rFonts w:ascii="Arial" w:cs="Arial" w:eastAsia="Arial" w:hAnsi="Arial"/>
                <w:sz w:val="13"/>
                <w:szCs w:val="13"/>
                <w:color w:val="auto"/>
              </w:rPr>
              <w:t>153,115</w:t>
            </w:r>
          </w:p>
        </w:tc>
        <w:tc>
          <w:tcPr>
            <w:tcW w:w="820" w:type="dxa"/>
            <w:vAlign w:val="bottom"/>
            <w:shd w:val="clear" w:color="auto" w:fill="F1EFEC"/>
          </w:tcPr>
          <w:p>
            <w:pPr>
              <w:jc w:val="right"/>
              <w:spacing w:after="0"/>
              <w:rPr>
                <w:sz w:val="20"/>
                <w:szCs w:val="20"/>
                <w:color w:val="auto"/>
              </w:rPr>
            </w:pPr>
            <w:r>
              <w:rPr>
                <w:rFonts w:ascii="Arial" w:cs="Arial" w:eastAsia="Arial" w:hAnsi="Arial"/>
                <w:sz w:val="13"/>
                <w:szCs w:val="13"/>
                <w:color w:val="auto"/>
              </w:rPr>
              <w:t>3,295,011</w:t>
            </w:r>
          </w:p>
        </w:tc>
        <w:tc>
          <w:tcPr>
            <w:tcW w:w="0" w:type="dxa"/>
            <w:vAlign w:val="bottom"/>
          </w:tcPr>
          <w:p>
            <w:pPr>
              <w:spacing w:after="0"/>
              <w:rPr>
                <w:sz w:val="1"/>
                <w:szCs w:val="1"/>
                <w:color w:val="auto"/>
              </w:rPr>
            </w:pPr>
          </w:p>
        </w:tc>
      </w:tr>
      <w:tr>
        <w:trPr>
          <w:trHeight w:val="164"/>
        </w:trPr>
        <w:tc>
          <w:tcPr>
            <w:tcW w:w="2780" w:type="dxa"/>
            <w:vAlign w:val="bottom"/>
            <w:shd w:val="clear" w:color="auto" w:fill="F1EFEC"/>
          </w:tcPr>
          <w:p>
            <w:pPr>
              <w:ind w:left="40"/>
              <w:spacing w:after="0"/>
              <w:rPr>
                <w:sz w:val="20"/>
                <w:szCs w:val="20"/>
                <w:color w:val="auto"/>
              </w:rPr>
            </w:pPr>
            <w:r>
              <w:rPr>
                <w:rFonts w:ascii="Arial" w:cs="Arial" w:eastAsia="Arial" w:hAnsi="Arial"/>
                <w:sz w:val="13"/>
                <w:szCs w:val="13"/>
                <w:color w:val="auto"/>
              </w:rPr>
              <w:t>General Counsel and Secretary</w:t>
            </w:r>
          </w:p>
        </w:tc>
        <w:tc>
          <w:tcPr>
            <w:tcW w:w="60" w:type="dxa"/>
            <w:vAlign w:val="bottom"/>
            <w:shd w:val="clear" w:color="auto" w:fill="F1EFEC"/>
          </w:tcPr>
          <w:p>
            <w:pPr>
              <w:spacing w:after="0"/>
              <w:rPr>
                <w:sz w:val="14"/>
                <w:szCs w:val="14"/>
                <w:color w:val="auto"/>
              </w:rPr>
            </w:pPr>
          </w:p>
        </w:tc>
        <w:tc>
          <w:tcPr>
            <w:tcW w:w="620" w:type="dxa"/>
            <w:vAlign w:val="bottom"/>
            <w:shd w:val="clear" w:color="auto" w:fill="F1EFEC"/>
          </w:tcPr>
          <w:p>
            <w:pPr>
              <w:spacing w:after="0"/>
              <w:rPr>
                <w:sz w:val="14"/>
                <w:szCs w:val="14"/>
                <w:color w:val="auto"/>
              </w:rPr>
            </w:pPr>
          </w:p>
        </w:tc>
        <w:tc>
          <w:tcPr>
            <w:tcW w:w="1120" w:type="dxa"/>
            <w:vAlign w:val="bottom"/>
            <w:shd w:val="clear" w:color="auto" w:fill="F1EFEC"/>
          </w:tcPr>
          <w:p>
            <w:pPr>
              <w:spacing w:after="0"/>
              <w:rPr>
                <w:sz w:val="14"/>
                <w:szCs w:val="14"/>
                <w:color w:val="auto"/>
              </w:rPr>
            </w:pPr>
          </w:p>
        </w:tc>
        <w:tc>
          <w:tcPr>
            <w:tcW w:w="960" w:type="dxa"/>
            <w:vAlign w:val="bottom"/>
            <w:shd w:val="clear" w:color="auto" w:fill="F1EFEC"/>
          </w:tcPr>
          <w:p>
            <w:pPr>
              <w:spacing w:after="0"/>
              <w:rPr>
                <w:sz w:val="14"/>
                <w:szCs w:val="14"/>
                <w:color w:val="auto"/>
              </w:rPr>
            </w:pPr>
          </w:p>
        </w:tc>
        <w:tc>
          <w:tcPr>
            <w:tcW w:w="1160" w:type="dxa"/>
            <w:vAlign w:val="bottom"/>
            <w:shd w:val="clear" w:color="auto" w:fill="F1EFEC"/>
          </w:tcPr>
          <w:p>
            <w:pPr>
              <w:spacing w:after="0"/>
              <w:rPr>
                <w:sz w:val="14"/>
                <w:szCs w:val="14"/>
                <w:color w:val="auto"/>
              </w:rPr>
            </w:pPr>
          </w:p>
        </w:tc>
        <w:tc>
          <w:tcPr>
            <w:tcW w:w="1220" w:type="dxa"/>
            <w:vAlign w:val="bottom"/>
            <w:shd w:val="clear" w:color="auto" w:fill="F1EFEC"/>
          </w:tcPr>
          <w:p>
            <w:pPr>
              <w:spacing w:after="0"/>
              <w:rPr>
                <w:sz w:val="14"/>
                <w:szCs w:val="14"/>
                <w:color w:val="auto"/>
              </w:rPr>
            </w:pPr>
          </w:p>
        </w:tc>
        <w:tc>
          <w:tcPr>
            <w:tcW w:w="820" w:type="dxa"/>
            <w:vAlign w:val="bottom"/>
            <w:shd w:val="clear" w:color="auto" w:fill="F1EFEC"/>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780" w:type="dxa"/>
            <w:vAlign w:val="bottom"/>
            <w:shd w:val="clear" w:color="auto" w:fill="F1EFEC"/>
          </w:tcPr>
          <w:p>
            <w:pPr>
              <w:spacing w:after="0"/>
              <w:rPr>
                <w:sz w:val="24"/>
                <w:szCs w:val="24"/>
                <w:color w:val="auto"/>
              </w:rPr>
            </w:pPr>
          </w:p>
        </w:tc>
        <w:tc>
          <w:tcPr>
            <w:tcW w:w="60" w:type="dxa"/>
            <w:vAlign w:val="bottom"/>
            <w:shd w:val="clear" w:color="auto" w:fill="F1EFEC"/>
          </w:tcPr>
          <w:p>
            <w:pPr>
              <w:spacing w:after="0"/>
              <w:rPr>
                <w:sz w:val="24"/>
                <w:szCs w:val="24"/>
                <w:color w:val="auto"/>
              </w:rPr>
            </w:pPr>
          </w:p>
        </w:tc>
        <w:tc>
          <w:tcPr>
            <w:tcW w:w="620" w:type="dxa"/>
            <w:vAlign w:val="bottom"/>
            <w:shd w:val="clear" w:color="auto" w:fill="F1EFEC"/>
          </w:tcPr>
          <w:p>
            <w:pPr>
              <w:ind w:left="80"/>
              <w:spacing w:after="0"/>
              <w:rPr>
                <w:sz w:val="20"/>
                <w:szCs w:val="20"/>
                <w:color w:val="auto"/>
              </w:rPr>
            </w:pPr>
            <w:r>
              <w:rPr>
                <w:rFonts w:ascii="Arial" w:cs="Arial" w:eastAsia="Arial" w:hAnsi="Arial"/>
                <w:sz w:val="13"/>
                <w:szCs w:val="13"/>
                <w:color w:val="auto"/>
              </w:rPr>
              <w:t>2023 </w:t>
            </w:r>
          </w:p>
        </w:tc>
        <w:tc>
          <w:tcPr>
            <w:tcW w:w="1120" w:type="dxa"/>
            <w:vAlign w:val="bottom"/>
            <w:shd w:val="clear" w:color="auto" w:fill="F1EFEC"/>
          </w:tcPr>
          <w:p>
            <w:pPr>
              <w:jc w:val="right"/>
              <w:ind w:right="436"/>
              <w:spacing w:after="0"/>
              <w:rPr>
                <w:sz w:val="20"/>
                <w:szCs w:val="20"/>
                <w:color w:val="auto"/>
              </w:rPr>
            </w:pPr>
            <w:r>
              <w:rPr>
                <w:rFonts w:ascii="Arial" w:cs="Arial" w:eastAsia="Arial" w:hAnsi="Arial"/>
                <w:sz w:val="13"/>
                <w:szCs w:val="13"/>
                <w:color w:val="auto"/>
              </w:rPr>
              <w:t xml:space="preserve">- </w:t>
            </w:r>
          </w:p>
        </w:tc>
        <w:tc>
          <w:tcPr>
            <w:tcW w:w="960" w:type="dxa"/>
            <w:vAlign w:val="bottom"/>
            <w:shd w:val="clear" w:color="auto" w:fill="F1EFEC"/>
          </w:tcPr>
          <w:p>
            <w:pPr>
              <w:jc w:val="right"/>
              <w:ind w:right="276"/>
              <w:spacing w:after="0"/>
              <w:rPr>
                <w:sz w:val="20"/>
                <w:szCs w:val="20"/>
                <w:color w:val="auto"/>
              </w:rPr>
            </w:pPr>
            <w:r>
              <w:rPr>
                <w:rFonts w:ascii="Arial" w:cs="Arial" w:eastAsia="Arial" w:hAnsi="Arial"/>
                <w:sz w:val="13"/>
                <w:szCs w:val="13"/>
                <w:color w:val="auto"/>
              </w:rPr>
              <w:t xml:space="preserve">- </w:t>
            </w:r>
          </w:p>
        </w:tc>
        <w:tc>
          <w:tcPr>
            <w:tcW w:w="1160" w:type="dxa"/>
            <w:vAlign w:val="bottom"/>
            <w:shd w:val="clear" w:color="auto" w:fill="F1EFEC"/>
          </w:tcPr>
          <w:p>
            <w:pPr>
              <w:jc w:val="right"/>
              <w:ind w:right="236"/>
              <w:spacing w:after="0"/>
              <w:rPr>
                <w:sz w:val="20"/>
                <w:szCs w:val="20"/>
                <w:color w:val="auto"/>
              </w:rPr>
            </w:pPr>
            <w:r>
              <w:rPr>
                <w:rFonts w:ascii="Arial" w:cs="Arial" w:eastAsia="Arial" w:hAnsi="Arial"/>
                <w:sz w:val="13"/>
                <w:szCs w:val="13"/>
                <w:color w:val="auto"/>
              </w:rPr>
              <w:t xml:space="preserve">- </w:t>
            </w:r>
          </w:p>
        </w:tc>
        <w:tc>
          <w:tcPr>
            <w:tcW w:w="1220" w:type="dxa"/>
            <w:vAlign w:val="bottom"/>
            <w:shd w:val="clear" w:color="auto" w:fill="F1EFEC"/>
          </w:tcPr>
          <w:p>
            <w:pPr>
              <w:jc w:val="right"/>
              <w:ind w:right="316"/>
              <w:spacing w:after="0"/>
              <w:rPr>
                <w:sz w:val="20"/>
                <w:szCs w:val="20"/>
                <w:color w:val="auto"/>
              </w:rPr>
            </w:pPr>
            <w:r>
              <w:rPr>
                <w:rFonts w:ascii="Arial" w:cs="Arial" w:eastAsia="Arial" w:hAnsi="Arial"/>
                <w:sz w:val="13"/>
                <w:szCs w:val="13"/>
                <w:color w:val="auto"/>
              </w:rPr>
              <w:t xml:space="preserve">- </w:t>
            </w:r>
          </w:p>
        </w:tc>
        <w:tc>
          <w:tcPr>
            <w:tcW w:w="820" w:type="dxa"/>
            <w:vAlign w:val="bottom"/>
            <w:shd w:val="clear" w:color="auto" w:fill="F1EFEC"/>
          </w:tcPr>
          <w:p>
            <w:pPr>
              <w:jc w:val="right"/>
              <w:ind w:right="276"/>
              <w:spacing w:after="0"/>
              <w:rPr>
                <w:sz w:val="20"/>
                <w:szCs w:val="20"/>
                <w:color w:val="auto"/>
              </w:rPr>
            </w:pP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64"/>
        </w:trPr>
        <w:tc>
          <w:tcPr>
            <w:tcW w:w="2780" w:type="dxa"/>
            <w:vAlign w:val="bottom"/>
            <w:shd w:val="clear" w:color="auto" w:fill="F1EFEC"/>
          </w:tcPr>
          <w:p>
            <w:pPr>
              <w:spacing w:after="0"/>
              <w:rPr>
                <w:sz w:val="14"/>
                <w:szCs w:val="14"/>
                <w:color w:val="auto"/>
              </w:rPr>
            </w:pPr>
          </w:p>
        </w:tc>
        <w:tc>
          <w:tcPr>
            <w:tcW w:w="60" w:type="dxa"/>
            <w:vAlign w:val="bottom"/>
            <w:shd w:val="clear" w:color="auto" w:fill="F1EFEC"/>
          </w:tcPr>
          <w:p>
            <w:pPr>
              <w:spacing w:after="0"/>
              <w:rPr>
                <w:sz w:val="14"/>
                <w:szCs w:val="14"/>
                <w:color w:val="auto"/>
              </w:rPr>
            </w:pPr>
          </w:p>
        </w:tc>
        <w:tc>
          <w:tcPr>
            <w:tcW w:w="620" w:type="dxa"/>
            <w:vAlign w:val="bottom"/>
            <w:shd w:val="clear" w:color="auto" w:fill="F1EFEC"/>
          </w:tcPr>
          <w:p>
            <w:pPr>
              <w:spacing w:after="0"/>
              <w:rPr>
                <w:sz w:val="14"/>
                <w:szCs w:val="14"/>
                <w:color w:val="auto"/>
              </w:rPr>
            </w:pPr>
          </w:p>
        </w:tc>
        <w:tc>
          <w:tcPr>
            <w:tcW w:w="1120" w:type="dxa"/>
            <w:vAlign w:val="bottom"/>
            <w:shd w:val="clear" w:color="auto" w:fill="F1EFEC"/>
          </w:tcPr>
          <w:p>
            <w:pPr>
              <w:spacing w:after="0"/>
              <w:rPr>
                <w:sz w:val="14"/>
                <w:szCs w:val="14"/>
                <w:color w:val="auto"/>
              </w:rPr>
            </w:pPr>
          </w:p>
        </w:tc>
        <w:tc>
          <w:tcPr>
            <w:tcW w:w="960" w:type="dxa"/>
            <w:vAlign w:val="bottom"/>
            <w:shd w:val="clear" w:color="auto" w:fill="F1EFEC"/>
          </w:tcPr>
          <w:p>
            <w:pPr>
              <w:spacing w:after="0"/>
              <w:rPr>
                <w:sz w:val="14"/>
                <w:szCs w:val="14"/>
                <w:color w:val="auto"/>
              </w:rPr>
            </w:pPr>
          </w:p>
        </w:tc>
        <w:tc>
          <w:tcPr>
            <w:tcW w:w="1160" w:type="dxa"/>
            <w:vAlign w:val="bottom"/>
            <w:shd w:val="clear" w:color="auto" w:fill="F1EFEC"/>
          </w:tcPr>
          <w:p>
            <w:pPr>
              <w:spacing w:after="0"/>
              <w:rPr>
                <w:sz w:val="14"/>
                <w:szCs w:val="14"/>
                <w:color w:val="auto"/>
              </w:rPr>
            </w:pPr>
          </w:p>
        </w:tc>
        <w:tc>
          <w:tcPr>
            <w:tcW w:w="1220" w:type="dxa"/>
            <w:vAlign w:val="bottom"/>
            <w:shd w:val="clear" w:color="auto" w:fill="F1EFEC"/>
          </w:tcPr>
          <w:p>
            <w:pPr>
              <w:spacing w:after="0"/>
              <w:rPr>
                <w:sz w:val="14"/>
                <w:szCs w:val="14"/>
                <w:color w:val="auto"/>
              </w:rPr>
            </w:pPr>
          </w:p>
        </w:tc>
        <w:tc>
          <w:tcPr>
            <w:tcW w:w="820" w:type="dxa"/>
            <w:vAlign w:val="bottom"/>
            <w:shd w:val="clear" w:color="auto" w:fill="F1EFEC"/>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420" w:hanging="153"/>
        <w:spacing w:after="0"/>
        <w:tabs>
          <w:tab w:leader="none" w:pos="1420" w:val="left"/>
        </w:tabs>
        <w:numPr>
          <w:ilvl w:val="0"/>
          <w:numId w:val="34"/>
        </w:numPr>
        <w:rPr>
          <w:rFonts w:ascii="Arial" w:cs="Arial" w:eastAsia="Arial" w:hAnsi="Arial"/>
          <w:sz w:val="10"/>
          <w:szCs w:val="10"/>
          <w:color w:val="auto"/>
        </w:rPr>
      </w:pPr>
      <w:r>
        <w:rPr>
          <w:rFonts w:ascii="Arial" w:cs="Arial" w:eastAsia="Arial" w:hAnsi="Arial"/>
          <w:sz w:val="10"/>
          <w:szCs w:val="10"/>
          <w:color w:val="auto"/>
        </w:rPr>
        <w:t>The amounts set forth in this column reflect the base salary earned by each NEO during the fiscal year.</w:t>
      </w:r>
    </w:p>
    <w:p>
      <w:pPr>
        <w:spacing w:after="0" w:line="78" w:lineRule="exact"/>
        <w:rPr>
          <w:rFonts w:ascii="Arial" w:cs="Arial" w:eastAsia="Arial" w:hAnsi="Arial"/>
          <w:sz w:val="10"/>
          <w:szCs w:val="10"/>
          <w:color w:val="auto"/>
        </w:rPr>
      </w:pPr>
    </w:p>
    <w:p>
      <w:pPr>
        <w:ind w:left="1260" w:right="139" w:firstLine="7"/>
        <w:spacing w:after="0" w:line="230" w:lineRule="auto"/>
        <w:tabs>
          <w:tab w:leader="none" w:pos="1410" w:val="left"/>
        </w:tabs>
        <w:numPr>
          <w:ilvl w:val="0"/>
          <w:numId w:val="34"/>
        </w:numPr>
        <w:rPr>
          <w:rFonts w:ascii="Arial" w:cs="Arial" w:eastAsia="Arial" w:hAnsi="Arial"/>
          <w:sz w:val="10"/>
          <w:szCs w:val="10"/>
          <w:color w:val="auto"/>
        </w:rPr>
      </w:pPr>
      <w:r>
        <w:rPr>
          <w:rFonts w:ascii="Arial" w:cs="Arial" w:eastAsia="Arial" w:hAnsi="Arial"/>
          <w:sz w:val="10"/>
          <w:szCs w:val="10"/>
          <w:color w:val="auto"/>
        </w:rPr>
        <w:t>The amounts set forth in this column reflect the aggregate grant date fair value of stock awards granted to our NEOs in the applicable fiscal year, as computed in accordance with FASB ASC Topic 718. For 2025, these amounts include (i) one-third of the applicable NEO’s performance-based annual incentive award in respect of 2025 which was granted in the form of time-based restricted stock (see “2025 Annual incentive payout“ for further discussion); and (ii) the annual long-term equity awards granted to the applicable NEO in respect of 2025 (see “Long-Term Incentives“ for further discussion). The portion of the NEOs’ annual incentive award in respect of 2025 that was paid in the form of time-based restricted stock was earned by our NEOs in fiscal year 2025 and paid out in January 2026. With respect to the annual long-term equity awards granted to our NEOs in 2025, for any stock awards that vest based on specified performance criteria, the amounts reflected in this column represent target performance of 100%, which is the Company’s determination of the probable outcome of the applicable performance conditions (which is the highest level of achievement of such awards), as computed in accordance with FASB ASC Topic 718. However, for the PSU awards that were granted to the NEOs in 2025 and which vest based on achievement of certain Absolute TSR performance criteria, the</w:t>
      </w:r>
    </w:p>
    <w:p>
      <w:pPr>
        <w:spacing w:after="0" w:line="99" w:lineRule="exact"/>
        <w:rPr>
          <w:sz w:val="20"/>
          <w:szCs w:val="20"/>
          <w:color w:val="auto"/>
        </w:rPr>
      </w:pPr>
    </w:p>
    <w:p>
      <w:pPr>
        <w:ind w:left="98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412"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259"/>
        <w:spacing w:after="0" w:line="242" w:lineRule="auto"/>
        <w:rPr>
          <w:sz w:val="20"/>
          <w:szCs w:val="20"/>
          <w:color w:val="auto"/>
        </w:rPr>
      </w:pPr>
      <w:r>
        <w:rPr>
          <w:rFonts w:ascii="Arial" w:cs="Arial" w:eastAsia="Arial" w:hAnsi="Arial"/>
          <w:sz w:val="10"/>
          <w:szCs w:val="10"/>
          <w:color w:val="auto"/>
        </w:rPr>
        <w:t>grant date fair value of such awards was computed in accordance with FASB ASC Topic 718 using a Monte Carlo simulation. Assuming the highest level of performance is achieved, the grant date fair values of such Absolute TSR awards would be equal to $2.9 million, $0.6 million, and $0.4 million for Mr. Billings, Ms. Cameron-Doe, and Ms. Krum, respectively. See our Annual Report on Form 10-K for the fiscal year ended December 31, 2025, Item 8, Note 13 -“Stock-Based Compensation” to our Consolidated Financial Statements for assumptions used in computing fair value.</w:t>
      </w:r>
    </w:p>
    <w:p>
      <w:pPr>
        <w:spacing w:after="0" w:line="60" w:lineRule="exact"/>
        <w:rPr>
          <w:sz w:val="20"/>
          <w:szCs w:val="20"/>
          <w:color w:val="auto"/>
        </w:rPr>
      </w:pPr>
    </w:p>
    <w:p>
      <w:pPr>
        <w:ind w:left="1260" w:right="359" w:firstLine="7"/>
        <w:spacing w:after="0" w:line="237" w:lineRule="auto"/>
        <w:tabs>
          <w:tab w:leader="none" w:pos="1410" w:val="left"/>
        </w:tabs>
        <w:numPr>
          <w:ilvl w:val="0"/>
          <w:numId w:val="35"/>
        </w:numPr>
        <w:rPr>
          <w:rFonts w:ascii="Arial" w:cs="Arial" w:eastAsia="Arial" w:hAnsi="Arial"/>
          <w:sz w:val="10"/>
          <w:szCs w:val="10"/>
          <w:color w:val="auto"/>
        </w:rPr>
      </w:pPr>
      <w:r>
        <w:rPr>
          <w:rFonts w:ascii="Arial" w:cs="Arial" w:eastAsia="Arial" w:hAnsi="Arial"/>
          <w:sz w:val="10"/>
          <w:szCs w:val="10"/>
          <w:color w:val="auto"/>
        </w:rPr>
        <w:t>Amounts in this column represent performance-based annual incentive awards earned by our NEOs in the applicable fiscal year and paid in the subsequent fiscal year. As described in the section above titled “2025 Annual incentive payout“, in January 2026, the Compensation Committee exercised its discretion to pay the applicable NEO the actual earned annual incentive award one-third in shares of restricted stock and two-thirds in cash. For the avoidance of doubt, the amounts in this column represent the two-thirds cash portion of the applicable NEO’s earned annual incentive award.</w:t>
      </w:r>
    </w:p>
    <w:p>
      <w:pPr>
        <w:spacing w:after="0" w:line="60" w:lineRule="exact"/>
        <w:rPr>
          <w:rFonts w:ascii="Arial" w:cs="Arial" w:eastAsia="Arial" w:hAnsi="Arial"/>
          <w:sz w:val="10"/>
          <w:szCs w:val="10"/>
          <w:color w:val="auto"/>
        </w:rPr>
      </w:pPr>
    </w:p>
    <w:p>
      <w:pPr>
        <w:ind w:left="1420" w:hanging="153"/>
        <w:spacing w:after="0"/>
        <w:tabs>
          <w:tab w:leader="none" w:pos="14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The following amounts for 2025 are included in “All Other Compensation” for Mr. Billings:</w:t>
      </w:r>
    </w:p>
    <w:p>
      <w:pPr>
        <w:spacing w:after="0" w:line="2" w:lineRule="exact"/>
        <w:rPr>
          <w:rFonts w:ascii="Arial" w:cs="Arial" w:eastAsia="Arial" w:hAnsi="Arial"/>
          <w:sz w:val="10"/>
          <w:szCs w:val="10"/>
          <w:color w:val="auto"/>
        </w:rPr>
      </w:pPr>
    </w:p>
    <w:p>
      <w:pPr>
        <w:ind w:left="1640" w:hanging="111"/>
        <w:spacing w:after="0" w:line="223" w:lineRule="auto"/>
        <w:tabs>
          <w:tab w:leader="none" w:pos="1640" w:val="left"/>
        </w:tabs>
        <w:numPr>
          <w:ilvl w:val="1"/>
          <w:numId w:val="35"/>
        </w:numPr>
        <w:rPr>
          <w:rFonts w:ascii="Arial" w:cs="Arial" w:eastAsia="Arial" w:hAnsi="Arial"/>
          <w:sz w:val="10"/>
          <w:szCs w:val="10"/>
          <w:color w:val="auto"/>
        </w:rPr>
      </w:pPr>
      <w:r>
        <w:rPr>
          <w:rFonts w:ascii="Arial" w:cs="Arial" w:eastAsia="Arial" w:hAnsi="Arial"/>
          <w:sz w:val="10"/>
          <w:szCs w:val="10"/>
          <w:color w:val="auto"/>
        </w:rPr>
        <w:t>insurance premiums and benefits including executive life and medical insurance of $18,572;</w:t>
      </w:r>
    </w:p>
    <w:p>
      <w:pPr>
        <w:ind w:left="1660" w:hanging="131"/>
        <w:spacing w:after="0" w:line="223" w:lineRule="auto"/>
        <w:tabs>
          <w:tab w:leader="none" w:pos="1660" w:val="left"/>
        </w:tabs>
        <w:numPr>
          <w:ilvl w:val="1"/>
          <w:numId w:val="35"/>
        </w:numPr>
        <w:rPr>
          <w:rFonts w:ascii="Arial" w:cs="Arial" w:eastAsia="Arial" w:hAnsi="Arial"/>
          <w:sz w:val="10"/>
          <w:szCs w:val="10"/>
          <w:color w:val="auto"/>
        </w:rPr>
      </w:pPr>
      <w:r>
        <w:rPr>
          <w:rFonts w:ascii="Arial" w:cs="Arial" w:eastAsia="Arial" w:hAnsi="Arial"/>
          <w:sz w:val="10"/>
          <w:szCs w:val="10"/>
          <w:color w:val="auto"/>
        </w:rPr>
        <w:t>reimbursement of taxes related to work performed in Massachusetts of $3,969; and</w:t>
      </w:r>
    </w:p>
    <w:p>
      <w:pPr>
        <w:ind w:left="1700" w:hanging="171"/>
        <w:spacing w:after="0" w:line="223" w:lineRule="auto"/>
        <w:tabs>
          <w:tab w:leader="none" w:pos="1700" w:val="left"/>
        </w:tabs>
        <w:numPr>
          <w:ilvl w:val="1"/>
          <w:numId w:val="35"/>
        </w:numPr>
        <w:rPr>
          <w:rFonts w:ascii="Arial" w:cs="Arial" w:eastAsia="Arial" w:hAnsi="Arial"/>
          <w:sz w:val="10"/>
          <w:szCs w:val="10"/>
          <w:color w:val="auto"/>
        </w:rPr>
      </w:pPr>
      <w:r>
        <w:rPr>
          <w:rFonts w:ascii="Arial" w:cs="Arial" w:eastAsia="Arial" w:hAnsi="Arial"/>
          <w:sz w:val="10"/>
          <w:szCs w:val="10"/>
          <w:color w:val="auto"/>
        </w:rPr>
        <w:t>matching contributions made under the Company’s 401(k) Plan, which is generally available to our eligible employees, of $10,500.</w:t>
      </w:r>
    </w:p>
    <w:p>
      <w:pPr>
        <w:ind w:left="1340" w:hanging="73"/>
        <w:spacing w:after="0" w:line="224" w:lineRule="auto"/>
        <w:tabs>
          <w:tab w:leader="none" w:pos="1340" w:val="left"/>
        </w:tabs>
        <w:numPr>
          <w:ilvl w:val="0"/>
          <w:numId w:val="36"/>
        </w:numPr>
        <w:rPr>
          <w:rFonts w:ascii="Arial" w:cs="Arial" w:eastAsia="Arial" w:hAnsi="Arial"/>
          <w:sz w:val="10"/>
          <w:szCs w:val="10"/>
          <w:color w:val="auto"/>
        </w:rPr>
      </w:pPr>
      <w:r>
        <w:rPr>
          <w:rFonts w:ascii="Arial" w:cs="Arial" w:eastAsia="Arial" w:hAnsi="Arial"/>
          <w:sz w:val="10"/>
          <w:szCs w:val="10"/>
          <w:color w:val="auto"/>
        </w:rPr>
        <w:t>The following amounts for 2025 are included in “All Other Compensation” for Ms. Cameron-Doe:</w:t>
      </w:r>
    </w:p>
    <w:p>
      <w:pPr>
        <w:ind w:left="1640" w:hanging="111"/>
        <w:spacing w:after="0" w:line="223" w:lineRule="auto"/>
        <w:tabs>
          <w:tab w:leader="none" w:pos="1640" w:val="left"/>
        </w:tabs>
        <w:numPr>
          <w:ilvl w:val="1"/>
          <w:numId w:val="36"/>
        </w:numPr>
        <w:rPr>
          <w:rFonts w:ascii="Arial" w:cs="Arial" w:eastAsia="Arial" w:hAnsi="Arial"/>
          <w:sz w:val="10"/>
          <w:szCs w:val="10"/>
          <w:color w:val="auto"/>
        </w:rPr>
      </w:pPr>
      <w:r>
        <w:rPr>
          <w:rFonts w:ascii="Arial" w:cs="Arial" w:eastAsia="Arial" w:hAnsi="Arial"/>
          <w:sz w:val="10"/>
          <w:szCs w:val="10"/>
          <w:color w:val="auto"/>
        </w:rPr>
        <w:t>insurance premiums and benefits including executive life and medical insurance of $11,239;</w:t>
      </w:r>
    </w:p>
    <w:p>
      <w:pPr>
        <w:ind w:left="1660" w:hanging="131"/>
        <w:spacing w:after="0" w:line="223" w:lineRule="auto"/>
        <w:tabs>
          <w:tab w:leader="none" w:pos="1660" w:val="left"/>
        </w:tabs>
        <w:numPr>
          <w:ilvl w:val="1"/>
          <w:numId w:val="36"/>
        </w:numPr>
        <w:rPr>
          <w:rFonts w:ascii="Arial" w:cs="Arial" w:eastAsia="Arial" w:hAnsi="Arial"/>
          <w:sz w:val="10"/>
          <w:szCs w:val="10"/>
          <w:color w:val="auto"/>
        </w:rPr>
      </w:pPr>
      <w:r>
        <w:rPr>
          <w:rFonts w:ascii="Arial" w:cs="Arial" w:eastAsia="Arial" w:hAnsi="Arial"/>
          <w:sz w:val="10"/>
          <w:szCs w:val="10"/>
          <w:color w:val="auto"/>
        </w:rPr>
        <w:t>reimbursement of taxes related to work performed in Massachusetts of $1,734; and</w:t>
      </w:r>
    </w:p>
    <w:p>
      <w:pPr>
        <w:ind w:left="1700" w:hanging="171"/>
        <w:spacing w:after="0" w:line="223" w:lineRule="auto"/>
        <w:tabs>
          <w:tab w:leader="none" w:pos="1700" w:val="left"/>
        </w:tabs>
        <w:numPr>
          <w:ilvl w:val="1"/>
          <w:numId w:val="36"/>
        </w:numPr>
        <w:rPr>
          <w:rFonts w:ascii="Arial" w:cs="Arial" w:eastAsia="Arial" w:hAnsi="Arial"/>
          <w:sz w:val="10"/>
          <w:szCs w:val="10"/>
          <w:color w:val="auto"/>
        </w:rPr>
      </w:pPr>
      <w:r>
        <w:rPr>
          <w:rFonts w:ascii="Arial" w:cs="Arial" w:eastAsia="Arial" w:hAnsi="Arial"/>
          <w:sz w:val="10"/>
          <w:szCs w:val="10"/>
          <w:color w:val="auto"/>
        </w:rPr>
        <w:t>matching contributions made under the Company’s 401(k) Plan, which is generally available to our eligible employees, of $10,500.</w:t>
      </w:r>
    </w:p>
    <w:p>
      <w:pPr>
        <w:ind w:left="1340" w:hanging="73"/>
        <w:spacing w:after="0" w:line="223" w:lineRule="auto"/>
        <w:tabs>
          <w:tab w:leader="none" w:pos="1340" w:val="left"/>
        </w:tabs>
        <w:numPr>
          <w:ilvl w:val="0"/>
          <w:numId w:val="36"/>
        </w:numPr>
        <w:rPr>
          <w:rFonts w:ascii="Arial" w:cs="Arial" w:eastAsia="Arial" w:hAnsi="Arial"/>
          <w:sz w:val="10"/>
          <w:szCs w:val="10"/>
          <w:color w:val="auto"/>
        </w:rPr>
      </w:pPr>
      <w:r>
        <w:rPr>
          <w:rFonts w:ascii="Arial" w:cs="Arial" w:eastAsia="Arial" w:hAnsi="Arial"/>
          <w:sz w:val="10"/>
          <w:szCs w:val="10"/>
          <w:color w:val="auto"/>
        </w:rPr>
        <w:t>The following amounts for 2025 are included in “All Other Compensation” for Ms. Krum:</w:t>
      </w:r>
    </w:p>
    <w:p>
      <w:pPr>
        <w:ind w:left="1640" w:hanging="111"/>
        <w:spacing w:after="0" w:line="223" w:lineRule="auto"/>
        <w:tabs>
          <w:tab w:leader="none" w:pos="1640" w:val="left"/>
        </w:tabs>
        <w:numPr>
          <w:ilvl w:val="1"/>
          <w:numId w:val="36"/>
        </w:numPr>
        <w:rPr>
          <w:rFonts w:ascii="Arial" w:cs="Arial" w:eastAsia="Arial" w:hAnsi="Arial"/>
          <w:sz w:val="10"/>
          <w:szCs w:val="10"/>
          <w:color w:val="auto"/>
        </w:rPr>
      </w:pPr>
      <w:r>
        <w:rPr>
          <w:rFonts w:ascii="Arial" w:cs="Arial" w:eastAsia="Arial" w:hAnsi="Arial"/>
          <w:sz w:val="10"/>
          <w:szCs w:val="10"/>
          <w:color w:val="auto"/>
        </w:rPr>
        <w:t>reimbursement of taxes related to work performed in Massachusetts of $13,474; and</w:t>
      </w:r>
    </w:p>
    <w:p>
      <w:pPr>
        <w:ind w:left="1660" w:hanging="131"/>
        <w:spacing w:after="0"/>
        <w:tabs>
          <w:tab w:leader="none" w:pos="1660" w:val="left"/>
        </w:tabs>
        <w:numPr>
          <w:ilvl w:val="1"/>
          <w:numId w:val="36"/>
        </w:numPr>
        <w:rPr>
          <w:rFonts w:ascii="Arial" w:cs="Arial" w:eastAsia="Arial" w:hAnsi="Arial"/>
          <w:sz w:val="10"/>
          <w:szCs w:val="10"/>
          <w:color w:val="auto"/>
        </w:rPr>
      </w:pPr>
      <w:r>
        <w:rPr>
          <w:rFonts w:ascii="Arial" w:cs="Arial" w:eastAsia="Arial" w:hAnsi="Arial"/>
          <w:sz w:val="10"/>
          <w:szCs w:val="10"/>
          <w:color w:val="auto"/>
        </w:rPr>
        <w:t>matching contributions made under the Company’s 401(k) Plan, which is generally available to our eligible employees, of $10,500.</w:t>
      </w:r>
    </w:p>
    <w:p>
      <w:pPr>
        <w:spacing w:after="0" w:line="68" w:lineRule="exact"/>
        <w:rPr>
          <w:sz w:val="20"/>
          <w:szCs w:val="20"/>
          <w:color w:val="auto"/>
        </w:rPr>
      </w:pPr>
    </w:p>
    <w:p>
      <w:pPr>
        <w:ind w:left="1260" w:right="299" w:firstLine="7"/>
        <w:spacing w:after="0" w:line="260" w:lineRule="auto"/>
        <w:tabs>
          <w:tab w:leader="none" w:pos="1410" w:val="left"/>
        </w:tabs>
        <w:numPr>
          <w:ilvl w:val="0"/>
          <w:numId w:val="37"/>
        </w:numPr>
        <w:rPr>
          <w:rFonts w:ascii="Arial" w:cs="Arial" w:eastAsia="Arial" w:hAnsi="Arial"/>
          <w:sz w:val="10"/>
          <w:szCs w:val="10"/>
          <w:color w:val="auto"/>
        </w:rPr>
      </w:pPr>
      <w:r>
        <w:rPr>
          <w:rFonts w:ascii="Arial" w:cs="Arial" w:eastAsia="Arial" w:hAnsi="Arial"/>
          <w:sz w:val="10"/>
          <w:szCs w:val="10"/>
          <w:color w:val="auto"/>
        </w:rPr>
        <w:t>On January 7, 2026, Ms. Cameron-Doe notified the Company of her decision to retire from her role as Chief Financial Officer of the Company, effective as of March 31, 2026, and to retire from the Company as an officer of the Company, effective as of June 1, 2026.</w:t>
      </w:r>
    </w:p>
    <w:p>
      <w:pPr>
        <w:spacing w:after="0" w:line="51" w:lineRule="exact"/>
        <w:rPr>
          <w:rFonts w:ascii="Arial" w:cs="Arial" w:eastAsia="Arial" w:hAnsi="Arial"/>
          <w:sz w:val="10"/>
          <w:szCs w:val="10"/>
          <w:color w:val="auto"/>
        </w:rPr>
      </w:pPr>
    </w:p>
    <w:p>
      <w:pPr>
        <w:ind w:left="1420" w:hanging="153"/>
        <w:spacing w:after="0"/>
        <w:tabs>
          <w:tab w:leader="none" w:pos="1420" w:val="left"/>
        </w:tabs>
        <w:numPr>
          <w:ilvl w:val="0"/>
          <w:numId w:val="37"/>
        </w:numPr>
        <w:rPr>
          <w:rFonts w:ascii="Arial" w:cs="Arial" w:eastAsia="Arial" w:hAnsi="Arial"/>
          <w:sz w:val="10"/>
          <w:szCs w:val="10"/>
          <w:color w:val="auto"/>
        </w:rPr>
      </w:pPr>
      <w:r>
        <w:rPr>
          <w:rFonts w:ascii="Arial" w:cs="Arial" w:eastAsia="Arial" w:hAnsi="Arial"/>
          <w:sz w:val="10"/>
          <w:szCs w:val="10"/>
          <w:color w:val="auto"/>
        </w:rPr>
        <w:t>Ms. Krum was an NEO for the first time in fiscal year 2024.</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0159"/>
          </w:cols>
          <w:pgMar w:left="300" w:top="41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Discussion of 2025 Summary Compensation Table</w:t>
      </w:r>
    </w:p>
    <w:p>
      <w:pPr>
        <w:spacing w:after="0" w:line="278" w:lineRule="exact"/>
        <w:rPr>
          <w:sz w:val="20"/>
          <w:szCs w:val="20"/>
          <w:color w:val="auto"/>
        </w:rPr>
      </w:pPr>
    </w:p>
    <w:p>
      <w:pPr>
        <w:ind w:left="1260" w:right="179"/>
        <w:spacing w:after="0" w:line="248" w:lineRule="auto"/>
        <w:rPr>
          <w:sz w:val="20"/>
          <w:szCs w:val="20"/>
          <w:color w:val="auto"/>
        </w:rPr>
      </w:pPr>
      <w:r>
        <w:rPr>
          <w:rFonts w:ascii="Arial" w:cs="Arial" w:eastAsia="Arial" w:hAnsi="Arial"/>
          <w:sz w:val="13"/>
          <w:szCs w:val="13"/>
          <w:color w:val="auto"/>
        </w:rPr>
        <w:t>We are party to employment contracts with each of our NEOs, which generally provide for, among other things, an initial base salary, eligibility to receive an annual incentive award, eligibility to receive an annual equity award, participation in Company benefit plans, vacation and expense reimbursement programs. In addition, each of the NEOs’ employment contracts provide for specified severance payments and benefits upon certain terminations of employment, including termination following a change in control, as discussed in the section below titled “Potential payments upon termination, retirement or change in control.”</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key terms of the NEOs’ employment contracts, as in effect on December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129540</wp:posOffset>
            </wp:positionV>
            <wp:extent cx="6985" cy="12198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85" cy="121983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129540</wp:posOffset>
            </wp:positionV>
            <wp:extent cx="6985" cy="12198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85" cy="1219835"/>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129540</wp:posOffset>
            </wp:positionV>
            <wp:extent cx="6985" cy="12198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85" cy="121983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129540</wp:posOffset>
            </wp:positionV>
            <wp:extent cx="6985" cy="12198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85" cy="1219835"/>
                    </a:xfrm>
                    <a:prstGeom prst="rect">
                      <a:avLst/>
                    </a:prstGeom>
                    <a:noFill/>
                  </pic:spPr>
                </pic:pic>
              </a:graphicData>
            </a:graphic>
          </wp:anchor>
        </w:drawing>
      </w:r>
    </w:p>
    <w:p>
      <w:pPr>
        <w:spacing w:after="0" w:line="184"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4160" w:type="dxa"/>
            <w:vAlign w:val="bottom"/>
            <w:shd w:val="clear" w:color="auto" w:fill="B9AFA0"/>
          </w:tcPr>
          <w:p>
            <w:pPr>
              <w:spacing w:after="0"/>
              <w:rPr>
                <w:sz w:val="16"/>
                <w:szCs w:val="16"/>
                <w:color w:val="auto"/>
              </w:rPr>
            </w:pPr>
          </w:p>
        </w:tc>
        <w:tc>
          <w:tcPr>
            <w:tcW w:w="1480" w:type="dxa"/>
            <w:vAlign w:val="bottom"/>
            <w:shd w:val="clear" w:color="auto" w:fill="B9AFA0"/>
          </w:tcPr>
          <w:p>
            <w:pPr>
              <w:spacing w:after="0"/>
              <w:rPr>
                <w:sz w:val="16"/>
                <w:szCs w:val="16"/>
                <w:color w:val="auto"/>
              </w:rPr>
            </w:pPr>
          </w:p>
        </w:tc>
        <w:tc>
          <w:tcPr>
            <w:tcW w:w="860" w:type="dxa"/>
            <w:vAlign w:val="bottom"/>
            <w:shd w:val="clear" w:color="auto" w:fill="B9AFA0"/>
          </w:tcPr>
          <w:p>
            <w:pPr>
              <w:spacing w:after="0"/>
              <w:rPr>
                <w:sz w:val="16"/>
                <w:szCs w:val="16"/>
                <w:color w:val="auto"/>
              </w:rPr>
            </w:pPr>
          </w:p>
        </w:tc>
        <w:tc>
          <w:tcPr>
            <w:tcW w:w="1100" w:type="dxa"/>
            <w:vAlign w:val="bottom"/>
            <w:shd w:val="clear" w:color="auto" w:fill="B9AFA0"/>
          </w:tcPr>
          <w:p>
            <w:pPr>
              <w:spacing w:after="0"/>
              <w:rPr>
                <w:sz w:val="16"/>
                <w:szCs w:val="16"/>
                <w:color w:val="auto"/>
              </w:rPr>
            </w:pPr>
          </w:p>
        </w:tc>
        <w:tc>
          <w:tcPr>
            <w:tcW w:w="114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ANNUAL</w:t>
            </w:r>
          </w:p>
        </w:tc>
      </w:tr>
      <w:tr>
        <w:trPr>
          <w:trHeight w:val="150"/>
        </w:trPr>
        <w:tc>
          <w:tcPr>
            <w:tcW w:w="4160" w:type="dxa"/>
            <w:vAlign w:val="bottom"/>
            <w:shd w:val="clear" w:color="auto" w:fill="B9AFA0"/>
          </w:tcPr>
          <w:p>
            <w:pPr>
              <w:spacing w:after="0"/>
              <w:rPr>
                <w:sz w:val="13"/>
                <w:szCs w:val="13"/>
                <w:color w:val="auto"/>
              </w:rPr>
            </w:pPr>
          </w:p>
        </w:tc>
        <w:tc>
          <w:tcPr>
            <w:tcW w:w="1480" w:type="dxa"/>
            <w:vAlign w:val="bottom"/>
            <w:shd w:val="clear" w:color="auto" w:fill="B9AFA0"/>
          </w:tcPr>
          <w:p>
            <w:pPr>
              <w:spacing w:after="0"/>
              <w:rPr>
                <w:sz w:val="13"/>
                <w:szCs w:val="13"/>
                <w:color w:val="auto"/>
              </w:rPr>
            </w:pPr>
          </w:p>
        </w:tc>
        <w:tc>
          <w:tcPr>
            <w:tcW w:w="860" w:type="dxa"/>
            <w:vAlign w:val="bottom"/>
            <w:shd w:val="clear" w:color="auto" w:fill="B9AFA0"/>
          </w:tcPr>
          <w:p>
            <w:pPr>
              <w:spacing w:after="0"/>
              <w:rPr>
                <w:sz w:val="13"/>
                <w:szCs w:val="13"/>
                <w:color w:val="auto"/>
              </w:rPr>
            </w:pPr>
          </w:p>
        </w:tc>
        <w:tc>
          <w:tcPr>
            <w:tcW w:w="110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4"/>
              </w:rPr>
              <w:t>TARGET</w:t>
            </w:r>
          </w:p>
        </w:tc>
        <w:tc>
          <w:tcPr>
            <w:tcW w:w="114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EQUITY</w:t>
            </w:r>
          </w:p>
        </w:tc>
      </w:tr>
      <w:tr>
        <w:trPr>
          <w:trHeight w:val="150"/>
        </w:trPr>
        <w:tc>
          <w:tcPr>
            <w:tcW w:w="4160" w:type="dxa"/>
            <w:vAlign w:val="bottom"/>
            <w:shd w:val="clear" w:color="auto" w:fill="B9AFA0"/>
          </w:tcPr>
          <w:p>
            <w:pPr>
              <w:spacing w:after="0"/>
              <w:rPr>
                <w:sz w:val="13"/>
                <w:szCs w:val="13"/>
                <w:color w:val="auto"/>
              </w:rPr>
            </w:pPr>
          </w:p>
        </w:tc>
        <w:tc>
          <w:tcPr>
            <w:tcW w:w="1480" w:type="dxa"/>
            <w:vAlign w:val="bottom"/>
            <w:shd w:val="clear" w:color="auto" w:fill="B9AFA0"/>
          </w:tcPr>
          <w:p>
            <w:pPr>
              <w:spacing w:after="0"/>
              <w:rPr>
                <w:sz w:val="13"/>
                <w:szCs w:val="13"/>
                <w:color w:val="auto"/>
              </w:rPr>
            </w:pPr>
          </w:p>
        </w:tc>
        <w:tc>
          <w:tcPr>
            <w:tcW w:w="860" w:type="dxa"/>
            <w:vAlign w:val="bottom"/>
            <w:shd w:val="clear" w:color="auto" w:fill="B9AFA0"/>
          </w:tcPr>
          <w:p>
            <w:pPr>
              <w:spacing w:after="0"/>
              <w:rPr>
                <w:sz w:val="13"/>
                <w:szCs w:val="13"/>
                <w:color w:val="auto"/>
              </w:rPr>
            </w:pPr>
          </w:p>
        </w:tc>
        <w:tc>
          <w:tcPr>
            <w:tcW w:w="110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BONUS</w:t>
            </w:r>
          </w:p>
        </w:tc>
        <w:tc>
          <w:tcPr>
            <w:tcW w:w="114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AWARD</w:t>
            </w:r>
          </w:p>
        </w:tc>
      </w:tr>
      <w:tr>
        <w:trPr>
          <w:trHeight w:val="150"/>
        </w:trPr>
        <w:tc>
          <w:tcPr>
            <w:tcW w:w="4160" w:type="dxa"/>
            <w:vAlign w:val="bottom"/>
            <w:shd w:val="clear" w:color="auto" w:fill="B9AFA0"/>
          </w:tcPr>
          <w:p>
            <w:pPr>
              <w:spacing w:after="0"/>
              <w:rPr>
                <w:sz w:val="13"/>
                <w:szCs w:val="13"/>
                <w:color w:val="auto"/>
              </w:rPr>
            </w:pPr>
          </w:p>
        </w:tc>
        <w:tc>
          <w:tcPr>
            <w:tcW w:w="1480" w:type="dxa"/>
            <w:vAlign w:val="bottom"/>
            <w:shd w:val="clear" w:color="auto" w:fill="B9AFA0"/>
          </w:tcPr>
          <w:p>
            <w:pPr>
              <w:jc w:val="center"/>
              <w:spacing w:after="0"/>
              <w:rPr>
                <w:sz w:val="20"/>
                <w:szCs w:val="20"/>
                <w:color w:val="auto"/>
              </w:rPr>
            </w:pPr>
            <w:r>
              <w:rPr>
                <w:rFonts w:ascii="Arial" w:cs="Arial" w:eastAsia="Arial" w:hAnsi="Arial"/>
                <w:sz w:val="13"/>
                <w:szCs w:val="13"/>
                <w:color w:val="FFFFFF"/>
              </w:rPr>
              <w:t xml:space="preserve">CONTRACT   </w:t>
            </w:r>
          </w:p>
        </w:tc>
        <w:tc>
          <w:tcPr>
            <w:tcW w:w="860" w:type="dxa"/>
            <w:vAlign w:val="bottom"/>
            <w:shd w:val="clear" w:color="auto" w:fill="B9AFA0"/>
          </w:tcPr>
          <w:p>
            <w:pPr>
              <w:spacing w:after="0"/>
              <w:rPr>
                <w:sz w:val="13"/>
                <w:szCs w:val="13"/>
                <w:color w:val="auto"/>
              </w:rPr>
            </w:pPr>
          </w:p>
        </w:tc>
        <w:tc>
          <w:tcPr>
            <w:tcW w:w="1100" w:type="dxa"/>
            <w:vAlign w:val="bottom"/>
            <w:shd w:val="clear" w:color="auto" w:fill="B9AFA0"/>
          </w:tcPr>
          <w:p>
            <w:pPr>
              <w:jc w:val="center"/>
              <w:spacing w:after="0"/>
              <w:rPr>
                <w:sz w:val="20"/>
                <w:szCs w:val="20"/>
                <w:color w:val="auto"/>
              </w:rPr>
            </w:pPr>
            <w:r>
              <w:rPr>
                <w:rFonts w:ascii="Arial" w:cs="Arial" w:eastAsia="Arial" w:hAnsi="Arial"/>
                <w:sz w:val="13"/>
                <w:szCs w:val="13"/>
                <w:color w:val="FFFFFF"/>
              </w:rPr>
              <w:t>OPPORTUNITY</w:t>
            </w:r>
          </w:p>
        </w:tc>
        <w:tc>
          <w:tcPr>
            <w:tcW w:w="114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OPPORTUNITY</w:t>
            </w:r>
          </w:p>
        </w:tc>
      </w:tr>
      <w:tr>
        <w:trPr>
          <w:trHeight w:val="150"/>
        </w:trPr>
        <w:tc>
          <w:tcPr>
            <w:tcW w:w="4160" w:type="dxa"/>
            <w:vAlign w:val="bottom"/>
            <w:shd w:val="clear" w:color="auto" w:fill="B9AFA0"/>
          </w:tcPr>
          <w:p>
            <w:pPr>
              <w:spacing w:after="0"/>
              <w:rPr>
                <w:sz w:val="13"/>
                <w:szCs w:val="13"/>
                <w:color w:val="auto"/>
              </w:rPr>
            </w:pPr>
          </w:p>
        </w:tc>
        <w:tc>
          <w:tcPr>
            <w:tcW w:w="1480" w:type="dxa"/>
            <w:vAlign w:val="bottom"/>
            <w:shd w:val="clear" w:color="auto" w:fill="B9AFA0"/>
          </w:tcPr>
          <w:p>
            <w:pPr>
              <w:jc w:val="center"/>
              <w:spacing w:after="0"/>
              <w:rPr>
                <w:sz w:val="20"/>
                <w:szCs w:val="20"/>
                <w:color w:val="auto"/>
              </w:rPr>
            </w:pPr>
            <w:r>
              <w:rPr>
                <w:rFonts w:ascii="Arial" w:cs="Arial" w:eastAsia="Arial" w:hAnsi="Arial"/>
                <w:sz w:val="13"/>
                <w:szCs w:val="13"/>
                <w:color w:val="FFFFFF"/>
              </w:rPr>
              <w:t xml:space="preserve">EXPIRATION   </w:t>
            </w:r>
          </w:p>
        </w:tc>
        <w:tc>
          <w:tcPr>
            <w:tcW w:w="860" w:type="dxa"/>
            <w:vAlign w:val="bottom"/>
            <w:shd w:val="clear" w:color="auto" w:fill="B9AFA0"/>
          </w:tcPr>
          <w:p>
            <w:pPr>
              <w:jc w:val="right"/>
              <w:ind w:right="236"/>
              <w:spacing w:after="0"/>
              <w:rPr>
                <w:sz w:val="20"/>
                <w:szCs w:val="20"/>
                <w:color w:val="auto"/>
              </w:rPr>
            </w:pPr>
            <w:r>
              <w:rPr>
                <w:rFonts w:ascii="Arial" w:cs="Arial" w:eastAsia="Arial" w:hAnsi="Arial"/>
                <w:sz w:val="13"/>
                <w:szCs w:val="13"/>
                <w:color w:val="FFFFFF"/>
              </w:rPr>
              <w:t>BASE</w:t>
            </w:r>
          </w:p>
        </w:tc>
        <w:tc>
          <w:tcPr>
            <w:tcW w:w="110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 OF BASE</w:t>
            </w:r>
          </w:p>
        </w:tc>
        <w:tc>
          <w:tcPr>
            <w:tcW w:w="1140" w:type="dxa"/>
            <w:vAlign w:val="bottom"/>
            <w:shd w:val="clear" w:color="auto" w:fill="B9AFA0"/>
          </w:tcPr>
          <w:p>
            <w:pPr>
              <w:jc w:val="center"/>
              <w:spacing w:after="0"/>
              <w:rPr>
                <w:sz w:val="20"/>
                <w:szCs w:val="20"/>
                <w:color w:val="auto"/>
              </w:rPr>
            </w:pPr>
            <w:r>
              <w:rPr>
                <w:rFonts w:ascii="Arial" w:cs="Arial" w:eastAsia="Arial" w:hAnsi="Arial"/>
                <w:sz w:val="13"/>
                <w:szCs w:val="13"/>
                <w:color w:val="FFFFFF"/>
              </w:rPr>
              <w:t>(% OF BASE</w:t>
            </w:r>
          </w:p>
        </w:tc>
      </w:tr>
      <w:tr>
        <w:trPr>
          <w:trHeight w:val="205"/>
        </w:trPr>
        <w:tc>
          <w:tcPr>
            <w:tcW w:w="416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NAMED EXECUTIVE OFFICER</w:t>
            </w:r>
          </w:p>
        </w:tc>
        <w:tc>
          <w:tcPr>
            <w:tcW w:w="14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 xml:space="preserve">DATE   </w:t>
            </w:r>
          </w:p>
        </w:tc>
        <w:tc>
          <w:tcPr>
            <w:tcW w:w="860" w:type="dxa"/>
            <w:vAlign w:val="bottom"/>
            <w:tcBorders>
              <w:bottom w:val="single" w:sz="8" w:color="B9AFA0"/>
            </w:tcBorders>
            <w:shd w:val="clear" w:color="auto" w:fill="B9AFA0"/>
          </w:tcPr>
          <w:p>
            <w:pPr>
              <w:jc w:val="right"/>
              <w:ind w:right="16"/>
              <w:spacing w:after="0"/>
              <w:rPr>
                <w:sz w:val="20"/>
                <w:szCs w:val="20"/>
                <w:color w:val="auto"/>
              </w:rPr>
            </w:pPr>
            <w:r>
              <w:rPr>
                <w:rFonts w:ascii="Arial" w:cs="Arial" w:eastAsia="Arial" w:hAnsi="Arial"/>
                <w:sz w:val="13"/>
                <w:szCs w:val="13"/>
                <w:color w:val="FFFFFF"/>
              </w:rPr>
              <w:t xml:space="preserve">SALARY ($) </w:t>
            </w:r>
          </w:p>
        </w:tc>
        <w:tc>
          <w:tcPr>
            <w:tcW w:w="110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 xml:space="preserve">SALARY) </w:t>
            </w:r>
          </w:p>
        </w:tc>
        <w:tc>
          <w:tcPr>
            <w:tcW w:w="11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SALARY)</w:t>
            </w:r>
          </w:p>
        </w:tc>
      </w:tr>
      <w:tr>
        <w:trPr>
          <w:trHeight w:val="233"/>
        </w:trPr>
        <w:tc>
          <w:tcPr>
            <w:tcW w:w="4160" w:type="dxa"/>
            <w:vAlign w:val="bottom"/>
            <w:shd w:val="clear" w:color="auto" w:fill="F1EFEC"/>
          </w:tcPr>
          <w:p>
            <w:pPr>
              <w:ind w:left="40"/>
              <w:spacing w:after="0"/>
              <w:rPr>
                <w:sz w:val="20"/>
                <w:szCs w:val="20"/>
                <w:color w:val="auto"/>
              </w:rPr>
            </w:pPr>
            <w:r>
              <w:rPr>
                <w:rFonts w:ascii="Arial" w:cs="Arial" w:eastAsia="Arial" w:hAnsi="Arial"/>
                <w:sz w:val="13"/>
                <w:szCs w:val="13"/>
                <w:color w:val="auto"/>
              </w:rPr>
              <w:t>Craig S. Billings</w:t>
            </w:r>
          </w:p>
        </w:tc>
        <w:tc>
          <w:tcPr>
            <w:tcW w:w="1480" w:type="dxa"/>
            <w:vAlign w:val="bottom"/>
            <w:shd w:val="clear" w:color="auto" w:fill="F1EFEC"/>
          </w:tcPr>
          <w:p>
            <w:pPr>
              <w:jc w:val="right"/>
              <w:spacing w:after="0"/>
              <w:rPr>
                <w:sz w:val="20"/>
                <w:szCs w:val="20"/>
                <w:color w:val="auto"/>
              </w:rPr>
            </w:pPr>
            <w:r>
              <w:rPr>
                <w:rFonts w:ascii="Arial" w:cs="Arial" w:eastAsia="Arial" w:hAnsi="Arial"/>
                <w:sz w:val="13"/>
                <w:szCs w:val="13"/>
                <w:color w:val="auto"/>
              </w:rPr>
              <w:t xml:space="preserve">June 1, 2027   </w:t>
            </w:r>
          </w:p>
        </w:tc>
        <w:tc>
          <w:tcPr>
            <w:tcW w:w="86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2,000,000 </w:t>
            </w:r>
          </w:p>
        </w:tc>
        <w:tc>
          <w:tcPr>
            <w:tcW w:w="1100" w:type="dxa"/>
            <w:vAlign w:val="bottom"/>
            <w:shd w:val="clear" w:color="auto" w:fill="F1EFEC"/>
          </w:tcPr>
          <w:p>
            <w:pPr>
              <w:ind w:left="480"/>
              <w:spacing w:after="0"/>
              <w:rPr>
                <w:sz w:val="20"/>
                <w:szCs w:val="20"/>
                <w:color w:val="auto"/>
              </w:rPr>
            </w:pPr>
            <w:r>
              <w:rPr>
                <w:rFonts w:ascii="Arial" w:cs="Arial" w:eastAsia="Arial" w:hAnsi="Arial"/>
                <w:sz w:val="13"/>
                <w:szCs w:val="13"/>
                <w:color w:val="auto"/>
              </w:rPr>
              <w:t>250% </w:t>
            </w:r>
          </w:p>
        </w:tc>
        <w:tc>
          <w:tcPr>
            <w:tcW w:w="1140" w:type="dxa"/>
            <w:vAlign w:val="bottom"/>
            <w:shd w:val="clear" w:color="auto" w:fill="F1EFEC"/>
          </w:tcPr>
          <w:p>
            <w:pPr>
              <w:jc w:val="right"/>
              <w:ind w:right="216"/>
              <w:spacing w:after="0"/>
              <w:rPr>
                <w:sz w:val="20"/>
                <w:szCs w:val="20"/>
                <w:color w:val="auto"/>
              </w:rPr>
            </w:pPr>
            <w:r>
              <w:rPr>
                <w:rFonts w:ascii="Arial" w:cs="Arial" w:eastAsia="Arial" w:hAnsi="Arial"/>
                <w:sz w:val="13"/>
                <w:szCs w:val="13"/>
                <w:color w:val="auto"/>
              </w:rPr>
              <w:t>410%</w:t>
            </w:r>
          </w:p>
        </w:tc>
      </w:tr>
      <w:tr>
        <w:trPr>
          <w:trHeight w:val="67"/>
        </w:trPr>
        <w:tc>
          <w:tcPr>
            <w:tcW w:w="4160" w:type="dxa"/>
            <w:vAlign w:val="bottom"/>
            <w:shd w:val="clear" w:color="auto" w:fill="F1EFEC"/>
          </w:tcPr>
          <w:p>
            <w:pPr>
              <w:spacing w:after="0"/>
              <w:rPr>
                <w:sz w:val="5"/>
                <w:szCs w:val="5"/>
                <w:color w:val="auto"/>
              </w:rPr>
            </w:pPr>
          </w:p>
        </w:tc>
        <w:tc>
          <w:tcPr>
            <w:tcW w:w="1480" w:type="dxa"/>
            <w:vAlign w:val="bottom"/>
            <w:shd w:val="clear" w:color="auto" w:fill="F1EFEC"/>
          </w:tcPr>
          <w:p>
            <w:pPr>
              <w:spacing w:after="0"/>
              <w:rPr>
                <w:sz w:val="5"/>
                <w:szCs w:val="5"/>
                <w:color w:val="auto"/>
              </w:rPr>
            </w:pPr>
          </w:p>
        </w:tc>
        <w:tc>
          <w:tcPr>
            <w:tcW w:w="860" w:type="dxa"/>
            <w:vAlign w:val="bottom"/>
            <w:shd w:val="clear" w:color="auto" w:fill="F1EFEC"/>
          </w:tcPr>
          <w:p>
            <w:pPr>
              <w:spacing w:after="0"/>
              <w:rPr>
                <w:sz w:val="5"/>
                <w:szCs w:val="5"/>
                <w:color w:val="auto"/>
              </w:rPr>
            </w:pPr>
          </w:p>
        </w:tc>
        <w:tc>
          <w:tcPr>
            <w:tcW w:w="1100" w:type="dxa"/>
            <w:vAlign w:val="bottom"/>
            <w:shd w:val="clear" w:color="auto" w:fill="F1EFEC"/>
          </w:tcPr>
          <w:p>
            <w:pPr>
              <w:spacing w:after="0"/>
              <w:rPr>
                <w:sz w:val="5"/>
                <w:szCs w:val="5"/>
                <w:color w:val="auto"/>
              </w:rPr>
            </w:pPr>
          </w:p>
        </w:tc>
        <w:tc>
          <w:tcPr>
            <w:tcW w:w="1140" w:type="dxa"/>
            <w:vAlign w:val="bottom"/>
            <w:shd w:val="clear" w:color="auto" w:fill="F1EFEC"/>
          </w:tcPr>
          <w:p>
            <w:pPr>
              <w:spacing w:after="0"/>
              <w:rPr>
                <w:sz w:val="5"/>
                <w:szCs w:val="5"/>
                <w:color w:val="auto"/>
              </w:rPr>
            </w:pPr>
          </w:p>
        </w:tc>
      </w:tr>
      <w:tr>
        <w:trPr>
          <w:trHeight w:val="233"/>
        </w:trPr>
        <w:tc>
          <w:tcPr>
            <w:tcW w:w="4160" w:type="dxa"/>
            <w:vAlign w:val="bottom"/>
          </w:tcPr>
          <w:p>
            <w:pPr>
              <w:ind w:left="40"/>
              <w:spacing w:after="0"/>
              <w:rPr>
                <w:sz w:val="20"/>
                <w:szCs w:val="20"/>
                <w:color w:val="auto"/>
              </w:rPr>
            </w:pPr>
            <w:r>
              <w:rPr>
                <w:rFonts w:ascii="Arial" w:cs="Arial" w:eastAsia="Arial" w:hAnsi="Arial"/>
                <w:sz w:val="13"/>
                <w:szCs w:val="13"/>
                <w:color w:val="auto"/>
              </w:rPr>
              <w:t>Julie M. Cameron-Doe</w:t>
            </w:r>
          </w:p>
        </w:tc>
        <w:tc>
          <w:tcPr>
            <w:tcW w:w="1480" w:type="dxa"/>
            <w:vAlign w:val="bottom"/>
          </w:tcPr>
          <w:p>
            <w:pPr>
              <w:jc w:val="right"/>
              <w:spacing w:after="0"/>
              <w:rPr>
                <w:sz w:val="20"/>
                <w:szCs w:val="20"/>
                <w:color w:val="auto"/>
              </w:rPr>
            </w:pPr>
            <w:r>
              <w:rPr>
                <w:rFonts w:ascii="Arial" w:cs="Arial" w:eastAsia="Arial" w:hAnsi="Arial"/>
                <w:sz w:val="13"/>
                <w:szCs w:val="13"/>
                <w:color w:val="auto"/>
              </w:rPr>
              <w:t xml:space="preserve">June 1, 2026   </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950,000 </w:t>
            </w:r>
          </w:p>
        </w:tc>
        <w:tc>
          <w:tcPr>
            <w:tcW w:w="1100" w:type="dxa"/>
            <w:vAlign w:val="bottom"/>
          </w:tcPr>
          <w:p>
            <w:pPr>
              <w:ind w:left="480"/>
              <w:spacing w:after="0"/>
              <w:rPr>
                <w:sz w:val="20"/>
                <w:szCs w:val="20"/>
                <w:color w:val="auto"/>
              </w:rPr>
            </w:pPr>
            <w:r>
              <w:rPr>
                <w:rFonts w:ascii="Arial" w:cs="Arial" w:eastAsia="Arial" w:hAnsi="Arial"/>
                <w:sz w:val="13"/>
                <w:szCs w:val="13"/>
                <w:color w:val="auto"/>
              </w:rPr>
              <w:t>200% </w:t>
            </w:r>
          </w:p>
        </w:tc>
        <w:tc>
          <w:tcPr>
            <w:tcW w:w="1140" w:type="dxa"/>
            <w:vAlign w:val="bottom"/>
          </w:tcPr>
          <w:p>
            <w:pPr>
              <w:jc w:val="right"/>
              <w:ind w:right="216"/>
              <w:spacing w:after="0"/>
              <w:rPr>
                <w:sz w:val="20"/>
                <w:szCs w:val="20"/>
                <w:color w:val="auto"/>
              </w:rPr>
            </w:pPr>
            <w:r>
              <w:rPr>
                <w:rFonts w:ascii="Arial" w:cs="Arial" w:eastAsia="Arial" w:hAnsi="Arial"/>
                <w:sz w:val="13"/>
                <w:szCs w:val="13"/>
                <w:color w:val="auto"/>
              </w:rPr>
              <w:t>175%</w:t>
            </w:r>
          </w:p>
        </w:tc>
      </w:tr>
      <w:tr>
        <w:trPr>
          <w:trHeight w:val="67"/>
        </w:trPr>
        <w:tc>
          <w:tcPr>
            <w:tcW w:w="4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33"/>
        </w:trPr>
        <w:tc>
          <w:tcPr>
            <w:tcW w:w="4160" w:type="dxa"/>
            <w:vAlign w:val="bottom"/>
            <w:shd w:val="clear" w:color="auto" w:fill="F1EFEC"/>
          </w:tcPr>
          <w:p>
            <w:pPr>
              <w:ind w:left="40"/>
              <w:spacing w:after="0"/>
              <w:rPr>
                <w:sz w:val="20"/>
                <w:szCs w:val="20"/>
                <w:color w:val="auto"/>
              </w:rPr>
            </w:pPr>
            <w:r>
              <w:rPr>
                <w:rFonts w:ascii="Arial" w:cs="Arial" w:eastAsia="Arial" w:hAnsi="Arial"/>
                <w:sz w:val="13"/>
                <w:szCs w:val="13"/>
                <w:color w:val="auto"/>
              </w:rPr>
              <w:t>Jacqui Krum</w:t>
            </w:r>
          </w:p>
        </w:tc>
        <w:tc>
          <w:tcPr>
            <w:tcW w:w="1480" w:type="dxa"/>
            <w:vAlign w:val="bottom"/>
            <w:shd w:val="clear" w:color="auto" w:fill="F1EFEC"/>
          </w:tcPr>
          <w:p>
            <w:pPr>
              <w:jc w:val="right"/>
              <w:spacing w:after="0"/>
              <w:rPr>
                <w:sz w:val="20"/>
                <w:szCs w:val="20"/>
                <w:color w:val="auto"/>
              </w:rPr>
            </w:pPr>
            <w:r>
              <w:rPr>
                <w:rFonts w:ascii="Arial" w:cs="Arial" w:eastAsia="Arial" w:hAnsi="Arial"/>
                <w:sz w:val="13"/>
                <w:szCs w:val="13"/>
                <w:color w:val="auto"/>
              </w:rPr>
              <w:t xml:space="preserve">September 15, 2027   </w:t>
            </w:r>
          </w:p>
        </w:tc>
        <w:tc>
          <w:tcPr>
            <w:tcW w:w="86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825,000 </w:t>
            </w:r>
          </w:p>
        </w:tc>
        <w:tc>
          <w:tcPr>
            <w:tcW w:w="1100" w:type="dxa"/>
            <w:vAlign w:val="bottom"/>
            <w:shd w:val="clear" w:color="auto" w:fill="F1EFEC"/>
          </w:tcPr>
          <w:p>
            <w:pPr>
              <w:ind w:left="480"/>
              <w:spacing w:after="0"/>
              <w:rPr>
                <w:sz w:val="20"/>
                <w:szCs w:val="20"/>
                <w:color w:val="auto"/>
              </w:rPr>
            </w:pPr>
            <w:r>
              <w:rPr>
                <w:rFonts w:ascii="Arial" w:cs="Arial" w:eastAsia="Arial" w:hAnsi="Arial"/>
                <w:sz w:val="13"/>
                <w:szCs w:val="13"/>
                <w:color w:val="auto"/>
              </w:rPr>
              <w:t>200% </w:t>
            </w:r>
          </w:p>
        </w:tc>
        <w:tc>
          <w:tcPr>
            <w:tcW w:w="1140" w:type="dxa"/>
            <w:vAlign w:val="bottom"/>
            <w:shd w:val="clear" w:color="auto" w:fill="F1EFEC"/>
          </w:tcPr>
          <w:p>
            <w:pPr>
              <w:jc w:val="right"/>
              <w:ind w:right="216"/>
              <w:spacing w:after="0"/>
              <w:rPr>
                <w:sz w:val="20"/>
                <w:szCs w:val="20"/>
                <w:color w:val="auto"/>
              </w:rPr>
            </w:pPr>
            <w:r>
              <w:rPr>
                <w:rFonts w:ascii="Arial" w:cs="Arial" w:eastAsia="Arial" w:hAnsi="Arial"/>
                <w:sz w:val="13"/>
                <w:szCs w:val="13"/>
                <w:color w:val="auto"/>
              </w:rPr>
              <w:t>135%</w:t>
            </w:r>
          </w:p>
        </w:tc>
      </w:tr>
      <w:tr>
        <w:trPr>
          <w:trHeight w:val="67"/>
        </w:trPr>
        <w:tc>
          <w:tcPr>
            <w:tcW w:w="4160" w:type="dxa"/>
            <w:vAlign w:val="bottom"/>
            <w:shd w:val="clear" w:color="auto" w:fill="F1EFEC"/>
          </w:tcPr>
          <w:p>
            <w:pPr>
              <w:spacing w:after="0"/>
              <w:rPr>
                <w:sz w:val="5"/>
                <w:szCs w:val="5"/>
                <w:color w:val="auto"/>
              </w:rPr>
            </w:pPr>
          </w:p>
        </w:tc>
        <w:tc>
          <w:tcPr>
            <w:tcW w:w="1480" w:type="dxa"/>
            <w:vAlign w:val="bottom"/>
            <w:shd w:val="clear" w:color="auto" w:fill="F1EFEC"/>
          </w:tcPr>
          <w:p>
            <w:pPr>
              <w:spacing w:after="0"/>
              <w:rPr>
                <w:sz w:val="5"/>
                <w:szCs w:val="5"/>
                <w:color w:val="auto"/>
              </w:rPr>
            </w:pPr>
          </w:p>
        </w:tc>
        <w:tc>
          <w:tcPr>
            <w:tcW w:w="860" w:type="dxa"/>
            <w:vAlign w:val="bottom"/>
            <w:shd w:val="clear" w:color="auto" w:fill="F1EFEC"/>
          </w:tcPr>
          <w:p>
            <w:pPr>
              <w:spacing w:after="0"/>
              <w:rPr>
                <w:sz w:val="5"/>
                <w:szCs w:val="5"/>
                <w:color w:val="auto"/>
              </w:rPr>
            </w:pPr>
          </w:p>
        </w:tc>
        <w:tc>
          <w:tcPr>
            <w:tcW w:w="1100" w:type="dxa"/>
            <w:vAlign w:val="bottom"/>
            <w:shd w:val="clear" w:color="auto" w:fill="F1EFEC"/>
          </w:tcPr>
          <w:p>
            <w:pPr>
              <w:spacing w:after="0"/>
              <w:rPr>
                <w:sz w:val="5"/>
                <w:szCs w:val="5"/>
                <w:color w:val="auto"/>
              </w:rPr>
            </w:pPr>
          </w:p>
        </w:tc>
        <w:tc>
          <w:tcPr>
            <w:tcW w:w="1140" w:type="dxa"/>
            <w:vAlign w:val="bottom"/>
            <w:shd w:val="clear" w:color="auto" w:fill="F1EFEC"/>
          </w:tcPr>
          <w:p>
            <w:pPr>
              <w:spacing w:after="0"/>
              <w:rPr>
                <w:sz w:val="5"/>
                <w:szCs w:val="5"/>
                <w:color w:val="auto"/>
              </w:rPr>
            </w:pPr>
          </w:p>
        </w:tc>
      </w:tr>
    </w:tbl>
    <w:p>
      <w:pPr>
        <w:spacing w:after="0" w:line="108" w:lineRule="exact"/>
        <w:rPr>
          <w:sz w:val="20"/>
          <w:szCs w:val="20"/>
          <w:color w:val="auto"/>
        </w:rPr>
      </w:pPr>
    </w:p>
    <w:p>
      <w:pPr>
        <w:ind w:left="98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412"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2025 Grants of Plan-Based Awards Table</w:t>
      </w: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following table sets forth certain information with respect to grants of plan-based awards for the fiscal year ended 2025 with respect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129540</wp:posOffset>
            </wp:positionV>
            <wp:extent cx="5504815" cy="26638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04815" cy="2663825"/>
                    </a:xfrm>
                    <a:prstGeom prst="rect">
                      <a:avLst/>
                    </a:prstGeom>
                    <a:noFill/>
                  </pic:spPr>
                </pic:pic>
              </a:graphicData>
            </a:graphic>
          </wp:anchor>
        </w:drawing>
      </w:r>
    </w:p>
    <w:p>
      <w:pPr>
        <w:spacing w:after="0" w:line="184"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80" w:type="dxa"/>
            <w:vAlign w:val="bottom"/>
            <w:shd w:val="clear" w:color="auto" w:fill="B9AFA0"/>
          </w:tcPr>
          <w:p>
            <w:pPr>
              <w:spacing w:after="0"/>
              <w:rPr>
                <w:sz w:val="16"/>
                <w:szCs w:val="16"/>
                <w:color w:val="auto"/>
              </w:rPr>
            </w:pPr>
          </w:p>
        </w:tc>
        <w:tc>
          <w:tcPr>
            <w:tcW w:w="40" w:type="dxa"/>
            <w:vAlign w:val="bottom"/>
            <w:shd w:val="clear" w:color="auto" w:fill="B9AFA0"/>
          </w:tcPr>
          <w:p>
            <w:pPr>
              <w:spacing w:after="0"/>
              <w:rPr>
                <w:sz w:val="16"/>
                <w:szCs w:val="16"/>
                <w:color w:val="auto"/>
              </w:rPr>
            </w:pPr>
          </w:p>
        </w:tc>
        <w:tc>
          <w:tcPr>
            <w:tcW w:w="380" w:type="dxa"/>
            <w:vAlign w:val="bottom"/>
            <w:shd w:val="clear" w:color="auto" w:fill="B9AFA0"/>
          </w:tcPr>
          <w:p>
            <w:pPr>
              <w:spacing w:after="0"/>
              <w:rPr>
                <w:sz w:val="16"/>
                <w:szCs w:val="16"/>
                <w:color w:val="auto"/>
              </w:rPr>
            </w:pPr>
          </w:p>
        </w:tc>
        <w:tc>
          <w:tcPr>
            <w:tcW w:w="920" w:type="dxa"/>
            <w:vAlign w:val="bottom"/>
            <w:shd w:val="clear" w:color="auto" w:fill="B9AFA0"/>
          </w:tcPr>
          <w:p>
            <w:pPr>
              <w:spacing w:after="0"/>
              <w:rPr>
                <w:sz w:val="16"/>
                <w:szCs w:val="16"/>
                <w:color w:val="auto"/>
              </w:rPr>
            </w:pPr>
          </w:p>
        </w:tc>
        <w:tc>
          <w:tcPr>
            <w:tcW w:w="40" w:type="dxa"/>
            <w:vAlign w:val="bottom"/>
            <w:shd w:val="clear" w:color="auto" w:fill="B9AFA0"/>
          </w:tcPr>
          <w:p>
            <w:pPr>
              <w:spacing w:after="0"/>
              <w:rPr>
                <w:sz w:val="16"/>
                <w:szCs w:val="16"/>
                <w:color w:val="auto"/>
              </w:rPr>
            </w:pPr>
          </w:p>
        </w:tc>
        <w:tc>
          <w:tcPr>
            <w:tcW w:w="920" w:type="dxa"/>
            <w:vAlign w:val="bottom"/>
            <w:shd w:val="clear" w:color="auto" w:fill="B9AFA0"/>
          </w:tcPr>
          <w:p>
            <w:pPr>
              <w:spacing w:after="0"/>
              <w:rPr>
                <w:sz w:val="16"/>
                <w:szCs w:val="16"/>
                <w:color w:val="auto"/>
              </w:rPr>
            </w:pPr>
          </w:p>
        </w:tc>
        <w:tc>
          <w:tcPr>
            <w:tcW w:w="1000" w:type="dxa"/>
            <w:vAlign w:val="bottom"/>
            <w:shd w:val="clear" w:color="auto" w:fill="B9AFA0"/>
          </w:tcPr>
          <w:p>
            <w:pPr>
              <w:spacing w:after="0"/>
              <w:rPr>
                <w:sz w:val="16"/>
                <w:szCs w:val="16"/>
                <w:color w:val="auto"/>
              </w:rPr>
            </w:pPr>
          </w:p>
        </w:tc>
        <w:tc>
          <w:tcPr>
            <w:tcW w:w="900" w:type="dxa"/>
            <w:vAlign w:val="bottom"/>
            <w:shd w:val="clear" w:color="auto" w:fill="B9AFA0"/>
          </w:tcPr>
          <w:p>
            <w:pPr>
              <w:spacing w:after="0"/>
              <w:rPr>
                <w:sz w:val="16"/>
                <w:szCs w:val="16"/>
                <w:color w:val="auto"/>
              </w:rPr>
            </w:pPr>
          </w:p>
        </w:tc>
        <w:tc>
          <w:tcPr>
            <w:tcW w:w="2720" w:type="dxa"/>
            <w:vAlign w:val="bottom"/>
            <w:gridSpan w:val="3"/>
            <w:shd w:val="clear" w:color="auto" w:fill="B9AFA0"/>
          </w:tcPr>
          <w:p>
            <w:pPr>
              <w:jc w:val="center"/>
              <w:spacing w:after="0"/>
              <w:rPr>
                <w:sz w:val="20"/>
                <w:szCs w:val="20"/>
                <w:color w:val="auto"/>
              </w:rPr>
            </w:pPr>
            <w:r>
              <w:rPr>
                <w:rFonts w:ascii="Arial" w:cs="Arial" w:eastAsia="Arial" w:hAnsi="Arial"/>
                <w:sz w:val="11"/>
                <w:szCs w:val="11"/>
                <w:color w:val="FFFFFF"/>
              </w:rPr>
              <w:t>ESTIMATED NUMBER OF</w:t>
            </w:r>
          </w:p>
        </w:tc>
        <w:tc>
          <w:tcPr>
            <w:tcW w:w="8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ALL OTHER</w:t>
            </w:r>
          </w:p>
        </w:tc>
        <w:tc>
          <w:tcPr>
            <w:tcW w:w="920" w:type="dxa"/>
            <w:vAlign w:val="bottom"/>
            <w:shd w:val="clear" w:color="auto" w:fill="B9AFA0"/>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shd w:val="clear" w:color="auto" w:fill="B9AFA0"/>
          </w:tcPr>
          <w:p>
            <w:pPr>
              <w:spacing w:after="0"/>
              <w:rPr>
                <w:sz w:val="11"/>
                <w:szCs w:val="11"/>
                <w:color w:val="auto"/>
              </w:rPr>
            </w:pPr>
          </w:p>
        </w:tc>
        <w:tc>
          <w:tcPr>
            <w:tcW w:w="40" w:type="dxa"/>
            <w:vAlign w:val="bottom"/>
            <w:shd w:val="clear" w:color="auto" w:fill="B9AFA0"/>
          </w:tcPr>
          <w:p>
            <w:pPr>
              <w:spacing w:after="0"/>
              <w:rPr>
                <w:sz w:val="11"/>
                <w:szCs w:val="11"/>
                <w:color w:val="auto"/>
              </w:rPr>
            </w:pPr>
          </w:p>
        </w:tc>
        <w:tc>
          <w:tcPr>
            <w:tcW w:w="380" w:type="dxa"/>
            <w:vAlign w:val="bottom"/>
            <w:shd w:val="clear" w:color="auto" w:fill="B9AFA0"/>
          </w:tcPr>
          <w:p>
            <w:pPr>
              <w:spacing w:after="0"/>
              <w:rPr>
                <w:sz w:val="11"/>
                <w:szCs w:val="11"/>
                <w:color w:val="auto"/>
              </w:rPr>
            </w:pPr>
          </w:p>
        </w:tc>
        <w:tc>
          <w:tcPr>
            <w:tcW w:w="920" w:type="dxa"/>
            <w:vAlign w:val="bottom"/>
            <w:shd w:val="clear" w:color="auto" w:fill="B9AFA0"/>
          </w:tcPr>
          <w:p>
            <w:pPr>
              <w:spacing w:after="0"/>
              <w:rPr>
                <w:sz w:val="11"/>
                <w:szCs w:val="11"/>
                <w:color w:val="auto"/>
              </w:rPr>
            </w:pPr>
          </w:p>
        </w:tc>
        <w:tc>
          <w:tcPr>
            <w:tcW w:w="40" w:type="dxa"/>
            <w:vAlign w:val="bottom"/>
            <w:shd w:val="clear" w:color="auto" w:fill="B9AFA0"/>
          </w:tcPr>
          <w:p>
            <w:pPr>
              <w:spacing w:after="0"/>
              <w:rPr>
                <w:sz w:val="11"/>
                <w:szCs w:val="11"/>
                <w:color w:val="auto"/>
              </w:rPr>
            </w:pPr>
          </w:p>
        </w:tc>
        <w:tc>
          <w:tcPr>
            <w:tcW w:w="2820" w:type="dxa"/>
            <w:vAlign w:val="bottom"/>
            <w:gridSpan w:val="3"/>
            <w:shd w:val="clear" w:color="auto" w:fill="B9AFA0"/>
          </w:tcPr>
          <w:p>
            <w:pPr>
              <w:jc w:val="center"/>
              <w:spacing w:after="0"/>
              <w:rPr>
                <w:sz w:val="20"/>
                <w:szCs w:val="20"/>
                <w:color w:val="auto"/>
              </w:rPr>
            </w:pPr>
            <w:r>
              <w:rPr>
                <w:rFonts w:ascii="Arial" w:cs="Arial" w:eastAsia="Arial" w:hAnsi="Arial"/>
                <w:sz w:val="11"/>
                <w:szCs w:val="11"/>
                <w:color w:val="FFFFFF"/>
              </w:rPr>
              <w:t>ESTIMATED FUTURE PAYOUTS</w:t>
            </w:r>
          </w:p>
        </w:tc>
        <w:tc>
          <w:tcPr>
            <w:tcW w:w="960" w:type="dxa"/>
            <w:vAlign w:val="bottom"/>
            <w:shd w:val="clear" w:color="auto" w:fill="B9AFA0"/>
          </w:tcPr>
          <w:p>
            <w:pPr>
              <w:spacing w:after="0"/>
              <w:rPr>
                <w:sz w:val="11"/>
                <w:szCs w:val="11"/>
                <w:color w:val="auto"/>
              </w:rPr>
            </w:pPr>
          </w:p>
        </w:tc>
        <w:tc>
          <w:tcPr>
            <w:tcW w:w="880" w:type="dxa"/>
            <w:vAlign w:val="bottom"/>
            <w:shd w:val="clear" w:color="auto" w:fill="B9AFA0"/>
          </w:tcPr>
          <w:p>
            <w:pPr>
              <w:jc w:val="center"/>
              <w:ind w:right="43"/>
              <w:spacing w:after="0"/>
              <w:rPr>
                <w:sz w:val="20"/>
                <w:szCs w:val="20"/>
                <w:color w:val="auto"/>
              </w:rPr>
            </w:pPr>
            <w:r>
              <w:rPr>
                <w:rFonts w:ascii="Arial" w:cs="Arial" w:eastAsia="Arial" w:hAnsi="Arial"/>
                <w:sz w:val="11"/>
                <w:szCs w:val="11"/>
                <w:color w:val="FFFFFF"/>
              </w:rPr>
              <w:t>SHARES FOR</w:t>
            </w:r>
          </w:p>
        </w:tc>
        <w:tc>
          <w:tcPr>
            <w:tcW w:w="880" w:type="dxa"/>
            <w:vAlign w:val="bottom"/>
            <w:shd w:val="clear" w:color="auto" w:fill="B9AFA0"/>
          </w:tcPr>
          <w:p>
            <w:pPr>
              <w:spacing w:after="0"/>
              <w:rPr>
                <w:sz w:val="11"/>
                <w:szCs w:val="11"/>
                <w:color w:val="auto"/>
              </w:rPr>
            </w:pPr>
          </w:p>
        </w:tc>
        <w:tc>
          <w:tcPr>
            <w:tcW w:w="8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STOCK</w:t>
            </w:r>
          </w:p>
        </w:tc>
        <w:tc>
          <w:tcPr>
            <w:tcW w:w="9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GRANT DATE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shd w:val="clear" w:color="auto" w:fill="B9AFA0"/>
          </w:tcPr>
          <w:p>
            <w:pPr>
              <w:ind w:left="40"/>
              <w:spacing w:after="0"/>
              <w:rPr>
                <w:sz w:val="20"/>
                <w:szCs w:val="20"/>
                <w:color w:val="auto"/>
              </w:rPr>
            </w:pPr>
            <w:r>
              <w:rPr>
                <w:rFonts w:ascii="Arial" w:cs="Arial" w:eastAsia="Arial" w:hAnsi="Arial"/>
                <w:sz w:val="11"/>
                <w:szCs w:val="11"/>
                <w:color w:val="FFFFFF"/>
              </w:rPr>
              <w:t>NAMED</w:t>
            </w:r>
          </w:p>
        </w:tc>
        <w:tc>
          <w:tcPr>
            <w:tcW w:w="40" w:type="dxa"/>
            <w:vAlign w:val="bottom"/>
            <w:shd w:val="clear" w:color="auto" w:fill="B9AFA0"/>
          </w:tcPr>
          <w:p>
            <w:pPr>
              <w:spacing w:after="0"/>
              <w:rPr>
                <w:sz w:val="11"/>
                <w:szCs w:val="11"/>
                <w:color w:val="auto"/>
              </w:rPr>
            </w:pPr>
          </w:p>
        </w:tc>
        <w:tc>
          <w:tcPr>
            <w:tcW w:w="1300" w:type="dxa"/>
            <w:vAlign w:val="bottom"/>
            <w:gridSpan w:val="2"/>
            <w:vMerge w:val="restart"/>
            <w:shd w:val="clear" w:color="auto" w:fill="B9AFA0"/>
          </w:tcPr>
          <w:p>
            <w:pPr>
              <w:jc w:val="right"/>
              <w:ind w:right="223"/>
              <w:spacing w:after="0"/>
              <w:rPr>
                <w:sz w:val="20"/>
                <w:szCs w:val="20"/>
                <w:color w:val="auto"/>
              </w:rPr>
            </w:pPr>
            <w:r>
              <w:rPr>
                <w:rFonts w:ascii="Arial" w:cs="Arial" w:eastAsia="Arial" w:hAnsi="Arial"/>
                <w:sz w:val="11"/>
                <w:szCs w:val="11"/>
                <w:color w:val="FFFFFF"/>
              </w:rPr>
              <w:t> GRANT DATE </w:t>
            </w:r>
          </w:p>
        </w:tc>
        <w:tc>
          <w:tcPr>
            <w:tcW w:w="40" w:type="dxa"/>
            <w:vAlign w:val="bottom"/>
            <w:shd w:val="clear" w:color="auto" w:fill="B9AFA0"/>
          </w:tcPr>
          <w:p>
            <w:pPr>
              <w:spacing w:after="0"/>
              <w:rPr>
                <w:sz w:val="11"/>
                <w:szCs w:val="11"/>
                <w:color w:val="auto"/>
              </w:rPr>
            </w:pPr>
          </w:p>
        </w:tc>
        <w:tc>
          <w:tcPr>
            <w:tcW w:w="2820" w:type="dxa"/>
            <w:vAlign w:val="bottom"/>
            <w:gridSpan w:val="3"/>
            <w:shd w:val="clear" w:color="auto" w:fill="B9AFA0"/>
          </w:tcPr>
          <w:p>
            <w:pPr>
              <w:jc w:val="center"/>
              <w:spacing w:after="0"/>
              <w:rPr>
                <w:sz w:val="20"/>
                <w:szCs w:val="20"/>
                <w:color w:val="auto"/>
              </w:rPr>
            </w:pPr>
            <w:r>
              <w:rPr>
                <w:rFonts w:ascii="Arial" w:cs="Arial" w:eastAsia="Arial" w:hAnsi="Arial"/>
                <w:sz w:val="11"/>
                <w:szCs w:val="11"/>
                <w:color w:val="FFFFFF"/>
              </w:rPr>
              <w:t> UNDER NON-EQUITY INCENTIVE PLAN  </w:t>
            </w:r>
          </w:p>
        </w:tc>
        <w:tc>
          <w:tcPr>
            <w:tcW w:w="2720" w:type="dxa"/>
            <w:vAlign w:val="bottom"/>
            <w:gridSpan w:val="3"/>
            <w:shd w:val="clear" w:color="auto" w:fill="B9AFA0"/>
          </w:tcPr>
          <w:p>
            <w:pPr>
              <w:jc w:val="center"/>
              <w:spacing w:after="0"/>
              <w:rPr>
                <w:sz w:val="20"/>
                <w:szCs w:val="20"/>
                <w:color w:val="auto"/>
              </w:rPr>
            </w:pPr>
            <w:r>
              <w:rPr>
                <w:rFonts w:ascii="Arial" w:cs="Arial" w:eastAsia="Arial" w:hAnsi="Arial"/>
                <w:sz w:val="11"/>
                <w:szCs w:val="11"/>
                <w:color w:val="FFFFFF"/>
              </w:rPr>
              <w:t>FUTURE PAYOUTS UNDER EQUITY</w:t>
            </w:r>
          </w:p>
        </w:tc>
        <w:tc>
          <w:tcPr>
            <w:tcW w:w="8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AWARDS:</w:t>
            </w:r>
          </w:p>
        </w:tc>
        <w:tc>
          <w:tcPr>
            <w:tcW w:w="920" w:type="dxa"/>
            <w:vAlign w:val="bottom"/>
            <w:shd w:val="clear" w:color="auto" w:fill="B9AFA0"/>
          </w:tcPr>
          <w:p>
            <w:pPr>
              <w:jc w:val="center"/>
              <w:spacing w:after="0"/>
              <w:rPr>
                <w:sz w:val="20"/>
                <w:szCs w:val="20"/>
                <w:color w:val="auto"/>
              </w:rPr>
            </w:pPr>
            <w:r>
              <w:rPr>
                <w:rFonts w:ascii="Arial" w:cs="Arial" w:eastAsia="Arial" w:hAnsi="Arial"/>
                <w:sz w:val="11"/>
                <w:szCs w:val="11"/>
                <w:color w:val="FFFFFF"/>
                <w:w w:val="99"/>
              </w:rPr>
              <w:t>FAIR VALUE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0" w:type="dxa"/>
            <w:vAlign w:val="bottom"/>
            <w:shd w:val="clear" w:color="auto" w:fill="B9AFA0"/>
          </w:tcPr>
          <w:p>
            <w:pPr>
              <w:spacing w:after="0"/>
              <w:rPr>
                <w:sz w:val="20"/>
                <w:szCs w:val="20"/>
                <w:color w:val="auto"/>
              </w:rPr>
            </w:pPr>
            <w:r>
              <w:rPr>
                <w:rFonts w:ascii="Arial" w:cs="Arial" w:eastAsia="Arial" w:hAnsi="Arial"/>
                <w:sz w:val="11"/>
                <w:szCs w:val="11"/>
                <w:color w:val="FFFFFF"/>
              </w:rPr>
              <w:t>EXECUTIVE</w:t>
            </w:r>
          </w:p>
        </w:tc>
        <w:tc>
          <w:tcPr>
            <w:tcW w:w="40" w:type="dxa"/>
            <w:vAlign w:val="bottom"/>
            <w:shd w:val="clear" w:color="auto" w:fill="B9AFA0"/>
          </w:tcPr>
          <w:p>
            <w:pPr>
              <w:spacing w:after="0"/>
              <w:rPr>
                <w:sz w:val="13"/>
                <w:szCs w:val="13"/>
                <w:color w:val="auto"/>
              </w:rPr>
            </w:pPr>
          </w:p>
        </w:tc>
        <w:tc>
          <w:tcPr>
            <w:tcW w:w="1300" w:type="dxa"/>
            <w:vAlign w:val="bottom"/>
            <w:gridSpan w:val="2"/>
            <w:vMerge w:val="continue"/>
            <w:shd w:val="clear" w:color="auto" w:fill="B9AFA0"/>
          </w:tcPr>
          <w:p>
            <w:pPr>
              <w:spacing w:after="0"/>
              <w:rPr>
                <w:sz w:val="13"/>
                <w:szCs w:val="13"/>
                <w:color w:val="auto"/>
              </w:rPr>
            </w:pPr>
          </w:p>
        </w:tc>
        <w:tc>
          <w:tcPr>
            <w:tcW w:w="40" w:type="dxa"/>
            <w:vAlign w:val="bottom"/>
            <w:shd w:val="clear" w:color="auto" w:fill="B9AFA0"/>
          </w:tcPr>
          <w:p>
            <w:pPr>
              <w:spacing w:after="0"/>
              <w:rPr>
                <w:sz w:val="13"/>
                <w:szCs w:val="13"/>
                <w:color w:val="auto"/>
              </w:rPr>
            </w:pPr>
          </w:p>
        </w:tc>
        <w:tc>
          <w:tcPr>
            <w:tcW w:w="920" w:type="dxa"/>
            <w:vAlign w:val="bottom"/>
            <w:shd w:val="clear" w:color="auto" w:fill="B9AFA0"/>
          </w:tcPr>
          <w:p>
            <w:pPr>
              <w:spacing w:after="0"/>
              <w:rPr>
                <w:sz w:val="13"/>
                <w:szCs w:val="13"/>
                <w:color w:val="auto"/>
              </w:rPr>
            </w:pPr>
          </w:p>
        </w:tc>
        <w:tc>
          <w:tcPr>
            <w:tcW w:w="100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 xml:space="preserve">AWARDS ($) (1) </w:t>
            </w:r>
          </w:p>
        </w:tc>
        <w:tc>
          <w:tcPr>
            <w:tcW w:w="900" w:type="dxa"/>
            <w:vAlign w:val="bottom"/>
            <w:shd w:val="clear" w:color="auto" w:fill="B9AFA0"/>
          </w:tcPr>
          <w:p>
            <w:pPr>
              <w:spacing w:after="0"/>
              <w:rPr>
                <w:sz w:val="13"/>
                <w:szCs w:val="13"/>
                <w:color w:val="auto"/>
              </w:rPr>
            </w:pPr>
          </w:p>
        </w:tc>
        <w:tc>
          <w:tcPr>
            <w:tcW w:w="2720" w:type="dxa"/>
            <w:vAlign w:val="bottom"/>
            <w:gridSpan w:val="3"/>
            <w:shd w:val="clear" w:color="auto" w:fill="B9AFA0"/>
          </w:tcPr>
          <w:p>
            <w:pPr>
              <w:jc w:val="center"/>
              <w:spacing w:after="0"/>
              <w:rPr>
                <w:sz w:val="20"/>
                <w:szCs w:val="20"/>
                <w:color w:val="auto"/>
              </w:rPr>
            </w:pPr>
            <w:r>
              <w:rPr>
                <w:rFonts w:ascii="Arial" w:cs="Arial" w:eastAsia="Arial" w:hAnsi="Arial"/>
                <w:sz w:val="11"/>
                <w:szCs w:val="11"/>
                <w:color w:val="FFFFFF"/>
              </w:rPr>
              <w:t>INCENTIVE PLAN AWARDS (#)</w:t>
            </w:r>
          </w:p>
        </w:tc>
        <w:tc>
          <w:tcPr>
            <w:tcW w:w="8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NUMBER OF</w:t>
            </w:r>
          </w:p>
        </w:tc>
        <w:tc>
          <w:tcPr>
            <w:tcW w:w="9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OF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shd w:val="clear" w:color="auto" w:fill="B9AFA0"/>
          </w:tcPr>
          <w:p>
            <w:pPr>
              <w:ind w:left="40"/>
              <w:spacing w:after="0"/>
              <w:rPr>
                <w:sz w:val="20"/>
                <w:szCs w:val="20"/>
                <w:color w:val="auto"/>
              </w:rPr>
            </w:pPr>
            <w:r>
              <w:rPr>
                <w:rFonts w:ascii="Arial" w:cs="Arial" w:eastAsia="Arial" w:hAnsi="Arial"/>
                <w:sz w:val="11"/>
                <w:szCs w:val="11"/>
                <w:color w:val="FFFFFF"/>
              </w:rPr>
              <w:t>OFFICER</w:t>
            </w:r>
          </w:p>
        </w:tc>
        <w:tc>
          <w:tcPr>
            <w:tcW w:w="40" w:type="dxa"/>
            <w:vAlign w:val="bottom"/>
            <w:shd w:val="clear" w:color="auto" w:fill="B9AFA0"/>
          </w:tcPr>
          <w:p>
            <w:pPr>
              <w:spacing w:after="0"/>
              <w:rPr>
                <w:sz w:val="11"/>
                <w:szCs w:val="11"/>
                <w:color w:val="auto"/>
              </w:rPr>
            </w:pPr>
          </w:p>
        </w:tc>
        <w:tc>
          <w:tcPr>
            <w:tcW w:w="380" w:type="dxa"/>
            <w:vAlign w:val="bottom"/>
            <w:shd w:val="clear" w:color="auto" w:fill="B9AFA0"/>
          </w:tcPr>
          <w:p>
            <w:pPr>
              <w:spacing w:after="0"/>
              <w:rPr>
                <w:sz w:val="11"/>
                <w:szCs w:val="11"/>
                <w:color w:val="auto"/>
              </w:rPr>
            </w:pPr>
          </w:p>
        </w:tc>
        <w:tc>
          <w:tcPr>
            <w:tcW w:w="920" w:type="dxa"/>
            <w:vAlign w:val="bottom"/>
            <w:shd w:val="clear" w:color="auto" w:fill="B9AFA0"/>
          </w:tcPr>
          <w:p>
            <w:pPr>
              <w:spacing w:after="0"/>
              <w:rPr>
                <w:sz w:val="11"/>
                <w:szCs w:val="11"/>
                <w:color w:val="auto"/>
              </w:rPr>
            </w:pPr>
          </w:p>
        </w:tc>
        <w:tc>
          <w:tcPr>
            <w:tcW w:w="40" w:type="dxa"/>
            <w:vAlign w:val="bottom"/>
            <w:shd w:val="clear" w:color="auto" w:fill="B9AFA0"/>
          </w:tcPr>
          <w:p>
            <w:pPr>
              <w:spacing w:after="0"/>
              <w:rPr>
                <w:sz w:val="11"/>
                <w:szCs w:val="11"/>
                <w:color w:val="auto"/>
              </w:rPr>
            </w:pPr>
          </w:p>
        </w:tc>
        <w:tc>
          <w:tcPr>
            <w:tcW w:w="920" w:type="dxa"/>
            <w:vAlign w:val="bottom"/>
            <w:vMerge w:val="restart"/>
            <w:shd w:val="clear" w:color="auto" w:fill="B9AFA0"/>
          </w:tcPr>
          <w:p>
            <w:pPr>
              <w:jc w:val="center"/>
              <w:ind w:left="103"/>
              <w:spacing w:after="0"/>
              <w:rPr>
                <w:sz w:val="20"/>
                <w:szCs w:val="20"/>
                <w:color w:val="auto"/>
              </w:rPr>
            </w:pPr>
            <w:r>
              <w:rPr>
                <w:rFonts w:ascii="Arial" w:cs="Arial" w:eastAsia="Arial" w:hAnsi="Arial"/>
                <w:sz w:val="11"/>
                <w:szCs w:val="11"/>
                <w:color w:val="FFFFFF"/>
              </w:rPr>
              <w:t>THRESHOLD</w:t>
            </w:r>
          </w:p>
        </w:tc>
        <w:tc>
          <w:tcPr>
            <w:tcW w:w="1000" w:type="dxa"/>
            <w:vAlign w:val="bottom"/>
            <w:vMerge w:val="restart"/>
            <w:shd w:val="clear" w:color="auto" w:fill="B9AFA0"/>
          </w:tcPr>
          <w:p>
            <w:pPr>
              <w:jc w:val="center"/>
              <w:ind w:left="3"/>
              <w:spacing w:after="0"/>
              <w:rPr>
                <w:sz w:val="20"/>
                <w:szCs w:val="20"/>
                <w:color w:val="auto"/>
              </w:rPr>
            </w:pPr>
            <w:r>
              <w:rPr>
                <w:rFonts w:ascii="Arial" w:cs="Arial" w:eastAsia="Arial" w:hAnsi="Arial"/>
                <w:sz w:val="11"/>
                <w:szCs w:val="11"/>
                <w:color w:val="FFFFFF"/>
              </w:rPr>
              <w:t>TARGET</w:t>
            </w:r>
          </w:p>
        </w:tc>
        <w:tc>
          <w:tcPr>
            <w:tcW w:w="900" w:type="dxa"/>
            <w:vAlign w:val="bottom"/>
            <w:vMerge w:val="restart"/>
            <w:shd w:val="clear" w:color="auto" w:fill="B9AFA0"/>
          </w:tcPr>
          <w:p>
            <w:pPr>
              <w:jc w:val="center"/>
              <w:ind w:right="103"/>
              <w:spacing w:after="0"/>
              <w:rPr>
                <w:sz w:val="20"/>
                <w:szCs w:val="20"/>
                <w:color w:val="auto"/>
              </w:rPr>
            </w:pPr>
            <w:r>
              <w:rPr>
                <w:rFonts w:ascii="Arial" w:cs="Arial" w:eastAsia="Arial" w:hAnsi="Arial"/>
                <w:sz w:val="11"/>
                <w:szCs w:val="11"/>
                <w:color w:val="FFFFFF"/>
              </w:rPr>
              <w:t>MAXIMUM</w:t>
            </w:r>
          </w:p>
        </w:tc>
        <w:tc>
          <w:tcPr>
            <w:tcW w:w="960" w:type="dxa"/>
            <w:vAlign w:val="bottom"/>
            <w:vMerge w:val="restart"/>
            <w:shd w:val="clear" w:color="auto" w:fill="B9AFA0"/>
          </w:tcPr>
          <w:p>
            <w:pPr>
              <w:jc w:val="center"/>
              <w:ind w:left="123"/>
              <w:spacing w:after="0"/>
              <w:rPr>
                <w:sz w:val="20"/>
                <w:szCs w:val="20"/>
                <w:color w:val="auto"/>
              </w:rPr>
            </w:pPr>
            <w:r>
              <w:rPr>
                <w:rFonts w:ascii="Arial" w:cs="Arial" w:eastAsia="Arial" w:hAnsi="Arial"/>
                <w:sz w:val="11"/>
                <w:szCs w:val="11"/>
                <w:color w:val="FFFFFF"/>
              </w:rPr>
              <w:t>THRESHOLD</w:t>
            </w:r>
          </w:p>
        </w:tc>
        <w:tc>
          <w:tcPr>
            <w:tcW w:w="880" w:type="dxa"/>
            <w:vAlign w:val="bottom"/>
            <w:vMerge w:val="restart"/>
            <w:shd w:val="clear" w:color="auto" w:fill="B9AFA0"/>
          </w:tcPr>
          <w:p>
            <w:pPr>
              <w:jc w:val="center"/>
              <w:spacing w:after="0"/>
              <w:rPr>
                <w:sz w:val="20"/>
                <w:szCs w:val="20"/>
                <w:color w:val="auto"/>
              </w:rPr>
            </w:pPr>
            <w:r>
              <w:rPr>
                <w:rFonts w:ascii="Arial" w:cs="Arial" w:eastAsia="Arial" w:hAnsi="Arial"/>
                <w:sz w:val="11"/>
                <w:szCs w:val="11"/>
                <w:color w:val="FFFFFF"/>
                <w:w w:val="98"/>
              </w:rPr>
              <w:t>TARGET</w:t>
            </w:r>
          </w:p>
        </w:tc>
        <w:tc>
          <w:tcPr>
            <w:tcW w:w="880" w:type="dxa"/>
            <w:vAlign w:val="bottom"/>
            <w:vMerge w:val="restart"/>
            <w:shd w:val="clear" w:color="auto" w:fill="B9AFA0"/>
          </w:tcPr>
          <w:p>
            <w:pPr>
              <w:jc w:val="right"/>
              <w:ind w:right="183"/>
              <w:spacing w:after="0"/>
              <w:rPr>
                <w:sz w:val="20"/>
                <w:szCs w:val="20"/>
                <w:color w:val="auto"/>
              </w:rPr>
            </w:pPr>
            <w:r>
              <w:rPr>
                <w:rFonts w:ascii="Arial" w:cs="Arial" w:eastAsia="Arial" w:hAnsi="Arial"/>
                <w:sz w:val="11"/>
                <w:szCs w:val="11"/>
                <w:color w:val="FFFFFF"/>
              </w:rPr>
              <w:t>MAXIMUM</w:t>
            </w:r>
          </w:p>
        </w:tc>
        <w:tc>
          <w:tcPr>
            <w:tcW w:w="8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SHARES OF</w:t>
            </w:r>
          </w:p>
        </w:tc>
        <w:tc>
          <w:tcPr>
            <w:tcW w:w="9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AWARDS ($) (2)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shd w:val="clear" w:color="auto" w:fill="B9AFA0"/>
          </w:tcPr>
          <w:p>
            <w:pPr>
              <w:spacing w:after="0"/>
              <w:rPr>
                <w:sz w:val="6"/>
                <w:szCs w:val="6"/>
                <w:color w:val="auto"/>
              </w:rPr>
            </w:pPr>
          </w:p>
        </w:tc>
        <w:tc>
          <w:tcPr>
            <w:tcW w:w="40" w:type="dxa"/>
            <w:vAlign w:val="bottom"/>
            <w:shd w:val="clear" w:color="auto" w:fill="B9AFA0"/>
          </w:tcPr>
          <w:p>
            <w:pPr>
              <w:spacing w:after="0"/>
              <w:rPr>
                <w:sz w:val="6"/>
                <w:szCs w:val="6"/>
                <w:color w:val="auto"/>
              </w:rPr>
            </w:pPr>
          </w:p>
        </w:tc>
        <w:tc>
          <w:tcPr>
            <w:tcW w:w="380" w:type="dxa"/>
            <w:vAlign w:val="bottom"/>
            <w:shd w:val="clear" w:color="auto" w:fill="B9AFA0"/>
          </w:tcPr>
          <w:p>
            <w:pPr>
              <w:spacing w:after="0"/>
              <w:rPr>
                <w:sz w:val="6"/>
                <w:szCs w:val="6"/>
                <w:color w:val="auto"/>
              </w:rPr>
            </w:pPr>
          </w:p>
        </w:tc>
        <w:tc>
          <w:tcPr>
            <w:tcW w:w="920" w:type="dxa"/>
            <w:vAlign w:val="bottom"/>
            <w:shd w:val="clear" w:color="auto" w:fill="B9AFA0"/>
          </w:tcPr>
          <w:p>
            <w:pPr>
              <w:spacing w:after="0"/>
              <w:rPr>
                <w:sz w:val="6"/>
                <w:szCs w:val="6"/>
                <w:color w:val="auto"/>
              </w:rPr>
            </w:pPr>
          </w:p>
        </w:tc>
        <w:tc>
          <w:tcPr>
            <w:tcW w:w="40" w:type="dxa"/>
            <w:vAlign w:val="bottom"/>
            <w:shd w:val="clear" w:color="auto" w:fill="B9AFA0"/>
          </w:tcPr>
          <w:p>
            <w:pPr>
              <w:spacing w:after="0"/>
              <w:rPr>
                <w:sz w:val="6"/>
                <w:szCs w:val="6"/>
                <w:color w:val="auto"/>
              </w:rPr>
            </w:pPr>
          </w:p>
        </w:tc>
        <w:tc>
          <w:tcPr>
            <w:tcW w:w="920" w:type="dxa"/>
            <w:vAlign w:val="bottom"/>
            <w:vMerge w:val="continue"/>
            <w:shd w:val="clear" w:color="auto" w:fill="B9AFA0"/>
          </w:tcPr>
          <w:p>
            <w:pPr>
              <w:spacing w:after="0"/>
              <w:rPr>
                <w:sz w:val="6"/>
                <w:szCs w:val="6"/>
                <w:color w:val="auto"/>
              </w:rPr>
            </w:pPr>
          </w:p>
        </w:tc>
        <w:tc>
          <w:tcPr>
            <w:tcW w:w="1000" w:type="dxa"/>
            <w:vAlign w:val="bottom"/>
            <w:vMerge w:val="continue"/>
            <w:shd w:val="clear" w:color="auto" w:fill="B9AFA0"/>
          </w:tcPr>
          <w:p>
            <w:pPr>
              <w:spacing w:after="0"/>
              <w:rPr>
                <w:sz w:val="6"/>
                <w:szCs w:val="6"/>
                <w:color w:val="auto"/>
              </w:rPr>
            </w:pPr>
          </w:p>
        </w:tc>
        <w:tc>
          <w:tcPr>
            <w:tcW w:w="900" w:type="dxa"/>
            <w:vAlign w:val="bottom"/>
            <w:vMerge w:val="continue"/>
            <w:shd w:val="clear" w:color="auto" w:fill="B9AFA0"/>
          </w:tcPr>
          <w:p>
            <w:pPr>
              <w:spacing w:after="0"/>
              <w:rPr>
                <w:sz w:val="6"/>
                <w:szCs w:val="6"/>
                <w:color w:val="auto"/>
              </w:rPr>
            </w:pPr>
          </w:p>
        </w:tc>
        <w:tc>
          <w:tcPr>
            <w:tcW w:w="960" w:type="dxa"/>
            <w:vAlign w:val="bottom"/>
            <w:vMerge w:val="continue"/>
            <w:shd w:val="clear" w:color="auto" w:fill="B9AFA0"/>
          </w:tcPr>
          <w:p>
            <w:pPr>
              <w:spacing w:after="0"/>
              <w:rPr>
                <w:sz w:val="6"/>
                <w:szCs w:val="6"/>
                <w:color w:val="auto"/>
              </w:rPr>
            </w:pPr>
          </w:p>
        </w:tc>
        <w:tc>
          <w:tcPr>
            <w:tcW w:w="880" w:type="dxa"/>
            <w:vAlign w:val="bottom"/>
            <w:vMerge w:val="continue"/>
            <w:shd w:val="clear" w:color="auto" w:fill="B9AFA0"/>
          </w:tcPr>
          <w:p>
            <w:pPr>
              <w:spacing w:after="0"/>
              <w:rPr>
                <w:sz w:val="6"/>
                <w:szCs w:val="6"/>
                <w:color w:val="auto"/>
              </w:rPr>
            </w:pPr>
          </w:p>
        </w:tc>
        <w:tc>
          <w:tcPr>
            <w:tcW w:w="880" w:type="dxa"/>
            <w:vAlign w:val="bottom"/>
            <w:vMerge w:val="continue"/>
            <w:shd w:val="clear" w:color="auto" w:fill="B9AFA0"/>
          </w:tcPr>
          <w:p>
            <w:pPr>
              <w:spacing w:after="0"/>
              <w:rPr>
                <w:sz w:val="6"/>
                <w:szCs w:val="6"/>
                <w:color w:val="auto"/>
              </w:rPr>
            </w:pPr>
          </w:p>
        </w:tc>
        <w:tc>
          <w:tcPr>
            <w:tcW w:w="820" w:type="dxa"/>
            <w:vAlign w:val="bottom"/>
            <w:shd w:val="clear" w:color="auto" w:fill="B9AFA0"/>
          </w:tcPr>
          <w:p>
            <w:pPr>
              <w:jc w:val="center"/>
              <w:spacing w:after="0" w:line="80" w:lineRule="exact"/>
              <w:rPr>
                <w:sz w:val="20"/>
                <w:szCs w:val="20"/>
                <w:color w:val="auto"/>
              </w:rPr>
            </w:pPr>
            <w:r>
              <w:rPr>
                <w:rFonts w:ascii="Arial" w:cs="Arial" w:eastAsia="Arial" w:hAnsi="Arial"/>
                <w:sz w:val="9"/>
                <w:szCs w:val="9"/>
                <w:color w:val="FFFFFF"/>
              </w:rPr>
              <w:t>STOCK OR</w:t>
            </w:r>
          </w:p>
        </w:tc>
        <w:tc>
          <w:tcPr>
            <w:tcW w:w="920" w:type="dxa"/>
            <w:vAlign w:val="bottom"/>
            <w:shd w:val="clear" w:color="auto" w:fill="B9AFA0"/>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Borders>
              <w:bottom w:val="single" w:sz="8" w:color="B9AFA0"/>
            </w:tcBorders>
            <w:shd w:val="clear" w:color="auto" w:fill="B9AFA0"/>
          </w:tcPr>
          <w:p>
            <w:pPr>
              <w:spacing w:after="0"/>
              <w:rPr>
                <w:sz w:val="15"/>
                <w:szCs w:val="15"/>
                <w:color w:val="auto"/>
              </w:rPr>
            </w:pPr>
          </w:p>
        </w:tc>
        <w:tc>
          <w:tcPr>
            <w:tcW w:w="40" w:type="dxa"/>
            <w:vAlign w:val="bottom"/>
            <w:tcBorders>
              <w:bottom w:val="single" w:sz="8" w:color="B9AFA0"/>
            </w:tcBorders>
            <w:shd w:val="clear" w:color="auto" w:fill="B9AFA0"/>
          </w:tcPr>
          <w:p>
            <w:pPr>
              <w:spacing w:after="0"/>
              <w:rPr>
                <w:sz w:val="15"/>
                <w:szCs w:val="15"/>
                <w:color w:val="auto"/>
              </w:rPr>
            </w:pPr>
          </w:p>
        </w:tc>
        <w:tc>
          <w:tcPr>
            <w:tcW w:w="380" w:type="dxa"/>
            <w:vAlign w:val="bottom"/>
            <w:tcBorders>
              <w:bottom w:val="single" w:sz="8" w:color="B9AFA0"/>
            </w:tcBorders>
            <w:shd w:val="clear" w:color="auto" w:fill="B9AFA0"/>
          </w:tcPr>
          <w:p>
            <w:pPr>
              <w:spacing w:after="0"/>
              <w:rPr>
                <w:sz w:val="15"/>
                <w:szCs w:val="15"/>
                <w:color w:val="auto"/>
              </w:rPr>
            </w:pPr>
          </w:p>
        </w:tc>
        <w:tc>
          <w:tcPr>
            <w:tcW w:w="920" w:type="dxa"/>
            <w:vAlign w:val="bottom"/>
            <w:tcBorders>
              <w:bottom w:val="single" w:sz="8" w:color="B9AFA0"/>
            </w:tcBorders>
            <w:shd w:val="clear" w:color="auto" w:fill="B9AFA0"/>
          </w:tcPr>
          <w:p>
            <w:pPr>
              <w:spacing w:after="0"/>
              <w:rPr>
                <w:sz w:val="15"/>
                <w:szCs w:val="15"/>
                <w:color w:val="auto"/>
              </w:rPr>
            </w:pPr>
          </w:p>
        </w:tc>
        <w:tc>
          <w:tcPr>
            <w:tcW w:w="40" w:type="dxa"/>
            <w:vAlign w:val="bottom"/>
            <w:tcBorders>
              <w:bottom w:val="single" w:sz="8" w:color="B9AFA0"/>
            </w:tcBorders>
            <w:shd w:val="clear" w:color="auto" w:fill="B9AFA0"/>
          </w:tcPr>
          <w:p>
            <w:pPr>
              <w:spacing w:after="0"/>
              <w:rPr>
                <w:sz w:val="15"/>
                <w:szCs w:val="15"/>
                <w:color w:val="auto"/>
              </w:rPr>
            </w:pPr>
          </w:p>
        </w:tc>
        <w:tc>
          <w:tcPr>
            <w:tcW w:w="920" w:type="dxa"/>
            <w:vAlign w:val="bottom"/>
            <w:tcBorders>
              <w:bottom w:val="single" w:sz="8" w:color="B9AFA0"/>
            </w:tcBorders>
            <w:shd w:val="clear" w:color="auto" w:fill="B9AFA0"/>
          </w:tcPr>
          <w:p>
            <w:pPr>
              <w:jc w:val="center"/>
              <w:ind w:left="143"/>
              <w:spacing w:after="0"/>
              <w:rPr>
                <w:sz w:val="20"/>
                <w:szCs w:val="20"/>
                <w:color w:val="auto"/>
              </w:rPr>
            </w:pPr>
            <w:r>
              <w:rPr>
                <w:rFonts w:ascii="Arial" w:cs="Arial" w:eastAsia="Arial" w:hAnsi="Arial"/>
                <w:sz w:val="11"/>
                <w:szCs w:val="11"/>
                <w:color w:val="FFFFFF"/>
                <w:w w:val="90"/>
              </w:rPr>
              <w:t>($)  </w:t>
            </w:r>
          </w:p>
        </w:tc>
        <w:tc>
          <w:tcPr>
            <w:tcW w:w="1000" w:type="dxa"/>
            <w:vAlign w:val="bottom"/>
            <w:tcBorders>
              <w:bottom w:val="single" w:sz="8" w:color="B9AFA0"/>
            </w:tcBorders>
            <w:shd w:val="clear" w:color="auto" w:fill="B9AFA0"/>
          </w:tcPr>
          <w:p>
            <w:pPr>
              <w:jc w:val="center"/>
              <w:ind w:left="23"/>
              <w:spacing w:after="0"/>
              <w:rPr>
                <w:sz w:val="20"/>
                <w:szCs w:val="20"/>
                <w:color w:val="auto"/>
              </w:rPr>
            </w:pPr>
            <w:r>
              <w:rPr>
                <w:rFonts w:ascii="Arial" w:cs="Arial" w:eastAsia="Arial" w:hAnsi="Arial"/>
                <w:sz w:val="11"/>
                <w:szCs w:val="11"/>
                <w:color w:val="FFFFFF"/>
                <w:w w:val="90"/>
              </w:rPr>
              <w:t>($)  </w:t>
            </w:r>
          </w:p>
        </w:tc>
        <w:tc>
          <w:tcPr>
            <w:tcW w:w="900" w:type="dxa"/>
            <w:vAlign w:val="bottom"/>
            <w:tcBorders>
              <w:bottom w:val="single" w:sz="8" w:color="B9AFA0"/>
            </w:tcBorders>
            <w:shd w:val="clear" w:color="auto" w:fill="B9AFA0"/>
          </w:tcPr>
          <w:p>
            <w:pPr>
              <w:jc w:val="center"/>
              <w:ind w:right="83"/>
              <w:spacing w:after="0"/>
              <w:rPr>
                <w:sz w:val="20"/>
                <w:szCs w:val="20"/>
                <w:color w:val="auto"/>
              </w:rPr>
            </w:pPr>
            <w:r>
              <w:rPr>
                <w:rFonts w:ascii="Arial" w:cs="Arial" w:eastAsia="Arial" w:hAnsi="Arial"/>
                <w:sz w:val="11"/>
                <w:szCs w:val="11"/>
                <w:color w:val="FFFFFF"/>
                <w:w w:val="90"/>
              </w:rPr>
              <w:t>($)  </w:t>
            </w:r>
          </w:p>
        </w:tc>
        <w:tc>
          <w:tcPr>
            <w:tcW w:w="960" w:type="dxa"/>
            <w:vAlign w:val="bottom"/>
            <w:tcBorders>
              <w:bottom w:val="single" w:sz="8" w:color="B9AFA0"/>
            </w:tcBorders>
            <w:shd w:val="clear" w:color="auto" w:fill="B9AFA0"/>
          </w:tcPr>
          <w:p>
            <w:pPr>
              <w:jc w:val="center"/>
              <w:ind w:left="143"/>
              <w:spacing w:after="0"/>
              <w:rPr>
                <w:sz w:val="20"/>
                <w:szCs w:val="20"/>
                <w:color w:val="auto"/>
              </w:rPr>
            </w:pPr>
            <w:r>
              <w:rPr>
                <w:rFonts w:ascii="Arial" w:cs="Arial" w:eastAsia="Arial" w:hAnsi="Arial"/>
                <w:sz w:val="11"/>
                <w:szCs w:val="11"/>
                <w:color w:val="FFFFFF"/>
                <w:w w:val="90"/>
              </w:rPr>
              <w:t>(#)  </w:t>
            </w:r>
          </w:p>
        </w:tc>
        <w:tc>
          <w:tcPr>
            <w:tcW w:w="880" w:type="dxa"/>
            <w:vAlign w:val="bottom"/>
            <w:tcBorders>
              <w:bottom w:val="single" w:sz="8" w:color="B9AFA0"/>
            </w:tcBorders>
            <w:shd w:val="clear" w:color="auto" w:fill="B9AFA0"/>
          </w:tcPr>
          <w:p>
            <w:pPr>
              <w:jc w:val="center"/>
              <w:ind w:left="23"/>
              <w:spacing w:after="0"/>
              <w:rPr>
                <w:sz w:val="20"/>
                <w:szCs w:val="20"/>
                <w:color w:val="auto"/>
              </w:rPr>
            </w:pPr>
            <w:r>
              <w:rPr>
                <w:rFonts w:ascii="Arial" w:cs="Arial" w:eastAsia="Arial" w:hAnsi="Arial"/>
                <w:sz w:val="11"/>
                <w:szCs w:val="11"/>
                <w:color w:val="FFFFFF"/>
                <w:w w:val="90"/>
              </w:rPr>
              <w:t>(#)  </w:t>
            </w:r>
          </w:p>
        </w:tc>
        <w:tc>
          <w:tcPr>
            <w:tcW w:w="880" w:type="dxa"/>
            <w:vAlign w:val="bottom"/>
            <w:tcBorders>
              <w:bottom w:val="single" w:sz="8" w:color="B9AFA0"/>
            </w:tcBorders>
            <w:shd w:val="clear" w:color="auto" w:fill="B9AFA0"/>
          </w:tcPr>
          <w:p>
            <w:pPr>
              <w:jc w:val="right"/>
              <w:ind w:right="383"/>
              <w:spacing w:after="0"/>
              <w:rPr>
                <w:sz w:val="20"/>
                <w:szCs w:val="20"/>
                <w:color w:val="auto"/>
              </w:rPr>
            </w:pPr>
            <w:r>
              <w:rPr>
                <w:rFonts w:ascii="Arial" w:cs="Arial" w:eastAsia="Arial" w:hAnsi="Arial"/>
                <w:sz w:val="11"/>
                <w:szCs w:val="11"/>
                <w:color w:val="FFFFFF"/>
              </w:rPr>
              <w:t>(#)</w:t>
            </w:r>
          </w:p>
        </w:tc>
        <w:tc>
          <w:tcPr>
            <w:tcW w:w="8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 xml:space="preserve">UNITS (#) </w:t>
            </w:r>
          </w:p>
        </w:tc>
        <w:tc>
          <w:tcPr>
            <w:tcW w:w="920" w:type="dxa"/>
            <w:vAlign w:val="bottom"/>
            <w:tcBorders>
              <w:bottom w:val="single" w:sz="8" w:color="B9AFA0"/>
            </w:tcBorders>
            <w:shd w:val="clear" w:color="auto" w:fill="B9AFA0"/>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 w:type="dxa"/>
            <w:vAlign w:val="bottom"/>
            <w:shd w:val="clear" w:color="auto" w:fill="F1EFEC"/>
          </w:tcPr>
          <w:p>
            <w:pPr>
              <w:spacing w:after="0"/>
              <w:rPr>
                <w:sz w:val="19"/>
                <w:szCs w:val="19"/>
                <w:color w:val="auto"/>
              </w:rPr>
            </w:pPr>
          </w:p>
        </w:tc>
        <w:tc>
          <w:tcPr>
            <w:tcW w:w="40" w:type="dxa"/>
            <w:vAlign w:val="bottom"/>
            <w:shd w:val="clear" w:color="auto" w:fill="F1EFEC"/>
          </w:tcPr>
          <w:p>
            <w:pPr>
              <w:spacing w:after="0"/>
              <w:rPr>
                <w:sz w:val="19"/>
                <w:szCs w:val="19"/>
                <w:color w:val="auto"/>
              </w:rPr>
            </w:pPr>
          </w:p>
        </w:tc>
        <w:tc>
          <w:tcPr>
            <w:tcW w:w="380" w:type="dxa"/>
            <w:vAlign w:val="bottom"/>
            <w:shd w:val="clear" w:color="auto" w:fill="F1EFEC"/>
          </w:tcPr>
          <w:p>
            <w:pPr>
              <w:spacing w:after="0"/>
              <w:rPr>
                <w:sz w:val="19"/>
                <w:szCs w:val="19"/>
                <w:color w:val="auto"/>
              </w:rPr>
            </w:pPr>
          </w:p>
        </w:tc>
        <w:tc>
          <w:tcPr>
            <w:tcW w:w="920" w:type="dxa"/>
            <w:vAlign w:val="bottom"/>
            <w:shd w:val="clear" w:color="auto" w:fill="F1EFEC"/>
          </w:tcPr>
          <w:p>
            <w:pPr>
              <w:jc w:val="right"/>
              <w:ind w:right="303"/>
              <w:spacing w:after="0"/>
              <w:rPr>
                <w:sz w:val="20"/>
                <w:szCs w:val="20"/>
                <w:color w:val="auto"/>
              </w:rPr>
            </w:pPr>
            <w:r>
              <w:rPr>
                <w:rFonts w:ascii="Arial" w:cs="Arial" w:eastAsia="Arial" w:hAnsi="Arial"/>
                <w:sz w:val="11"/>
                <w:szCs w:val="11"/>
                <w:color w:val="auto"/>
              </w:rPr>
              <w:t>N/A</w:t>
            </w:r>
          </w:p>
        </w:tc>
        <w:tc>
          <w:tcPr>
            <w:tcW w:w="960" w:type="dxa"/>
            <w:vAlign w:val="bottom"/>
            <w:gridSpan w:val="2"/>
            <w:shd w:val="clear" w:color="auto" w:fill="F1EFEC"/>
          </w:tcPr>
          <w:p>
            <w:pPr>
              <w:jc w:val="center"/>
              <w:ind w:left="223"/>
              <w:spacing w:after="0"/>
              <w:rPr>
                <w:sz w:val="20"/>
                <w:szCs w:val="20"/>
                <w:color w:val="auto"/>
              </w:rPr>
            </w:pPr>
            <w:r>
              <w:rPr>
                <w:rFonts w:ascii="Arial" w:cs="Arial" w:eastAsia="Arial" w:hAnsi="Arial"/>
                <w:sz w:val="11"/>
                <w:szCs w:val="11"/>
                <w:color w:val="auto"/>
              </w:rPr>
              <w:t>4,000,000</w:t>
            </w:r>
          </w:p>
        </w:tc>
        <w:tc>
          <w:tcPr>
            <w:tcW w:w="1000" w:type="dxa"/>
            <w:vAlign w:val="bottom"/>
            <w:shd w:val="clear" w:color="auto" w:fill="F1EFEC"/>
          </w:tcPr>
          <w:p>
            <w:pPr>
              <w:jc w:val="center"/>
              <w:ind w:left="123"/>
              <w:spacing w:after="0"/>
              <w:rPr>
                <w:sz w:val="20"/>
                <w:szCs w:val="20"/>
                <w:color w:val="auto"/>
              </w:rPr>
            </w:pPr>
            <w:r>
              <w:rPr>
                <w:rFonts w:ascii="Arial" w:cs="Arial" w:eastAsia="Arial" w:hAnsi="Arial"/>
                <w:sz w:val="11"/>
                <w:szCs w:val="11"/>
                <w:color w:val="auto"/>
              </w:rPr>
              <w:t>5,000,000</w:t>
            </w:r>
          </w:p>
        </w:tc>
        <w:tc>
          <w:tcPr>
            <w:tcW w:w="900" w:type="dxa"/>
            <w:vAlign w:val="bottom"/>
            <w:shd w:val="clear" w:color="auto" w:fill="F1EFEC"/>
          </w:tcPr>
          <w:p>
            <w:pPr>
              <w:jc w:val="center"/>
              <w:ind w:right="23"/>
              <w:spacing w:after="0"/>
              <w:rPr>
                <w:sz w:val="20"/>
                <w:szCs w:val="20"/>
                <w:color w:val="auto"/>
              </w:rPr>
            </w:pPr>
            <w:r>
              <w:rPr>
                <w:rFonts w:ascii="Arial" w:cs="Arial" w:eastAsia="Arial" w:hAnsi="Arial"/>
                <w:sz w:val="11"/>
                <w:szCs w:val="11"/>
                <w:color w:val="auto"/>
              </w:rPr>
              <w:t>6,000,000</w:t>
            </w:r>
          </w:p>
        </w:tc>
        <w:tc>
          <w:tcPr>
            <w:tcW w:w="960" w:type="dxa"/>
            <w:vAlign w:val="bottom"/>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88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880" w:type="dxa"/>
            <w:vAlign w:val="bottom"/>
            <w:shd w:val="clear" w:color="auto" w:fill="F1EFEC"/>
          </w:tcPr>
          <w:p>
            <w:pPr>
              <w:jc w:val="right"/>
              <w:ind w:right="383"/>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left="243"/>
              <w:spacing w:after="0"/>
              <w:rPr>
                <w:sz w:val="20"/>
                <w:szCs w:val="20"/>
                <w:color w:val="auto"/>
              </w:rPr>
            </w:pPr>
            <w:r>
              <w:rPr>
                <w:rFonts w:ascii="Arial" w:cs="Arial" w:eastAsia="Arial" w:hAnsi="Arial"/>
                <w:sz w:val="11"/>
                <w:szCs w:val="11"/>
                <w:color w:val="auto"/>
              </w:rPr>
              <w:t>-</w:t>
            </w:r>
          </w:p>
        </w:tc>
        <w:tc>
          <w:tcPr>
            <w:tcW w:w="920" w:type="dxa"/>
            <w:vAlign w:val="bottom"/>
            <w:shd w:val="clear" w:color="auto" w:fill="F1EFEC"/>
          </w:tcPr>
          <w:p>
            <w:pPr>
              <w:jc w:val="center"/>
              <w:ind w:left="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780" w:type="dxa"/>
            <w:vAlign w:val="bottom"/>
            <w:shd w:val="clear" w:color="auto" w:fill="F1EFEC"/>
          </w:tcPr>
          <w:p>
            <w:pPr>
              <w:ind w:left="40"/>
              <w:spacing w:after="0"/>
              <w:rPr>
                <w:sz w:val="20"/>
                <w:szCs w:val="20"/>
                <w:color w:val="auto"/>
              </w:rPr>
            </w:pPr>
            <w:r>
              <w:rPr>
                <w:rFonts w:ascii="Arial" w:cs="Arial" w:eastAsia="Arial" w:hAnsi="Arial"/>
                <w:sz w:val="11"/>
                <w:szCs w:val="11"/>
                <w:color w:val="auto"/>
              </w:rPr>
              <w:t>Craig S.</w:t>
            </w:r>
          </w:p>
        </w:tc>
        <w:tc>
          <w:tcPr>
            <w:tcW w:w="40" w:type="dxa"/>
            <w:vAlign w:val="bottom"/>
            <w:shd w:val="clear" w:color="auto" w:fill="F1EFEC"/>
          </w:tcPr>
          <w:p>
            <w:pPr>
              <w:spacing w:after="0"/>
              <w:rPr>
                <w:sz w:val="24"/>
                <w:szCs w:val="24"/>
                <w:color w:val="auto"/>
              </w:rPr>
            </w:pPr>
          </w:p>
        </w:tc>
        <w:tc>
          <w:tcPr>
            <w:tcW w:w="1300" w:type="dxa"/>
            <w:vAlign w:val="bottom"/>
            <w:gridSpan w:val="2"/>
            <w:shd w:val="clear" w:color="auto" w:fill="F1EFEC"/>
          </w:tcPr>
          <w:p>
            <w:pPr>
              <w:jc w:val="right"/>
              <w:ind w:right="303"/>
              <w:spacing w:after="0"/>
              <w:rPr>
                <w:sz w:val="20"/>
                <w:szCs w:val="20"/>
                <w:color w:val="auto"/>
              </w:rPr>
            </w:pPr>
            <w:r>
              <w:rPr>
                <w:rFonts w:ascii="Arial" w:cs="Arial" w:eastAsia="Arial" w:hAnsi="Arial"/>
                <w:sz w:val="11"/>
                <w:szCs w:val="11"/>
                <w:color w:val="auto"/>
              </w:rPr>
              <w:t>01/07/2025</w:t>
            </w:r>
          </w:p>
        </w:tc>
        <w:tc>
          <w:tcPr>
            <w:tcW w:w="960" w:type="dxa"/>
            <w:vAlign w:val="bottom"/>
            <w:gridSpan w:val="2"/>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100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F1EFEC"/>
          </w:tcPr>
          <w:p>
            <w:pPr>
              <w:jc w:val="center"/>
              <w:ind w:right="3"/>
              <w:spacing w:after="0"/>
              <w:rPr>
                <w:sz w:val="20"/>
                <w:szCs w:val="20"/>
                <w:color w:val="auto"/>
              </w:rPr>
            </w:pPr>
            <w:r>
              <w:rPr>
                <w:rFonts w:ascii="Arial" w:cs="Arial" w:eastAsia="Arial" w:hAnsi="Arial"/>
                <w:sz w:val="11"/>
                <w:szCs w:val="11"/>
                <w:color w:val="auto"/>
              </w:rPr>
              <w:t>-</w:t>
            </w:r>
          </w:p>
        </w:tc>
        <w:tc>
          <w:tcPr>
            <w:tcW w:w="960" w:type="dxa"/>
            <w:vAlign w:val="bottom"/>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88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880" w:type="dxa"/>
            <w:vAlign w:val="bottom"/>
            <w:shd w:val="clear" w:color="auto" w:fill="F1EFEC"/>
          </w:tcPr>
          <w:p>
            <w:pPr>
              <w:jc w:val="right"/>
              <w:ind w:right="383"/>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left="263"/>
              <w:spacing w:after="0"/>
              <w:rPr>
                <w:sz w:val="20"/>
                <w:szCs w:val="20"/>
                <w:color w:val="auto"/>
              </w:rPr>
            </w:pPr>
            <w:r>
              <w:rPr>
                <w:rFonts w:ascii="Arial" w:cs="Arial" w:eastAsia="Arial" w:hAnsi="Arial"/>
                <w:sz w:val="11"/>
                <w:szCs w:val="11"/>
                <w:color w:val="auto"/>
                <w:w w:val="96"/>
              </w:rPr>
              <w:t>44,755</w:t>
            </w:r>
            <w:r>
              <w:rPr>
                <w:rFonts w:ascii="Arial" w:cs="Arial" w:eastAsia="Arial" w:hAnsi="Arial"/>
                <w:sz w:val="17"/>
                <w:szCs w:val="17"/>
                <w:color w:val="auto"/>
                <w:w w:val="96"/>
                <w:vertAlign w:val="superscript"/>
              </w:rPr>
              <w:t>(3)</w:t>
            </w:r>
          </w:p>
        </w:tc>
        <w:tc>
          <w:tcPr>
            <w:tcW w:w="920" w:type="dxa"/>
            <w:vAlign w:val="bottom"/>
            <w:shd w:val="clear" w:color="auto" w:fill="F1EFEC"/>
          </w:tcPr>
          <w:p>
            <w:pPr>
              <w:jc w:val="center"/>
              <w:ind w:left="323"/>
              <w:spacing w:after="0"/>
              <w:rPr>
                <w:sz w:val="20"/>
                <w:szCs w:val="20"/>
                <w:color w:val="auto"/>
              </w:rPr>
            </w:pPr>
            <w:r>
              <w:rPr>
                <w:rFonts w:ascii="Arial" w:cs="Arial" w:eastAsia="Arial" w:hAnsi="Arial"/>
                <w:sz w:val="11"/>
                <w:szCs w:val="11"/>
                <w:color w:val="auto"/>
              </w:rPr>
              <w:t>3,690,050</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shd w:val="clear" w:color="auto" w:fill="F1EFEC"/>
          </w:tcPr>
          <w:p>
            <w:pPr>
              <w:ind w:left="40"/>
              <w:spacing w:after="0"/>
              <w:rPr>
                <w:sz w:val="20"/>
                <w:szCs w:val="20"/>
                <w:color w:val="auto"/>
              </w:rPr>
            </w:pPr>
            <w:r>
              <w:rPr>
                <w:rFonts w:ascii="Arial" w:cs="Arial" w:eastAsia="Arial" w:hAnsi="Arial"/>
                <w:sz w:val="11"/>
                <w:szCs w:val="11"/>
                <w:color w:val="auto"/>
              </w:rPr>
              <w:t>Billings</w:t>
            </w:r>
          </w:p>
        </w:tc>
        <w:tc>
          <w:tcPr>
            <w:tcW w:w="40" w:type="dxa"/>
            <w:vAlign w:val="bottom"/>
            <w:shd w:val="clear" w:color="auto" w:fill="F1EFEC"/>
          </w:tcPr>
          <w:p>
            <w:pPr>
              <w:spacing w:after="0"/>
              <w:rPr>
                <w:sz w:val="22"/>
                <w:szCs w:val="22"/>
                <w:color w:val="auto"/>
              </w:rPr>
            </w:pPr>
          </w:p>
        </w:tc>
        <w:tc>
          <w:tcPr>
            <w:tcW w:w="380" w:type="dxa"/>
            <w:vAlign w:val="bottom"/>
            <w:shd w:val="clear" w:color="auto" w:fill="F1EFEC"/>
          </w:tcPr>
          <w:p>
            <w:pPr>
              <w:spacing w:after="0"/>
              <w:rPr>
                <w:sz w:val="22"/>
                <w:szCs w:val="22"/>
                <w:color w:val="auto"/>
              </w:rPr>
            </w:pPr>
          </w:p>
        </w:tc>
        <w:tc>
          <w:tcPr>
            <w:tcW w:w="920" w:type="dxa"/>
            <w:vAlign w:val="bottom"/>
            <w:shd w:val="clear" w:color="auto" w:fill="F1EFEC"/>
          </w:tcPr>
          <w:p>
            <w:pPr>
              <w:jc w:val="right"/>
              <w:ind w:right="303"/>
              <w:spacing w:after="0"/>
              <w:rPr>
                <w:sz w:val="20"/>
                <w:szCs w:val="20"/>
                <w:color w:val="auto"/>
              </w:rPr>
            </w:pPr>
            <w:r>
              <w:rPr>
                <w:rFonts w:ascii="Arial" w:cs="Arial" w:eastAsia="Arial" w:hAnsi="Arial"/>
                <w:sz w:val="11"/>
                <w:szCs w:val="11"/>
                <w:color w:val="auto"/>
                <w:w w:val="98"/>
              </w:rPr>
              <w:t>01/07/2025</w:t>
            </w:r>
          </w:p>
        </w:tc>
        <w:tc>
          <w:tcPr>
            <w:tcW w:w="960" w:type="dxa"/>
            <w:vAlign w:val="bottom"/>
            <w:gridSpan w:val="2"/>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100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F1EFEC"/>
          </w:tcPr>
          <w:p>
            <w:pPr>
              <w:jc w:val="center"/>
              <w:ind w:right="3"/>
              <w:spacing w:after="0"/>
              <w:rPr>
                <w:sz w:val="20"/>
                <w:szCs w:val="20"/>
                <w:color w:val="auto"/>
              </w:rPr>
            </w:pPr>
            <w:r>
              <w:rPr>
                <w:rFonts w:ascii="Arial" w:cs="Arial" w:eastAsia="Arial" w:hAnsi="Arial"/>
                <w:sz w:val="11"/>
                <w:szCs w:val="11"/>
                <w:color w:val="auto"/>
              </w:rPr>
              <w:t>-</w:t>
            </w:r>
          </w:p>
        </w:tc>
        <w:tc>
          <w:tcPr>
            <w:tcW w:w="960" w:type="dxa"/>
            <w:vAlign w:val="bottom"/>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88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w w:val="92"/>
              </w:rPr>
              <w:t>29,837</w:t>
            </w:r>
            <w:r>
              <w:rPr>
                <w:rFonts w:ascii="Arial" w:cs="Arial" w:eastAsia="Arial" w:hAnsi="Arial"/>
                <w:sz w:val="17"/>
                <w:szCs w:val="17"/>
                <w:color w:val="auto"/>
                <w:w w:val="92"/>
                <w:vertAlign w:val="superscript"/>
              </w:rPr>
              <w:t>(4)</w:t>
            </w:r>
          </w:p>
        </w:tc>
        <w:tc>
          <w:tcPr>
            <w:tcW w:w="880" w:type="dxa"/>
            <w:vAlign w:val="bottom"/>
            <w:shd w:val="clear" w:color="auto" w:fill="F1EFEC"/>
          </w:tcPr>
          <w:p>
            <w:pPr>
              <w:jc w:val="right"/>
              <w:ind w:right="383"/>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left="243"/>
              <w:spacing w:after="0"/>
              <w:rPr>
                <w:sz w:val="20"/>
                <w:szCs w:val="20"/>
                <w:color w:val="auto"/>
              </w:rPr>
            </w:pPr>
            <w:r>
              <w:rPr>
                <w:rFonts w:ascii="Arial" w:cs="Arial" w:eastAsia="Arial" w:hAnsi="Arial"/>
                <w:sz w:val="11"/>
                <w:szCs w:val="11"/>
                <w:color w:val="auto"/>
              </w:rPr>
              <w:t>-</w:t>
            </w:r>
          </w:p>
        </w:tc>
        <w:tc>
          <w:tcPr>
            <w:tcW w:w="920" w:type="dxa"/>
            <w:vAlign w:val="bottom"/>
            <w:shd w:val="clear" w:color="auto" w:fill="F1EFEC"/>
          </w:tcPr>
          <w:p>
            <w:pPr>
              <w:jc w:val="center"/>
              <w:ind w:left="323"/>
              <w:spacing w:after="0"/>
              <w:rPr>
                <w:sz w:val="20"/>
                <w:szCs w:val="20"/>
                <w:color w:val="auto"/>
              </w:rPr>
            </w:pPr>
            <w:r>
              <w:rPr>
                <w:rFonts w:ascii="Arial" w:cs="Arial" w:eastAsia="Arial" w:hAnsi="Arial"/>
                <w:sz w:val="11"/>
                <w:szCs w:val="11"/>
                <w:color w:val="auto"/>
              </w:rPr>
              <w:t>2,460,061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80" w:type="dxa"/>
            <w:vAlign w:val="bottom"/>
            <w:shd w:val="clear" w:color="auto" w:fill="F1EFEC"/>
          </w:tcPr>
          <w:p>
            <w:pPr>
              <w:spacing w:after="0"/>
              <w:rPr>
                <w:sz w:val="23"/>
                <w:szCs w:val="23"/>
                <w:color w:val="auto"/>
              </w:rPr>
            </w:pPr>
          </w:p>
        </w:tc>
        <w:tc>
          <w:tcPr>
            <w:tcW w:w="40" w:type="dxa"/>
            <w:vAlign w:val="bottom"/>
            <w:shd w:val="clear" w:color="auto" w:fill="F1EFEC"/>
          </w:tcPr>
          <w:p>
            <w:pPr>
              <w:spacing w:after="0"/>
              <w:rPr>
                <w:sz w:val="23"/>
                <w:szCs w:val="23"/>
                <w:color w:val="auto"/>
              </w:rPr>
            </w:pPr>
          </w:p>
        </w:tc>
        <w:tc>
          <w:tcPr>
            <w:tcW w:w="380" w:type="dxa"/>
            <w:vAlign w:val="bottom"/>
            <w:shd w:val="clear" w:color="auto" w:fill="F1EFEC"/>
          </w:tcPr>
          <w:p>
            <w:pPr>
              <w:spacing w:after="0"/>
              <w:rPr>
                <w:sz w:val="23"/>
                <w:szCs w:val="23"/>
                <w:color w:val="auto"/>
              </w:rPr>
            </w:pPr>
          </w:p>
        </w:tc>
        <w:tc>
          <w:tcPr>
            <w:tcW w:w="920" w:type="dxa"/>
            <w:vAlign w:val="bottom"/>
            <w:shd w:val="clear" w:color="auto" w:fill="F1EFEC"/>
          </w:tcPr>
          <w:p>
            <w:pPr>
              <w:jc w:val="right"/>
              <w:ind w:right="303"/>
              <w:spacing w:after="0"/>
              <w:rPr>
                <w:sz w:val="20"/>
                <w:szCs w:val="20"/>
                <w:color w:val="auto"/>
              </w:rPr>
            </w:pPr>
            <w:r>
              <w:rPr>
                <w:rFonts w:ascii="Arial" w:cs="Arial" w:eastAsia="Arial" w:hAnsi="Arial"/>
                <w:sz w:val="11"/>
                <w:szCs w:val="11"/>
                <w:color w:val="auto"/>
                <w:w w:val="98"/>
              </w:rPr>
              <w:t>01/07/2025</w:t>
            </w:r>
          </w:p>
        </w:tc>
        <w:tc>
          <w:tcPr>
            <w:tcW w:w="960" w:type="dxa"/>
            <w:vAlign w:val="bottom"/>
            <w:gridSpan w:val="2"/>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100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F1EFEC"/>
          </w:tcPr>
          <w:p>
            <w:pPr>
              <w:jc w:val="center"/>
              <w:ind w:right="3"/>
              <w:spacing w:after="0"/>
              <w:rPr>
                <w:sz w:val="20"/>
                <w:szCs w:val="20"/>
                <w:color w:val="auto"/>
              </w:rPr>
            </w:pPr>
            <w:r>
              <w:rPr>
                <w:rFonts w:ascii="Arial" w:cs="Arial" w:eastAsia="Arial" w:hAnsi="Arial"/>
                <w:sz w:val="11"/>
                <w:szCs w:val="11"/>
                <w:color w:val="auto"/>
              </w:rPr>
              <w:t>-</w:t>
            </w:r>
          </w:p>
        </w:tc>
        <w:tc>
          <w:tcPr>
            <w:tcW w:w="960" w:type="dxa"/>
            <w:vAlign w:val="bottom"/>
            <w:shd w:val="clear" w:color="auto" w:fill="F1EFEC"/>
          </w:tcPr>
          <w:p>
            <w:pPr>
              <w:jc w:val="center"/>
              <w:ind w:left="203"/>
              <w:spacing w:after="0"/>
              <w:rPr>
                <w:sz w:val="20"/>
                <w:szCs w:val="20"/>
                <w:color w:val="auto"/>
              </w:rPr>
            </w:pPr>
            <w:r>
              <w:rPr>
                <w:rFonts w:ascii="Arial" w:cs="Arial" w:eastAsia="Arial" w:hAnsi="Arial"/>
                <w:sz w:val="11"/>
                <w:szCs w:val="11"/>
                <w:color w:val="auto"/>
                <w:w w:val="96"/>
              </w:rPr>
              <w:t>14,919</w:t>
            </w:r>
            <w:r>
              <w:rPr>
                <w:rFonts w:ascii="Arial" w:cs="Arial" w:eastAsia="Arial" w:hAnsi="Arial"/>
                <w:sz w:val="17"/>
                <w:szCs w:val="17"/>
                <w:color w:val="auto"/>
                <w:w w:val="96"/>
                <w:vertAlign w:val="superscript"/>
              </w:rPr>
              <w:t>(5)</w:t>
            </w:r>
          </w:p>
        </w:tc>
        <w:tc>
          <w:tcPr>
            <w:tcW w:w="88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w w:val="92"/>
              </w:rPr>
              <w:t>24,864</w:t>
            </w:r>
            <w:r>
              <w:rPr>
                <w:rFonts w:ascii="Arial" w:cs="Arial" w:eastAsia="Arial" w:hAnsi="Arial"/>
                <w:sz w:val="17"/>
                <w:szCs w:val="17"/>
                <w:color w:val="auto"/>
                <w:w w:val="92"/>
                <w:vertAlign w:val="superscript"/>
              </w:rPr>
              <w:t>(5)</w:t>
            </w:r>
          </w:p>
        </w:tc>
        <w:tc>
          <w:tcPr>
            <w:tcW w:w="880" w:type="dxa"/>
            <w:vAlign w:val="bottom"/>
            <w:shd w:val="clear" w:color="auto" w:fill="F1EFEC"/>
          </w:tcPr>
          <w:p>
            <w:pPr>
              <w:jc w:val="right"/>
              <w:ind w:right="183"/>
              <w:spacing w:after="0"/>
              <w:rPr>
                <w:sz w:val="20"/>
                <w:szCs w:val="20"/>
                <w:color w:val="auto"/>
              </w:rPr>
            </w:pPr>
            <w:r>
              <w:rPr>
                <w:rFonts w:ascii="Arial" w:cs="Arial" w:eastAsia="Arial" w:hAnsi="Arial"/>
                <w:sz w:val="11"/>
                <w:szCs w:val="11"/>
                <w:color w:val="auto"/>
              </w:rPr>
              <w:t>39,783</w:t>
            </w:r>
            <w:r>
              <w:rPr>
                <w:rFonts w:ascii="Arial" w:cs="Arial" w:eastAsia="Arial" w:hAnsi="Arial"/>
                <w:sz w:val="17"/>
                <w:szCs w:val="17"/>
                <w:color w:val="auto"/>
                <w:vertAlign w:val="superscript"/>
              </w:rPr>
              <w:t>(5)</w:t>
            </w:r>
          </w:p>
        </w:tc>
        <w:tc>
          <w:tcPr>
            <w:tcW w:w="820" w:type="dxa"/>
            <w:vAlign w:val="bottom"/>
            <w:shd w:val="clear" w:color="auto" w:fill="F1EFEC"/>
          </w:tcPr>
          <w:p>
            <w:pPr>
              <w:jc w:val="center"/>
              <w:ind w:left="243"/>
              <w:spacing w:after="0"/>
              <w:rPr>
                <w:sz w:val="20"/>
                <w:szCs w:val="20"/>
                <w:color w:val="auto"/>
              </w:rPr>
            </w:pPr>
            <w:r>
              <w:rPr>
                <w:rFonts w:ascii="Arial" w:cs="Arial" w:eastAsia="Arial" w:hAnsi="Arial"/>
                <w:sz w:val="11"/>
                <w:szCs w:val="11"/>
                <w:color w:val="auto"/>
              </w:rPr>
              <w:t>-</w:t>
            </w:r>
          </w:p>
        </w:tc>
        <w:tc>
          <w:tcPr>
            <w:tcW w:w="920" w:type="dxa"/>
            <w:vAlign w:val="bottom"/>
            <w:shd w:val="clear" w:color="auto" w:fill="F1EFEC"/>
          </w:tcPr>
          <w:p>
            <w:pPr>
              <w:ind w:left="340"/>
              <w:spacing w:after="0"/>
              <w:rPr>
                <w:sz w:val="20"/>
                <w:szCs w:val="20"/>
                <w:color w:val="auto"/>
              </w:rPr>
            </w:pPr>
            <w:r>
              <w:rPr>
                <w:rFonts w:ascii="Arial" w:cs="Arial" w:eastAsia="Arial" w:hAnsi="Arial"/>
                <w:sz w:val="11"/>
                <w:szCs w:val="11"/>
                <w:color w:val="auto"/>
              </w:rPr>
              <w:t>  1,782,749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03"/>
              <w:spacing w:after="0"/>
              <w:rPr>
                <w:sz w:val="20"/>
                <w:szCs w:val="20"/>
                <w:color w:val="auto"/>
              </w:rPr>
            </w:pPr>
            <w:r>
              <w:rPr>
                <w:rFonts w:ascii="Arial" w:cs="Arial" w:eastAsia="Arial" w:hAnsi="Arial"/>
                <w:sz w:val="11"/>
                <w:szCs w:val="11"/>
                <w:color w:val="auto"/>
              </w:rPr>
              <w:t>N/A</w:t>
            </w:r>
          </w:p>
        </w:tc>
        <w:tc>
          <w:tcPr>
            <w:tcW w:w="960" w:type="dxa"/>
            <w:vAlign w:val="bottom"/>
            <w:gridSpan w:val="2"/>
          </w:tcPr>
          <w:p>
            <w:pPr>
              <w:jc w:val="center"/>
              <w:ind w:left="223"/>
              <w:spacing w:after="0"/>
              <w:rPr>
                <w:sz w:val="20"/>
                <w:szCs w:val="20"/>
                <w:color w:val="auto"/>
              </w:rPr>
            </w:pPr>
            <w:r>
              <w:rPr>
                <w:rFonts w:ascii="Arial" w:cs="Arial" w:eastAsia="Arial" w:hAnsi="Arial"/>
                <w:sz w:val="11"/>
                <w:szCs w:val="11"/>
                <w:color w:val="auto"/>
              </w:rPr>
              <w:t>1,520,000</w:t>
            </w:r>
          </w:p>
        </w:tc>
        <w:tc>
          <w:tcPr>
            <w:tcW w:w="1000" w:type="dxa"/>
            <w:vAlign w:val="bottom"/>
          </w:tcPr>
          <w:p>
            <w:pPr>
              <w:jc w:val="center"/>
              <w:ind w:left="123"/>
              <w:spacing w:after="0"/>
              <w:rPr>
                <w:sz w:val="20"/>
                <w:szCs w:val="20"/>
                <w:color w:val="auto"/>
              </w:rPr>
            </w:pPr>
            <w:r>
              <w:rPr>
                <w:rFonts w:ascii="Arial" w:cs="Arial" w:eastAsia="Arial" w:hAnsi="Arial"/>
                <w:sz w:val="11"/>
                <w:szCs w:val="11"/>
                <w:color w:val="auto"/>
              </w:rPr>
              <w:t>1,900,000</w:t>
            </w:r>
          </w:p>
        </w:tc>
        <w:tc>
          <w:tcPr>
            <w:tcW w:w="900" w:type="dxa"/>
            <w:vAlign w:val="bottom"/>
          </w:tcPr>
          <w:p>
            <w:pPr>
              <w:jc w:val="center"/>
              <w:ind w:right="23"/>
              <w:spacing w:after="0"/>
              <w:rPr>
                <w:sz w:val="20"/>
                <w:szCs w:val="20"/>
                <w:color w:val="auto"/>
              </w:rPr>
            </w:pPr>
            <w:r>
              <w:rPr>
                <w:rFonts w:ascii="Arial" w:cs="Arial" w:eastAsia="Arial" w:hAnsi="Arial"/>
                <w:sz w:val="11"/>
                <w:szCs w:val="11"/>
                <w:color w:val="auto"/>
              </w:rPr>
              <w:t>2,280,000</w:t>
            </w:r>
          </w:p>
        </w:tc>
        <w:tc>
          <w:tcPr>
            <w:tcW w:w="960" w:type="dxa"/>
            <w:vAlign w:val="bottom"/>
          </w:tcPr>
          <w:p>
            <w:pPr>
              <w:jc w:val="center"/>
              <w:ind w:left="223"/>
              <w:spacing w:after="0"/>
              <w:rPr>
                <w:sz w:val="20"/>
                <w:szCs w:val="20"/>
                <w:color w:val="auto"/>
              </w:rPr>
            </w:pPr>
            <w:r>
              <w:rPr>
                <w:rFonts w:ascii="Arial" w:cs="Arial" w:eastAsia="Arial" w:hAnsi="Arial"/>
                <w:sz w:val="11"/>
                <w:szCs w:val="11"/>
                <w:color w:val="auto"/>
              </w:rPr>
              <w:t>-</w:t>
            </w:r>
          </w:p>
        </w:tc>
        <w:tc>
          <w:tcPr>
            <w:tcW w:w="880" w:type="dxa"/>
            <w:vAlign w:val="bottom"/>
          </w:tcPr>
          <w:p>
            <w:pPr>
              <w:jc w:val="center"/>
              <w:ind w:left="10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383"/>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243"/>
              <w:spacing w:after="0"/>
              <w:rPr>
                <w:sz w:val="20"/>
                <w:szCs w:val="20"/>
                <w:color w:val="auto"/>
              </w:rPr>
            </w:pPr>
            <w:r>
              <w:rPr>
                <w:rFonts w:ascii="Arial" w:cs="Arial" w:eastAsia="Arial" w:hAnsi="Arial"/>
                <w:sz w:val="11"/>
                <w:szCs w:val="11"/>
                <w:color w:val="auto"/>
              </w:rPr>
              <w:t>-</w:t>
            </w:r>
          </w:p>
        </w:tc>
        <w:tc>
          <w:tcPr>
            <w:tcW w:w="920" w:type="dxa"/>
            <w:vAlign w:val="bottom"/>
          </w:tcPr>
          <w:p>
            <w:pPr>
              <w:jc w:val="center"/>
              <w:ind w:left="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1"/>
                <w:szCs w:val="11"/>
                <w:color w:val="auto"/>
              </w:rPr>
              <w:t>Julie M.</w:t>
            </w:r>
          </w:p>
        </w:tc>
        <w:tc>
          <w:tcPr>
            <w:tcW w:w="1340" w:type="dxa"/>
            <w:vAlign w:val="bottom"/>
            <w:gridSpan w:val="3"/>
          </w:tcPr>
          <w:p>
            <w:pPr>
              <w:jc w:val="right"/>
              <w:ind w:right="303"/>
              <w:spacing w:after="0"/>
              <w:rPr>
                <w:sz w:val="20"/>
                <w:szCs w:val="20"/>
                <w:color w:val="auto"/>
              </w:rPr>
            </w:pPr>
            <w:r>
              <w:rPr>
                <w:rFonts w:ascii="Arial" w:cs="Arial" w:eastAsia="Arial" w:hAnsi="Arial"/>
                <w:sz w:val="11"/>
                <w:szCs w:val="11"/>
                <w:color w:val="auto"/>
              </w:rPr>
              <w:t>01/07/2025</w:t>
            </w:r>
          </w:p>
        </w:tc>
        <w:tc>
          <w:tcPr>
            <w:tcW w:w="960" w:type="dxa"/>
            <w:vAlign w:val="bottom"/>
            <w:gridSpan w:val="2"/>
          </w:tcPr>
          <w:p>
            <w:pPr>
              <w:jc w:val="center"/>
              <w:ind w:left="223"/>
              <w:spacing w:after="0"/>
              <w:rPr>
                <w:sz w:val="20"/>
                <w:szCs w:val="20"/>
                <w:color w:val="auto"/>
              </w:rPr>
            </w:pPr>
            <w:r>
              <w:rPr>
                <w:rFonts w:ascii="Arial" w:cs="Arial" w:eastAsia="Arial" w:hAnsi="Arial"/>
                <w:sz w:val="11"/>
                <w:szCs w:val="11"/>
                <w:color w:val="auto"/>
              </w:rPr>
              <w:t>-</w:t>
            </w:r>
          </w:p>
        </w:tc>
        <w:tc>
          <w:tcPr>
            <w:tcW w:w="1000" w:type="dxa"/>
            <w:vAlign w:val="bottom"/>
          </w:tcPr>
          <w:p>
            <w:pPr>
              <w:jc w:val="center"/>
              <w:ind w:left="103"/>
              <w:spacing w:after="0"/>
              <w:rPr>
                <w:sz w:val="20"/>
                <w:szCs w:val="20"/>
                <w:color w:val="auto"/>
              </w:rPr>
            </w:pPr>
            <w:r>
              <w:rPr>
                <w:rFonts w:ascii="Arial" w:cs="Arial" w:eastAsia="Arial" w:hAnsi="Arial"/>
                <w:sz w:val="11"/>
                <w:szCs w:val="11"/>
                <w:color w:val="auto"/>
              </w:rPr>
              <w:t>-</w:t>
            </w:r>
          </w:p>
        </w:tc>
        <w:tc>
          <w:tcPr>
            <w:tcW w:w="900" w:type="dxa"/>
            <w:vAlign w:val="bottom"/>
          </w:tcPr>
          <w:p>
            <w:pPr>
              <w:jc w:val="center"/>
              <w:ind w:right="3"/>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23"/>
              <w:spacing w:after="0"/>
              <w:rPr>
                <w:sz w:val="20"/>
                <w:szCs w:val="20"/>
                <w:color w:val="auto"/>
              </w:rPr>
            </w:pPr>
            <w:r>
              <w:rPr>
                <w:rFonts w:ascii="Arial" w:cs="Arial" w:eastAsia="Arial" w:hAnsi="Arial"/>
                <w:sz w:val="11"/>
                <w:szCs w:val="11"/>
                <w:color w:val="auto"/>
              </w:rPr>
              <w:t>-</w:t>
            </w:r>
          </w:p>
        </w:tc>
        <w:tc>
          <w:tcPr>
            <w:tcW w:w="880" w:type="dxa"/>
            <w:vAlign w:val="bottom"/>
          </w:tcPr>
          <w:p>
            <w:pPr>
              <w:jc w:val="center"/>
              <w:ind w:left="103"/>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383"/>
              <w:spacing w:after="0"/>
              <w:rPr>
                <w:sz w:val="20"/>
                <w:szCs w:val="20"/>
                <w:color w:val="auto"/>
              </w:rPr>
            </w:pPr>
            <w:r>
              <w:rPr>
                <w:rFonts w:ascii="Arial" w:cs="Arial" w:eastAsia="Arial" w:hAnsi="Arial"/>
                <w:sz w:val="11"/>
                <w:szCs w:val="11"/>
                <w:color w:val="auto"/>
              </w:rPr>
              <w:t>-</w:t>
            </w:r>
          </w:p>
        </w:tc>
        <w:tc>
          <w:tcPr>
            <w:tcW w:w="820" w:type="dxa"/>
            <w:vAlign w:val="bottom"/>
          </w:tcPr>
          <w:p>
            <w:pPr>
              <w:ind w:left="300"/>
              <w:spacing w:after="0"/>
              <w:rPr>
                <w:sz w:val="20"/>
                <w:szCs w:val="20"/>
                <w:color w:val="auto"/>
              </w:rPr>
            </w:pPr>
            <w:r>
              <w:rPr>
                <w:rFonts w:ascii="Arial" w:cs="Arial" w:eastAsia="Arial" w:hAnsi="Arial"/>
                <w:sz w:val="11"/>
                <w:szCs w:val="11"/>
                <w:color w:val="auto"/>
                <w:w w:val="93"/>
              </w:rPr>
              <w:t>   9,074</w:t>
            </w:r>
            <w:r>
              <w:rPr>
                <w:rFonts w:ascii="Arial" w:cs="Arial" w:eastAsia="Arial" w:hAnsi="Arial"/>
                <w:sz w:val="17"/>
                <w:szCs w:val="17"/>
                <w:color w:val="auto"/>
                <w:w w:val="93"/>
                <w:vertAlign w:val="superscript"/>
              </w:rPr>
              <w:t>(3)</w:t>
            </w:r>
          </w:p>
        </w:tc>
        <w:tc>
          <w:tcPr>
            <w:tcW w:w="920" w:type="dxa"/>
            <w:vAlign w:val="bottom"/>
          </w:tcPr>
          <w:p>
            <w:pPr>
              <w:ind w:left="340"/>
              <w:spacing w:after="0"/>
              <w:rPr>
                <w:sz w:val="20"/>
                <w:szCs w:val="20"/>
                <w:color w:val="auto"/>
              </w:rPr>
            </w:pPr>
            <w:r>
              <w:rPr>
                <w:rFonts w:ascii="Arial" w:cs="Arial" w:eastAsia="Arial" w:hAnsi="Arial"/>
                <w:sz w:val="11"/>
                <w:szCs w:val="11"/>
                <w:color w:val="auto"/>
                <w:w w:val="98"/>
              </w:rPr>
              <w:t>     748,151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1"/>
                <w:szCs w:val="11"/>
                <w:color w:val="auto"/>
              </w:rPr>
              <w:t>Cameron-Doe</w:t>
            </w:r>
          </w:p>
        </w:tc>
        <w:tc>
          <w:tcPr>
            <w:tcW w:w="1340" w:type="dxa"/>
            <w:vAlign w:val="bottom"/>
            <w:gridSpan w:val="3"/>
          </w:tcPr>
          <w:p>
            <w:pPr>
              <w:jc w:val="right"/>
              <w:ind w:right="303"/>
              <w:spacing w:after="0"/>
              <w:rPr>
                <w:sz w:val="20"/>
                <w:szCs w:val="20"/>
                <w:color w:val="auto"/>
              </w:rPr>
            </w:pPr>
            <w:r>
              <w:rPr>
                <w:rFonts w:ascii="Arial" w:cs="Arial" w:eastAsia="Arial" w:hAnsi="Arial"/>
                <w:sz w:val="11"/>
                <w:szCs w:val="11"/>
                <w:color w:val="auto"/>
              </w:rPr>
              <w:t>01/07/2025</w:t>
            </w:r>
          </w:p>
        </w:tc>
        <w:tc>
          <w:tcPr>
            <w:tcW w:w="960" w:type="dxa"/>
            <w:vAlign w:val="bottom"/>
            <w:gridSpan w:val="2"/>
          </w:tcPr>
          <w:p>
            <w:pPr>
              <w:jc w:val="center"/>
              <w:ind w:left="223"/>
              <w:spacing w:after="0"/>
              <w:rPr>
                <w:sz w:val="20"/>
                <w:szCs w:val="20"/>
                <w:color w:val="auto"/>
              </w:rPr>
            </w:pPr>
            <w:r>
              <w:rPr>
                <w:rFonts w:ascii="Arial" w:cs="Arial" w:eastAsia="Arial" w:hAnsi="Arial"/>
                <w:sz w:val="11"/>
                <w:szCs w:val="11"/>
                <w:color w:val="auto"/>
              </w:rPr>
              <w:t>-</w:t>
            </w:r>
          </w:p>
        </w:tc>
        <w:tc>
          <w:tcPr>
            <w:tcW w:w="1000" w:type="dxa"/>
            <w:vAlign w:val="bottom"/>
          </w:tcPr>
          <w:p>
            <w:pPr>
              <w:jc w:val="center"/>
              <w:ind w:left="103"/>
              <w:spacing w:after="0"/>
              <w:rPr>
                <w:sz w:val="20"/>
                <w:szCs w:val="20"/>
                <w:color w:val="auto"/>
              </w:rPr>
            </w:pPr>
            <w:r>
              <w:rPr>
                <w:rFonts w:ascii="Arial" w:cs="Arial" w:eastAsia="Arial" w:hAnsi="Arial"/>
                <w:sz w:val="11"/>
                <w:szCs w:val="11"/>
                <w:color w:val="auto"/>
              </w:rPr>
              <w:t>-</w:t>
            </w:r>
          </w:p>
        </w:tc>
        <w:tc>
          <w:tcPr>
            <w:tcW w:w="900" w:type="dxa"/>
            <w:vAlign w:val="bottom"/>
          </w:tcPr>
          <w:p>
            <w:pPr>
              <w:jc w:val="center"/>
              <w:ind w:right="3"/>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23"/>
              <w:spacing w:after="0"/>
              <w:rPr>
                <w:sz w:val="20"/>
                <w:szCs w:val="20"/>
                <w:color w:val="auto"/>
              </w:rPr>
            </w:pPr>
            <w:r>
              <w:rPr>
                <w:rFonts w:ascii="Arial" w:cs="Arial" w:eastAsia="Arial" w:hAnsi="Arial"/>
                <w:sz w:val="11"/>
                <w:szCs w:val="11"/>
                <w:color w:val="auto"/>
              </w:rPr>
              <w:t>-</w:t>
            </w:r>
          </w:p>
        </w:tc>
        <w:tc>
          <w:tcPr>
            <w:tcW w:w="880" w:type="dxa"/>
            <w:vAlign w:val="bottom"/>
          </w:tcPr>
          <w:p>
            <w:pPr>
              <w:jc w:val="center"/>
              <w:ind w:left="103"/>
              <w:spacing w:after="0"/>
              <w:rPr>
                <w:sz w:val="20"/>
                <w:szCs w:val="20"/>
                <w:color w:val="auto"/>
              </w:rPr>
            </w:pPr>
            <w:r>
              <w:rPr>
                <w:rFonts w:ascii="Arial" w:cs="Arial" w:eastAsia="Arial" w:hAnsi="Arial"/>
                <w:sz w:val="11"/>
                <w:szCs w:val="11"/>
                <w:color w:val="auto"/>
                <w:w w:val="96"/>
              </w:rPr>
              <w:t>6,050</w:t>
            </w:r>
            <w:r>
              <w:rPr>
                <w:rFonts w:ascii="Arial" w:cs="Arial" w:eastAsia="Arial" w:hAnsi="Arial"/>
                <w:sz w:val="17"/>
                <w:szCs w:val="17"/>
                <w:color w:val="auto"/>
                <w:w w:val="96"/>
                <w:vertAlign w:val="superscript"/>
              </w:rPr>
              <w:t>(4)</w:t>
            </w:r>
          </w:p>
        </w:tc>
        <w:tc>
          <w:tcPr>
            <w:tcW w:w="880" w:type="dxa"/>
            <w:vAlign w:val="bottom"/>
          </w:tcPr>
          <w:p>
            <w:pPr>
              <w:jc w:val="right"/>
              <w:ind w:right="383"/>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243"/>
              <w:spacing w:after="0"/>
              <w:rPr>
                <w:sz w:val="20"/>
                <w:szCs w:val="20"/>
                <w:color w:val="auto"/>
              </w:rPr>
            </w:pPr>
            <w:r>
              <w:rPr>
                <w:rFonts w:ascii="Arial" w:cs="Arial" w:eastAsia="Arial" w:hAnsi="Arial"/>
                <w:sz w:val="11"/>
                <w:szCs w:val="11"/>
                <w:color w:val="auto"/>
              </w:rPr>
              <w:t>-</w:t>
            </w:r>
          </w:p>
        </w:tc>
        <w:tc>
          <w:tcPr>
            <w:tcW w:w="920" w:type="dxa"/>
            <w:vAlign w:val="bottom"/>
          </w:tcPr>
          <w:p>
            <w:pPr>
              <w:jc w:val="center"/>
              <w:ind w:left="323"/>
              <w:spacing w:after="0"/>
              <w:rPr>
                <w:sz w:val="20"/>
                <w:szCs w:val="20"/>
                <w:color w:val="auto"/>
              </w:rPr>
            </w:pPr>
            <w:r>
              <w:rPr>
                <w:rFonts w:ascii="Arial" w:cs="Arial" w:eastAsia="Arial" w:hAnsi="Arial"/>
                <w:sz w:val="11"/>
                <w:szCs w:val="11"/>
                <w:color w:val="auto"/>
                <w:w w:val="98"/>
              </w:rPr>
              <w:t>   498,823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gridSpan w:val="3"/>
          </w:tcPr>
          <w:p>
            <w:pPr>
              <w:jc w:val="right"/>
              <w:ind w:right="303"/>
              <w:spacing w:after="0"/>
              <w:rPr>
                <w:sz w:val="20"/>
                <w:szCs w:val="20"/>
                <w:color w:val="auto"/>
              </w:rPr>
            </w:pPr>
            <w:r>
              <w:rPr>
                <w:rFonts w:ascii="Arial" w:cs="Arial" w:eastAsia="Arial" w:hAnsi="Arial"/>
                <w:sz w:val="11"/>
                <w:szCs w:val="11"/>
                <w:color w:val="auto"/>
              </w:rPr>
              <w:t>01/07/2025</w:t>
            </w:r>
          </w:p>
        </w:tc>
        <w:tc>
          <w:tcPr>
            <w:tcW w:w="960" w:type="dxa"/>
            <w:vAlign w:val="bottom"/>
            <w:gridSpan w:val="2"/>
          </w:tcPr>
          <w:p>
            <w:pPr>
              <w:jc w:val="center"/>
              <w:ind w:left="223"/>
              <w:spacing w:after="0"/>
              <w:rPr>
                <w:sz w:val="20"/>
                <w:szCs w:val="20"/>
                <w:color w:val="auto"/>
              </w:rPr>
            </w:pPr>
            <w:r>
              <w:rPr>
                <w:rFonts w:ascii="Arial" w:cs="Arial" w:eastAsia="Arial" w:hAnsi="Arial"/>
                <w:sz w:val="11"/>
                <w:szCs w:val="11"/>
                <w:color w:val="auto"/>
              </w:rPr>
              <w:t>-</w:t>
            </w:r>
          </w:p>
        </w:tc>
        <w:tc>
          <w:tcPr>
            <w:tcW w:w="1000" w:type="dxa"/>
            <w:vAlign w:val="bottom"/>
          </w:tcPr>
          <w:p>
            <w:pPr>
              <w:jc w:val="center"/>
              <w:ind w:left="103"/>
              <w:spacing w:after="0"/>
              <w:rPr>
                <w:sz w:val="20"/>
                <w:szCs w:val="20"/>
                <w:color w:val="auto"/>
              </w:rPr>
            </w:pPr>
            <w:r>
              <w:rPr>
                <w:rFonts w:ascii="Arial" w:cs="Arial" w:eastAsia="Arial" w:hAnsi="Arial"/>
                <w:sz w:val="11"/>
                <w:szCs w:val="11"/>
                <w:color w:val="auto"/>
              </w:rPr>
              <w:t>-</w:t>
            </w:r>
          </w:p>
        </w:tc>
        <w:tc>
          <w:tcPr>
            <w:tcW w:w="900" w:type="dxa"/>
            <w:vAlign w:val="bottom"/>
          </w:tcPr>
          <w:p>
            <w:pPr>
              <w:jc w:val="center"/>
              <w:ind w:right="3"/>
              <w:spacing w:after="0"/>
              <w:rPr>
                <w:sz w:val="20"/>
                <w:szCs w:val="20"/>
                <w:color w:val="auto"/>
              </w:rPr>
            </w:pPr>
            <w:r>
              <w:rPr>
                <w:rFonts w:ascii="Arial" w:cs="Arial" w:eastAsia="Arial" w:hAnsi="Arial"/>
                <w:sz w:val="11"/>
                <w:szCs w:val="11"/>
                <w:color w:val="auto"/>
              </w:rPr>
              <w:t>-</w:t>
            </w:r>
          </w:p>
        </w:tc>
        <w:tc>
          <w:tcPr>
            <w:tcW w:w="960" w:type="dxa"/>
            <w:vAlign w:val="bottom"/>
          </w:tcPr>
          <w:p>
            <w:pPr>
              <w:jc w:val="center"/>
              <w:ind w:left="203"/>
              <w:spacing w:after="0"/>
              <w:rPr>
                <w:sz w:val="20"/>
                <w:szCs w:val="20"/>
                <w:color w:val="auto"/>
              </w:rPr>
            </w:pPr>
            <w:r>
              <w:rPr>
                <w:rFonts w:ascii="Arial" w:cs="Arial" w:eastAsia="Arial" w:hAnsi="Arial"/>
                <w:sz w:val="11"/>
                <w:szCs w:val="11"/>
                <w:color w:val="auto"/>
                <w:w w:val="91"/>
              </w:rPr>
              <w:t>3,025</w:t>
            </w:r>
            <w:r>
              <w:rPr>
                <w:rFonts w:ascii="Arial" w:cs="Arial" w:eastAsia="Arial" w:hAnsi="Arial"/>
                <w:sz w:val="17"/>
                <w:szCs w:val="17"/>
                <w:color w:val="auto"/>
                <w:w w:val="91"/>
                <w:vertAlign w:val="superscript"/>
              </w:rPr>
              <w:t>(5)</w:t>
            </w:r>
          </w:p>
        </w:tc>
        <w:tc>
          <w:tcPr>
            <w:tcW w:w="880" w:type="dxa"/>
            <w:vAlign w:val="bottom"/>
          </w:tcPr>
          <w:p>
            <w:pPr>
              <w:jc w:val="center"/>
              <w:ind w:left="103"/>
              <w:spacing w:after="0"/>
              <w:rPr>
                <w:sz w:val="20"/>
                <w:szCs w:val="20"/>
                <w:color w:val="auto"/>
              </w:rPr>
            </w:pPr>
            <w:r>
              <w:rPr>
                <w:rFonts w:ascii="Arial" w:cs="Arial" w:eastAsia="Arial" w:hAnsi="Arial"/>
                <w:sz w:val="11"/>
                <w:szCs w:val="11"/>
                <w:color w:val="auto"/>
                <w:w w:val="96"/>
              </w:rPr>
              <w:t>5,041</w:t>
            </w:r>
            <w:r>
              <w:rPr>
                <w:rFonts w:ascii="Arial" w:cs="Arial" w:eastAsia="Arial" w:hAnsi="Arial"/>
                <w:sz w:val="17"/>
                <w:szCs w:val="17"/>
                <w:color w:val="auto"/>
                <w:w w:val="96"/>
                <w:vertAlign w:val="superscript"/>
              </w:rPr>
              <w:t>(5)</w:t>
            </w:r>
          </w:p>
        </w:tc>
        <w:tc>
          <w:tcPr>
            <w:tcW w:w="880" w:type="dxa"/>
            <w:vAlign w:val="bottom"/>
          </w:tcPr>
          <w:p>
            <w:pPr>
              <w:jc w:val="right"/>
              <w:ind w:right="183"/>
              <w:spacing w:after="0"/>
              <w:rPr>
                <w:sz w:val="20"/>
                <w:szCs w:val="20"/>
                <w:color w:val="auto"/>
              </w:rPr>
            </w:pPr>
            <w:r>
              <w:rPr>
                <w:rFonts w:ascii="Arial" w:cs="Arial" w:eastAsia="Arial" w:hAnsi="Arial"/>
                <w:sz w:val="11"/>
                <w:szCs w:val="11"/>
                <w:color w:val="auto"/>
              </w:rPr>
              <w:t>   8,066</w:t>
            </w:r>
            <w:r>
              <w:rPr>
                <w:rFonts w:ascii="Arial" w:cs="Arial" w:eastAsia="Arial" w:hAnsi="Arial"/>
                <w:sz w:val="17"/>
                <w:szCs w:val="17"/>
                <w:color w:val="auto"/>
                <w:vertAlign w:val="superscript"/>
              </w:rPr>
              <w:t>(5)</w:t>
            </w:r>
          </w:p>
        </w:tc>
        <w:tc>
          <w:tcPr>
            <w:tcW w:w="820" w:type="dxa"/>
            <w:vAlign w:val="bottom"/>
          </w:tcPr>
          <w:p>
            <w:pPr>
              <w:jc w:val="center"/>
              <w:ind w:left="243"/>
              <w:spacing w:after="0"/>
              <w:rPr>
                <w:sz w:val="20"/>
                <w:szCs w:val="20"/>
                <w:color w:val="auto"/>
              </w:rPr>
            </w:pPr>
            <w:r>
              <w:rPr>
                <w:rFonts w:ascii="Arial" w:cs="Arial" w:eastAsia="Arial" w:hAnsi="Arial"/>
                <w:sz w:val="11"/>
                <w:szCs w:val="11"/>
                <w:color w:val="auto"/>
              </w:rPr>
              <w:t>-</w:t>
            </w:r>
          </w:p>
        </w:tc>
        <w:tc>
          <w:tcPr>
            <w:tcW w:w="920" w:type="dxa"/>
            <w:vAlign w:val="bottom"/>
          </w:tcPr>
          <w:p>
            <w:pPr>
              <w:jc w:val="center"/>
              <w:ind w:left="323"/>
              <w:spacing w:after="0"/>
              <w:rPr>
                <w:sz w:val="20"/>
                <w:szCs w:val="20"/>
                <w:color w:val="auto"/>
              </w:rPr>
            </w:pPr>
            <w:r>
              <w:rPr>
                <w:rFonts w:ascii="Arial" w:cs="Arial" w:eastAsia="Arial" w:hAnsi="Arial"/>
                <w:sz w:val="11"/>
                <w:szCs w:val="11"/>
                <w:color w:val="auto"/>
                <w:w w:val="98"/>
              </w:rPr>
              <w:t>   361,440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shd w:val="clear" w:color="auto" w:fill="F1EFEC"/>
          </w:tcPr>
          <w:p>
            <w:pPr>
              <w:spacing w:after="0"/>
              <w:rPr>
                <w:sz w:val="20"/>
                <w:szCs w:val="20"/>
                <w:color w:val="auto"/>
              </w:rPr>
            </w:pPr>
          </w:p>
        </w:tc>
        <w:tc>
          <w:tcPr>
            <w:tcW w:w="40" w:type="dxa"/>
            <w:vAlign w:val="bottom"/>
            <w:shd w:val="clear" w:color="auto" w:fill="F1EFEC"/>
          </w:tcPr>
          <w:p>
            <w:pPr>
              <w:spacing w:after="0"/>
              <w:rPr>
                <w:sz w:val="20"/>
                <w:szCs w:val="20"/>
                <w:color w:val="auto"/>
              </w:rPr>
            </w:pPr>
          </w:p>
        </w:tc>
        <w:tc>
          <w:tcPr>
            <w:tcW w:w="380" w:type="dxa"/>
            <w:vAlign w:val="bottom"/>
            <w:shd w:val="clear" w:color="auto" w:fill="F1EFEC"/>
          </w:tcPr>
          <w:p>
            <w:pPr>
              <w:spacing w:after="0"/>
              <w:rPr>
                <w:sz w:val="20"/>
                <w:szCs w:val="20"/>
                <w:color w:val="auto"/>
              </w:rPr>
            </w:pPr>
          </w:p>
        </w:tc>
        <w:tc>
          <w:tcPr>
            <w:tcW w:w="920" w:type="dxa"/>
            <w:vAlign w:val="bottom"/>
            <w:shd w:val="clear" w:color="auto" w:fill="F1EFEC"/>
          </w:tcPr>
          <w:p>
            <w:pPr>
              <w:jc w:val="right"/>
              <w:ind w:right="303"/>
              <w:spacing w:after="0"/>
              <w:rPr>
                <w:sz w:val="20"/>
                <w:szCs w:val="20"/>
                <w:color w:val="auto"/>
              </w:rPr>
            </w:pPr>
            <w:r>
              <w:rPr>
                <w:rFonts w:ascii="Arial" w:cs="Arial" w:eastAsia="Arial" w:hAnsi="Arial"/>
                <w:sz w:val="11"/>
                <w:szCs w:val="11"/>
                <w:color w:val="auto"/>
              </w:rPr>
              <w:t>N/A</w:t>
            </w:r>
          </w:p>
        </w:tc>
        <w:tc>
          <w:tcPr>
            <w:tcW w:w="960" w:type="dxa"/>
            <w:vAlign w:val="bottom"/>
            <w:gridSpan w:val="2"/>
            <w:shd w:val="clear" w:color="auto" w:fill="F1EFEC"/>
          </w:tcPr>
          <w:p>
            <w:pPr>
              <w:jc w:val="center"/>
              <w:ind w:left="223"/>
              <w:spacing w:after="0"/>
              <w:rPr>
                <w:sz w:val="20"/>
                <w:szCs w:val="20"/>
                <w:color w:val="auto"/>
              </w:rPr>
            </w:pPr>
            <w:r>
              <w:rPr>
                <w:rFonts w:ascii="Arial" w:cs="Arial" w:eastAsia="Arial" w:hAnsi="Arial"/>
                <w:sz w:val="11"/>
                <w:szCs w:val="11"/>
                <w:color w:val="auto"/>
              </w:rPr>
              <w:t>1,320,000</w:t>
            </w:r>
          </w:p>
        </w:tc>
        <w:tc>
          <w:tcPr>
            <w:tcW w:w="1000" w:type="dxa"/>
            <w:vAlign w:val="bottom"/>
            <w:shd w:val="clear" w:color="auto" w:fill="F1EFEC"/>
          </w:tcPr>
          <w:p>
            <w:pPr>
              <w:jc w:val="center"/>
              <w:ind w:left="123"/>
              <w:spacing w:after="0"/>
              <w:rPr>
                <w:sz w:val="20"/>
                <w:szCs w:val="20"/>
                <w:color w:val="auto"/>
              </w:rPr>
            </w:pPr>
            <w:r>
              <w:rPr>
                <w:rFonts w:ascii="Arial" w:cs="Arial" w:eastAsia="Arial" w:hAnsi="Arial"/>
                <w:sz w:val="11"/>
                <w:szCs w:val="11"/>
                <w:color w:val="auto"/>
              </w:rPr>
              <w:t>1,650,000</w:t>
            </w:r>
          </w:p>
        </w:tc>
        <w:tc>
          <w:tcPr>
            <w:tcW w:w="900" w:type="dxa"/>
            <w:vAlign w:val="bottom"/>
            <w:shd w:val="clear" w:color="auto" w:fill="F1EFEC"/>
          </w:tcPr>
          <w:p>
            <w:pPr>
              <w:jc w:val="center"/>
              <w:ind w:right="23"/>
              <w:spacing w:after="0"/>
              <w:rPr>
                <w:sz w:val="20"/>
                <w:szCs w:val="20"/>
                <w:color w:val="auto"/>
              </w:rPr>
            </w:pPr>
            <w:r>
              <w:rPr>
                <w:rFonts w:ascii="Arial" w:cs="Arial" w:eastAsia="Arial" w:hAnsi="Arial"/>
                <w:sz w:val="11"/>
                <w:szCs w:val="11"/>
                <w:color w:val="auto"/>
              </w:rPr>
              <w:t>1,980,000</w:t>
            </w:r>
          </w:p>
        </w:tc>
        <w:tc>
          <w:tcPr>
            <w:tcW w:w="960" w:type="dxa"/>
            <w:vAlign w:val="bottom"/>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88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880" w:type="dxa"/>
            <w:vAlign w:val="bottom"/>
            <w:shd w:val="clear" w:color="auto" w:fill="F1EFEC"/>
          </w:tcPr>
          <w:p>
            <w:pPr>
              <w:jc w:val="right"/>
              <w:ind w:right="383"/>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left="243"/>
              <w:spacing w:after="0"/>
              <w:rPr>
                <w:sz w:val="20"/>
                <w:szCs w:val="20"/>
                <w:color w:val="auto"/>
              </w:rPr>
            </w:pPr>
            <w:r>
              <w:rPr>
                <w:rFonts w:ascii="Arial" w:cs="Arial" w:eastAsia="Arial" w:hAnsi="Arial"/>
                <w:sz w:val="11"/>
                <w:szCs w:val="11"/>
                <w:color w:val="auto"/>
              </w:rPr>
              <w:t>-</w:t>
            </w:r>
          </w:p>
        </w:tc>
        <w:tc>
          <w:tcPr>
            <w:tcW w:w="920" w:type="dxa"/>
            <w:vAlign w:val="bottom"/>
            <w:shd w:val="clear" w:color="auto" w:fill="F1EFEC"/>
          </w:tcPr>
          <w:p>
            <w:pPr>
              <w:jc w:val="center"/>
              <w:ind w:left="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780" w:type="dxa"/>
            <w:vAlign w:val="bottom"/>
            <w:vMerge w:val="restart"/>
            <w:shd w:val="clear" w:color="auto" w:fill="F1EFEC"/>
          </w:tcPr>
          <w:p>
            <w:pPr>
              <w:ind w:left="40"/>
              <w:spacing w:after="0"/>
              <w:rPr>
                <w:sz w:val="20"/>
                <w:szCs w:val="20"/>
                <w:color w:val="auto"/>
              </w:rPr>
            </w:pPr>
            <w:r>
              <w:rPr>
                <w:rFonts w:ascii="Arial" w:cs="Arial" w:eastAsia="Arial" w:hAnsi="Arial"/>
                <w:sz w:val="11"/>
                <w:szCs w:val="11"/>
                <w:color w:val="auto"/>
              </w:rPr>
              <w:t>Jacqui Krum</w:t>
            </w:r>
          </w:p>
        </w:tc>
        <w:tc>
          <w:tcPr>
            <w:tcW w:w="40" w:type="dxa"/>
            <w:vAlign w:val="bottom"/>
            <w:shd w:val="clear" w:color="auto" w:fill="F1EFEC"/>
          </w:tcPr>
          <w:p>
            <w:pPr>
              <w:spacing w:after="0"/>
              <w:rPr>
                <w:sz w:val="24"/>
                <w:szCs w:val="24"/>
                <w:color w:val="auto"/>
              </w:rPr>
            </w:pPr>
          </w:p>
        </w:tc>
        <w:tc>
          <w:tcPr>
            <w:tcW w:w="1300" w:type="dxa"/>
            <w:vAlign w:val="bottom"/>
            <w:gridSpan w:val="2"/>
            <w:shd w:val="clear" w:color="auto" w:fill="F1EFEC"/>
          </w:tcPr>
          <w:p>
            <w:pPr>
              <w:jc w:val="right"/>
              <w:ind w:right="303"/>
              <w:spacing w:after="0"/>
              <w:rPr>
                <w:sz w:val="20"/>
                <w:szCs w:val="20"/>
                <w:color w:val="auto"/>
              </w:rPr>
            </w:pPr>
            <w:r>
              <w:rPr>
                <w:rFonts w:ascii="Arial" w:cs="Arial" w:eastAsia="Arial" w:hAnsi="Arial"/>
                <w:sz w:val="11"/>
                <w:szCs w:val="11"/>
                <w:color w:val="auto"/>
              </w:rPr>
              <w:t>01/07/2025</w:t>
            </w:r>
          </w:p>
        </w:tc>
        <w:tc>
          <w:tcPr>
            <w:tcW w:w="960" w:type="dxa"/>
            <w:vAlign w:val="bottom"/>
            <w:gridSpan w:val="2"/>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100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F1EFEC"/>
          </w:tcPr>
          <w:p>
            <w:pPr>
              <w:jc w:val="center"/>
              <w:ind w:right="3"/>
              <w:spacing w:after="0"/>
              <w:rPr>
                <w:sz w:val="20"/>
                <w:szCs w:val="20"/>
                <w:color w:val="auto"/>
              </w:rPr>
            </w:pPr>
            <w:r>
              <w:rPr>
                <w:rFonts w:ascii="Arial" w:cs="Arial" w:eastAsia="Arial" w:hAnsi="Arial"/>
                <w:sz w:val="11"/>
                <w:szCs w:val="11"/>
                <w:color w:val="auto"/>
              </w:rPr>
              <w:t>-</w:t>
            </w:r>
          </w:p>
        </w:tc>
        <w:tc>
          <w:tcPr>
            <w:tcW w:w="960" w:type="dxa"/>
            <w:vAlign w:val="bottom"/>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88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880" w:type="dxa"/>
            <w:vAlign w:val="bottom"/>
            <w:shd w:val="clear" w:color="auto" w:fill="F1EFEC"/>
          </w:tcPr>
          <w:p>
            <w:pPr>
              <w:jc w:val="right"/>
              <w:ind w:right="383"/>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ind w:left="300"/>
              <w:spacing w:after="0"/>
              <w:rPr>
                <w:sz w:val="20"/>
                <w:szCs w:val="20"/>
                <w:color w:val="auto"/>
              </w:rPr>
            </w:pPr>
            <w:r>
              <w:rPr>
                <w:rFonts w:ascii="Arial" w:cs="Arial" w:eastAsia="Arial" w:hAnsi="Arial"/>
                <w:sz w:val="11"/>
                <w:szCs w:val="11"/>
                <w:color w:val="auto"/>
                <w:w w:val="93"/>
              </w:rPr>
              <w:t>   6,079</w:t>
            </w:r>
            <w:r>
              <w:rPr>
                <w:rFonts w:ascii="Arial" w:cs="Arial" w:eastAsia="Arial" w:hAnsi="Arial"/>
                <w:sz w:val="17"/>
                <w:szCs w:val="17"/>
                <w:color w:val="auto"/>
                <w:w w:val="93"/>
                <w:vertAlign w:val="superscript"/>
              </w:rPr>
              <w:t>(3)</w:t>
            </w:r>
          </w:p>
        </w:tc>
        <w:tc>
          <w:tcPr>
            <w:tcW w:w="920" w:type="dxa"/>
            <w:vAlign w:val="bottom"/>
            <w:shd w:val="clear" w:color="auto" w:fill="F1EFEC"/>
          </w:tcPr>
          <w:p>
            <w:pPr>
              <w:ind w:left="340"/>
              <w:spacing w:after="0"/>
              <w:rPr>
                <w:sz w:val="20"/>
                <w:szCs w:val="20"/>
                <w:color w:val="auto"/>
              </w:rPr>
            </w:pPr>
            <w:r>
              <w:rPr>
                <w:rFonts w:ascii="Arial" w:cs="Arial" w:eastAsia="Arial" w:hAnsi="Arial"/>
                <w:sz w:val="11"/>
                <w:szCs w:val="11"/>
                <w:color w:val="auto"/>
                <w:w w:val="96"/>
              </w:rPr>
              <w:t>     501,214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vMerge w:val="continue"/>
            <w:shd w:val="clear" w:color="auto" w:fill="F1EFEC"/>
          </w:tcPr>
          <w:p>
            <w:pPr>
              <w:spacing w:after="0"/>
              <w:rPr>
                <w:sz w:val="5"/>
                <w:szCs w:val="5"/>
                <w:color w:val="auto"/>
              </w:rPr>
            </w:pPr>
          </w:p>
        </w:tc>
        <w:tc>
          <w:tcPr>
            <w:tcW w:w="40" w:type="dxa"/>
            <w:vAlign w:val="bottom"/>
            <w:shd w:val="clear" w:color="auto" w:fill="F1EFEC"/>
          </w:tcPr>
          <w:p>
            <w:pPr>
              <w:spacing w:after="0"/>
              <w:rPr>
                <w:sz w:val="5"/>
                <w:szCs w:val="5"/>
                <w:color w:val="auto"/>
              </w:rPr>
            </w:pPr>
          </w:p>
        </w:tc>
        <w:tc>
          <w:tcPr>
            <w:tcW w:w="380" w:type="dxa"/>
            <w:vAlign w:val="bottom"/>
            <w:shd w:val="clear" w:color="auto" w:fill="F1EFEC"/>
          </w:tcPr>
          <w:p>
            <w:pPr>
              <w:spacing w:after="0"/>
              <w:rPr>
                <w:sz w:val="5"/>
                <w:szCs w:val="5"/>
                <w:color w:val="auto"/>
              </w:rPr>
            </w:pPr>
          </w:p>
        </w:tc>
        <w:tc>
          <w:tcPr>
            <w:tcW w:w="920" w:type="dxa"/>
            <w:vAlign w:val="bottom"/>
            <w:vMerge w:val="restart"/>
            <w:shd w:val="clear" w:color="auto" w:fill="F1EFEC"/>
          </w:tcPr>
          <w:p>
            <w:pPr>
              <w:jc w:val="right"/>
              <w:ind w:right="303"/>
              <w:spacing w:after="0"/>
              <w:rPr>
                <w:sz w:val="20"/>
                <w:szCs w:val="20"/>
                <w:color w:val="auto"/>
              </w:rPr>
            </w:pPr>
            <w:r>
              <w:rPr>
                <w:rFonts w:ascii="Arial" w:cs="Arial" w:eastAsia="Arial" w:hAnsi="Arial"/>
                <w:sz w:val="11"/>
                <w:szCs w:val="11"/>
                <w:color w:val="auto"/>
                <w:w w:val="98"/>
              </w:rPr>
              <w:t>01/07/2025</w:t>
            </w:r>
          </w:p>
        </w:tc>
        <w:tc>
          <w:tcPr>
            <w:tcW w:w="960" w:type="dxa"/>
            <w:vAlign w:val="bottom"/>
            <w:gridSpan w:val="2"/>
            <w:vMerge w:val="restart"/>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1000" w:type="dxa"/>
            <w:vAlign w:val="bottom"/>
            <w:vMerge w:val="restart"/>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900" w:type="dxa"/>
            <w:vAlign w:val="bottom"/>
            <w:vMerge w:val="restart"/>
            <w:shd w:val="clear" w:color="auto" w:fill="F1EFEC"/>
          </w:tcPr>
          <w:p>
            <w:pPr>
              <w:jc w:val="center"/>
              <w:ind w:right="3"/>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F1EFEC"/>
          </w:tcPr>
          <w:p>
            <w:pPr>
              <w:jc w:val="center"/>
              <w:ind w:left="103"/>
              <w:spacing w:after="0"/>
              <w:rPr>
                <w:sz w:val="20"/>
                <w:szCs w:val="20"/>
                <w:color w:val="auto"/>
              </w:rPr>
            </w:pPr>
            <w:r>
              <w:rPr>
                <w:rFonts w:ascii="Arial" w:cs="Arial" w:eastAsia="Arial" w:hAnsi="Arial"/>
                <w:sz w:val="11"/>
                <w:szCs w:val="11"/>
                <w:color w:val="auto"/>
                <w:w w:val="96"/>
              </w:rPr>
              <w:t>4,053</w:t>
            </w:r>
            <w:r>
              <w:rPr>
                <w:rFonts w:ascii="Arial" w:cs="Arial" w:eastAsia="Arial" w:hAnsi="Arial"/>
                <w:sz w:val="17"/>
                <w:szCs w:val="17"/>
                <w:color w:val="auto"/>
                <w:w w:val="96"/>
                <w:vertAlign w:val="superscript"/>
              </w:rPr>
              <w:t>(4)</w:t>
            </w:r>
          </w:p>
        </w:tc>
        <w:tc>
          <w:tcPr>
            <w:tcW w:w="880" w:type="dxa"/>
            <w:vAlign w:val="bottom"/>
            <w:vMerge w:val="restart"/>
            <w:shd w:val="clear" w:color="auto" w:fill="F1EFEC"/>
          </w:tcPr>
          <w:p>
            <w:pPr>
              <w:jc w:val="right"/>
              <w:ind w:right="383"/>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F1EFEC"/>
          </w:tcPr>
          <w:p>
            <w:pPr>
              <w:jc w:val="center"/>
              <w:ind w:left="243"/>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F1EFEC"/>
          </w:tcPr>
          <w:p>
            <w:pPr>
              <w:jc w:val="center"/>
              <w:ind w:left="303"/>
              <w:spacing w:after="0"/>
              <w:rPr>
                <w:sz w:val="20"/>
                <w:szCs w:val="20"/>
                <w:color w:val="auto"/>
              </w:rPr>
            </w:pPr>
            <w:r>
              <w:rPr>
                <w:rFonts w:ascii="Arial" w:cs="Arial" w:eastAsia="Arial" w:hAnsi="Arial"/>
                <w:sz w:val="11"/>
                <w:szCs w:val="11"/>
                <w:color w:val="auto"/>
                <w:w w:val="98"/>
              </w:rPr>
              <w:t>   334,170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shd w:val="clear" w:color="auto" w:fill="F1EFEC"/>
          </w:tcPr>
          <w:p>
            <w:pPr>
              <w:spacing w:after="0"/>
              <w:rPr>
                <w:sz w:val="16"/>
                <w:szCs w:val="16"/>
                <w:color w:val="auto"/>
              </w:rPr>
            </w:pPr>
          </w:p>
        </w:tc>
        <w:tc>
          <w:tcPr>
            <w:tcW w:w="40" w:type="dxa"/>
            <w:vAlign w:val="bottom"/>
            <w:shd w:val="clear" w:color="auto" w:fill="F1EFEC"/>
          </w:tcPr>
          <w:p>
            <w:pPr>
              <w:spacing w:after="0"/>
              <w:rPr>
                <w:sz w:val="16"/>
                <w:szCs w:val="16"/>
                <w:color w:val="auto"/>
              </w:rPr>
            </w:pPr>
          </w:p>
        </w:tc>
        <w:tc>
          <w:tcPr>
            <w:tcW w:w="380" w:type="dxa"/>
            <w:vAlign w:val="bottom"/>
            <w:shd w:val="clear" w:color="auto" w:fill="F1EFEC"/>
          </w:tcPr>
          <w:p>
            <w:pPr>
              <w:spacing w:after="0"/>
              <w:rPr>
                <w:sz w:val="16"/>
                <w:szCs w:val="16"/>
                <w:color w:val="auto"/>
              </w:rPr>
            </w:pPr>
          </w:p>
        </w:tc>
        <w:tc>
          <w:tcPr>
            <w:tcW w:w="920" w:type="dxa"/>
            <w:vAlign w:val="bottom"/>
            <w:vMerge w:val="continue"/>
            <w:shd w:val="clear" w:color="auto" w:fill="F1EFEC"/>
          </w:tcPr>
          <w:p>
            <w:pPr>
              <w:spacing w:after="0"/>
              <w:rPr>
                <w:sz w:val="16"/>
                <w:szCs w:val="16"/>
                <w:color w:val="auto"/>
              </w:rPr>
            </w:pPr>
          </w:p>
        </w:tc>
        <w:tc>
          <w:tcPr>
            <w:tcW w:w="960" w:type="dxa"/>
            <w:vAlign w:val="bottom"/>
            <w:gridSpan w:val="2"/>
            <w:vMerge w:val="continue"/>
            <w:shd w:val="clear" w:color="auto" w:fill="F1EFEC"/>
          </w:tcPr>
          <w:p>
            <w:pPr>
              <w:spacing w:after="0"/>
              <w:rPr>
                <w:sz w:val="16"/>
                <w:szCs w:val="16"/>
                <w:color w:val="auto"/>
              </w:rPr>
            </w:pPr>
          </w:p>
        </w:tc>
        <w:tc>
          <w:tcPr>
            <w:tcW w:w="1000" w:type="dxa"/>
            <w:vAlign w:val="bottom"/>
            <w:vMerge w:val="continue"/>
            <w:shd w:val="clear" w:color="auto" w:fill="F1EFEC"/>
          </w:tcPr>
          <w:p>
            <w:pPr>
              <w:spacing w:after="0"/>
              <w:rPr>
                <w:sz w:val="16"/>
                <w:szCs w:val="16"/>
                <w:color w:val="auto"/>
              </w:rPr>
            </w:pPr>
          </w:p>
        </w:tc>
        <w:tc>
          <w:tcPr>
            <w:tcW w:w="900" w:type="dxa"/>
            <w:vAlign w:val="bottom"/>
            <w:vMerge w:val="continue"/>
            <w:shd w:val="clear" w:color="auto" w:fill="F1EFEC"/>
          </w:tcPr>
          <w:p>
            <w:pPr>
              <w:spacing w:after="0"/>
              <w:rPr>
                <w:sz w:val="16"/>
                <w:szCs w:val="16"/>
                <w:color w:val="auto"/>
              </w:rPr>
            </w:pPr>
          </w:p>
        </w:tc>
        <w:tc>
          <w:tcPr>
            <w:tcW w:w="960" w:type="dxa"/>
            <w:vAlign w:val="bottom"/>
            <w:vMerge w:val="continue"/>
            <w:shd w:val="clear" w:color="auto" w:fill="F1EFEC"/>
          </w:tcPr>
          <w:p>
            <w:pPr>
              <w:spacing w:after="0"/>
              <w:rPr>
                <w:sz w:val="16"/>
                <w:szCs w:val="16"/>
                <w:color w:val="auto"/>
              </w:rPr>
            </w:pPr>
          </w:p>
        </w:tc>
        <w:tc>
          <w:tcPr>
            <w:tcW w:w="880" w:type="dxa"/>
            <w:vAlign w:val="bottom"/>
            <w:vMerge w:val="continue"/>
            <w:shd w:val="clear" w:color="auto" w:fill="F1EFEC"/>
          </w:tcPr>
          <w:p>
            <w:pPr>
              <w:spacing w:after="0"/>
              <w:rPr>
                <w:sz w:val="16"/>
                <w:szCs w:val="16"/>
                <w:color w:val="auto"/>
              </w:rPr>
            </w:pPr>
          </w:p>
        </w:tc>
        <w:tc>
          <w:tcPr>
            <w:tcW w:w="880" w:type="dxa"/>
            <w:vAlign w:val="bottom"/>
            <w:vMerge w:val="continue"/>
            <w:shd w:val="clear" w:color="auto" w:fill="F1EFEC"/>
          </w:tcPr>
          <w:p>
            <w:pPr>
              <w:spacing w:after="0"/>
              <w:rPr>
                <w:sz w:val="16"/>
                <w:szCs w:val="16"/>
                <w:color w:val="auto"/>
              </w:rPr>
            </w:pPr>
          </w:p>
        </w:tc>
        <w:tc>
          <w:tcPr>
            <w:tcW w:w="820" w:type="dxa"/>
            <w:vAlign w:val="bottom"/>
            <w:vMerge w:val="continue"/>
            <w:shd w:val="clear" w:color="auto" w:fill="F1EFEC"/>
          </w:tcPr>
          <w:p>
            <w:pPr>
              <w:spacing w:after="0"/>
              <w:rPr>
                <w:sz w:val="16"/>
                <w:szCs w:val="16"/>
                <w:color w:val="auto"/>
              </w:rPr>
            </w:pPr>
          </w:p>
        </w:tc>
        <w:tc>
          <w:tcPr>
            <w:tcW w:w="920" w:type="dxa"/>
            <w:vAlign w:val="bottom"/>
            <w:vMerge w:val="continue"/>
            <w:shd w:val="clear" w:color="auto" w:fill="F1EFEC"/>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80" w:type="dxa"/>
            <w:vAlign w:val="bottom"/>
            <w:shd w:val="clear" w:color="auto" w:fill="F1EFEC"/>
          </w:tcPr>
          <w:p>
            <w:pPr>
              <w:spacing w:after="0"/>
              <w:rPr>
                <w:sz w:val="23"/>
                <w:szCs w:val="23"/>
                <w:color w:val="auto"/>
              </w:rPr>
            </w:pPr>
          </w:p>
        </w:tc>
        <w:tc>
          <w:tcPr>
            <w:tcW w:w="40" w:type="dxa"/>
            <w:vAlign w:val="bottom"/>
            <w:shd w:val="clear" w:color="auto" w:fill="F1EFEC"/>
          </w:tcPr>
          <w:p>
            <w:pPr>
              <w:spacing w:after="0"/>
              <w:rPr>
                <w:sz w:val="23"/>
                <w:szCs w:val="23"/>
                <w:color w:val="auto"/>
              </w:rPr>
            </w:pPr>
          </w:p>
        </w:tc>
        <w:tc>
          <w:tcPr>
            <w:tcW w:w="380" w:type="dxa"/>
            <w:vAlign w:val="bottom"/>
            <w:shd w:val="clear" w:color="auto" w:fill="F1EFEC"/>
          </w:tcPr>
          <w:p>
            <w:pPr>
              <w:spacing w:after="0"/>
              <w:rPr>
                <w:sz w:val="23"/>
                <w:szCs w:val="23"/>
                <w:color w:val="auto"/>
              </w:rPr>
            </w:pPr>
          </w:p>
        </w:tc>
        <w:tc>
          <w:tcPr>
            <w:tcW w:w="920" w:type="dxa"/>
            <w:vAlign w:val="bottom"/>
            <w:shd w:val="clear" w:color="auto" w:fill="F1EFEC"/>
          </w:tcPr>
          <w:p>
            <w:pPr>
              <w:jc w:val="right"/>
              <w:ind w:right="303"/>
              <w:spacing w:after="0"/>
              <w:rPr>
                <w:sz w:val="20"/>
                <w:szCs w:val="20"/>
                <w:color w:val="auto"/>
              </w:rPr>
            </w:pPr>
            <w:r>
              <w:rPr>
                <w:rFonts w:ascii="Arial" w:cs="Arial" w:eastAsia="Arial" w:hAnsi="Arial"/>
                <w:sz w:val="11"/>
                <w:szCs w:val="11"/>
                <w:color w:val="auto"/>
                <w:w w:val="98"/>
              </w:rPr>
              <w:t>01/07/2025</w:t>
            </w:r>
          </w:p>
        </w:tc>
        <w:tc>
          <w:tcPr>
            <w:tcW w:w="960" w:type="dxa"/>
            <w:vAlign w:val="bottom"/>
            <w:gridSpan w:val="2"/>
            <w:shd w:val="clear" w:color="auto" w:fill="F1EFEC"/>
          </w:tcPr>
          <w:p>
            <w:pPr>
              <w:jc w:val="center"/>
              <w:ind w:left="223"/>
              <w:spacing w:after="0"/>
              <w:rPr>
                <w:sz w:val="20"/>
                <w:szCs w:val="20"/>
                <w:color w:val="auto"/>
              </w:rPr>
            </w:pPr>
            <w:r>
              <w:rPr>
                <w:rFonts w:ascii="Arial" w:cs="Arial" w:eastAsia="Arial" w:hAnsi="Arial"/>
                <w:sz w:val="11"/>
                <w:szCs w:val="11"/>
                <w:color w:val="auto"/>
              </w:rPr>
              <w:t>-</w:t>
            </w:r>
          </w:p>
        </w:tc>
        <w:tc>
          <w:tcPr>
            <w:tcW w:w="100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rPr>
              <w:t>-</w:t>
            </w:r>
          </w:p>
        </w:tc>
        <w:tc>
          <w:tcPr>
            <w:tcW w:w="900" w:type="dxa"/>
            <w:vAlign w:val="bottom"/>
            <w:shd w:val="clear" w:color="auto" w:fill="F1EFEC"/>
          </w:tcPr>
          <w:p>
            <w:pPr>
              <w:jc w:val="center"/>
              <w:ind w:right="3"/>
              <w:spacing w:after="0"/>
              <w:rPr>
                <w:sz w:val="20"/>
                <w:szCs w:val="20"/>
                <w:color w:val="auto"/>
              </w:rPr>
            </w:pPr>
            <w:r>
              <w:rPr>
                <w:rFonts w:ascii="Arial" w:cs="Arial" w:eastAsia="Arial" w:hAnsi="Arial"/>
                <w:sz w:val="11"/>
                <w:szCs w:val="11"/>
                <w:color w:val="auto"/>
              </w:rPr>
              <w:t>-</w:t>
            </w:r>
          </w:p>
        </w:tc>
        <w:tc>
          <w:tcPr>
            <w:tcW w:w="960" w:type="dxa"/>
            <w:vAlign w:val="bottom"/>
            <w:shd w:val="clear" w:color="auto" w:fill="F1EFEC"/>
          </w:tcPr>
          <w:p>
            <w:pPr>
              <w:jc w:val="center"/>
              <w:ind w:left="203"/>
              <w:spacing w:after="0"/>
              <w:rPr>
                <w:sz w:val="20"/>
                <w:szCs w:val="20"/>
                <w:color w:val="auto"/>
              </w:rPr>
            </w:pPr>
            <w:r>
              <w:rPr>
                <w:rFonts w:ascii="Arial" w:cs="Arial" w:eastAsia="Arial" w:hAnsi="Arial"/>
                <w:sz w:val="11"/>
                <w:szCs w:val="11"/>
                <w:color w:val="auto"/>
                <w:w w:val="91"/>
              </w:rPr>
              <w:t>2,027</w:t>
            </w:r>
            <w:r>
              <w:rPr>
                <w:rFonts w:ascii="Arial" w:cs="Arial" w:eastAsia="Arial" w:hAnsi="Arial"/>
                <w:sz w:val="17"/>
                <w:szCs w:val="17"/>
                <w:color w:val="auto"/>
                <w:w w:val="91"/>
                <w:vertAlign w:val="superscript"/>
              </w:rPr>
              <w:t>(5)</w:t>
            </w:r>
          </w:p>
        </w:tc>
        <w:tc>
          <w:tcPr>
            <w:tcW w:w="880" w:type="dxa"/>
            <w:vAlign w:val="bottom"/>
            <w:shd w:val="clear" w:color="auto" w:fill="F1EFEC"/>
          </w:tcPr>
          <w:p>
            <w:pPr>
              <w:jc w:val="center"/>
              <w:ind w:left="103"/>
              <w:spacing w:after="0"/>
              <w:rPr>
                <w:sz w:val="20"/>
                <w:szCs w:val="20"/>
                <w:color w:val="auto"/>
              </w:rPr>
            </w:pPr>
            <w:r>
              <w:rPr>
                <w:rFonts w:ascii="Arial" w:cs="Arial" w:eastAsia="Arial" w:hAnsi="Arial"/>
                <w:sz w:val="11"/>
                <w:szCs w:val="11"/>
                <w:color w:val="auto"/>
                <w:w w:val="96"/>
              </w:rPr>
              <w:t>3,378</w:t>
            </w:r>
            <w:r>
              <w:rPr>
                <w:rFonts w:ascii="Arial" w:cs="Arial" w:eastAsia="Arial" w:hAnsi="Arial"/>
                <w:sz w:val="17"/>
                <w:szCs w:val="17"/>
                <w:color w:val="auto"/>
                <w:w w:val="96"/>
                <w:vertAlign w:val="superscript"/>
              </w:rPr>
              <w:t>(5)</w:t>
            </w:r>
          </w:p>
        </w:tc>
        <w:tc>
          <w:tcPr>
            <w:tcW w:w="880" w:type="dxa"/>
            <w:vAlign w:val="bottom"/>
            <w:shd w:val="clear" w:color="auto" w:fill="F1EFEC"/>
          </w:tcPr>
          <w:p>
            <w:pPr>
              <w:jc w:val="right"/>
              <w:ind w:right="183"/>
              <w:spacing w:after="0"/>
              <w:rPr>
                <w:sz w:val="20"/>
                <w:szCs w:val="20"/>
                <w:color w:val="auto"/>
              </w:rPr>
            </w:pPr>
            <w:r>
              <w:rPr>
                <w:rFonts w:ascii="Arial" w:cs="Arial" w:eastAsia="Arial" w:hAnsi="Arial"/>
                <w:sz w:val="11"/>
                <w:szCs w:val="11"/>
                <w:color w:val="auto"/>
              </w:rPr>
              <w:t>   5,405</w:t>
            </w:r>
            <w:r>
              <w:rPr>
                <w:rFonts w:ascii="Arial" w:cs="Arial" w:eastAsia="Arial" w:hAnsi="Arial"/>
                <w:sz w:val="17"/>
                <w:szCs w:val="17"/>
                <w:color w:val="auto"/>
                <w:vertAlign w:val="superscript"/>
              </w:rPr>
              <w:t>(5)</w:t>
            </w:r>
          </w:p>
        </w:tc>
        <w:tc>
          <w:tcPr>
            <w:tcW w:w="820" w:type="dxa"/>
            <w:vAlign w:val="bottom"/>
            <w:shd w:val="clear" w:color="auto" w:fill="F1EFEC"/>
          </w:tcPr>
          <w:p>
            <w:pPr>
              <w:jc w:val="center"/>
              <w:ind w:left="243"/>
              <w:spacing w:after="0"/>
              <w:rPr>
                <w:sz w:val="20"/>
                <w:szCs w:val="20"/>
                <w:color w:val="auto"/>
              </w:rPr>
            </w:pPr>
            <w:r>
              <w:rPr>
                <w:rFonts w:ascii="Arial" w:cs="Arial" w:eastAsia="Arial" w:hAnsi="Arial"/>
                <w:sz w:val="11"/>
                <w:szCs w:val="11"/>
                <w:color w:val="auto"/>
              </w:rPr>
              <w:t>-</w:t>
            </w:r>
          </w:p>
        </w:tc>
        <w:tc>
          <w:tcPr>
            <w:tcW w:w="920" w:type="dxa"/>
            <w:vAlign w:val="bottom"/>
            <w:shd w:val="clear" w:color="auto" w:fill="F1EFEC"/>
          </w:tcPr>
          <w:p>
            <w:pPr>
              <w:jc w:val="center"/>
              <w:ind w:left="323"/>
              <w:spacing w:after="0"/>
              <w:rPr>
                <w:sz w:val="20"/>
                <w:szCs w:val="20"/>
                <w:color w:val="auto"/>
              </w:rPr>
            </w:pPr>
            <w:r>
              <w:rPr>
                <w:rFonts w:ascii="Arial" w:cs="Arial" w:eastAsia="Arial" w:hAnsi="Arial"/>
                <w:sz w:val="11"/>
                <w:szCs w:val="11"/>
                <w:color w:val="auto"/>
                <w:w w:val="98"/>
              </w:rPr>
              <w:t>   242,203</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260" w:right="860" w:firstLine="7"/>
        <w:spacing w:after="0" w:line="234" w:lineRule="auto"/>
        <w:tabs>
          <w:tab w:leader="none" w:pos="1410" w:val="left"/>
        </w:tabs>
        <w:numPr>
          <w:ilvl w:val="0"/>
          <w:numId w:val="38"/>
        </w:numPr>
        <w:rPr>
          <w:rFonts w:ascii="Arial" w:cs="Arial" w:eastAsia="Arial" w:hAnsi="Arial"/>
          <w:sz w:val="10"/>
          <w:szCs w:val="10"/>
          <w:color w:val="auto"/>
        </w:rPr>
      </w:pPr>
      <w:r>
        <w:rPr>
          <w:rFonts w:ascii="Arial" w:cs="Arial" w:eastAsia="Arial" w:hAnsi="Arial"/>
          <w:sz w:val="10"/>
          <w:szCs w:val="10"/>
          <w:color w:val="auto"/>
        </w:rPr>
        <w:t>The potential 2025 performance-based annual incentive awards that could have been earned by our NEOs for fiscal year 2025 were subject to (a) the limitations set forth in the Omnibus Plan, including the cash and stock grant limits and continued employment through the end of the performance period; (b) the Compensation Committee’s ability to reduce awards in its discretion; and</w:t>
      </w:r>
    </w:p>
    <w:p>
      <w:pPr>
        <w:ind w:left="1260"/>
        <w:spacing w:after="0" w:line="223" w:lineRule="auto"/>
        <w:rPr>
          <w:rFonts w:ascii="Arial" w:cs="Arial" w:eastAsia="Arial" w:hAnsi="Arial"/>
          <w:sz w:val="10"/>
          <w:szCs w:val="10"/>
          <w:color w:val="auto"/>
        </w:rPr>
      </w:pPr>
      <w:r>
        <w:rPr>
          <w:rFonts w:ascii="Arial" w:cs="Arial" w:eastAsia="Arial" w:hAnsi="Arial"/>
          <w:sz w:val="10"/>
          <w:szCs w:val="10"/>
          <w:color w:val="auto"/>
        </w:rPr>
        <w:t>(c) the Compensation Committee’s discretion to pay a portion of the awards in shares of Common Stock. Actual awards were based upon achievement of the following 2025 performance criteria:</w:t>
      </w:r>
    </w:p>
    <w:p>
      <w:pPr>
        <w:ind w:left="1260" w:right="800"/>
        <w:spacing w:after="0" w:line="230" w:lineRule="auto"/>
        <w:rPr>
          <w:rFonts w:ascii="Arial" w:cs="Arial" w:eastAsia="Arial" w:hAnsi="Arial"/>
          <w:sz w:val="10"/>
          <w:szCs w:val="10"/>
          <w:color w:val="auto"/>
        </w:rPr>
      </w:pPr>
      <w:r>
        <w:rPr>
          <w:rFonts w:ascii="Arial" w:cs="Arial" w:eastAsia="Arial" w:hAnsi="Arial"/>
          <w:sz w:val="10"/>
          <w:szCs w:val="10"/>
          <w:color w:val="auto"/>
        </w:rPr>
        <w:t>(i) achievement of a 2025 North America Adjusted Property EBITDAR goal; (ii) achievement of a 2025 Macau Operations Adjusted Property EBITDAR goal; (iii) achievement of Wynn Las Vegas GGR market share goal; (iv) achievement of Forbes Five-Star at Wynn Las Vegas; and (v) advancement of Design &amp; Development of Wynn Al Marjan Island. Please refer to “Compensation Discussion and Analysis-How We Designed Incentives for 2025” for a description of each of the goals and achievement of performance against those goals. As described in the section above titled “2025 Annual incentive payout“, in January 2026, the Compensation Committee exercised its discretion to pay the applicable NEO the actual earned annual incentive award one-third in shares of fully vested stock and two-thirds in cash.</w:t>
      </w:r>
    </w:p>
    <w:p>
      <w:pPr>
        <w:spacing w:after="0" w:line="61" w:lineRule="exact"/>
        <w:rPr>
          <w:rFonts w:ascii="Arial" w:cs="Arial" w:eastAsia="Arial" w:hAnsi="Arial"/>
          <w:sz w:val="10"/>
          <w:szCs w:val="10"/>
          <w:color w:val="auto"/>
        </w:rPr>
      </w:pPr>
    </w:p>
    <w:p>
      <w:pPr>
        <w:ind w:left="1420" w:hanging="153"/>
        <w:spacing w:after="0"/>
        <w:tabs>
          <w:tab w:leader="none" w:pos="1420" w:val="left"/>
        </w:tabs>
        <w:numPr>
          <w:ilvl w:val="0"/>
          <w:numId w:val="38"/>
        </w:numPr>
        <w:rPr>
          <w:rFonts w:ascii="Arial" w:cs="Arial" w:eastAsia="Arial" w:hAnsi="Arial"/>
          <w:sz w:val="10"/>
          <w:szCs w:val="10"/>
          <w:color w:val="auto"/>
        </w:rPr>
      </w:pPr>
      <w:r>
        <w:rPr>
          <w:rFonts w:ascii="Arial" w:cs="Arial" w:eastAsia="Arial" w:hAnsi="Arial"/>
          <w:sz w:val="10"/>
          <w:szCs w:val="10"/>
          <w:color w:val="auto"/>
        </w:rPr>
        <w:t>The amounts set forth in this column reflect the aggregate grant date fair value of stock awards granted to our NEOs, as computed in accordance with FASB ASC Topic 718. See our Annual</w:t>
      </w:r>
    </w:p>
    <w:p>
      <w:pPr>
        <w:spacing w:after="0" w:line="2" w:lineRule="exact"/>
        <w:rPr>
          <w:rFonts w:ascii="Arial" w:cs="Arial" w:eastAsia="Arial" w:hAnsi="Arial"/>
          <w:sz w:val="10"/>
          <w:szCs w:val="10"/>
          <w:color w:val="auto"/>
        </w:rPr>
      </w:pPr>
    </w:p>
    <w:p>
      <w:pPr>
        <w:ind w:left="1260" w:right="800"/>
        <w:spacing w:after="0" w:line="239" w:lineRule="auto"/>
        <w:rPr>
          <w:rFonts w:ascii="Arial" w:cs="Arial" w:eastAsia="Arial" w:hAnsi="Arial"/>
          <w:sz w:val="10"/>
          <w:szCs w:val="10"/>
          <w:color w:val="auto"/>
        </w:rPr>
      </w:pPr>
      <w:r>
        <w:rPr>
          <w:rFonts w:ascii="Arial" w:cs="Arial" w:eastAsia="Arial" w:hAnsi="Arial"/>
          <w:sz w:val="10"/>
          <w:szCs w:val="10"/>
          <w:color w:val="auto"/>
        </w:rPr>
        <w:t>Report on Form 10-K for the fiscal year ended December 31, 2025, Item 8, Note 13 -“Stock-Based Compensation” to our Consolidated Financial Statements for assumptions used in computing fair value.</w:t>
      </w:r>
    </w:p>
    <w:p>
      <w:pPr>
        <w:spacing w:after="0" w:line="61" w:lineRule="exact"/>
        <w:rPr>
          <w:rFonts w:ascii="Arial" w:cs="Arial" w:eastAsia="Arial" w:hAnsi="Arial"/>
          <w:sz w:val="10"/>
          <w:szCs w:val="10"/>
          <w:color w:val="auto"/>
        </w:rPr>
      </w:pPr>
    </w:p>
    <w:p>
      <w:pPr>
        <w:ind w:left="1420" w:hanging="153"/>
        <w:spacing w:after="0"/>
        <w:tabs>
          <w:tab w:leader="none" w:pos="1420" w:val="left"/>
        </w:tabs>
        <w:numPr>
          <w:ilvl w:val="0"/>
          <w:numId w:val="38"/>
        </w:numPr>
        <w:rPr>
          <w:rFonts w:ascii="Arial" w:cs="Arial" w:eastAsia="Arial" w:hAnsi="Arial"/>
          <w:sz w:val="10"/>
          <w:szCs w:val="10"/>
          <w:color w:val="auto"/>
        </w:rPr>
      </w:pPr>
      <w:r>
        <w:rPr>
          <w:rFonts w:ascii="Arial" w:cs="Arial" w:eastAsia="Arial" w:hAnsi="Arial"/>
          <w:sz w:val="10"/>
          <w:szCs w:val="10"/>
          <w:color w:val="auto"/>
        </w:rPr>
        <w:t>Restricted stock award vests ratably on January 7, 2026, 2027 and 2028, subject to continued employment through each such vesting date.</w:t>
      </w:r>
    </w:p>
    <w:p>
      <w:pPr>
        <w:spacing w:after="0" w:line="78" w:lineRule="exact"/>
        <w:rPr>
          <w:rFonts w:ascii="Arial" w:cs="Arial" w:eastAsia="Arial" w:hAnsi="Arial"/>
          <w:sz w:val="10"/>
          <w:szCs w:val="10"/>
          <w:color w:val="auto"/>
        </w:rPr>
      </w:pPr>
    </w:p>
    <w:p>
      <w:pPr>
        <w:ind w:left="1260" w:right="920" w:firstLine="7"/>
        <w:spacing w:after="0" w:line="260" w:lineRule="auto"/>
        <w:tabs>
          <w:tab w:leader="none" w:pos="1410" w:val="left"/>
        </w:tabs>
        <w:numPr>
          <w:ilvl w:val="0"/>
          <w:numId w:val="38"/>
        </w:numPr>
        <w:rPr>
          <w:rFonts w:ascii="Arial" w:cs="Arial" w:eastAsia="Arial" w:hAnsi="Arial"/>
          <w:sz w:val="10"/>
          <w:szCs w:val="10"/>
          <w:color w:val="auto"/>
        </w:rPr>
      </w:pPr>
      <w:r>
        <w:rPr>
          <w:rFonts w:ascii="Arial" w:cs="Arial" w:eastAsia="Arial" w:hAnsi="Arial"/>
          <w:sz w:val="10"/>
          <w:szCs w:val="10"/>
          <w:color w:val="auto"/>
        </w:rPr>
        <w:t>Restricted stock award vests ratably on February 28, 2026, 2027 and 2028, subject to the achievement of pre-established Las Vegas property-level revenue and Adjusted Property EBITDAR performance goals over a one-, two-, and three-year period, respectively, and subject to continued employment through the vesting date.</w:t>
      </w:r>
    </w:p>
    <w:p>
      <w:pPr>
        <w:spacing w:after="0" w:line="51" w:lineRule="exact"/>
        <w:rPr>
          <w:rFonts w:ascii="Arial" w:cs="Arial" w:eastAsia="Arial" w:hAnsi="Arial"/>
          <w:sz w:val="10"/>
          <w:szCs w:val="10"/>
          <w:color w:val="auto"/>
        </w:rPr>
      </w:pPr>
    </w:p>
    <w:p>
      <w:pPr>
        <w:ind w:left="1260" w:right="980" w:firstLine="7"/>
        <w:spacing w:after="0" w:line="260" w:lineRule="auto"/>
        <w:tabs>
          <w:tab w:leader="none" w:pos="1410" w:val="left"/>
        </w:tabs>
        <w:numPr>
          <w:ilvl w:val="0"/>
          <w:numId w:val="38"/>
        </w:numPr>
        <w:rPr>
          <w:rFonts w:ascii="Arial" w:cs="Arial" w:eastAsia="Arial" w:hAnsi="Arial"/>
          <w:sz w:val="10"/>
          <w:szCs w:val="10"/>
          <w:color w:val="auto"/>
        </w:rPr>
      </w:pPr>
      <w:r>
        <w:rPr>
          <w:rFonts w:ascii="Arial" w:cs="Arial" w:eastAsia="Arial" w:hAnsi="Arial"/>
          <w:sz w:val="10"/>
          <w:szCs w:val="10"/>
          <w:color w:val="auto"/>
        </w:rPr>
        <w:t>Refer to the “2025 Summary Compensation Table” for further information. PSU awards scheduled to vest on or around January 1, 2028 subject to the level of performance achievement and ratification of that performance achievement by the Compensation Committee.</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0720"/>
          </w:cols>
          <w:pgMar w:left="300" w:top="412" w:right="8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36"/>
          <w:szCs w:val="36"/>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142240</wp:posOffset>
            </wp:positionV>
            <wp:extent cx="5559425" cy="48983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59425" cy="4898390"/>
                    </a:xfrm>
                    <a:prstGeom prst="rect">
                      <a:avLst/>
                    </a:prstGeom>
                    <a:noFill/>
                  </pic:spPr>
                </pic:pic>
              </a:graphicData>
            </a:graphic>
          </wp:anchor>
        </w:drawing>
      </w:r>
    </w:p>
    <w:p>
      <w:pPr>
        <w:sectPr>
          <w:pgSz w:w="11900" w:h="16838" w:orient="portrait"/>
          <w:cols w:equalWidth="0" w:num="1">
            <w:col w:w="10159"/>
          </w:cols>
          <w:pgMar w:left="300" w:top="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1"/>
          <w:szCs w:val="11"/>
          <w:color w:val="FFFFFF"/>
        </w:rPr>
        <w:t>NAMED EXECUTIVE</w:t>
      </w:r>
    </w:p>
    <w:p>
      <w:pPr>
        <w:spacing w:after="0" w:line="2" w:lineRule="exact"/>
        <w:rPr>
          <w:sz w:val="20"/>
          <w:szCs w:val="20"/>
          <w:color w:val="auto"/>
        </w:rPr>
      </w:pPr>
    </w:p>
    <w:p>
      <w:pPr>
        <w:ind w:left="1320"/>
        <w:spacing w:after="0"/>
        <w:rPr>
          <w:sz w:val="20"/>
          <w:szCs w:val="20"/>
          <w:color w:val="auto"/>
        </w:rPr>
      </w:pPr>
      <w:r>
        <w:rPr>
          <w:rFonts w:ascii="Arial" w:cs="Arial" w:eastAsia="Arial" w:hAnsi="Arial"/>
          <w:sz w:val="11"/>
          <w:szCs w:val="11"/>
          <w:color w:val="FFFF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247015</wp:posOffset>
            </wp:positionV>
            <wp:extent cx="1280795" cy="1662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80795" cy="166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Craig S. Billings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Julie M.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693420</wp:posOffset>
            </wp:positionV>
            <wp:extent cx="1280795" cy="10083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0795" cy="100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auto"/>
        </w:rPr>
        <w:t>Jacqui Krum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80" w:type="dxa"/>
            <w:vAlign w:val="bottom"/>
            <w:shd w:val="clear" w:color="auto" w:fill="B9AFA0"/>
          </w:tcPr>
          <w:p>
            <w:pPr>
              <w:spacing w:after="0"/>
              <w:rPr>
                <w:sz w:val="16"/>
                <w:szCs w:val="16"/>
                <w:color w:val="auto"/>
              </w:rPr>
            </w:pPr>
          </w:p>
        </w:tc>
        <w:tc>
          <w:tcPr>
            <w:tcW w:w="1720" w:type="dxa"/>
            <w:vAlign w:val="bottom"/>
            <w:gridSpan w:val="3"/>
            <w:shd w:val="clear" w:color="auto" w:fill="B9AFA0"/>
          </w:tcPr>
          <w:p>
            <w:pPr>
              <w:ind w:left="380"/>
              <w:spacing w:after="0"/>
              <w:rPr>
                <w:sz w:val="20"/>
                <w:szCs w:val="20"/>
                <w:color w:val="auto"/>
              </w:rPr>
            </w:pPr>
            <w:r>
              <w:rPr>
                <w:rFonts w:ascii="Arial" w:cs="Arial" w:eastAsia="Arial" w:hAnsi="Arial"/>
                <w:sz w:val="11"/>
                <w:szCs w:val="11"/>
                <w:color w:val="FFFFFF"/>
              </w:rPr>
              <w:t>OPTION AWARDS</w:t>
            </w:r>
          </w:p>
        </w:tc>
        <w:tc>
          <w:tcPr>
            <w:tcW w:w="60" w:type="dxa"/>
            <w:vAlign w:val="bottom"/>
            <w:shd w:val="clear" w:color="auto" w:fill="B9AFA0"/>
          </w:tcPr>
          <w:p>
            <w:pPr>
              <w:spacing w:after="0"/>
              <w:rPr>
                <w:sz w:val="16"/>
                <w:szCs w:val="16"/>
                <w:color w:val="auto"/>
              </w:rPr>
            </w:pPr>
          </w:p>
        </w:tc>
        <w:tc>
          <w:tcPr>
            <w:tcW w:w="700" w:type="dxa"/>
            <w:vAlign w:val="bottom"/>
            <w:shd w:val="clear" w:color="auto" w:fill="B9AFA0"/>
          </w:tcPr>
          <w:p>
            <w:pPr>
              <w:spacing w:after="0"/>
              <w:rPr>
                <w:sz w:val="16"/>
                <w:szCs w:val="16"/>
                <w:color w:val="auto"/>
              </w:rPr>
            </w:pPr>
          </w:p>
        </w:tc>
        <w:tc>
          <w:tcPr>
            <w:tcW w:w="80" w:type="dxa"/>
            <w:vAlign w:val="bottom"/>
            <w:shd w:val="clear" w:color="auto" w:fill="B9AFA0"/>
          </w:tcPr>
          <w:p>
            <w:pPr>
              <w:spacing w:after="0"/>
              <w:rPr>
                <w:sz w:val="16"/>
                <w:szCs w:val="16"/>
                <w:color w:val="auto"/>
              </w:rPr>
            </w:pPr>
          </w:p>
        </w:tc>
        <w:tc>
          <w:tcPr>
            <w:tcW w:w="740" w:type="dxa"/>
            <w:vAlign w:val="bottom"/>
            <w:shd w:val="clear" w:color="auto" w:fill="B9AFA0"/>
          </w:tcPr>
          <w:p>
            <w:pPr>
              <w:spacing w:after="0"/>
              <w:rPr>
                <w:sz w:val="16"/>
                <w:szCs w:val="16"/>
                <w:color w:val="auto"/>
              </w:rPr>
            </w:pPr>
          </w:p>
        </w:tc>
        <w:tc>
          <w:tcPr>
            <w:tcW w:w="1740" w:type="dxa"/>
            <w:vAlign w:val="bottom"/>
            <w:gridSpan w:val="2"/>
            <w:shd w:val="clear" w:color="auto" w:fill="B9AFA0"/>
          </w:tcPr>
          <w:p>
            <w:pPr>
              <w:jc w:val="right"/>
              <w:ind w:right="444"/>
              <w:spacing w:after="0"/>
              <w:rPr>
                <w:sz w:val="20"/>
                <w:szCs w:val="20"/>
                <w:color w:val="auto"/>
              </w:rPr>
            </w:pPr>
            <w:r>
              <w:rPr>
                <w:rFonts w:ascii="Arial" w:cs="Arial" w:eastAsia="Arial" w:hAnsi="Arial"/>
                <w:sz w:val="11"/>
                <w:szCs w:val="11"/>
                <w:color w:val="FFFFFF"/>
              </w:rPr>
              <w:t>STOCK AWARDS</w:t>
            </w:r>
          </w:p>
        </w:tc>
        <w:tc>
          <w:tcPr>
            <w:tcW w:w="820" w:type="dxa"/>
            <w:vAlign w:val="bottom"/>
            <w:shd w:val="clear" w:color="auto" w:fill="B9AFA0"/>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B9AFA0"/>
          </w:tcPr>
          <w:p>
            <w:pPr>
              <w:spacing w:after="0"/>
              <w:rPr>
                <w:sz w:val="17"/>
                <w:szCs w:val="17"/>
                <w:color w:val="auto"/>
              </w:rPr>
            </w:pPr>
          </w:p>
        </w:tc>
        <w:tc>
          <w:tcPr>
            <w:tcW w:w="1040" w:type="dxa"/>
            <w:vAlign w:val="bottom"/>
            <w:shd w:val="clear" w:color="auto" w:fill="B9AFA0"/>
          </w:tcPr>
          <w:p>
            <w:pPr>
              <w:spacing w:after="0"/>
              <w:rPr>
                <w:sz w:val="17"/>
                <w:szCs w:val="17"/>
                <w:color w:val="auto"/>
              </w:rPr>
            </w:pPr>
          </w:p>
        </w:tc>
        <w:tc>
          <w:tcPr>
            <w:tcW w:w="80" w:type="dxa"/>
            <w:vAlign w:val="bottom"/>
            <w:shd w:val="clear" w:color="auto" w:fill="B9AFA0"/>
          </w:tcPr>
          <w:p>
            <w:pPr>
              <w:spacing w:after="0"/>
              <w:rPr>
                <w:sz w:val="17"/>
                <w:szCs w:val="17"/>
                <w:color w:val="auto"/>
              </w:rPr>
            </w:pPr>
          </w:p>
        </w:tc>
        <w:tc>
          <w:tcPr>
            <w:tcW w:w="600" w:type="dxa"/>
            <w:vAlign w:val="bottom"/>
            <w:shd w:val="clear" w:color="auto" w:fill="B9AFA0"/>
          </w:tcPr>
          <w:p>
            <w:pPr>
              <w:spacing w:after="0"/>
              <w:rPr>
                <w:sz w:val="17"/>
                <w:szCs w:val="17"/>
                <w:color w:val="auto"/>
              </w:rPr>
            </w:pPr>
          </w:p>
        </w:tc>
        <w:tc>
          <w:tcPr>
            <w:tcW w:w="60" w:type="dxa"/>
            <w:vAlign w:val="bottom"/>
            <w:shd w:val="clear" w:color="auto" w:fill="B9AFA0"/>
          </w:tcPr>
          <w:p>
            <w:pPr>
              <w:spacing w:after="0"/>
              <w:rPr>
                <w:sz w:val="17"/>
                <w:szCs w:val="17"/>
                <w:color w:val="auto"/>
              </w:rPr>
            </w:pPr>
          </w:p>
        </w:tc>
        <w:tc>
          <w:tcPr>
            <w:tcW w:w="700" w:type="dxa"/>
            <w:vAlign w:val="bottom"/>
            <w:shd w:val="clear" w:color="auto" w:fill="B9AFA0"/>
          </w:tcPr>
          <w:p>
            <w:pPr>
              <w:spacing w:after="0"/>
              <w:rPr>
                <w:sz w:val="17"/>
                <w:szCs w:val="17"/>
                <w:color w:val="auto"/>
              </w:rPr>
            </w:pPr>
          </w:p>
        </w:tc>
        <w:tc>
          <w:tcPr>
            <w:tcW w:w="80" w:type="dxa"/>
            <w:vAlign w:val="bottom"/>
            <w:shd w:val="clear" w:color="auto" w:fill="B9AFA0"/>
          </w:tcPr>
          <w:p>
            <w:pPr>
              <w:spacing w:after="0"/>
              <w:rPr>
                <w:sz w:val="17"/>
                <w:szCs w:val="17"/>
                <w:color w:val="auto"/>
              </w:rPr>
            </w:pPr>
          </w:p>
        </w:tc>
        <w:tc>
          <w:tcPr>
            <w:tcW w:w="740" w:type="dxa"/>
            <w:vAlign w:val="bottom"/>
            <w:shd w:val="clear" w:color="auto" w:fill="B9AFA0"/>
          </w:tcPr>
          <w:p>
            <w:pPr>
              <w:spacing w:after="0"/>
              <w:rPr>
                <w:sz w:val="17"/>
                <w:szCs w:val="17"/>
                <w:color w:val="auto"/>
              </w:rPr>
            </w:pPr>
          </w:p>
        </w:tc>
        <w:tc>
          <w:tcPr>
            <w:tcW w:w="760" w:type="dxa"/>
            <w:vAlign w:val="bottom"/>
            <w:shd w:val="clear" w:color="auto" w:fill="B9AFA0"/>
          </w:tcPr>
          <w:p>
            <w:pPr>
              <w:spacing w:after="0"/>
              <w:rPr>
                <w:sz w:val="17"/>
                <w:szCs w:val="17"/>
                <w:color w:val="auto"/>
              </w:rPr>
            </w:pPr>
          </w:p>
        </w:tc>
        <w:tc>
          <w:tcPr>
            <w:tcW w:w="1800" w:type="dxa"/>
            <w:vAlign w:val="bottom"/>
            <w:gridSpan w:val="2"/>
            <w:shd w:val="clear" w:color="auto" w:fill="B9AFA0"/>
          </w:tcPr>
          <w:p>
            <w:pPr>
              <w:jc w:val="center"/>
              <w:spacing w:after="0"/>
              <w:rPr>
                <w:sz w:val="20"/>
                <w:szCs w:val="20"/>
                <w:color w:val="auto"/>
              </w:rPr>
            </w:pPr>
            <w:r>
              <w:rPr>
                <w:rFonts w:ascii="Arial" w:cs="Arial" w:eastAsia="Arial" w:hAnsi="Arial"/>
                <w:sz w:val="11"/>
                <w:szCs w:val="11"/>
                <w:color w:val="FFFFFF"/>
                <w:w w:val="96"/>
              </w:rPr>
              <w:t>EQUITY INCENTIVE PLAN</w:t>
            </w:r>
          </w:p>
        </w:tc>
        <w:tc>
          <w:tcPr>
            <w:tcW w:w="0" w:type="dxa"/>
            <w:vAlign w:val="bottom"/>
          </w:tcPr>
          <w:p>
            <w:pPr>
              <w:spacing w:after="0"/>
              <w:rPr>
                <w:sz w:val="1"/>
                <w:szCs w:val="1"/>
                <w:color w:val="auto"/>
              </w:rPr>
            </w:pPr>
          </w:p>
        </w:tc>
      </w:tr>
      <w:tr>
        <w:trPr>
          <w:trHeight w:val="118"/>
        </w:trPr>
        <w:tc>
          <w:tcPr>
            <w:tcW w:w="880" w:type="dxa"/>
            <w:vAlign w:val="bottom"/>
            <w:shd w:val="clear" w:color="auto" w:fill="B9AFA0"/>
          </w:tcPr>
          <w:p>
            <w:pPr>
              <w:spacing w:after="0"/>
              <w:rPr>
                <w:sz w:val="10"/>
                <w:szCs w:val="10"/>
                <w:color w:val="auto"/>
              </w:rPr>
            </w:pPr>
          </w:p>
        </w:tc>
        <w:tc>
          <w:tcPr>
            <w:tcW w:w="1040" w:type="dxa"/>
            <w:vAlign w:val="bottom"/>
            <w:shd w:val="clear" w:color="auto" w:fill="B9AFA0"/>
          </w:tcPr>
          <w:p>
            <w:pPr>
              <w:spacing w:after="0"/>
              <w:rPr>
                <w:sz w:val="10"/>
                <w:szCs w:val="10"/>
                <w:color w:val="auto"/>
              </w:rPr>
            </w:pPr>
          </w:p>
        </w:tc>
        <w:tc>
          <w:tcPr>
            <w:tcW w:w="80" w:type="dxa"/>
            <w:vAlign w:val="bottom"/>
            <w:shd w:val="clear" w:color="auto" w:fill="B9AFA0"/>
          </w:tcPr>
          <w:p>
            <w:pPr>
              <w:spacing w:after="0"/>
              <w:rPr>
                <w:sz w:val="10"/>
                <w:szCs w:val="10"/>
                <w:color w:val="auto"/>
              </w:rPr>
            </w:pPr>
          </w:p>
        </w:tc>
        <w:tc>
          <w:tcPr>
            <w:tcW w:w="600" w:type="dxa"/>
            <w:vAlign w:val="bottom"/>
            <w:shd w:val="clear" w:color="auto" w:fill="B9AFA0"/>
          </w:tcPr>
          <w:p>
            <w:pPr>
              <w:spacing w:after="0"/>
              <w:rPr>
                <w:sz w:val="10"/>
                <w:szCs w:val="10"/>
                <w:color w:val="auto"/>
              </w:rPr>
            </w:pPr>
          </w:p>
        </w:tc>
        <w:tc>
          <w:tcPr>
            <w:tcW w:w="60" w:type="dxa"/>
            <w:vAlign w:val="bottom"/>
            <w:shd w:val="clear" w:color="auto" w:fill="B9AFA0"/>
          </w:tcPr>
          <w:p>
            <w:pPr>
              <w:spacing w:after="0"/>
              <w:rPr>
                <w:sz w:val="10"/>
                <w:szCs w:val="10"/>
                <w:color w:val="auto"/>
              </w:rPr>
            </w:pPr>
          </w:p>
        </w:tc>
        <w:tc>
          <w:tcPr>
            <w:tcW w:w="700" w:type="dxa"/>
            <w:vAlign w:val="bottom"/>
            <w:shd w:val="clear" w:color="auto" w:fill="B9AFA0"/>
          </w:tcPr>
          <w:p>
            <w:pPr>
              <w:spacing w:after="0"/>
              <w:rPr>
                <w:sz w:val="10"/>
                <w:szCs w:val="10"/>
                <w:color w:val="auto"/>
              </w:rPr>
            </w:pPr>
          </w:p>
        </w:tc>
        <w:tc>
          <w:tcPr>
            <w:tcW w:w="80" w:type="dxa"/>
            <w:vAlign w:val="bottom"/>
            <w:shd w:val="clear" w:color="auto" w:fill="B9AFA0"/>
          </w:tcPr>
          <w:p>
            <w:pPr>
              <w:spacing w:after="0"/>
              <w:rPr>
                <w:sz w:val="10"/>
                <w:szCs w:val="10"/>
                <w:color w:val="auto"/>
              </w:rPr>
            </w:pPr>
          </w:p>
        </w:tc>
        <w:tc>
          <w:tcPr>
            <w:tcW w:w="740" w:type="dxa"/>
            <w:vAlign w:val="bottom"/>
            <w:shd w:val="clear" w:color="auto" w:fill="B9AFA0"/>
          </w:tcPr>
          <w:p>
            <w:pPr>
              <w:spacing w:after="0"/>
              <w:rPr>
                <w:sz w:val="10"/>
                <w:szCs w:val="10"/>
                <w:color w:val="auto"/>
              </w:rPr>
            </w:pPr>
          </w:p>
        </w:tc>
        <w:tc>
          <w:tcPr>
            <w:tcW w:w="760" w:type="dxa"/>
            <w:vAlign w:val="bottom"/>
            <w:shd w:val="clear" w:color="auto" w:fill="B9AFA0"/>
          </w:tcPr>
          <w:p>
            <w:pPr>
              <w:spacing w:after="0"/>
              <w:rPr>
                <w:sz w:val="10"/>
                <w:szCs w:val="10"/>
                <w:color w:val="auto"/>
              </w:rPr>
            </w:pPr>
          </w:p>
        </w:tc>
        <w:tc>
          <w:tcPr>
            <w:tcW w:w="1800" w:type="dxa"/>
            <w:vAlign w:val="bottom"/>
            <w:gridSpan w:val="2"/>
            <w:shd w:val="clear" w:color="auto" w:fill="B9AFA0"/>
          </w:tcPr>
          <w:p>
            <w:pPr>
              <w:jc w:val="center"/>
              <w:spacing w:after="0" w:line="118" w:lineRule="exact"/>
              <w:rPr>
                <w:sz w:val="20"/>
                <w:szCs w:val="20"/>
                <w:color w:val="auto"/>
              </w:rPr>
            </w:pPr>
            <w:r>
              <w:rPr>
                <w:rFonts w:ascii="Arial" w:cs="Arial" w:eastAsia="Arial" w:hAnsi="Arial"/>
                <w:sz w:val="11"/>
                <w:szCs w:val="11"/>
                <w:color w:val="FFFFFF"/>
                <w:w w:val="97"/>
              </w:rPr>
              <w:t>AWARDS:</w:t>
            </w:r>
          </w:p>
        </w:tc>
        <w:tc>
          <w:tcPr>
            <w:tcW w:w="0" w:type="dxa"/>
            <w:vAlign w:val="bottom"/>
          </w:tcPr>
          <w:p>
            <w:pPr>
              <w:spacing w:after="0"/>
              <w:rPr>
                <w:sz w:val="1"/>
                <w:szCs w:val="1"/>
                <w:color w:val="auto"/>
              </w:rPr>
            </w:pPr>
          </w:p>
        </w:tc>
      </w:tr>
      <w:tr>
        <w:trPr>
          <w:trHeight w:val="118"/>
        </w:trPr>
        <w:tc>
          <w:tcPr>
            <w:tcW w:w="1920" w:type="dxa"/>
            <w:vAlign w:val="bottom"/>
            <w:gridSpan w:val="2"/>
            <w:shd w:val="clear" w:color="auto" w:fill="B9AFA0"/>
          </w:tcPr>
          <w:p>
            <w:pPr>
              <w:jc w:val="center"/>
              <w:ind w:left="23"/>
              <w:spacing w:after="0" w:line="118" w:lineRule="exact"/>
              <w:rPr>
                <w:sz w:val="20"/>
                <w:szCs w:val="20"/>
                <w:color w:val="auto"/>
              </w:rPr>
            </w:pPr>
            <w:r>
              <w:rPr>
                <w:rFonts w:ascii="Arial" w:cs="Arial" w:eastAsia="Arial" w:hAnsi="Arial"/>
                <w:sz w:val="11"/>
                <w:szCs w:val="11"/>
                <w:color w:val="FFFFFF"/>
                <w:w w:val="97"/>
              </w:rPr>
              <w:t>NUMBER OF SECURITIES</w:t>
            </w:r>
          </w:p>
        </w:tc>
        <w:tc>
          <w:tcPr>
            <w:tcW w:w="80" w:type="dxa"/>
            <w:vAlign w:val="bottom"/>
            <w:shd w:val="clear" w:color="auto" w:fill="B9AFA0"/>
          </w:tcPr>
          <w:p>
            <w:pPr>
              <w:spacing w:after="0"/>
              <w:rPr>
                <w:sz w:val="10"/>
                <w:szCs w:val="10"/>
                <w:color w:val="auto"/>
              </w:rPr>
            </w:pPr>
          </w:p>
        </w:tc>
        <w:tc>
          <w:tcPr>
            <w:tcW w:w="600" w:type="dxa"/>
            <w:vAlign w:val="bottom"/>
            <w:vMerge w:val="restart"/>
            <w:shd w:val="clear" w:color="auto" w:fill="B9AFA0"/>
          </w:tcPr>
          <w:p>
            <w:pPr>
              <w:jc w:val="center"/>
              <w:spacing w:after="0"/>
              <w:rPr>
                <w:sz w:val="20"/>
                <w:szCs w:val="20"/>
                <w:color w:val="auto"/>
              </w:rPr>
            </w:pPr>
            <w:r>
              <w:rPr>
                <w:rFonts w:ascii="Arial" w:cs="Arial" w:eastAsia="Arial" w:hAnsi="Arial"/>
                <w:sz w:val="11"/>
                <w:szCs w:val="11"/>
                <w:color w:val="FFFFFF"/>
                <w:w w:val="92"/>
              </w:rPr>
              <w:t>OPTION </w:t>
            </w:r>
          </w:p>
        </w:tc>
        <w:tc>
          <w:tcPr>
            <w:tcW w:w="60" w:type="dxa"/>
            <w:vAlign w:val="bottom"/>
            <w:shd w:val="clear" w:color="auto" w:fill="B9AFA0"/>
          </w:tcPr>
          <w:p>
            <w:pPr>
              <w:spacing w:after="0"/>
              <w:rPr>
                <w:sz w:val="10"/>
                <w:szCs w:val="10"/>
                <w:color w:val="auto"/>
              </w:rPr>
            </w:pPr>
          </w:p>
        </w:tc>
        <w:tc>
          <w:tcPr>
            <w:tcW w:w="700" w:type="dxa"/>
            <w:vAlign w:val="bottom"/>
            <w:vMerge w:val="restart"/>
            <w:shd w:val="clear" w:color="auto" w:fill="B9AFA0"/>
          </w:tcPr>
          <w:p>
            <w:pPr>
              <w:jc w:val="center"/>
              <w:spacing w:after="0"/>
              <w:rPr>
                <w:sz w:val="20"/>
                <w:szCs w:val="20"/>
                <w:color w:val="auto"/>
              </w:rPr>
            </w:pPr>
            <w:r>
              <w:rPr>
                <w:rFonts w:ascii="Arial" w:cs="Arial" w:eastAsia="Arial" w:hAnsi="Arial"/>
                <w:sz w:val="11"/>
                <w:szCs w:val="11"/>
                <w:color w:val="FFFFFF"/>
                <w:w w:val="92"/>
              </w:rPr>
              <w:t>OPTION </w:t>
            </w:r>
          </w:p>
        </w:tc>
        <w:tc>
          <w:tcPr>
            <w:tcW w:w="80" w:type="dxa"/>
            <w:vAlign w:val="bottom"/>
            <w:shd w:val="clear" w:color="auto" w:fill="B9AFA0"/>
          </w:tcPr>
          <w:p>
            <w:pPr>
              <w:spacing w:after="0"/>
              <w:rPr>
                <w:sz w:val="10"/>
                <w:szCs w:val="10"/>
                <w:color w:val="auto"/>
              </w:rPr>
            </w:pPr>
          </w:p>
        </w:tc>
        <w:tc>
          <w:tcPr>
            <w:tcW w:w="1500" w:type="dxa"/>
            <w:vAlign w:val="bottom"/>
            <w:gridSpan w:val="2"/>
            <w:shd w:val="clear" w:color="auto" w:fill="B9AFA0"/>
          </w:tcPr>
          <w:p>
            <w:pPr>
              <w:jc w:val="center"/>
              <w:ind w:right="112"/>
              <w:spacing w:after="0" w:line="118" w:lineRule="exact"/>
              <w:rPr>
                <w:sz w:val="20"/>
                <w:szCs w:val="20"/>
                <w:color w:val="auto"/>
              </w:rPr>
            </w:pPr>
            <w:r>
              <w:rPr>
                <w:rFonts w:ascii="Arial" w:cs="Arial" w:eastAsia="Arial" w:hAnsi="Arial"/>
                <w:sz w:val="11"/>
                <w:szCs w:val="11"/>
                <w:color w:val="FFFFFF"/>
                <w:w w:val="95"/>
              </w:rPr>
              <w:t>  SHARES OR UNITS OF</w:t>
            </w:r>
          </w:p>
        </w:tc>
        <w:tc>
          <w:tcPr>
            <w:tcW w:w="1800" w:type="dxa"/>
            <w:vAlign w:val="bottom"/>
            <w:gridSpan w:val="2"/>
            <w:shd w:val="clear" w:color="auto" w:fill="B9AFA0"/>
          </w:tcPr>
          <w:p>
            <w:pPr>
              <w:jc w:val="center"/>
              <w:spacing w:after="0" w:line="118" w:lineRule="exact"/>
              <w:rPr>
                <w:sz w:val="20"/>
                <w:szCs w:val="20"/>
                <w:color w:val="auto"/>
              </w:rPr>
            </w:pPr>
            <w:r>
              <w:rPr>
                <w:rFonts w:ascii="Arial" w:cs="Arial" w:eastAsia="Arial" w:hAnsi="Arial"/>
                <w:sz w:val="11"/>
                <w:szCs w:val="11"/>
                <w:color w:val="FFFFFF"/>
                <w:w w:val="97"/>
              </w:rPr>
              <w:t>UNEARNED SHARES, UNITS</w:t>
            </w:r>
          </w:p>
        </w:tc>
        <w:tc>
          <w:tcPr>
            <w:tcW w:w="0" w:type="dxa"/>
            <w:vAlign w:val="bottom"/>
          </w:tcPr>
          <w:p>
            <w:pPr>
              <w:spacing w:after="0"/>
              <w:rPr>
                <w:sz w:val="1"/>
                <w:szCs w:val="1"/>
                <w:color w:val="auto"/>
              </w:rPr>
            </w:pPr>
          </w:p>
        </w:tc>
      </w:tr>
      <w:tr>
        <w:trPr>
          <w:trHeight w:val="107"/>
        </w:trPr>
        <w:tc>
          <w:tcPr>
            <w:tcW w:w="1920" w:type="dxa"/>
            <w:vAlign w:val="bottom"/>
            <w:gridSpan w:val="2"/>
            <w:shd w:val="clear" w:color="auto" w:fill="B9AFA0"/>
          </w:tcPr>
          <w:p>
            <w:pPr>
              <w:jc w:val="center"/>
              <w:ind w:left="3"/>
              <w:spacing w:after="0" w:line="107" w:lineRule="exact"/>
              <w:rPr>
                <w:sz w:val="20"/>
                <w:szCs w:val="20"/>
                <w:color w:val="auto"/>
              </w:rPr>
            </w:pPr>
            <w:r>
              <w:rPr>
                <w:rFonts w:ascii="Arial" w:cs="Arial" w:eastAsia="Arial" w:hAnsi="Arial"/>
                <w:sz w:val="11"/>
                <w:szCs w:val="11"/>
                <w:color w:val="FFFFFF"/>
                <w:w w:val="96"/>
              </w:rPr>
              <w:t>UNDERLYING UNEXERCISED</w:t>
            </w:r>
          </w:p>
        </w:tc>
        <w:tc>
          <w:tcPr>
            <w:tcW w:w="80" w:type="dxa"/>
            <w:vAlign w:val="bottom"/>
            <w:shd w:val="clear" w:color="auto" w:fill="B9AFA0"/>
          </w:tcPr>
          <w:p>
            <w:pPr>
              <w:spacing w:after="0"/>
              <w:rPr>
                <w:sz w:val="9"/>
                <w:szCs w:val="9"/>
                <w:color w:val="auto"/>
              </w:rPr>
            </w:pPr>
          </w:p>
        </w:tc>
        <w:tc>
          <w:tcPr>
            <w:tcW w:w="600" w:type="dxa"/>
            <w:vAlign w:val="bottom"/>
            <w:vMerge w:val="continue"/>
            <w:shd w:val="clear" w:color="auto" w:fill="B9AFA0"/>
          </w:tcPr>
          <w:p>
            <w:pPr>
              <w:spacing w:after="0"/>
              <w:rPr>
                <w:sz w:val="9"/>
                <w:szCs w:val="9"/>
                <w:color w:val="auto"/>
              </w:rPr>
            </w:pPr>
          </w:p>
        </w:tc>
        <w:tc>
          <w:tcPr>
            <w:tcW w:w="60" w:type="dxa"/>
            <w:vAlign w:val="bottom"/>
            <w:shd w:val="clear" w:color="auto" w:fill="B9AFA0"/>
          </w:tcPr>
          <w:p>
            <w:pPr>
              <w:spacing w:after="0"/>
              <w:rPr>
                <w:sz w:val="9"/>
                <w:szCs w:val="9"/>
                <w:color w:val="auto"/>
              </w:rPr>
            </w:pPr>
          </w:p>
        </w:tc>
        <w:tc>
          <w:tcPr>
            <w:tcW w:w="700" w:type="dxa"/>
            <w:vAlign w:val="bottom"/>
            <w:vMerge w:val="continue"/>
            <w:shd w:val="clear" w:color="auto" w:fill="B9AFA0"/>
          </w:tcPr>
          <w:p>
            <w:pPr>
              <w:spacing w:after="0"/>
              <w:rPr>
                <w:sz w:val="9"/>
                <w:szCs w:val="9"/>
                <w:color w:val="auto"/>
              </w:rPr>
            </w:pPr>
          </w:p>
        </w:tc>
        <w:tc>
          <w:tcPr>
            <w:tcW w:w="80" w:type="dxa"/>
            <w:vAlign w:val="bottom"/>
            <w:shd w:val="clear" w:color="auto" w:fill="B9AFA0"/>
          </w:tcPr>
          <w:p>
            <w:pPr>
              <w:spacing w:after="0"/>
              <w:rPr>
                <w:sz w:val="9"/>
                <w:szCs w:val="9"/>
                <w:color w:val="auto"/>
              </w:rPr>
            </w:pPr>
          </w:p>
        </w:tc>
        <w:tc>
          <w:tcPr>
            <w:tcW w:w="1500" w:type="dxa"/>
            <w:vAlign w:val="bottom"/>
            <w:gridSpan w:val="2"/>
            <w:shd w:val="clear" w:color="auto" w:fill="B9AFA0"/>
          </w:tcPr>
          <w:p>
            <w:pPr>
              <w:jc w:val="center"/>
              <w:ind w:right="132"/>
              <w:spacing w:after="0" w:line="107" w:lineRule="exact"/>
              <w:rPr>
                <w:sz w:val="20"/>
                <w:szCs w:val="20"/>
                <w:color w:val="auto"/>
              </w:rPr>
            </w:pPr>
            <w:r>
              <w:rPr>
                <w:rFonts w:ascii="Arial" w:cs="Arial" w:eastAsia="Arial" w:hAnsi="Arial"/>
                <w:sz w:val="11"/>
                <w:szCs w:val="11"/>
                <w:color w:val="FFFFFF"/>
                <w:w w:val="93"/>
              </w:rPr>
              <w:t>  STOCK THAT HAVE NOT</w:t>
            </w:r>
          </w:p>
        </w:tc>
        <w:tc>
          <w:tcPr>
            <w:tcW w:w="1800" w:type="dxa"/>
            <w:vAlign w:val="bottom"/>
            <w:gridSpan w:val="2"/>
            <w:shd w:val="clear" w:color="auto" w:fill="B9AFA0"/>
          </w:tcPr>
          <w:p>
            <w:pPr>
              <w:jc w:val="center"/>
              <w:spacing w:after="0" w:line="107" w:lineRule="exact"/>
              <w:rPr>
                <w:sz w:val="20"/>
                <w:szCs w:val="20"/>
                <w:color w:val="auto"/>
              </w:rPr>
            </w:pPr>
            <w:r>
              <w:rPr>
                <w:rFonts w:ascii="Arial" w:cs="Arial" w:eastAsia="Arial" w:hAnsi="Arial"/>
                <w:sz w:val="11"/>
                <w:szCs w:val="11"/>
                <w:color w:val="FFFFFF"/>
                <w:w w:val="96"/>
              </w:rPr>
              <w:t>OR OTHER RIGHTS THAT</w:t>
            </w:r>
          </w:p>
        </w:tc>
        <w:tc>
          <w:tcPr>
            <w:tcW w:w="0" w:type="dxa"/>
            <w:vAlign w:val="bottom"/>
          </w:tcPr>
          <w:p>
            <w:pPr>
              <w:spacing w:after="0"/>
              <w:rPr>
                <w:sz w:val="1"/>
                <w:szCs w:val="1"/>
                <w:color w:val="auto"/>
              </w:rPr>
            </w:pPr>
          </w:p>
        </w:tc>
      </w:tr>
      <w:tr>
        <w:trPr>
          <w:trHeight w:val="118"/>
        </w:trPr>
        <w:tc>
          <w:tcPr>
            <w:tcW w:w="1920" w:type="dxa"/>
            <w:vAlign w:val="bottom"/>
            <w:gridSpan w:val="2"/>
            <w:shd w:val="clear" w:color="auto" w:fill="B9AFA0"/>
          </w:tcPr>
          <w:p>
            <w:pPr>
              <w:jc w:val="center"/>
              <w:ind w:left="23"/>
              <w:spacing w:after="0" w:line="118" w:lineRule="exact"/>
              <w:rPr>
                <w:sz w:val="20"/>
                <w:szCs w:val="20"/>
                <w:color w:val="auto"/>
              </w:rPr>
            </w:pPr>
            <w:r>
              <w:rPr>
                <w:rFonts w:ascii="Arial" w:cs="Arial" w:eastAsia="Arial" w:hAnsi="Arial"/>
                <w:sz w:val="11"/>
                <w:szCs w:val="11"/>
                <w:color w:val="FFFFFF"/>
                <w:w w:val="96"/>
              </w:rPr>
              <w:t>OPTIONS (#)</w:t>
            </w:r>
          </w:p>
        </w:tc>
        <w:tc>
          <w:tcPr>
            <w:tcW w:w="680" w:type="dxa"/>
            <w:vAlign w:val="bottom"/>
            <w:gridSpan w:val="2"/>
            <w:shd w:val="clear" w:color="auto" w:fill="B9AFA0"/>
          </w:tcPr>
          <w:p>
            <w:pPr>
              <w:jc w:val="center"/>
              <w:spacing w:after="0" w:line="118" w:lineRule="exact"/>
              <w:rPr>
                <w:sz w:val="20"/>
                <w:szCs w:val="20"/>
                <w:color w:val="auto"/>
              </w:rPr>
            </w:pPr>
            <w:r>
              <w:rPr>
                <w:rFonts w:ascii="Arial" w:cs="Arial" w:eastAsia="Arial" w:hAnsi="Arial"/>
                <w:sz w:val="11"/>
                <w:szCs w:val="11"/>
                <w:color w:val="FFFFFF"/>
              </w:rPr>
              <w:t xml:space="preserve">EXERCISE </w:t>
            </w:r>
          </w:p>
        </w:tc>
        <w:tc>
          <w:tcPr>
            <w:tcW w:w="760" w:type="dxa"/>
            <w:vAlign w:val="bottom"/>
            <w:gridSpan w:val="2"/>
            <w:shd w:val="clear" w:color="auto" w:fill="B9AFA0"/>
          </w:tcPr>
          <w:p>
            <w:pPr>
              <w:jc w:val="center"/>
              <w:spacing w:after="0" w:line="118" w:lineRule="exact"/>
              <w:rPr>
                <w:sz w:val="20"/>
                <w:szCs w:val="20"/>
                <w:color w:val="auto"/>
              </w:rPr>
            </w:pPr>
            <w:r>
              <w:rPr>
                <w:rFonts w:ascii="Arial" w:cs="Arial" w:eastAsia="Arial" w:hAnsi="Arial"/>
                <w:sz w:val="11"/>
                <w:szCs w:val="11"/>
                <w:color w:val="FFFFFF"/>
              </w:rPr>
              <w:t xml:space="preserve">EXPIRATION </w:t>
            </w:r>
          </w:p>
        </w:tc>
        <w:tc>
          <w:tcPr>
            <w:tcW w:w="80" w:type="dxa"/>
            <w:vAlign w:val="bottom"/>
            <w:shd w:val="clear" w:color="auto" w:fill="B9AFA0"/>
          </w:tcPr>
          <w:p>
            <w:pPr>
              <w:spacing w:after="0"/>
              <w:rPr>
                <w:sz w:val="10"/>
                <w:szCs w:val="10"/>
                <w:color w:val="auto"/>
              </w:rPr>
            </w:pPr>
          </w:p>
        </w:tc>
        <w:tc>
          <w:tcPr>
            <w:tcW w:w="1500" w:type="dxa"/>
            <w:vAlign w:val="bottom"/>
            <w:gridSpan w:val="2"/>
            <w:shd w:val="clear" w:color="auto" w:fill="B9AFA0"/>
          </w:tcPr>
          <w:p>
            <w:pPr>
              <w:jc w:val="center"/>
              <w:ind w:right="132"/>
              <w:spacing w:after="0" w:line="118" w:lineRule="exact"/>
              <w:rPr>
                <w:sz w:val="20"/>
                <w:szCs w:val="20"/>
                <w:color w:val="auto"/>
              </w:rPr>
            </w:pPr>
            <w:r>
              <w:rPr>
                <w:rFonts w:ascii="Arial" w:cs="Arial" w:eastAsia="Arial" w:hAnsi="Arial"/>
                <w:sz w:val="11"/>
                <w:szCs w:val="11"/>
                <w:color w:val="FFFFFF"/>
                <w:w w:val="91"/>
              </w:rPr>
              <w:t>  VESTED</w:t>
            </w:r>
          </w:p>
        </w:tc>
        <w:tc>
          <w:tcPr>
            <w:tcW w:w="1800" w:type="dxa"/>
            <w:vAlign w:val="bottom"/>
            <w:gridSpan w:val="2"/>
            <w:shd w:val="clear" w:color="auto" w:fill="B9AFA0"/>
          </w:tcPr>
          <w:p>
            <w:pPr>
              <w:jc w:val="center"/>
              <w:spacing w:after="0" w:line="118" w:lineRule="exact"/>
              <w:rPr>
                <w:sz w:val="20"/>
                <w:szCs w:val="20"/>
                <w:color w:val="auto"/>
              </w:rPr>
            </w:pPr>
            <w:r>
              <w:rPr>
                <w:rFonts w:ascii="Arial" w:cs="Arial" w:eastAsia="Arial" w:hAnsi="Arial"/>
                <w:sz w:val="11"/>
                <w:szCs w:val="11"/>
                <w:color w:val="FFFFFF"/>
                <w:w w:val="96"/>
              </w:rPr>
              <w:t>HAVE NOT VESTED</w:t>
            </w:r>
          </w:p>
        </w:tc>
        <w:tc>
          <w:tcPr>
            <w:tcW w:w="0" w:type="dxa"/>
            <w:vAlign w:val="bottom"/>
          </w:tcPr>
          <w:p>
            <w:pPr>
              <w:spacing w:after="0"/>
              <w:rPr>
                <w:sz w:val="1"/>
                <w:szCs w:val="1"/>
                <w:color w:val="auto"/>
              </w:rPr>
            </w:pPr>
          </w:p>
        </w:tc>
      </w:tr>
      <w:tr>
        <w:trPr>
          <w:trHeight w:val="141"/>
        </w:trPr>
        <w:tc>
          <w:tcPr>
            <w:tcW w:w="880" w:type="dxa"/>
            <w:vAlign w:val="bottom"/>
            <w:shd w:val="clear" w:color="auto" w:fill="B9AFA0"/>
          </w:tcPr>
          <w:p>
            <w:pPr>
              <w:spacing w:after="0"/>
              <w:rPr>
                <w:sz w:val="12"/>
                <w:szCs w:val="12"/>
                <w:color w:val="auto"/>
              </w:rPr>
            </w:pPr>
          </w:p>
        </w:tc>
        <w:tc>
          <w:tcPr>
            <w:tcW w:w="1040" w:type="dxa"/>
            <w:vAlign w:val="bottom"/>
            <w:shd w:val="clear" w:color="auto" w:fill="B9AFA0"/>
          </w:tcPr>
          <w:p>
            <w:pPr>
              <w:spacing w:after="0"/>
              <w:rPr>
                <w:sz w:val="12"/>
                <w:szCs w:val="12"/>
                <w:color w:val="auto"/>
              </w:rPr>
            </w:pPr>
          </w:p>
        </w:tc>
        <w:tc>
          <w:tcPr>
            <w:tcW w:w="80" w:type="dxa"/>
            <w:vAlign w:val="bottom"/>
            <w:shd w:val="clear" w:color="auto" w:fill="B9AFA0"/>
          </w:tcPr>
          <w:p>
            <w:pPr>
              <w:spacing w:after="0"/>
              <w:rPr>
                <w:sz w:val="12"/>
                <w:szCs w:val="12"/>
                <w:color w:val="auto"/>
              </w:rPr>
            </w:pPr>
          </w:p>
        </w:tc>
        <w:tc>
          <w:tcPr>
            <w:tcW w:w="600" w:type="dxa"/>
            <w:vAlign w:val="bottom"/>
            <w:shd w:val="clear" w:color="auto" w:fill="B9AFA0"/>
          </w:tcPr>
          <w:p>
            <w:pPr>
              <w:jc w:val="center"/>
              <w:ind w:right="24"/>
              <w:spacing w:after="0"/>
              <w:rPr>
                <w:sz w:val="20"/>
                <w:szCs w:val="20"/>
                <w:color w:val="auto"/>
              </w:rPr>
            </w:pPr>
            <w:r>
              <w:rPr>
                <w:rFonts w:ascii="Arial" w:cs="Arial" w:eastAsia="Arial" w:hAnsi="Arial"/>
                <w:sz w:val="11"/>
                <w:szCs w:val="11"/>
                <w:color w:val="FFFFFF"/>
                <w:w w:val="95"/>
              </w:rPr>
              <w:t>PRICE ($)</w:t>
            </w:r>
          </w:p>
        </w:tc>
        <w:tc>
          <w:tcPr>
            <w:tcW w:w="60" w:type="dxa"/>
            <w:vAlign w:val="bottom"/>
            <w:shd w:val="clear" w:color="auto" w:fill="B9AFA0"/>
          </w:tcPr>
          <w:p>
            <w:pPr>
              <w:spacing w:after="0"/>
              <w:rPr>
                <w:sz w:val="12"/>
                <w:szCs w:val="12"/>
                <w:color w:val="auto"/>
              </w:rPr>
            </w:pPr>
          </w:p>
        </w:tc>
        <w:tc>
          <w:tcPr>
            <w:tcW w:w="700" w:type="dxa"/>
            <w:vAlign w:val="bottom"/>
            <w:shd w:val="clear" w:color="auto" w:fill="B9AFA0"/>
          </w:tcPr>
          <w:p>
            <w:pPr>
              <w:jc w:val="center"/>
              <w:spacing w:after="0"/>
              <w:rPr>
                <w:sz w:val="20"/>
                <w:szCs w:val="20"/>
                <w:color w:val="auto"/>
              </w:rPr>
            </w:pPr>
            <w:r>
              <w:rPr>
                <w:rFonts w:ascii="Arial" w:cs="Arial" w:eastAsia="Arial" w:hAnsi="Arial"/>
                <w:sz w:val="11"/>
                <w:szCs w:val="11"/>
                <w:color w:val="FFFFFF"/>
                <w:w w:val="91"/>
              </w:rPr>
              <w:t>DATE </w:t>
            </w:r>
          </w:p>
        </w:tc>
        <w:tc>
          <w:tcPr>
            <w:tcW w:w="80" w:type="dxa"/>
            <w:vAlign w:val="bottom"/>
            <w:shd w:val="clear" w:color="auto" w:fill="B9AFA0"/>
          </w:tcPr>
          <w:p>
            <w:pPr>
              <w:spacing w:after="0"/>
              <w:rPr>
                <w:sz w:val="12"/>
                <w:szCs w:val="12"/>
                <w:color w:val="auto"/>
              </w:rPr>
            </w:pPr>
          </w:p>
        </w:tc>
        <w:tc>
          <w:tcPr>
            <w:tcW w:w="740" w:type="dxa"/>
            <w:vAlign w:val="bottom"/>
            <w:vMerge w:val="restart"/>
            <w:shd w:val="clear" w:color="auto" w:fill="B9AFA0"/>
          </w:tcPr>
          <w:p>
            <w:pPr>
              <w:jc w:val="right"/>
              <w:ind w:right="165"/>
              <w:spacing w:after="0"/>
              <w:rPr>
                <w:sz w:val="20"/>
                <w:szCs w:val="20"/>
                <w:color w:val="auto"/>
              </w:rPr>
            </w:pPr>
            <w:r>
              <w:rPr>
                <w:rFonts w:ascii="Arial" w:cs="Arial" w:eastAsia="Arial" w:hAnsi="Arial"/>
                <w:sz w:val="11"/>
                <w:szCs w:val="11"/>
                <w:color w:val="FFFFFF"/>
                <w:w w:val="88"/>
              </w:rPr>
              <w:t>  NUMBER</w:t>
            </w:r>
          </w:p>
        </w:tc>
        <w:tc>
          <w:tcPr>
            <w:tcW w:w="760" w:type="dxa"/>
            <w:vAlign w:val="bottom"/>
            <w:vMerge w:val="restart"/>
            <w:shd w:val="clear" w:color="auto" w:fill="B9AFA0"/>
          </w:tcPr>
          <w:p>
            <w:pPr>
              <w:jc w:val="right"/>
              <w:ind w:right="192"/>
              <w:spacing w:after="0"/>
              <w:rPr>
                <w:sz w:val="20"/>
                <w:szCs w:val="20"/>
                <w:color w:val="auto"/>
              </w:rPr>
            </w:pPr>
            <w:r>
              <w:rPr>
                <w:rFonts w:ascii="Arial" w:cs="Arial" w:eastAsia="Arial" w:hAnsi="Arial"/>
                <w:sz w:val="11"/>
                <w:szCs w:val="11"/>
                <w:color w:val="FFFFFF"/>
              </w:rPr>
              <w:t>  VALUE</w:t>
            </w:r>
          </w:p>
        </w:tc>
        <w:tc>
          <w:tcPr>
            <w:tcW w:w="980" w:type="dxa"/>
            <w:vAlign w:val="bottom"/>
            <w:vMerge w:val="restart"/>
            <w:shd w:val="clear" w:color="auto" w:fill="B9AFA0"/>
          </w:tcPr>
          <w:p>
            <w:pPr>
              <w:jc w:val="center"/>
              <w:ind w:right="64"/>
              <w:spacing w:after="0"/>
              <w:rPr>
                <w:sz w:val="20"/>
                <w:szCs w:val="20"/>
                <w:color w:val="auto"/>
              </w:rPr>
            </w:pPr>
            <w:r>
              <w:rPr>
                <w:rFonts w:ascii="Arial" w:cs="Arial" w:eastAsia="Arial" w:hAnsi="Arial"/>
                <w:sz w:val="11"/>
                <w:szCs w:val="11"/>
                <w:color w:val="FFFFFF"/>
                <w:w w:val="96"/>
              </w:rPr>
              <w:t>NUMBER</w:t>
            </w:r>
          </w:p>
        </w:tc>
        <w:tc>
          <w:tcPr>
            <w:tcW w:w="820" w:type="dxa"/>
            <w:vAlign w:val="bottom"/>
            <w:vMerge w:val="restart"/>
            <w:shd w:val="clear" w:color="auto" w:fill="B9AFA0"/>
          </w:tcPr>
          <w:p>
            <w:pPr>
              <w:jc w:val="center"/>
              <w:ind w:right="143"/>
              <w:spacing w:after="0"/>
              <w:rPr>
                <w:sz w:val="20"/>
                <w:szCs w:val="20"/>
                <w:color w:val="auto"/>
              </w:rPr>
            </w:pPr>
            <w:r>
              <w:rPr>
                <w:rFonts w:ascii="Arial" w:cs="Arial" w:eastAsia="Arial" w:hAnsi="Arial"/>
                <w:sz w:val="11"/>
                <w:szCs w:val="11"/>
                <w:color w:val="FFFFFF"/>
                <w:w w:val="94"/>
              </w:rPr>
              <w:t>VALUE</w:t>
            </w:r>
          </w:p>
        </w:tc>
        <w:tc>
          <w:tcPr>
            <w:tcW w:w="0" w:type="dxa"/>
            <w:vAlign w:val="bottom"/>
          </w:tcPr>
          <w:p>
            <w:pPr>
              <w:spacing w:after="0"/>
              <w:rPr>
                <w:sz w:val="1"/>
                <w:szCs w:val="1"/>
                <w:color w:val="auto"/>
              </w:rPr>
            </w:pPr>
          </w:p>
        </w:tc>
      </w:tr>
      <w:tr>
        <w:trPr>
          <w:trHeight w:val="52"/>
        </w:trPr>
        <w:tc>
          <w:tcPr>
            <w:tcW w:w="880" w:type="dxa"/>
            <w:vAlign w:val="bottom"/>
            <w:shd w:val="clear" w:color="auto" w:fill="B9AFA0"/>
          </w:tcPr>
          <w:p>
            <w:pPr>
              <w:spacing w:after="0"/>
              <w:rPr>
                <w:sz w:val="4"/>
                <w:szCs w:val="4"/>
                <w:color w:val="auto"/>
              </w:rPr>
            </w:pPr>
          </w:p>
        </w:tc>
        <w:tc>
          <w:tcPr>
            <w:tcW w:w="1040" w:type="dxa"/>
            <w:vAlign w:val="bottom"/>
            <w:shd w:val="clear" w:color="auto" w:fill="B9AFA0"/>
          </w:tcPr>
          <w:p>
            <w:pPr>
              <w:spacing w:after="0"/>
              <w:rPr>
                <w:sz w:val="4"/>
                <w:szCs w:val="4"/>
                <w:color w:val="auto"/>
              </w:rPr>
            </w:pPr>
          </w:p>
        </w:tc>
        <w:tc>
          <w:tcPr>
            <w:tcW w:w="80" w:type="dxa"/>
            <w:vAlign w:val="bottom"/>
            <w:shd w:val="clear" w:color="auto" w:fill="B9AFA0"/>
          </w:tcPr>
          <w:p>
            <w:pPr>
              <w:spacing w:after="0"/>
              <w:rPr>
                <w:sz w:val="4"/>
                <w:szCs w:val="4"/>
                <w:color w:val="auto"/>
              </w:rPr>
            </w:pPr>
          </w:p>
        </w:tc>
        <w:tc>
          <w:tcPr>
            <w:tcW w:w="600" w:type="dxa"/>
            <w:vAlign w:val="bottom"/>
            <w:shd w:val="clear" w:color="auto" w:fill="B9AFA0"/>
          </w:tcPr>
          <w:p>
            <w:pPr>
              <w:spacing w:after="0"/>
              <w:rPr>
                <w:sz w:val="4"/>
                <w:szCs w:val="4"/>
                <w:color w:val="auto"/>
              </w:rPr>
            </w:pPr>
          </w:p>
        </w:tc>
        <w:tc>
          <w:tcPr>
            <w:tcW w:w="60" w:type="dxa"/>
            <w:vAlign w:val="bottom"/>
            <w:shd w:val="clear" w:color="auto" w:fill="B9AFA0"/>
          </w:tcPr>
          <w:p>
            <w:pPr>
              <w:spacing w:after="0"/>
              <w:rPr>
                <w:sz w:val="4"/>
                <w:szCs w:val="4"/>
                <w:color w:val="auto"/>
              </w:rPr>
            </w:pPr>
          </w:p>
        </w:tc>
        <w:tc>
          <w:tcPr>
            <w:tcW w:w="700" w:type="dxa"/>
            <w:vAlign w:val="bottom"/>
            <w:shd w:val="clear" w:color="auto" w:fill="B9AFA0"/>
          </w:tcPr>
          <w:p>
            <w:pPr>
              <w:spacing w:after="0"/>
              <w:rPr>
                <w:sz w:val="4"/>
                <w:szCs w:val="4"/>
                <w:color w:val="auto"/>
              </w:rPr>
            </w:pPr>
          </w:p>
        </w:tc>
        <w:tc>
          <w:tcPr>
            <w:tcW w:w="80" w:type="dxa"/>
            <w:vAlign w:val="bottom"/>
            <w:shd w:val="clear" w:color="auto" w:fill="B9AFA0"/>
          </w:tcPr>
          <w:p>
            <w:pPr>
              <w:spacing w:after="0"/>
              <w:rPr>
                <w:sz w:val="4"/>
                <w:szCs w:val="4"/>
                <w:color w:val="auto"/>
              </w:rPr>
            </w:pPr>
          </w:p>
        </w:tc>
        <w:tc>
          <w:tcPr>
            <w:tcW w:w="740" w:type="dxa"/>
            <w:vAlign w:val="bottom"/>
            <w:vMerge w:val="continue"/>
            <w:shd w:val="clear" w:color="auto" w:fill="B9AFA0"/>
          </w:tcPr>
          <w:p>
            <w:pPr>
              <w:spacing w:after="0"/>
              <w:rPr>
                <w:sz w:val="4"/>
                <w:szCs w:val="4"/>
                <w:color w:val="auto"/>
              </w:rPr>
            </w:pPr>
          </w:p>
        </w:tc>
        <w:tc>
          <w:tcPr>
            <w:tcW w:w="760" w:type="dxa"/>
            <w:vAlign w:val="bottom"/>
            <w:vMerge w:val="continue"/>
            <w:shd w:val="clear" w:color="auto" w:fill="B9AFA0"/>
          </w:tcPr>
          <w:p>
            <w:pPr>
              <w:spacing w:after="0"/>
              <w:rPr>
                <w:sz w:val="4"/>
                <w:szCs w:val="4"/>
                <w:color w:val="auto"/>
              </w:rPr>
            </w:pPr>
          </w:p>
        </w:tc>
        <w:tc>
          <w:tcPr>
            <w:tcW w:w="980" w:type="dxa"/>
            <w:vAlign w:val="bottom"/>
            <w:vMerge w:val="continue"/>
            <w:shd w:val="clear" w:color="auto" w:fill="B9AFA0"/>
          </w:tcPr>
          <w:p>
            <w:pPr>
              <w:spacing w:after="0"/>
              <w:rPr>
                <w:sz w:val="4"/>
                <w:szCs w:val="4"/>
                <w:color w:val="auto"/>
              </w:rPr>
            </w:pPr>
          </w:p>
        </w:tc>
        <w:tc>
          <w:tcPr>
            <w:tcW w:w="820" w:type="dxa"/>
            <w:vAlign w:val="bottom"/>
            <w:vMerge w:val="continue"/>
            <w:shd w:val="clear" w:color="auto" w:fill="B9AFA0"/>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B9AFA0"/>
            </w:tcBorders>
            <w:shd w:val="clear" w:color="auto" w:fill="B9AFA0"/>
          </w:tcPr>
          <w:p>
            <w:pPr>
              <w:ind w:left="80"/>
              <w:spacing w:after="0"/>
              <w:rPr>
                <w:sz w:val="20"/>
                <w:szCs w:val="20"/>
                <w:color w:val="auto"/>
              </w:rPr>
            </w:pPr>
            <w:r>
              <w:rPr>
                <w:rFonts w:ascii="Arial" w:cs="Arial" w:eastAsia="Arial" w:hAnsi="Arial"/>
                <w:sz w:val="11"/>
                <w:szCs w:val="11"/>
                <w:color w:val="FFFFFF"/>
                <w:w w:val="95"/>
              </w:rPr>
              <w:t>EXERCISABLE </w:t>
            </w:r>
          </w:p>
        </w:tc>
        <w:tc>
          <w:tcPr>
            <w:tcW w:w="10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w w:val="94"/>
              </w:rPr>
              <w:t>UNEXERCISABLE </w:t>
            </w:r>
          </w:p>
        </w:tc>
        <w:tc>
          <w:tcPr>
            <w:tcW w:w="80" w:type="dxa"/>
            <w:vAlign w:val="bottom"/>
            <w:tcBorders>
              <w:bottom w:val="single" w:sz="8" w:color="B9AFA0"/>
            </w:tcBorders>
            <w:shd w:val="clear" w:color="auto" w:fill="B9AFA0"/>
          </w:tcPr>
          <w:p>
            <w:pPr>
              <w:spacing w:after="0"/>
              <w:rPr>
                <w:sz w:val="15"/>
                <w:szCs w:val="15"/>
                <w:color w:val="auto"/>
              </w:rPr>
            </w:pPr>
          </w:p>
        </w:tc>
        <w:tc>
          <w:tcPr>
            <w:tcW w:w="600" w:type="dxa"/>
            <w:vAlign w:val="bottom"/>
            <w:tcBorders>
              <w:bottom w:val="single" w:sz="8" w:color="B9AFA0"/>
            </w:tcBorders>
            <w:shd w:val="clear" w:color="auto" w:fill="B9AFA0"/>
          </w:tcPr>
          <w:p>
            <w:pPr>
              <w:spacing w:after="0"/>
              <w:rPr>
                <w:sz w:val="15"/>
                <w:szCs w:val="15"/>
                <w:color w:val="auto"/>
              </w:rPr>
            </w:pPr>
          </w:p>
        </w:tc>
        <w:tc>
          <w:tcPr>
            <w:tcW w:w="60" w:type="dxa"/>
            <w:vAlign w:val="bottom"/>
            <w:tcBorders>
              <w:bottom w:val="single" w:sz="8" w:color="B9AFA0"/>
            </w:tcBorders>
            <w:shd w:val="clear" w:color="auto" w:fill="B9AFA0"/>
          </w:tcPr>
          <w:p>
            <w:pPr>
              <w:spacing w:after="0"/>
              <w:rPr>
                <w:sz w:val="15"/>
                <w:szCs w:val="15"/>
                <w:color w:val="auto"/>
              </w:rPr>
            </w:pPr>
          </w:p>
        </w:tc>
        <w:tc>
          <w:tcPr>
            <w:tcW w:w="700" w:type="dxa"/>
            <w:vAlign w:val="bottom"/>
            <w:tcBorders>
              <w:bottom w:val="single" w:sz="8" w:color="B9AFA0"/>
            </w:tcBorders>
            <w:shd w:val="clear" w:color="auto" w:fill="B9AFA0"/>
          </w:tcPr>
          <w:p>
            <w:pPr>
              <w:spacing w:after="0"/>
              <w:rPr>
                <w:sz w:val="15"/>
                <w:szCs w:val="15"/>
                <w:color w:val="auto"/>
              </w:rPr>
            </w:pPr>
          </w:p>
        </w:tc>
        <w:tc>
          <w:tcPr>
            <w:tcW w:w="80" w:type="dxa"/>
            <w:vAlign w:val="bottom"/>
            <w:tcBorders>
              <w:bottom w:val="single" w:sz="8" w:color="B9AFA0"/>
            </w:tcBorders>
            <w:shd w:val="clear" w:color="auto" w:fill="B9AFA0"/>
          </w:tcPr>
          <w:p>
            <w:pPr>
              <w:spacing w:after="0"/>
              <w:rPr>
                <w:sz w:val="15"/>
                <w:szCs w:val="15"/>
                <w:color w:val="auto"/>
              </w:rPr>
            </w:pPr>
          </w:p>
        </w:tc>
        <w:tc>
          <w:tcPr>
            <w:tcW w:w="740" w:type="dxa"/>
            <w:vAlign w:val="bottom"/>
            <w:tcBorders>
              <w:bottom w:val="single" w:sz="8" w:color="B9AFA0"/>
            </w:tcBorders>
            <w:shd w:val="clear" w:color="auto" w:fill="B9AFA0"/>
          </w:tcPr>
          <w:p>
            <w:pPr>
              <w:jc w:val="right"/>
              <w:ind w:right="325"/>
              <w:spacing w:after="0"/>
              <w:rPr>
                <w:sz w:val="20"/>
                <w:szCs w:val="20"/>
                <w:color w:val="auto"/>
              </w:rPr>
            </w:pPr>
            <w:r>
              <w:rPr>
                <w:rFonts w:ascii="Arial" w:cs="Arial" w:eastAsia="Arial" w:hAnsi="Arial"/>
                <w:sz w:val="11"/>
                <w:szCs w:val="11"/>
                <w:color w:val="FFFFFF"/>
              </w:rPr>
              <w:t>  (#)</w:t>
            </w:r>
          </w:p>
        </w:tc>
        <w:tc>
          <w:tcPr>
            <w:tcW w:w="760" w:type="dxa"/>
            <w:vAlign w:val="bottom"/>
            <w:tcBorders>
              <w:bottom w:val="single" w:sz="8" w:color="B9AFA0"/>
            </w:tcBorders>
            <w:shd w:val="clear" w:color="auto" w:fill="B9AFA0"/>
          </w:tcPr>
          <w:p>
            <w:pPr>
              <w:jc w:val="right"/>
              <w:ind w:right="212"/>
              <w:spacing w:after="0"/>
              <w:rPr>
                <w:sz w:val="20"/>
                <w:szCs w:val="20"/>
                <w:color w:val="auto"/>
              </w:rPr>
            </w:pPr>
            <w:r>
              <w:rPr>
                <w:rFonts w:ascii="Arial" w:cs="Arial" w:eastAsia="Arial" w:hAnsi="Arial"/>
                <w:sz w:val="11"/>
                <w:szCs w:val="11"/>
                <w:color w:val="FFFFFF"/>
              </w:rPr>
              <w:t>  ($)(12)</w:t>
            </w:r>
          </w:p>
        </w:tc>
        <w:tc>
          <w:tcPr>
            <w:tcW w:w="980" w:type="dxa"/>
            <w:vAlign w:val="bottom"/>
            <w:tcBorders>
              <w:bottom w:val="single" w:sz="8" w:color="B9AFA0"/>
            </w:tcBorders>
            <w:shd w:val="clear" w:color="auto" w:fill="B9AFA0"/>
          </w:tcPr>
          <w:p>
            <w:pPr>
              <w:jc w:val="center"/>
              <w:ind w:right="64"/>
              <w:spacing w:after="0"/>
              <w:rPr>
                <w:sz w:val="20"/>
                <w:szCs w:val="20"/>
                <w:color w:val="auto"/>
              </w:rPr>
            </w:pPr>
            <w:r>
              <w:rPr>
                <w:rFonts w:ascii="Arial" w:cs="Arial" w:eastAsia="Arial" w:hAnsi="Arial"/>
                <w:sz w:val="11"/>
                <w:szCs w:val="11"/>
                <w:color w:val="FFFFFF"/>
              </w:rPr>
              <w:t>(#)</w:t>
            </w:r>
          </w:p>
        </w:tc>
        <w:tc>
          <w:tcPr>
            <w:tcW w:w="820" w:type="dxa"/>
            <w:vAlign w:val="bottom"/>
            <w:tcBorders>
              <w:bottom w:val="single" w:sz="8" w:color="B9AFA0"/>
            </w:tcBorders>
            <w:shd w:val="clear" w:color="auto" w:fill="B9AFA0"/>
          </w:tcPr>
          <w:p>
            <w:pPr>
              <w:jc w:val="center"/>
              <w:ind w:right="123"/>
              <w:spacing w:after="0"/>
              <w:rPr>
                <w:sz w:val="20"/>
                <w:szCs w:val="20"/>
                <w:color w:val="auto"/>
              </w:rPr>
            </w:pPr>
            <w:r>
              <w:rPr>
                <w:rFonts w:ascii="Arial" w:cs="Arial" w:eastAsia="Arial" w:hAnsi="Arial"/>
                <w:sz w:val="11"/>
                <w:szCs w:val="11"/>
                <w:color w:val="FFFFFF"/>
                <w:w w:val="96"/>
              </w:rPr>
              <w:t>($)(12)</w:t>
            </w:r>
          </w:p>
        </w:tc>
        <w:tc>
          <w:tcPr>
            <w:tcW w:w="0" w:type="dxa"/>
            <w:vAlign w:val="bottom"/>
          </w:tcPr>
          <w:p>
            <w:pPr>
              <w:spacing w:after="0"/>
              <w:rPr>
                <w:sz w:val="1"/>
                <w:szCs w:val="1"/>
                <w:color w:val="auto"/>
              </w:rPr>
            </w:pPr>
          </w:p>
        </w:tc>
      </w:tr>
      <w:tr>
        <w:trPr>
          <w:trHeight w:val="293"/>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65"/>
              <w:spacing w:after="0"/>
              <w:rPr>
                <w:sz w:val="20"/>
                <w:szCs w:val="20"/>
                <w:color w:val="auto"/>
              </w:rPr>
            </w:pPr>
            <w:r>
              <w:rPr>
                <w:rFonts w:ascii="Arial" w:cs="Arial" w:eastAsia="Arial" w:hAnsi="Arial"/>
                <w:sz w:val="11"/>
                <w:szCs w:val="11"/>
                <w:color w:val="auto"/>
              </w:rPr>
              <w:t>12,549</w:t>
            </w:r>
            <w:r>
              <w:rPr>
                <w:rFonts w:ascii="Arial" w:cs="Arial" w:eastAsia="Arial" w:hAnsi="Arial"/>
                <w:sz w:val="17"/>
                <w:szCs w:val="17"/>
                <w:color w:val="auto"/>
                <w:vertAlign w:val="superscript"/>
              </w:rPr>
              <w:t>(2)</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11"/>
                <w:szCs w:val="11"/>
                <w:color w:val="auto"/>
              </w:rPr>
              <w:t>1,510,021</w:t>
            </w:r>
          </w:p>
        </w:tc>
        <w:tc>
          <w:tcPr>
            <w:tcW w:w="980" w:type="dxa"/>
            <w:vAlign w:val="bottom"/>
            <w:shd w:val="clear" w:color="auto" w:fill="F1EFEC"/>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7"/>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F1EFEC"/>
          </w:tcPr>
          <w:p>
            <w:pPr>
              <w:jc w:val="right"/>
              <w:ind w:right="124"/>
              <w:spacing w:after="0"/>
              <w:rPr>
                <w:sz w:val="20"/>
                <w:szCs w:val="20"/>
                <w:color w:val="auto"/>
              </w:rPr>
            </w:pPr>
            <w:r>
              <w:rPr>
                <w:rFonts w:ascii="Arial" w:cs="Arial" w:eastAsia="Arial" w:hAnsi="Arial"/>
                <w:sz w:val="11"/>
                <w:szCs w:val="11"/>
                <w:color w:val="auto"/>
              </w:rPr>
              <w:t>8,366</w:t>
            </w:r>
            <w:r>
              <w:rPr>
                <w:rFonts w:ascii="Arial" w:cs="Arial" w:eastAsia="Arial" w:hAnsi="Arial"/>
                <w:sz w:val="17"/>
                <w:szCs w:val="17"/>
                <w:color w:val="auto"/>
                <w:vertAlign w:val="superscript"/>
              </w:rPr>
              <w:t>(3)</w:t>
            </w:r>
          </w:p>
        </w:tc>
        <w:tc>
          <w:tcPr>
            <w:tcW w:w="820" w:type="dxa"/>
            <w:vAlign w:val="bottom"/>
            <w:shd w:val="clear" w:color="auto" w:fill="F1EFEC"/>
          </w:tcPr>
          <w:p>
            <w:pPr>
              <w:jc w:val="right"/>
              <w:ind w:right="123"/>
              <w:spacing w:after="0"/>
              <w:rPr>
                <w:sz w:val="20"/>
                <w:szCs w:val="20"/>
                <w:color w:val="auto"/>
              </w:rPr>
            </w:pPr>
            <w:r>
              <w:rPr>
                <w:rFonts w:ascii="Arial" w:cs="Arial" w:eastAsia="Arial" w:hAnsi="Arial"/>
                <w:sz w:val="11"/>
                <w:szCs w:val="11"/>
                <w:color w:val="auto"/>
              </w:rPr>
              <w:t>1,006,681</w:t>
            </w:r>
          </w:p>
        </w:tc>
        <w:tc>
          <w:tcPr>
            <w:tcW w:w="0" w:type="dxa"/>
            <w:vAlign w:val="bottom"/>
          </w:tcPr>
          <w:p>
            <w:pPr>
              <w:spacing w:after="0"/>
              <w:rPr>
                <w:sz w:val="1"/>
                <w:szCs w:val="1"/>
                <w:color w:val="auto"/>
              </w:rPr>
            </w:pPr>
          </w:p>
        </w:tc>
      </w:tr>
      <w:tr>
        <w:trPr>
          <w:trHeight w:val="258"/>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F1EFEC"/>
          </w:tcPr>
          <w:p>
            <w:pPr>
              <w:jc w:val="right"/>
              <w:ind w:right="124"/>
              <w:spacing w:after="0"/>
              <w:rPr>
                <w:sz w:val="20"/>
                <w:szCs w:val="20"/>
                <w:color w:val="auto"/>
              </w:rPr>
            </w:pPr>
            <w:r>
              <w:rPr>
                <w:rFonts w:ascii="Arial" w:cs="Arial" w:eastAsia="Arial" w:hAnsi="Arial"/>
                <w:sz w:val="11"/>
                <w:szCs w:val="11"/>
                <w:color w:val="auto"/>
              </w:rPr>
              <w:t>30,312</w:t>
            </w:r>
            <w:r>
              <w:rPr>
                <w:rFonts w:ascii="Arial" w:cs="Arial" w:eastAsia="Arial" w:hAnsi="Arial"/>
                <w:sz w:val="17"/>
                <w:szCs w:val="17"/>
                <w:color w:val="auto"/>
                <w:vertAlign w:val="superscript"/>
              </w:rPr>
              <w:t>(4)</w:t>
            </w:r>
          </w:p>
        </w:tc>
        <w:tc>
          <w:tcPr>
            <w:tcW w:w="820" w:type="dxa"/>
            <w:vAlign w:val="bottom"/>
            <w:shd w:val="clear" w:color="auto" w:fill="F1EFEC"/>
          </w:tcPr>
          <w:p>
            <w:pPr>
              <w:jc w:val="right"/>
              <w:ind w:right="123"/>
              <w:spacing w:after="0"/>
              <w:rPr>
                <w:sz w:val="20"/>
                <w:szCs w:val="20"/>
                <w:color w:val="auto"/>
              </w:rPr>
            </w:pPr>
            <w:r>
              <w:rPr>
                <w:rFonts w:ascii="Arial" w:cs="Arial" w:eastAsia="Arial" w:hAnsi="Arial"/>
                <w:sz w:val="11"/>
                <w:szCs w:val="11"/>
                <w:color w:val="auto"/>
              </w:rPr>
              <w:t>3,647,443</w:t>
            </w:r>
          </w:p>
        </w:tc>
        <w:tc>
          <w:tcPr>
            <w:tcW w:w="0" w:type="dxa"/>
            <w:vAlign w:val="bottom"/>
          </w:tcPr>
          <w:p>
            <w:pPr>
              <w:spacing w:after="0"/>
              <w:rPr>
                <w:sz w:val="1"/>
                <w:szCs w:val="1"/>
                <w:color w:val="auto"/>
              </w:rPr>
            </w:pPr>
          </w:p>
        </w:tc>
      </w:tr>
      <w:tr>
        <w:trPr>
          <w:trHeight w:val="258"/>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65"/>
              <w:spacing w:after="0"/>
              <w:rPr>
                <w:sz w:val="20"/>
                <w:szCs w:val="20"/>
                <w:color w:val="auto"/>
              </w:rPr>
            </w:pPr>
            <w:r>
              <w:rPr>
                <w:rFonts w:ascii="Arial" w:cs="Arial" w:eastAsia="Arial" w:hAnsi="Arial"/>
                <w:sz w:val="11"/>
                <w:szCs w:val="11"/>
                <w:color w:val="auto"/>
              </w:rPr>
              <w:t>25,825</w:t>
            </w:r>
            <w:r>
              <w:rPr>
                <w:rFonts w:ascii="Arial" w:cs="Arial" w:eastAsia="Arial" w:hAnsi="Arial"/>
                <w:sz w:val="17"/>
                <w:szCs w:val="17"/>
                <w:color w:val="auto"/>
                <w:vertAlign w:val="superscript"/>
              </w:rPr>
              <w:t>(5)</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11"/>
                <w:szCs w:val="11"/>
                <w:color w:val="auto"/>
              </w:rPr>
              <w:t>3,107,522</w:t>
            </w:r>
          </w:p>
        </w:tc>
        <w:tc>
          <w:tcPr>
            <w:tcW w:w="980" w:type="dxa"/>
            <w:vAlign w:val="bottom"/>
            <w:shd w:val="clear" w:color="auto" w:fill="F1EFEC"/>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7"/>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0" w:type="dxa"/>
            <w:vAlign w:val="bottom"/>
            <w:shd w:val="clear" w:color="auto" w:fill="F1EFEC"/>
          </w:tcPr>
          <w:p>
            <w:pPr>
              <w:spacing w:after="0"/>
              <w:rPr>
                <w:sz w:val="22"/>
                <w:szCs w:val="22"/>
                <w:color w:val="auto"/>
              </w:rPr>
            </w:pPr>
          </w:p>
        </w:tc>
        <w:tc>
          <w:tcPr>
            <w:tcW w:w="6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F1EFEC"/>
          </w:tcPr>
          <w:p>
            <w:pPr>
              <w:jc w:val="right"/>
              <w:ind w:right="124"/>
              <w:spacing w:after="0"/>
              <w:rPr>
                <w:sz w:val="20"/>
                <w:szCs w:val="20"/>
                <w:color w:val="auto"/>
              </w:rPr>
            </w:pPr>
            <w:r>
              <w:rPr>
                <w:rFonts w:ascii="Arial" w:cs="Arial" w:eastAsia="Arial" w:hAnsi="Arial"/>
                <w:sz w:val="11"/>
                <w:szCs w:val="11"/>
                <w:color w:val="auto"/>
              </w:rPr>
              <w:t>17,217</w:t>
            </w:r>
            <w:r>
              <w:rPr>
                <w:rFonts w:ascii="Arial" w:cs="Arial" w:eastAsia="Arial" w:hAnsi="Arial"/>
                <w:sz w:val="17"/>
                <w:szCs w:val="17"/>
                <w:color w:val="auto"/>
                <w:vertAlign w:val="superscript"/>
              </w:rPr>
              <w:t>(6)</w:t>
            </w:r>
          </w:p>
        </w:tc>
        <w:tc>
          <w:tcPr>
            <w:tcW w:w="820" w:type="dxa"/>
            <w:vAlign w:val="bottom"/>
            <w:shd w:val="clear" w:color="auto" w:fill="F1EFEC"/>
          </w:tcPr>
          <w:p>
            <w:pPr>
              <w:jc w:val="right"/>
              <w:ind w:right="123"/>
              <w:spacing w:after="0"/>
              <w:rPr>
                <w:sz w:val="20"/>
                <w:szCs w:val="20"/>
                <w:color w:val="auto"/>
              </w:rPr>
            </w:pPr>
            <w:r>
              <w:rPr>
                <w:rFonts w:ascii="Arial" w:cs="Arial" w:eastAsia="Arial" w:hAnsi="Arial"/>
                <w:sz w:val="11"/>
                <w:szCs w:val="11"/>
                <w:color w:val="auto"/>
              </w:rPr>
              <w:t>2,071,722</w:t>
            </w:r>
          </w:p>
        </w:tc>
        <w:tc>
          <w:tcPr>
            <w:tcW w:w="0" w:type="dxa"/>
            <w:vAlign w:val="bottom"/>
          </w:tcPr>
          <w:p>
            <w:pPr>
              <w:spacing w:after="0"/>
              <w:rPr>
                <w:sz w:val="1"/>
                <w:szCs w:val="1"/>
                <w:color w:val="auto"/>
              </w:rPr>
            </w:pPr>
          </w:p>
        </w:tc>
      </w:tr>
      <w:tr>
        <w:trPr>
          <w:trHeight w:val="258"/>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0" w:type="dxa"/>
            <w:vAlign w:val="bottom"/>
            <w:shd w:val="clear" w:color="auto" w:fill="F1EFEC"/>
          </w:tcPr>
          <w:p>
            <w:pPr>
              <w:spacing w:after="0"/>
              <w:rPr>
                <w:sz w:val="22"/>
                <w:szCs w:val="22"/>
                <w:color w:val="auto"/>
              </w:rPr>
            </w:pPr>
          </w:p>
        </w:tc>
        <w:tc>
          <w:tcPr>
            <w:tcW w:w="6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F1EFEC"/>
          </w:tcPr>
          <w:p>
            <w:pPr>
              <w:jc w:val="right"/>
              <w:ind w:right="124"/>
              <w:spacing w:after="0"/>
              <w:rPr>
                <w:sz w:val="20"/>
                <w:szCs w:val="20"/>
                <w:color w:val="auto"/>
              </w:rPr>
            </w:pPr>
            <w:r>
              <w:rPr>
                <w:rFonts w:ascii="Arial" w:cs="Arial" w:eastAsia="Arial" w:hAnsi="Arial"/>
                <w:sz w:val="11"/>
                <w:szCs w:val="11"/>
                <w:color w:val="auto"/>
              </w:rPr>
              <w:t>21,521</w:t>
            </w:r>
            <w:r>
              <w:rPr>
                <w:rFonts w:ascii="Arial" w:cs="Arial" w:eastAsia="Arial" w:hAnsi="Arial"/>
                <w:sz w:val="17"/>
                <w:szCs w:val="17"/>
                <w:color w:val="auto"/>
                <w:vertAlign w:val="superscript"/>
              </w:rPr>
              <w:t>(7)</w:t>
            </w:r>
          </w:p>
        </w:tc>
        <w:tc>
          <w:tcPr>
            <w:tcW w:w="820" w:type="dxa"/>
            <w:vAlign w:val="bottom"/>
            <w:shd w:val="clear" w:color="auto" w:fill="F1EFEC"/>
          </w:tcPr>
          <w:p>
            <w:pPr>
              <w:jc w:val="right"/>
              <w:ind w:right="123"/>
              <w:spacing w:after="0"/>
              <w:rPr>
                <w:sz w:val="20"/>
                <w:szCs w:val="20"/>
                <w:color w:val="auto"/>
              </w:rPr>
            </w:pPr>
            <w:r>
              <w:rPr>
                <w:rFonts w:ascii="Arial" w:cs="Arial" w:eastAsia="Arial" w:hAnsi="Arial"/>
                <w:sz w:val="11"/>
                <w:szCs w:val="11"/>
                <w:color w:val="auto"/>
              </w:rPr>
              <w:t>2,589,622</w:t>
            </w:r>
          </w:p>
        </w:tc>
        <w:tc>
          <w:tcPr>
            <w:tcW w:w="0" w:type="dxa"/>
            <w:vAlign w:val="bottom"/>
          </w:tcPr>
          <w:p>
            <w:pPr>
              <w:spacing w:after="0"/>
              <w:rPr>
                <w:sz w:val="1"/>
                <w:szCs w:val="1"/>
                <w:color w:val="auto"/>
              </w:rPr>
            </w:pPr>
          </w:p>
        </w:tc>
      </w:tr>
      <w:tr>
        <w:trPr>
          <w:trHeight w:val="257"/>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0" w:type="dxa"/>
            <w:vAlign w:val="bottom"/>
            <w:shd w:val="clear" w:color="auto" w:fill="F1EFEC"/>
          </w:tcPr>
          <w:p>
            <w:pPr>
              <w:spacing w:after="0"/>
              <w:rPr>
                <w:sz w:val="22"/>
                <w:szCs w:val="22"/>
                <w:color w:val="auto"/>
              </w:rPr>
            </w:pPr>
          </w:p>
        </w:tc>
        <w:tc>
          <w:tcPr>
            <w:tcW w:w="6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60" w:type="dxa"/>
            <w:vAlign w:val="bottom"/>
            <w:shd w:val="clear" w:color="auto" w:fill="F1EFEC"/>
          </w:tcPr>
          <w:p>
            <w:pPr>
              <w:spacing w:after="0"/>
              <w:rPr>
                <w:sz w:val="22"/>
                <w:szCs w:val="22"/>
                <w:color w:val="auto"/>
              </w:rPr>
            </w:pPr>
          </w:p>
        </w:tc>
        <w:tc>
          <w:tcPr>
            <w:tcW w:w="7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65"/>
              <w:spacing w:after="0"/>
              <w:rPr>
                <w:sz w:val="20"/>
                <w:szCs w:val="20"/>
                <w:color w:val="auto"/>
              </w:rPr>
            </w:pPr>
            <w:r>
              <w:rPr>
                <w:rFonts w:ascii="Arial" w:cs="Arial" w:eastAsia="Arial" w:hAnsi="Arial"/>
                <w:sz w:val="11"/>
                <w:szCs w:val="11"/>
                <w:color w:val="auto"/>
              </w:rPr>
              <w:t>44,755</w:t>
            </w:r>
            <w:r>
              <w:rPr>
                <w:rFonts w:ascii="Arial" w:cs="Arial" w:eastAsia="Arial" w:hAnsi="Arial"/>
                <w:sz w:val="17"/>
                <w:szCs w:val="17"/>
                <w:color w:val="auto"/>
                <w:vertAlign w:val="superscript"/>
              </w:rPr>
              <w:t>(8)</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11"/>
                <w:szCs w:val="11"/>
                <w:color w:val="auto"/>
              </w:rPr>
              <w:t>5,385,369</w:t>
            </w:r>
          </w:p>
        </w:tc>
        <w:tc>
          <w:tcPr>
            <w:tcW w:w="980" w:type="dxa"/>
            <w:vAlign w:val="bottom"/>
            <w:shd w:val="clear" w:color="auto" w:fill="F1EFEC"/>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8"/>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0" w:type="dxa"/>
            <w:vAlign w:val="bottom"/>
            <w:shd w:val="clear" w:color="auto" w:fill="F1EFEC"/>
          </w:tcPr>
          <w:p>
            <w:pPr>
              <w:spacing w:after="0"/>
              <w:rPr>
                <w:sz w:val="22"/>
                <w:szCs w:val="22"/>
                <w:color w:val="auto"/>
              </w:rPr>
            </w:pPr>
          </w:p>
        </w:tc>
        <w:tc>
          <w:tcPr>
            <w:tcW w:w="6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60" w:type="dxa"/>
            <w:vAlign w:val="bottom"/>
            <w:shd w:val="clear" w:color="auto" w:fill="F1EFEC"/>
          </w:tcPr>
          <w:p>
            <w:pPr>
              <w:spacing w:after="0"/>
              <w:rPr>
                <w:sz w:val="22"/>
                <w:szCs w:val="22"/>
                <w:color w:val="auto"/>
              </w:rPr>
            </w:pPr>
          </w:p>
        </w:tc>
        <w:tc>
          <w:tcPr>
            <w:tcW w:w="7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F1EFEC"/>
          </w:tcPr>
          <w:p>
            <w:pPr>
              <w:jc w:val="right"/>
              <w:ind w:right="124"/>
              <w:spacing w:after="0"/>
              <w:rPr>
                <w:sz w:val="20"/>
                <w:szCs w:val="20"/>
                <w:color w:val="auto"/>
              </w:rPr>
            </w:pPr>
            <w:r>
              <w:rPr>
                <w:rFonts w:ascii="Arial" w:cs="Arial" w:eastAsia="Arial" w:hAnsi="Arial"/>
                <w:sz w:val="11"/>
                <w:szCs w:val="11"/>
                <w:color w:val="auto"/>
              </w:rPr>
              <w:t>29,837</w:t>
            </w:r>
            <w:r>
              <w:rPr>
                <w:rFonts w:ascii="Arial" w:cs="Arial" w:eastAsia="Arial" w:hAnsi="Arial"/>
                <w:sz w:val="17"/>
                <w:szCs w:val="17"/>
                <w:color w:val="auto"/>
                <w:vertAlign w:val="superscript"/>
              </w:rPr>
              <w:t>(9)</w:t>
            </w:r>
          </w:p>
        </w:tc>
        <w:tc>
          <w:tcPr>
            <w:tcW w:w="820" w:type="dxa"/>
            <w:vAlign w:val="bottom"/>
            <w:shd w:val="clear" w:color="auto" w:fill="F1EFEC"/>
          </w:tcPr>
          <w:p>
            <w:pPr>
              <w:jc w:val="right"/>
              <w:ind w:right="123"/>
              <w:spacing w:after="0"/>
              <w:rPr>
                <w:sz w:val="20"/>
                <w:szCs w:val="20"/>
                <w:color w:val="auto"/>
              </w:rPr>
            </w:pPr>
            <w:r>
              <w:rPr>
                <w:rFonts w:ascii="Arial" w:cs="Arial" w:eastAsia="Arial" w:hAnsi="Arial"/>
                <w:sz w:val="11"/>
                <w:szCs w:val="11"/>
                <w:color w:val="auto"/>
              </w:rPr>
              <w:t>3,590,286</w:t>
            </w:r>
          </w:p>
        </w:tc>
        <w:tc>
          <w:tcPr>
            <w:tcW w:w="0" w:type="dxa"/>
            <w:vAlign w:val="bottom"/>
          </w:tcPr>
          <w:p>
            <w:pPr>
              <w:spacing w:after="0"/>
              <w:rPr>
                <w:sz w:val="1"/>
                <w:szCs w:val="1"/>
                <w:color w:val="auto"/>
              </w:rPr>
            </w:pPr>
          </w:p>
        </w:tc>
      </w:tr>
      <w:tr>
        <w:trPr>
          <w:trHeight w:val="257"/>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0" w:type="dxa"/>
            <w:vAlign w:val="bottom"/>
            <w:shd w:val="clear" w:color="auto" w:fill="F1EFEC"/>
          </w:tcPr>
          <w:p>
            <w:pPr>
              <w:spacing w:after="0"/>
              <w:rPr>
                <w:sz w:val="22"/>
                <w:szCs w:val="22"/>
                <w:color w:val="auto"/>
              </w:rPr>
            </w:pPr>
          </w:p>
        </w:tc>
        <w:tc>
          <w:tcPr>
            <w:tcW w:w="6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60" w:type="dxa"/>
            <w:vAlign w:val="bottom"/>
            <w:shd w:val="clear" w:color="auto" w:fill="F1EFEC"/>
          </w:tcPr>
          <w:p>
            <w:pPr>
              <w:spacing w:after="0"/>
              <w:rPr>
                <w:sz w:val="22"/>
                <w:szCs w:val="22"/>
                <w:color w:val="auto"/>
              </w:rPr>
            </w:pPr>
          </w:p>
        </w:tc>
        <w:tc>
          <w:tcPr>
            <w:tcW w:w="7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80" w:type="dxa"/>
            <w:vAlign w:val="bottom"/>
            <w:shd w:val="clear" w:color="auto" w:fill="F1EFEC"/>
          </w:tcPr>
          <w:p>
            <w:pPr>
              <w:spacing w:after="0"/>
              <w:rPr>
                <w:sz w:val="22"/>
                <w:szCs w:val="22"/>
                <w:color w:val="auto"/>
              </w:rPr>
            </w:pPr>
          </w:p>
        </w:tc>
        <w:tc>
          <w:tcPr>
            <w:tcW w:w="740" w:type="dxa"/>
            <w:vAlign w:val="bottom"/>
            <w:shd w:val="clear" w:color="auto" w:fill="F1EFEC"/>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F1EFEC"/>
          </w:tcPr>
          <w:p>
            <w:pPr>
              <w:jc w:val="right"/>
              <w:ind w:right="84"/>
              <w:spacing w:after="0"/>
              <w:rPr>
                <w:sz w:val="20"/>
                <w:szCs w:val="20"/>
                <w:color w:val="auto"/>
              </w:rPr>
            </w:pPr>
            <w:r>
              <w:rPr>
                <w:rFonts w:ascii="Arial" w:cs="Arial" w:eastAsia="Arial" w:hAnsi="Arial"/>
                <w:sz w:val="11"/>
                <w:szCs w:val="11"/>
                <w:color w:val="auto"/>
              </w:rPr>
              <w:t>24,864</w:t>
            </w:r>
            <w:r>
              <w:rPr>
                <w:rFonts w:ascii="Arial" w:cs="Arial" w:eastAsia="Arial" w:hAnsi="Arial"/>
                <w:sz w:val="17"/>
                <w:szCs w:val="17"/>
                <w:color w:val="auto"/>
                <w:vertAlign w:val="superscript"/>
              </w:rPr>
              <w:t>(10)</w:t>
            </w:r>
          </w:p>
        </w:tc>
        <w:tc>
          <w:tcPr>
            <w:tcW w:w="820" w:type="dxa"/>
            <w:vAlign w:val="bottom"/>
            <w:shd w:val="clear" w:color="auto" w:fill="F1EFEC"/>
          </w:tcPr>
          <w:p>
            <w:pPr>
              <w:jc w:val="right"/>
              <w:ind w:right="123"/>
              <w:spacing w:after="0"/>
              <w:rPr>
                <w:sz w:val="20"/>
                <w:szCs w:val="20"/>
                <w:color w:val="auto"/>
              </w:rPr>
            </w:pPr>
            <w:r>
              <w:rPr>
                <w:rFonts w:ascii="Arial" w:cs="Arial" w:eastAsia="Arial" w:hAnsi="Arial"/>
                <w:sz w:val="11"/>
                <w:szCs w:val="11"/>
                <w:color w:val="auto"/>
              </w:rPr>
              <w:t>2,991,885</w:t>
            </w:r>
          </w:p>
        </w:tc>
        <w:tc>
          <w:tcPr>
            <w:tcW w:w="0" w:type="dxa"/>
            <w:vAlign w:val="bottom"/>
          </w:tcPr>
          <w:p>
            <w:pPr>
              <w:spacing w:after="0"/>
              <w:rPr>
                <w:sz w:val="1"/>
                <w:szCs w:val="1"/>
                <w:color w:val="auto"/>
              </w:rPr>
            </w:pPr>
          </w:p>
        </w:tc>
      </w:tr>
      <w:tr>
        <w:trPr>
          <w:trHeight w:val="265"/>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w w:val="96"/>
              </w:rPr>
              <w:t>3,650</w:t>
            </w:r>
            <w:r>
              <w:rPr>
                <w:rFonts w:ascii="Arial" w:cs="Arial" w:eastAsia="Arial" w:hAnsi="Arial"/>
                <w:sz w:val="17"/>
                <w:szCs w:val="17"/>
                <w:color w:val="auto"/>
                <w:w w:val="96"/>
                <w:vertAlign w:val="superscript"/>
              </w:rPr>
              <w:t>(1)</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0" w:type="dxa"/>
            <w:vAlign w:val="bottom"/>
            <w:shd w:val="clear" w:color="auto" w:fill="F1EFEC"/>
          </w:tcPr>
          <w:p>
            <w:pPr>
              <w:spacing w:after="0"/>
              <w:rPr>
                <w:sz w:val="23"/>
                <w:szCs w:val="23"/>
                <w:color w:val="auto"/>
              </w:rPr>
            </w:pPr>
          </w:p>
        </w:tc>
        <w:tc>
          <w:tcPr>
            <w:tcW w:w="6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78.62</w:t>
            </w:r>
          </w:p>
        </w:tc>
        <w:tc>
          <w:tcPr>
            <w:tcW w:w="60" w:type="dxa"/>
            <w:vAlign w:val="bottom"/>
            <w:shd w:val="clear" w:color="auto" w:fill="F1EFEC"/>
          </w:tcPr>
          <w:p>
            <w:pPr>
              <w:spacing w:after="0"/>
              <w:rPr>
                <w:sz w:val="23"/>
                <w:szCs w:val="23"/>
                <w:color w:val="auto"/>
              </w:rPr>
            </w:pPr>
          </w:p>
        </w:tc>
        <w:tc>
          <w:tcPr>
            <w:tcW w:w="7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12/11/2030</w:t>
            </w:r>
          </w:p>
        </w:tc>
        <w:tc>
          <w:tcPr>
            <w:tcW w:w="80" w:type="dxa"/>
            <w:vAlign w:val="bottom"/>
            <w:shd w:val="clear" w:color="auto" w:fill="F1EFEC"/>
          </w:tcPr>
          <w:p>
            <w:pPr>
              <w:spacing w:after="0"/>
              <w:rPr>
                <w:sz w:val="23"/>
                <w:szCs w:val="23"/>
                <w:color w:val="auto"/>
              </w:rPr>
            </w:pPr>
          </w:p>
        </w:tc>
        <w:tc>
          <w:tcPr>
            <w:tcW w:w="740" w:type="dxa"/>
            <w:vAlign w:val="bottom"/>
            <w:shd w:val="clear" w:color="auto" w:fill="F1EFEC"/>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F1EFEC"/>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93"/>
        </w:trPr>
        <w:tc>
          <w:tcPr>
            <w:tcW w:w="8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5"/>
              <w:spacing w:after="0"/>
              <w:rPr>
                <w:sz w:val="20"/>
                <w:szCs w:val="20"/>
                <w:color w:val="auto"/>
              </w:rPr>
            </w:pPr>
            <w:r>
              <w:rPr>
                <w:rFonts w:ascii="Arial" w:cs="Arial" w:eastAsia="Arial" w:hAnsi="Arial"/>
                <w:sz w:val="11"/>
                <w:szCs w:val="11"/>
                <w:color w:val="auto"/>
              </w:rPr>
              <w:t>2,396</w:t>
            </w:r>
            <w:r>
              <w:rPr>
                <w:rFonts w:ascii="Arial" w:cs="Arial" w:eastAsia="Arial" w:hAnsi="Arial"/>
                <w:sz w:val="17"/>
                <w:szCs w:val="17"/>
                <w:color w:val="auto"/>
                <w:vertAlign w:val="superscript"/>
              </w:rPr>
              <w:t>(2)</w:t>
            </w:r>
          </w:p>
        </w:tc>
        <w:tc>
          <w:tcPr>
            <w:tcW w:w="760" w:type="dxa"/>
            <w:vAlign w:val="bottom"/>
          </w:tcPr>
          <w:p>
            <w:pPr>
              <w:jc w:val="right"/>
              <w:ind w:right="132"/>
              <w:spacing w:after="0"/>
              <w:rPr>
                <w:sz w:val="20"/>
                <w:szCs w:val="20"/>
                <w:color w:val="auto"/>
              </w:rPr>
            </w:pPr>
            <w:r>
              <w:rPr>
                <w:rFonts w:ascii="Arial" w:cs="Arial" w:eastAsia="Arial" w:hAnsi="Arial"/>
                <w:sz w:val="11"/>
                <w:szCs w:val="11"/>
                <w:color w:val="auto"/>
              </w:rPr>
              <w:t>288,311</w:t>
            </w:r>
          </w:p>
        </w:tc>
        <w:tc>
          <w:tcPr>
            <w:tcW w:w="980" w:type="dxa"/>
            <w:vAlign w:val="bottom"/>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7"/>
        </w:trPr>
        <w:tc>
          <w:tcPr>
            <w:tcW w:w="8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tcPr>
          <w:p>
            <w:pPr>
              <w:jc w:val="right"/>
              <w:ind w:right="124"/>
              <w:spacing w:after="0"/>
              <w:rPr>
                <w:sz w:val="20"/>
                <w:szCs w:val="20"/>
                <w:color w:val="auto"/>
              </w:rPr>
            </w:pPr>
            <w:r>
              <w:rPr>
                <w:rFonts w:ascii="Arial" w:cs="Arial" w:eastAsia="Arial" w:hAnsi="Arial"/>
                <w:sz w:val="11"/>
                <w:szCs w:val="11"/>
                <w:color w:val="auto"/>
              </w:rPr>
              <w:t>1,597</w:t>
            </w:r>
            <w:r>
              <w:rPr>
                <w:rFonts w:ascii="Arial" w:cs="Arial" w:eastAsia="Arial" w:hAnsi="Arial"/>
                <w:sz w:val="17"/>
                <w:szCs w:val="17"/>
                <w:color w:val="auto"/>
                <w:vertAlign w:val="superscript"/>
              </w:rPr>
              <w:t>(3)</w:t>
            </w:r>
          </w:p>
        </w:tc>
        <w:tc>
          <w:tcPr>
            <w:tcW w:w="820" w:type="dxa"/>
            <w:vAlign w:val="bottom"/>
          </w:tcPr>
          <w:p>
            <w:pPr>
              <w:jc w:val="right"/>
              <w:ind w:right="123"/>
              <w:spacing w:after="0"/>
              <w:rPr>
                <w:sz w:val="20"/>
                <w:szCs w:val="20"/>
                <w:color w:val="auto"/>
              </w:rPr>
            </w:pPr>
            <w:r>
              <w:rPr>
                <w:rFonts w:ascii="Arial" w:cs="Arial" w:eastAsia="Arial" w:hAnsi="Arial"/>
                <w:sz w:val="11"/>
                <w:szCs w:val="11"/>
                <w:color w:val="auto"/>
              </w:rPr>
              <w:t>192,167</w:t>
            </w:r>
          </w:p>
        </w:tc>
        <w:tc>
          <w:tcPr>
            <w:tcW w:w="0" w:type="dxa"/>
            <w:vAlign w:val="bottom"/>
          </w:tcPr>
          <w:p>
            <w:pPr>
              <w:spacing w:after="0"/>
              <w:rPr>
                <w:sz w:val="1"/>
                <w:szCs w:val="1"/>
                <w:color w:val="auto"/>
              </w:rPr>
            </w:pPr>
          </w:p>
        </w:tc>
      </w:tr>
      <w:tr>
        <w:trPr>
          <w:trHeight w:val="247"/>
        </w:trPr>
        <w:tc>
          <w:tcPr>
            <w:tcW w:w="8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tcPr>
          <w:p>
            <w:pPr>
              <w:jc w:val="right"/>
              <w:ind w:right="124"/>
              <w:spacing w:after="0"/>
              <w:rPr>
                <w:sz w:val="20"/>
                <w:szCs w:val="20"/>
                <w:color w:val="auto"/>
              </w:rPr>
            </w:pPr>
            <w:r>
              <w:rPr>
                <w:rFonts w:ascii="Arial" w:cs="Arial" w:eastAsia="Arial" w:hAnsi="Arial"/>
                <w:sz w:val="11"/>
                <w:szCs w:val="11"/>
                <w:color w:val="auto"/>
              </w:rPr>
              <w:t>5,789</w:t>
            </w:r>
            <w:r>
              <w:rPr>
                <w:rFonts w:ascii="Arial" w:cs="Arial" w:eastAsia="Arial" w:hAnsi="Arial"/>
                <w:sz w:val="17"/>
                <w:szCs w:val="17"/>
                <w:color w:val="auto"/>
                <w:vertAlign w:val="superscript"/>
              </w:rPr>
              <w:t>(4)</w:t>
            </w:r>
          </w:p>
        </w:tc>
        <w:tc>
          <w:tcPr>
            <w:tcW w:w="820" w:type="dxa"/>
            <w:vAlign w:val="bottom"/>
          </w:tcPr>
          <w:p>
            <w:pPr>
              <w:jc w:val="right"/>
              <w:ind w:right="123"/>
              <w:spacing w:after="0"/>
              <w:rPr>
                <w:sz w:val="20"/>
                <w:szCs w:val="20"/>
                <w:color w:val="auto"/>
              </w:rPr>
            </w:pPr>
            <w:r>
              <w:rPr>
                <w:rFonts w:ascii="Arial" w:cs="Arial" w:eastAsia="Arial" w:hAnsi="Arial"/>
                <w:sz w:val="11"/>
                <w:szCs w:val="11"/>
                <w:color w:val="auto"/>
              </w:rPr>
              <w:t>696,590</w:t>
            </w:r>
          </w:p>
        </w:tc>
        <w:tc>
          <w:tcPr>
            <w:tcW w:w="0" w:type="dxa"/>
            <w:vAlign w:val="bottom"/>
          </w:tcPr>
          <w:p>
            <w:pPr>
              <w:spacing w:after="0"/>
              <w:rPr>
                <w:sz w:val="1"/>
                <w:szCs w:val="1"/>
                <w:color w:val="auto"/>
              </w:rPr>
            </w:pPr>
          </w:p>
        </w:tc>
      </w:tr>
      <w:tr>
        <w:trPr>
          <w:trHeight w:val="247"/>
        </w:trPr>
        <w:tc>
          <w:tcPr>
            <w:tcW w:w="8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5"/>
              <w:spacing w:after="0"/>
              <w:rPr>
                <w:sz w:val="20"/>
                <w:szCs w:val="20"/>
                <w:color w:val="auto"/>
              </w:rPr>
            </w:pPr>
            <w:r>
              <w:rPr>
                <w:rFonts w:ascii="Arial" w:cs="Arial" w:eastAsia="Arial" w:hAnsi="Arial"/>
                <w:sz w:val="11"/>
                <w:szCs w:val="11"/>
                <w:color w:val="auto"/>
              </w:rPr>
              <w:t>5,236</w:t>
            </w:r>
            <w:r>
              <w:rPr>
                <w:rFonts w:ascii="Arial" w:cs="Arial" w:eastAsia="Arial" w:hAnsi="Arial"/>
                <w:sz w:val="17"/>
                <w:szCs w:val="17"/>
                <w:color w:val="auto"/>
                <w:vertAlign w:val="superscript"/>
              </w:rPr>
              <w:t>(5)</w:t>
            </w:r>
          </w:p>
        </w:tc>
        <w:tc>
          <w:tcPr>
            <w:tcW w:w="760" w:type="dxa"/>
            <w:vAlign w:val="bottom"/>
          </w:tcPr>
          <w:p>
            <w:pPr>
              <w:jc w:val="right"/>
              <w:ind w:right="132"/>
              <w:spacing w:after="0"/>
              <w:rPr>
                <w:sz w:val="20"/>
                <w:szCs w:val="20"/>
                <w:color w:val="auto"/>
              </w:rPr>
            </w:pPr>
            <w:r>
              <w:rPr>
                <w:rFonts w:ascii="Arial" w:cs="Arial" w:eastAsia="Arial" w:hAnsi="Arial"/>
                <w:sz w:val="11"/>
                <w:szCs w:val="11"/>
                <w:color w:val="auto"/>
              </w:rPr>
              <w:t>630,048</w:t>
            </w:r>
          </w:p>
        </w:tc>
        <w:tc>
          <w:tcPr>
            <w:tcW w:w="980" w:type="dxa"/>
            <w:vAlign w:val="bottom"/>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7"/>
        </w:trPr>
        <w:tc>
          <w:tcPr>
            <w:tcW w:w="8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tcPr>
          <w:p>
            <w:pPr>
              <w:jc w:val="right"/>
              <w:ind w:right="124"/>
              <w:spacing w:after="0"/>
              <w:rPr>
                <w:sz w:val="20"/>
                <w:szCs w:val="20"/>
                <w:color w:val="auto"/>
              </w:rPr>
            </w:pPr>
            <w:r>
              <w:rPr>
                <w:rFonts w:ascii="Arial" w:cs="Arial" w:eastAsia="Arial" w:hAnsi="Arial"/>
                <w:sz w:val="11"/>
                <w:szCs w:val="11"/>
                <w:color w:val="auto"/>
              </w:rPr>
              <w:t>3,491</w:t>
            </w:r>
            <w:r>
              <w:rPr>
                <w:rFonts w:ascii="Arial" w:cs="Arial" w:eastAsia="Arial" w:hAnsi="Arial"/>
                <w:sz w:val="17"/>
                <w:szCs w:val="17"/>
                <w:color w:val="auto"/>
                <w:vertAlign w:val="superscript"/>
              </w:rPr>
              <w:t>(6)</w:t>
            </w:r>
          </w:p>
        </w:tc>
        <w:tc>
          <w:tcPr>
            <w:tcW w:w="820" w:type="dxa"/>
            <w:vAlign w:val="bottom"/>
          </w:tcPr>
          <w:p>
            <w:pPr>
              <w:jc w:val="right"/>
              <w:ind w:right="123"/>
              <w:spacing w:after="0"/>
              <w:rPr>
                <w:sz w:val="20"/>
                <w:szCs w:val="20"/>
                <w:color w:val="auto"/>
              </w:rPr>
            </w:pPr>
            <w:r>
              <w:rPr>
                <w:rFonts w:ascii="Arial" w:cs="Arial" w:eastAsia="Arial" w:hAnsi="Arial"/>
                <w:sz w:val="11"/>
                <w:szCs w:val="11"/>
                <w:color w:val="auto"/>
              </w:rPr>
              <w:t>420,072</w:t>
            </w:r>
          </w:p>
        </w:tc>
        <w:tc>
          <w:tcPr>
            <w:tcW w:w="0" w:type="dxa"/>
            <w:vAlign w:val="bottom"/>
          </w:tcPr>
          <w:p>
            <w:pPr>
              <w:spacing w:after="0"/>
              <w:rPr>
                <w:sz w:val="1"/>
                <w:szCs w:val="1"/>
                <w:color w:val="auto"/>
              </w:rPr>
            </w:pPr>
          </w:p>
        </w:tc>
      </w:tr>
      <w:tr>
        <w:trPr>
          <w:trHeight w:val="247"/>
        </w:trPr>
        <w:tc>
          <w:tcPr>
            <w:tcW w:w="8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tcPr>
          <w:p>
            <w:pPr>
              <w:jc w:val="right"/>
              <w:ind w:right="124"/>
              <w:spacing w:after="0"/>
              <w:rPr>
                <w:sz w:val="20"/>
                <w:szCs w:val="20"/>
                <w:color w:val="auto"/>
              </w:rPr>
            </w:pPr>
            <w:r>
              <w:rPr>
                <w:rFonts w:ascii="Arial" w:cs="Arial" w:eastAsia="Arial" w:hAnsi="Arial"/>
                <w:sz w:val="11"/>
                <w:szCs w:val="11"/>
                <w:color w:val="auto"/>
              </w:rPr>
              <w:t>4,364</w:t>
            </w:r>
            <w:r>
              <w:rPr>
                <w:rFonts w:ascii="Arial" w:cs="Arial" w:eastAsia="Arial" w:hAnsi="Arial"/>
                <w:sz w:val="17"/>
                <w:szCs w:val="17"/>
                <w:color w:val="auto"/>
                <w:vertAlign w:val="superscript"/>
              </w:rPr>
              <w:t>(7)</w:t>
            </w:r>
          </w:p>
        </w:tc>
        <w:tc>
          <w:tcPr>
            <w:tcW w:w="820" w:type="dxa"/>
            <w:vAlign w:val="bottom"/>
          </w:tcPr>
          <w:p>
            <w:pPr>
              <w:jc w:val="right"/>
              <w:ind w:right="123"/>
              <w:spacing w:after="0"/>
              <w:rPr>
                <w:sz w:val="20"/>
                <w:szCs w:val="20"/>
                <w:color w:val="auto"/>
              </w:rPr>
            </w:pPr>
            <w:r>
              <w:rPr>
                <w:rFonts w:ascii="Arial" w:cs="Arial" w:eastAsia="Arial" w:hAnsi="Arial"/>
                <w:sz w:val="11"/>
                <w:szCs w:val="11"/>
                <w:color w:val="auto"/>
              </w:rPr>
              <w:t>525,120</w:t>
            </w:r>
          </w:p>
        </w:tc>
        <w:tc>
          <w:tcPr>
            <w:tcW w:w="0" w:type="dxa"/>
            <w:vAlign w:val="bottom"/>
          </w:tcPr>
          <w:p>
            <w:pPr>
              <w:spacing w:after="0"/>
              <w:rPr>
                <w:sz w:val="1"/>
                <w:szCs w:val="1"/>
                <w:color w:val="auto"/>
              </w:rPr>
            </w:pPr>
          </w:p>
        </w:tc>
      </w:tr>
      <w:tr>
        <w:trPr>
          <w:trHeight w:val="247"/>
        </w:trPr>
        <w:tc>
          <w:tcPr>
            <w:tcW w:w="8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5"/>
              <w:spacing w:after="0"/>
              <w:rPr>
                <w:sz w:val="20"/>
                <w:szCs w:val="20"/>
                <w:color w:val="auto"/>
              </w:rPr>
            </w:pPr>
            <w:r>
              <w:rPr>
                <w:rFonts w:ascii="Arial" w:cs="Arial" w:eastAsia="Arial" w:hAnsi="Arial"/>
                <w:sz w:val="11"/>
                <w:szCs w:val="11"/>
                <w:color w:val="auto"/>
              </w:rPr>
              <w:t>9,074</w:t>
            </w:r>
            <w:r>
              <w:rPr>
                <w:rFonts w:ascii="Arial" w:cs="Arial" w:eastAsia="Arial" w:hAnsi="Arial"/>
                <w:sz w:val="17"/>
                <w:szCs w:val="17"/>
                <w:color w:val="auto"/>
                <w:vertAlign w:val="superscript"/>
              </w:rPr>
              <w:t>(8)</w:t>
            </w:r>
          </w:p>
        </w:tc>
        <w:tc>
          <w:tcPr>
            <w:tcW w:w="760" w:type="dxa"/>
            <w:vAlign w:val="bottom"/>
          </w:tcPr>
          <w:p>
            <w:pPr>
              <w:jc w:val="center"/>
              <w:ind w:right="52"/>
              <w:spacing w:after="0"/>
              <w:rPr>
                <w:sz w:val="20"/>
                <w:szCs w:val="20"/>
                <w:color w:val="auto"/>
              </w:rPr>
            </w:pPr>
            <w:r>
              <w:rPr>
                <w:rFonts w:ascii="Arial" w:cs="Arial" w:eastAsia="Arial" w:hAnsi="Arial"/>
                <w:sz w:val="11"/>
                <w:szCs w:val="11"/>
                <w:color w:val="auto"/>
              </w:rPr>
              <w:t>1,091,874</w:t>
            </w:r>
          </w:p>
        </w:tc>
        <w:tc>
          <w:tcPr>
            <w:tcW w:w="980" w:type="dxa"/>
            <w:vAlign w:val="bottom"/>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7"/>
        </w:trPr>
        <w:tc>
          <w:tcPr>
            <w:tcW w:w="8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tcPr>
          <w:p>
            <w:pPr>
              <w:jc w:val="right"/>
              <w:ind w:right="124"/>
              <w:spacing w:after="0"/>
              <w:rPr>
                <w:sz w:val="20"/>
                <w:szCs w:val="20"/>
                <w:color w:val="auto"/>
              </w:rPr>
            </w:pPr>
            <w:r>
              <w:rPr>
                <w:rFonts w:ascii="Arial" w:cs="Arial" w:eastAsia="Arial" w:hAnsi="Arial"/>
                <w:sz w:val="11"/>
                <w:szCs w:val="11"/>
                <w:color w:val="auto"/>
              </w:rPr>
              <w:t>6,050</w:t>
            </w:r>
            <w:r>
              <w:rPr>
                <w:rFonts w:ascii="Arial" w:cs="Arial" w:eastAsia="Arial" w:hAnsi="Arial"/>
                <w:sz w:val="17"/>
                <w:szCs w:val="17"/>
                <w:color w:val="auto"/>
                <w:vertAlign w:val="superscript"/>
              </w:rPr>
              <w:t>(9)</w:t>
            </w:r>
          </w:p>
        </w:tc>
        <w:tc>
          <w:tcPr>
            <w:tcW w:w="820" w:type="dxa"/>
            <w:vAlign w:val="bottom"/>
          </w:tcPr>
          <w:p>
            <w:pPr>
              <w:jc w:val="right"/>
              <w:ind w:right="123"/>
              <w:spacing w:after="0"/>
              <w:rPr>
                <w:sz w:val="20"/>
                <w:szCs w:val="20"/>
                <w:color w:val="auto"/>
              </w:rPr>
            </w:pPr>
            <w:r>
              <w:rPr>
                <w:rFonts w:ascii="Arial" w:cs="Arial" w:eastAsia="Arial" w:hAnsi="Arial"/>
                <w:sz w:val="11"/>
                <w:szCs w:val="11"/>
                <w:color w:val="auto"/>
              </w:rPr>
              <w:t>727,997</w:t>
            </w:r>
          </w:p>
        </w:tc>
        <w:tc>
          <w:tcPr>
            <w:tcW w:w="0" w:type="dxa"/>
            <w:vAlign w:val="bottom"/>
          </w:tcPr>
          <w:p>
            <w:pPr>
              <w:spacing w:after="0"/>
              <w:rPr>
                <w:sz w:val="1"/>
                <w:szCs w:val="1"/>
                <w:color w:val="auto"/>
              </w:rPr>
            </w:pPr>
          </w:p>
        </w:tc>
      </w:tr>
      <w:tr>
        <w:trPr>
          <w:trHeight w:val="251"/>
        </w:trPr>
        <w:tc>
          <w:tcPr>
            <w:tcW w:w="88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tcPr>
          <w:p>
            <w:pPr>
              <w:jc w:val="right"/>
              <w:ind w:right="84"/>
              <w:spacing w:after="0"/>
              <w:rPr>
                <w:sz w:val="20"/>
                <w:szCs w:val="20"/>
                <w:color w:val="auto"/>
              </w:rPr>
            </w:pPr>
            <w:r>
              <w:rPr>
                <w:rFonts w:ascii="Arial" w:cs="Arial" w:eastAsia="Arial" w:hAnsi="Arial"/>
                <w:sz w:val="11"/>
                <w:szCs w:val="11"/>
                <w:color w:val="auto"/>
              </w:rPr>
              <w:t>5,041</w:t>
            </w:r>
            <w:r>
              <w:rPr>
                <w:rFonts w:ascii="Arial" w:cs="Arial" w:eastAsia="Arial" w:hAnsi="Arial"/>
                <w:sz w:val="17"/>
                <w:szCs w:val="17"/>
                <w:color w:val="auto"/>
                <w:vertAlign w:val="superscript"/>
              </w:rPr>
              <w:t>(10)</w:t>
            </w:r>
          </w:p>
        </w:tc>
        <w:tc>
          <w:tcPr>
            <w:tcW w:w="820" w:type="dxa"/>
            <w:vAlign w:val="bottom"/>
          </w:tcPr>
          <w:p>
            <w:pPr>
              <w:jc w:val="right"/>
              <w:ind w:right="123"/>
              <w:spacing w:after="0"/>
              <w:rPr>
                <w:sz w:val="20"/>
                <w:szCs w:val="20"/>
                <w:color w:val="auto"/>
              </w:rPr>
            </w:pPr>
            <w:r>
              <w:rPr>
                <w:rFonts w:ascii="Arial" w:cs="Arial" w:eastAsia="Arial" w:hAnsi="Arial"/>
                <w:sz w:val="11"/>
                <w:szCs w:val="11"/>
                <w:color w:val="auto"/>
              </w:rPr>
              <w:t>606,584</w:t>
            </w:r>
          </w:p>
        </w:tc>
        <w:tc>
          <w:tcPr>
            <w:tcW w:w="0" w:type="dxa"/>
            <w:vAlign w:val="bottom"/>
          </w:tcPr>
          <w:p>
            <w:pPr>
              <w:spacing w:after="0"/>
              <w:rPr>
                <w:sz w:val="1"/>
                <w:szCs w:val="1"/>
                <w:color w:val="auto"/>
              </w:rPr>
            </w:pPr>
          </w:p>
        </w:tc>
      </w:tr>
      <w:tr>
        <w:trPr>
          <w:trHeight w:val="297"/>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65"/>
              <w:spacing w:after="0"/>
              <w:rPr>
                <w:sz w:val="20"/>
                <w:szCs w:val="20"/>
                <w:color w:val="auto"/>
              </w:rPr>
            </w:pPr>
            <w:r>
              <w:rPr>
                <w:rFonts w:ascii="Arial" w:cs="Arial" w:eastAsia="Arial" w:hAnsi="Arial"/>
                <w:sz w:val="11"/>
                <w:szCs w:val="11"/>
                <w:color w:val="auto"/>
              </w:rPr>
              <w:t>846</w:t>
            </w:r>
            <w:r>
              <w:rPr>
                <w:rFonts w:ascii="Arial" w:cs="Arial" w:eastAsia="Arial" w:hAnsi="Arial"/>
                <w:sz w:val="17"/>
                <w:szCs w:val="17"/>
                <w:color w:val="auto"/>
                <w:vertAlign w:val="superscript"/>
              </w:rPr>
              <w:t>(2)</w:t>
            </w:r>
          </w:p>
        </w:tc>
        <w:tc>
          <w:tcPr>
            <w:tcW w:w="760" w:type="dxa"/>
            <w:vAlign w:val="bottom"/>
            <w:shd w:val="clear" w:color="auto" w:fill="F1EFEC"/>
          </w:tcPr>
          <w:p>
            <w:pPr>
              <w:jc w:val="right"/>
              <w:ind w:right="132"/>
              <w:spacing w:after="0"/>
              <w:rPr>
                <w:sz w:val="20"/>
                <w:szCs w:val="20"/>
                <w:color w:val="auto"/>
              </w:rPr>
            </w:pPr>
            <w:r>
              <w:rPr>
                <w:rFonts w:ascii="Arial" w:cs="Arial" w:eastAsia="Arial" w:hAnsi="Arial"/>
                <w:sz w:val="11"/>
                <w:szCs w:val="11"/>
                <w:color w:val="auto"/>
              </w:rPr>
              <w:t>101,799</w:t>
            </w:r>
          </w:p>
        </w:tc>
        <w:tc>
          <w:tcPr>
            <w:tcW w:w="980" w:type="dxa"/>
            <w:vAlign w:val="bottom"/>
            <w:shd w:val="clear" w:color="auto" w:fill="F1EFEC"/>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7"/>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65"/>
              <w:spacing w:after="0"/>
              <w:rPr>
                <w:sz w:val="20"/>
                <w:szCs w:val="20"/>
                <w:color w:val="auto"/>
              </w:rPr>
            </w:pPr>
            <w:r>
              <w:rPr>
                <w:rFonts w:ascii="Arial" w:cs="Arial" w:eastAsia="Arial" w:hAnsi="Arial"/>
                <w:sz w:val="11"/>
                <w:szCs w:val="11"/>
                <w:color w:val="auto"/>
              </w:rPr>
              <w:t>1,232</w:t>
            </w:r>
            <w:r>
              <w:rPr>
                <w:rFonts w:ascii="Arial" w:cs="Arial" w:eastAsia="Arial" w:hAnsi="Arial"/>
                <w:sz w:val="17"/>
                <w:szCs w:val="17"/>
                <w:color w:val="auto"/>
                <w:vertAlign w:val="superscript"/>
              </w:rPr>
              <w:t>(5)</w:t>
            </w:r>
          </w:p>
        </w:tc>
        <w:tc>
          <w:tcPr>
            <w:tcW w:w="760" w:type="dxa"/>
            <w:vAlign w:val="bottom"/>
            <w:shd w:val="clear" w:color="auto" w:fill="F1EFEC"/>
          </w:tcPr>
          <w:p>
            <w:pPr>
              <w:jc w:val="right"/>
              <w:ind w:right="132"/>
              <w:spacing w:after="0"/>
              <w:rPr>
                <w:sz w:val="20"/>
                <w:szCs w:val="20"/>
                <w:color w:val="auto"/>
              </w:rPr>
            </w:pPr>
            <w:r>
              <w:rPr>
                <w:rFonts w:ascii="Arial" w:cs="Arial" w:eastAsia="Arial" w:hAnsi="Arial"/>
                <w:sz w:val="11"/>
                <w:szCs w:val="11"/>
                <w:color w:val="auto"/>
              </w:rPr>
              <w:t>148,247</w:t>
            </w:r>
          </w:p>
        </w:tc>
        <w:tc>
          <w:tcPr>
            <w:tcW w:w="980" w:type="dxa"/>
            <w:vAlign w:val="bottom"/>
            <w:shd w:val="clear" w:color="auto" w:fill="F1EFEC"/>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8"/>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25"/>
              <w:spacing w:after="0"/>
              <w:rPr>
                <w:sz w:val="20"/>
                <w:szCs w:val="20"/>
                <w:color w:val="auto"/>
              </w:rPr>
            </w:pPr>
            <w:r>
              <w:rPr>
                <w:rFonts w:ascii="Arial" w:cs="Arial" w:eastAsia="Arial" w:hAnsi="Arial"/>
                <w:sz w:val="11"/>
                <w:szCs w:val="11"/>
                <w:color w:val="auto"/>
              </w:rPr>
              <w:t>10,621</w:t>
            </w:r>
            <w:r>
              <w:rPr>
                <w:rFonts w:ascii="Arial" w:cs="Arial" w:eastAsia="Arial" w:hAnsi="Arial"/>
                <w:sz w:val="17"/>
                <w:szCs w:val="17"/>
                <w:color w:val="auto"/>
                <w:vertAlign w:val="superscript"/>
              </w:rPr>
              <w:t>(11)</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11"/>
                <w:szCs w:val="11"/>
                <w:color w:val="auto"/>
              </w:rPr>
              <w:t>1,278,025</w:t>
            </w:r>
          </w:p>
        </w:tc>
        <w:tc>
          <w:tcPr>
            <w:tcW w:w="980" w:type="dxa"/>
            <w:vAlign w:val="bottom"/>
            <w:shd w:val="clear" w:color="auto" w:fill="F1EFEC"/>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7"/>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65"/>
              <w:spacing w:after="0"/>
              <w:rPr>
                <w:sz w:val="20"/>
                <w:szCs w:val="20"/>
                <w:color w:val="auto"/>
              </w:rPr>
            </w:pPr>
            <w:r>
              <w:rPr>
                <w:rFonts w:ascii="Arial" w:cs="Arial" w:eastAsia="Arial" w:hAnsi="Arial"/>
                <w:sz w:val="11"/>
                <w:szCs w:val="11"/>
                <w:color w:val="auto"/>
              </w:rPr>
              <w:t>6,079</w:t>
            </w:r>
            <w:r>
              <w:rPr>
                <w:rFonts w:ascii="Arial" w:cs="Arial" w:eastAsia="Arial" w:hAnsi="Arial"/>
                <w:sz w:val="17"/>
                <w:szCs w:val="17"/>
                <w:color w:val="auto"/>
                <w:vertAlign w:val="superscript"/>
              </w:rPr>
              <w:t>(8)</w:t>
            </w:r>
          </w:p>
        </w:tc>
        <w:tc>
          <w:tcPr>
            <w:tcW w:w="760" w:type="dxa"/>
            <w:vAlign w:val="bottom"/>
            <w:shd w:val="clear" w:color="auto" w:fill="F1EFEC"/>
          </w:tcPr>
          <w:p>
            <w:pPr>
              <w:jc w:val="right"/>
              <w:ind w:right="132"/>
              <w:spacing w:after="0"/>
              <w:rPr>
                <w:sz w:val="20"/>
                <w:szCs w:val="20"/>
                <w:color w:val="auto"/>
              </w:rPr>
            </w:pPr>
            <w:r>
              <w:rPr>
                <w:rFonts w:ascii="Arial" w:cs="Arial" w:eastAsia="Arial" w:hAnsi="Arial"/>
                <w:sz w:val="11"/>
                <w:szCs w:val="11"/>
                <w:color w:val="auto"/>
              </w:rPr>
              <w:t>731,486</w:t>
            </w:r>
          </w:p>
        </w:tc>
        <w:tc>
          <w:tcPr>
            <w:tcW w:w="980" w:type="dxa"/>
            <w:vAlign w:val="bottom"/>
            <w:shd w:val="clear" w:color="auto" w:fill="F1EFEC"/>
          </w:tcPr>
          <w:p>
            <w:pPr>
              <w:jc w:val="center"/>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F1EFEC"/>
          </w:tcPr>
          <w:p>
            <w:pPr>
              <w:jc w:val="center"/>
              <w:ind w:right="1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7"/>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0" w:type="dxa"/>
            <w:vAlign w:val="bottom"/>
            <w:shd w:val="clear" w:color="auto" w:fill="F1EFEC"/>
          </w:tcPr>
          <w:p>
            <w:pPr>
              <w:spacing w:after="0"/>
              <w:rPr>
                <w:sz w:val="22"/>
                <w:szCs w:val="22"/>
                <w:color w:val="auto"/>
              </w:rPr>
            </w:pPr>
          </w:p>
        </w:tc>
        <w:tc>
          <w:tcPr>
            <w:tcW w:w="6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F1EFEC"/>
          </w:tcPr>
          <w:p>
            <w:pPr>
              <w:jc w:val="right"/>
              <w:ind w:right="124"/>
              <w:spacing w:after="0"/>
              <w:rPr>
                <w:sz w:val="20"/>
                <w:szCs w:val="20"/>
                <w:color w:val="auto"/>
              </w:rPr>
            </w:pPr>
            <w:r>
              <w:rPr>
                <w:rFonts w:ascii="Arial" w:cs="Arial" w:eastAsia="Arial" w:hAnsi="Arial"/>
                <w:sz w:val="11"/>
                <w:szCs w:val="11"/>
                <w:color w:val="auto"/>
              </w:rPr>
              <w:t>4,053</w:t>
            </w:r>
            <w:r>
              <w:rPr>
                <w:rFonts w:ascii="Arial" w:cs="Arial" w:eastAsia="Arial" w:hAnsi="Arial"/>
                <w:sz w:val="17"/>
                <w:szCs w:val="17"/>
                <w:color w:val="auto"/>
                <w:vertAlign w:val="superscript"/>
              </w:rPr>
              <w:t>(9)</w:t>
            </w:r>
          </w:p>
        </w:tc>
        <w:tc>
          <w:tcPr>
            <w:tcW w:w="820" w:type="dxa"/>
            <w:vAlign w:val="bottom"/>
            <w:shd w:val="clear" w:color="auto" w:fill="F1EFEC"/>
          </w:tcPr>
          <w:p>
            <w:pPr>
              <w:jc w:val="right"/>
              <w:ind w:right="123"/>
              <w:spacing w:after="0"/>
              <w:rPr>
                <w:sz w:val="20"/>
                <w:szCs w:val="20"/>
                <w:color w:val="auto"/>
              </w:rPr>
            </w:pPr>
            <w:r>
              <w:rPr>
                <w:rFonts w:ascii="Arial" w:cs="Arial" w:eastAsia="Arial" w:hAnsi="Arial"/>
                <w:sz w:val="11"/>
                <w:szCs w:val="11"/>
                <w:color w:val="auto"/>
              </w:rPr>
              <w:t>487,697</w:t>
            </w:r>
          </w:p>
        </w:tc>
        <w:tc>
          <w:tcPr>
            <w:tcW w:w="0" w:type="dxa"/>
            <w:vAlign w:val="bottom"/>
          </w:tcPr>
          <w:p>
            <w:pPr>
              <w:spacing w:after="0"/>
              <w:rPr>
                <w:sz w:val="1"/>
                <w:szCs w:val="1"/>
                <w:color w:val="auto"/>
              </w:rPr>
            </w:pPr>
          </w:p>
        </w:tc>
      </w:tr>
      <w:tr>
        <w:trPr>
          <w:trHeight w:val="265"/>
        </w:trPr>
        <w:tc>
          <w:tcPr>
            <w:tcW w:w="88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1040" w:type="dxa"/>
            <w:vAlign w:val="bottom"/>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0" w:type="dxa"/>
            <w:vAlign w:val="bottom"/>
            <w:shd w:val="clear" w:color="auto" w:fill="F1EFEC"/>
          </w:tcPr>
          <w:p>
            <w:pPr>
              <w:spacing w:after="0"/>
              <w:rPr>
                <w:sz w:val="23"/>
                <w:szCs w:val="23"/>
                <w:color w:val="auto"/>
              </w:rPr>
            </w:pPr>
          </w:p>
        </w:tc>
        <w:tc>
          <w:tcPr>
            <w:tcW w:w="600" w:type="dxa"/>
            <w:vAlign w:val="bottom"/>
            <w:shd w:val="clear" w:color="auto" w:fill="F1EFEC"/>
          </w:tcPr>
          <w:p>
            <w:pPr>
              <w:jc w:val="cente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F1EFEC"/>
          </w:tcPr>
          <w:p>
            <w:pPr>
              <w:jc w:val="center"/>
              <w:ind w:left="23"/>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F1EFEC"/>
          </w:tcPr>
          <w:p>
            <w:pPr>
              <w:jc w:val="right"/>
              <w:ind w:right="385"/>
              <w:spacing w:after="0"/>
              <w:rPr>
                <w:sz w:val="20"/>
                <w:szCs w:val="20"/>
                <w:color w:val="auto"/>
              </w:rPr>
            </w:pPr>
            <w:r>
              <w:rPr>
                <w:rFonts w:ascii="Arial" w:cs="Arial" w:eastAsia="Arial" w:hAnsi="Arial"/>
                <w:sz w:val="11"/>
                <w:szCs w:val="11"/>
                <w:color w:val="auto"/>
              </w:rPr>
              <w:t>-</w:t>
            </w:r>
          </w:p>
        </w:tc>
        <w:tc>
          <w:tcPr>
            <w:tcW w:w="760" w:type="dxa"/>
            <w:vAlign w:val="bottom"/>
            <w:shd w:val="clear" w:color="auto" w:fill="F1EFEC"/>
          </w:tcPr>
          <w:p>
            <w:pPr>
              <w:jc w:val="center"/>
              <w:ind w:right="52"/>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F1EFEC"/>
          </w:tcPr>
          <w:p>
            <w:pPr>
              <w:jc w:val="right"/>
              <w:ind w:right="84"/>
              <w:spacing w:after="0"/>
              <w:rPr>
                <w:sz w:val="20"/>
                <w:szCs w:val="20"/>
                <w:color w:val="auto"/>
              </w:rPr>
            </w:pPr>
            <w:r>
              <w:rPr>
                <w:rFonts w:ascii="Arial" w:cs="Arial" w:eastAsia="Arial" w:hAnsi="Arial"/>
                <w:sz w:val="11"/>
                <w:szCs w:val="11"/>
                <w:color w:val="auto"/>
              </w:rPr>
              <w:t>3,378</w:t>
            </w:r>
            <w:r>
              <w:rPr>
                <w:rFonts w:ascii="Arial" w:cs="Arial" w:eastAsia="Arial" w:hAnsi="Arial"/>
                <w:sz w:val="17"/>
                <w:szCs w:val="17"/>
                <w:color w:val="auto"/>
                <w:vertAlign w:val="superscript"/>
              </w:rPr>
              <w:t>(10)</w:t>
            </w:r>
          </w:p>
        </w:tc>
        <w:tc>
          <w:tcPr>
            <w:tcW w:w="820" w:type="dxa"/>
            <w:vAlign w:val="bottom"/>
            <w:shd w:val="clear" w:color="auto" w:fill="F1EFEC"/>
          </w:tcPr>
          <w:p>
            <w:pPr>
              <w:jc w:val="right"/>
              <w:ind w:right="123"/>
              <w:spacing w:after="0"/>
              <w:rPr>
                <w:sz w:val="20"/>
                <w:szCs w:val="20"/>
                <w:color w:val="auto"/>
              </w:rPr>
            </w:pPr>
            <w:r>
              <w:rPr>
                <w:rFonts w:ascii="Arial" w:cs="Arial" w:eastAsia="Arial" w:hAnsi="Arial"/>
                <w:sz w:val="11"/>
                <w:szCs w:val="11"/>
                <w:color w:val="auto"/>
              </w:rPr>
              <w:t>406,475</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57</w:t>
      </w:r>
    </w:p>
    <w:p>
      <w:pPr>
        <w:sectPr>
          <w:pgSz w:w="11900" w:h="16838" w:orient="portrait"/>
          <w:cols w:equalWidth="0" w:num="2">
            <w:col w:w="2560" w:space="720"/>
            <w:col w:w="6879"/>
          </w:cols>
          <w:pgMar w:left="300" w:top="413" w:right="1440"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20" w:hanging="153"/>
        <w:spacing w:after="0"/>
        <w:tabs>
          <w:tab w:leader="none" w:pos="1420" w:val="left"/>
        </w:tabs>
        <w:numPr>
          <w:ilvl w:val="0"/>
          <w:numId w:val="39"/>
        </w:numPr>
        <w:rPr>
          <w:rFonts w:ascii="Arial" w:cs="Arial" w:eastAsia="Arial" w:hAnsi="Arial"/>
          <w:sz w:val="10"/>
          <w:szCs w:val="10"/>
          <w:color w:val="auto"/>
        </w:rPr>
      </w:pPr>
      <w:r>
        <w:rPr>
          <w:rFonts w:ascii="Arial" w:cs="Arial" w:eastAsia="Arial" w:hAnsi="Arial"/>
          <w:sz w:val="10"/>
          <w:szCs w:val="10"/>
          <w:color w:val="auto"/>
        </w:rPr>
        <w:t>Options to purchase shares of Wynn Interactive Ltd., a subsidiary of the Company, all of which have been fully vested and exercisable as of December 31, 2024.</w:t>
      </w:r>
    </w:p>
    <w:p>
      <w:pPr>
        <w:spacing w:after="0" w:line="78" w:lineRule="exact"/>
        <w:rPr>
          <w:rFonts w:ascii="Arial" w:cs="Arial" w:eastAsia="Arial" w:hAnsi="Arial"/>
          <w:sz w:val="10"/>
          <w:szCs w:val="10"/>
          <w:color w:val="auto"/>
        </w:rPr>
      </w:pPr>
    </w:p>
    <w:p>
      <w:pPr>
        <w:ind w:left="1420" w:hanging="153"/>
        <w:spacing w:after="0"/>
        <w:tabs>
          <w:tab w:leader="none" w:pos="1420" w:val="left"/>
        </w:tabs>
        <w:numPr>
          <w:ilvl w:val="0"/>
          <w:numId w:val="39"/>
        </w:numPr>
        <w:rPr>
          <w:rFonts w:ascii="Arial" w:cs="Arial" w:eastAsia="Arial" w:hAnsi="Arial"/>
          <w:sz w:val="10"/>
          <w:szCs w:val="10"/>
          <w:color w:val="auto"/>
        </w:rPr>
      </w:pPr>
      <w:r>
        <w:rPr>
          <w:rFonts w:ascii="Arial" w:cs="Arial" w:eastAsia="Arial" w:hAnsi="Arial"/>
          <w:sz w:val="10"/>
          <w:szCs w:val="10"/>
          <w:color w:val="auto"/>
        </w:rPr>
        <w:t>Time-based restricted stock scheduled to vest on January 12, 2026, subject to continued service through such vesting date (or pursuant to the Retirement Plan under certain circumstances).</w:t>
      </w:r>
    </w:p>
    <w:p>
      <w:pPr>
        <w:spacing w:after="0" w:line="78" w:lineRule="exact"/>
        <w:rPr>
          <w:rFonts w:ascii="Arial" w:cs="Arial" w:eastAsia="Arial" w:hAnsi="Arial"/>
          <w:sz w:val="10"/>
          <w:szCs w:val="10"/>
          <w:color w:val="auto"/>
        </w:rPr>
      </w:pPr>
    </w:p>
    <w:p>
      <w:pPr>
        <w:ind w:left="1260" w:right="219" w:firstLine="7"/>
        <w:spacing w:after="0" w:line="260" w:lineRule="auto"/>
        <w:tabs>
          <w:tab w:leader="none" w:pos="1410" w:val="left"/>
        </w:tabs>
        <w:numPr>
          <w:ilvl w:val="0"/>
          <w:numId w:val="39"/>
        </w:numPr>
        <w:rPr>
          <w:rFonts w:ascii="Arial" w:cs="Arial" w:eastAsia="Arial" w:hAnsi="Arial"/>
          <w:sz w:val="10"/>
          <w:szCs w:val="10"/>
          <w:color w:val="auto"/>
        </w:rPr>
      </w:pPr>
      <w:r>
        <w:rPr>
          <w:rFonts w:ascii="Arial" w:cs="Arial" w:eastAsia="Arial" w:hAnsi="Arial"/>
          <w:sz w:val="10"/>
          <w:szCs w:val="10"/>
          <w:color w:val="auto"/>
        </w:rPr>
        <w:t>Performance-based restricted stock scheduled to vest on February 28, 2026, subject to continued service (or pursuant to the Retirement Plan under certain circumstances) and the achievement of property-level performance goals.</w:t>
      </w:r>
    </w:p>
    <w:p>
      <w:pPr>
        <w:spacing w:after="0" w:line="51" w:lineRule="exact"/>
        <w:rPr>
          <w:rFonts w:ascii="Arial" w:cs="Arial" w:eastAsia="Arial" w:hAnsi="Arial"/>
          <w:sz w:val="10"/>
          <w:szCs w:val="10"/>
          <w:color w:val="auto"/>
        </w:rPr>
      </w:pPr>
    </w:p>
    <w:p>
      <w:pPr>
        <w:ind w:left="1260" w:right="259" w:firstLine="7"/>
        <w:spacing w:after="0" w:line="242" w:lineRule="auto"/>
        <w:tabs>
          <w:tab w:leader="none" w:pos="1410" w:val="left"/>
        </w:tabs>
        <w:numPr>
          <w:ilvl w:val="0"/>
          <w:numId w:val="39"/>
        </w:numPr>
        <w:rPr>
          <w:rFonts w:ascii="Arial" w:cs="Arial" w:eastAsia="Arial" w:hAnsi="Arial"/>
          <w:sz w:val="10"/>
          <w:szCs w:val="10"/>
          <w:color w:val="auto"/>
        </w:rPr>
      </w:pPr>
      <w:r>
        <w:rPr>
          <w:rFonts w:ascii="Arial" w:cs="Arial" w:eastAsia="Arial" w:hAnsi="Arial"/>
          <w:sz w:val="10"/>
          <w:szCs w:val="10"/>
          <w:color w:val="auto"/>
        </w:rPr>
        <w:t>PSUs scheduled to vest on January 7, 2026, subject to continued service (or pursuant to the Retirement Plan under certain circumstances) and the achievement of the applicable absolute TSR performance goal. Such PSUs are reported at the actual number of shares that vested on January 7, 2026, upon ratification by the Compensation Committee as the performance period ended on December 31, 2025.</w:t>
      </w:r>
    </w:p>
    <w:p>
      <w:pPr>
        <w:spacing w:after="0" w:line="59" w:lineRule="exact"/>
        <w:rPr>
          <w:rFonts w:ascii="Arial" w:cs="Arial" w:eastAsia="Arial" w:hAnsi="Arial"/>
          <w:sz w:val="10"/>
          <w:szCs w:val="10"/>
          <w:color w:val="auto"/>
        </w:rPr>
      </w:pPr>
    </w:p>
    <w:p>
      <w:pPr>
        <w:ind w:left="1260" w:right="439" w:firstLine="7"/>
        <w:spacing w:after="0" w:line="260" w:lineRule="auto"/>
        <w:tabs>
          <w:tab w:leader="none" w:pos="1410" w:val="left"/>
        </w:tabs>
        <w:numPr>
          <w:ilvl w:val="0"/>
          <w:numId w:val="39"/>
        </w:numPr>
        <w:rPr>
          <w:rFonts w:ascii="Arial" w:cs="Arial" w:eastAsia="Arial" w:hAnsi="Arial"/>
          <w:sz w:val="10"/>
          <w:szCs w:val="10"/>
          <w:color w:val="auto"/>
        </w:rPr>
      </w:pPr>
      <w:r>
        <w:rPr>
          <w:rFonts w:ascii="Arial" w:cs="Arial" w:eastAsia="Arial" w:hAnsi="Arial"/>
          <w:sz w:val="10"/>
          <w:szCs w:val="10"/>
          <w:color w:val="auto"/>
        </w:rPr>
        <w:t>Time-based restricted stock scheduled to vest ratably on January 9, 2026, and 2027, subject to continued service through each such vesting date (or pursuant to the Retirement Plan under certain circumstances).</w:t>
      </w:r>
    </w:p>
    <w:p>
      <w:pPr>
        <w:spacing w:after="0" w:line="51" w:lineRule="exact"/>
        <w:rPr>
          <w:rFonts w:ascii="Arial" w:cs="Arial" w:eastAsia="Arial" w:hAnsi="Arial"/>
          <w:sz w:val="10"/>
          <w:szCs w:val="10"/>
          <w:color w:val="auto"/>
        </w:rPr>
      </w:pPr>
    </w:p>
    <w:p>
      <w:pPr>
        <w:ind w:left="1260" w:right="179" w:firstLine="7"/>
        <w:spacing w:after="0" w:line="260" w:lineRule="auto"/>
        <w:tabs>
          <w:tab w:leader="none" w:pos="1410" w:val="left"/>
        </w:tabs>
        <w:numPr>
          <w:ilvl w:val="0"/>
          <w:numId w:val="39"/>
        </w:numPr>
        <w:rPr>
          <w:rFonts w:ascii="Arial" w:cs="Arial" w:eastAsia="Arial" w:hAnsi="Arial"/>
          <w:sz w:val="10"/>
          <w:szCs w:val="10"/>
          <w:color w:val="auto"/>
        </w:rPr>
      </w:pPr>
      <w:r>
        <w:rPr>
          <w:rFonts w:ascii="Arial" w:cs="Arial" w:eastAsia="Arial" w:hAnsi="Arial"/>
          <w:sz w:val="10"/>
          <w:szCs w:val="10"/>
          <w:color w:val="auto"/>
        </w:rPr>
        <w:t>Performance-based restricted stock scheduled to vest ratably on February 28, 2026, and 2027, subject to continued service (or pursuant to the Retirement Plan under certain circumstances) and the achievement of property-level performance goals.</w:t>
      </w:r>
    </w:p>
    <w:p>
      <w:pPr>
        <w:spacing w:after="0" w:line="51" w:lineRule="exact"/>
        <w:rPr>
          <w:rFonts w:ascii="Arial" w:cs="Arial" w:eastAsia="Arial" w:hAnsi="Arial"/>
          <w:sz w:val="10"/>
          <w:szCs w:val="10"/>
          <w:color w:val="auto"/>
        </w:rPr>
      </w:pPr>
    </w:p>
    <w:p>
      <w:pPr>
        <w:ind w:left="1260" w:right="259" w:firstLine="7"/>
        <w:spacing w:after="0" w:line="260" w:lineRule="auto"/>
        <w:tabs>
          <w:tab w:leader="none" w:pos="1410" w:val="left"/>
        </w:tabs>
        <w:numPr>
          <w:ilvl w:val="0"/>
          <w:numId w:val="39"/>
        </w:numPr>
        <w:rPr>
          <w:rFonts w:ascii="Arial" w:cs="Arial" w:eastAsia="Arial" w:hAnsi="Arial"/>
          <w:sz w:val="10"/>
          <w:szCs w:val="10"/>
          <w:color w:val="auto"/>
        </w:rPr>
      </w:pPr>
      <w:r>
        <w:rPr>
          <w:rFonts w:ascii="Arial" w:cs="Arial" w:eastAsia="Arial" w:hAnsi="Arial"/>
          <w:sz w:val="10"/>
          <w:szCs w:val="10"/>
          <w:color w:val="auto"/>
        </w:rPr>
        <w:t>PSUs scheduled to vest on January 1, 2027, subject to continued service (or pursuant to the Retirement Plan under certain circumstances) and the achievement of the applicable absolute TSR performance goal. Such PSUs are reported in this table based on target performance.</w:t>
      </w:r>
    </w:p>
    <w:p>
      <w:pPr>
        <w:spacing w:after="0" w:line="51" w:lineRule="exact"/>
        <w:rPr>
          <w:rFonts w:ascii="Arial" w:cs="Arial" w:eastAsia="Arial" w:hAnsi="Arial"/>
          <w:sz w:val="10"/>
          <w:szCs w:val="10"/>
          <w:color w:val="auto"/>
        </w:rPr>
      </w:pPr>
    </w:p>
    <w:p>
      <w:pPr>
        <w:ind w:left="1260" w:right="159" w:firstLine="7"/>
        <w:spacing w:after="0" w:line="260" w:lineRule="auto"/>
        <w:tabs>
          <w:tab w:leader="none" w:pos="1410" w:val="left"/>
        </w:tabs>
        <w:numPr>
          <w:ilvl w:val="0"/>
          <w:numId w:val="39"/>
        </w:numPr>
        <w:rPr>
          <w:rFonts w:ascii="Arial" w:cs="Arial" w:eastAsia="Arial" w:hAnsi="Arial"/>
          <w:sz w:val="10"/>
          <w:szCs w:val="10"/>
          <w:color w:val="auto"/>
        </w:rPr>
      </w:pPr>
      <w:r>
        <w:rPr>
          <w:rFonts w:ascii="Arial" w:cs="Arial" w:eastAsia="Arial" w:hAnsi="Arial"/>
          <w:sz w:val="10"/>
          <w:szCs w:val="10"/>
          <w:color w:val="auto"/>
        </w:rPr>
        <w:t>Time-based restricted stock scheduled to vest ratably on January 7, 2026, 2027, and 2028, subject to continued service through each such vesting date (or pursuant to the Retirement Plan under certain circumstances).</w:t>
      </w:r>
    </w:p>
    <w:p>
      <w:pPr>
        <w:spacing w:after="0" w:line="51" w:lineRule="exact"/>
        <w:rPr>
          <w:rFonts w:ascii="Arial" w:cs="Arial" w:eastAsia="Arial" w:hAnsi="Arial"/>
          <w:sz w:val="10"/>
          <w:szCs w:val="10"/>
          <w:color w:val="auto"/>
        </w:rPr>
      </w:pPr>
    </w:p>
    <w:p>
      <w:pPr>
        <w:ind w:left="1260" w:right="799" w:firstLine="7"/>
        <w:spacing w:after="0" w:line="260" w:lineRule="auto"/>
        <w:tabs>
          <w:tab w:leader="none" w:pos="1410" w:val="left"/>
        </w:tabs>
        <w:numPr>
          <w:ilvl w:val="0"/>
          <w:numId w:val="39"/>
        </w:numPr>
        <w:rPr>
          <w:rFonts w:ascii="Arial" w:cs="Arial" w:eastAsia="Arial" w:hAnsi="Arial"/>
          <w:sz w:val="10"/>
          <w:szCs w:val="10"/>
          <w:color w:val="auto"/>
        </w:rPr>
      </w:pPr>
      <w:r>
        <w:rPr>
          <w:rFonts w:ascii="Arial" w:cs="Arial" w:eastAsia="Arial" w:hAnsi="Arial"/>
          <w:sz w:val="10"/>
          <w:szCs w:val="10"/>
          <w:color w:val="auto"/>
        </w:rPr>
        <w:t>Performance-based restricted stock scheduled to vest ratably on February 28, 2026, 2027, and 2028, subject to continued service (or pursuant to the Retirement Plan under certain circumstances) and the achievement of property-level performance goals.</w:t>
      </w:r>
    </w:p>
    <w:p>
      <w:pPr>
        <w:spacing w:after="0" w:line="51" w:lineRule="exact"/>
        <w:rPr>
          <w:rFonts w:ascii="Arial" w:cs="Arial" w:eastAsia="Arial" w:hAnsi="Arial"/>
          <w:sz w:val="10"/>
          <w:szCs w:val="10"/>
          <w:color w:val="auto"/>
        </w:rPr>
      </w:pPr>
    </w:p>
    <w:p>
      <w:pPr>
        <w:ind w:left="1260" w:right="199" w:firstLine="7"/>
        <w:spacing w:after="0" w:line="260" w:lineRule="auto"/>
        <w:tabs>
          <w:tab w:leader="none" w:pos="1466" w:val="left"/>
        </w:tabs>
        <w:numPr>
          <w:ilvl w:val="0"/>
          <w:numId w:val="39"/>
        </w:numPr>
        <w:rPr>
          <w:rFonts w:ascii="Arial" w:cs="Arial" w:eastAsia="Arial" w:hAnsi="Arial"/>
          <w:sz w:val="10"/>
          <w:szCs w:val="10"/>
          <w:color w:val="auto"/>
        </w:rPr>
      </w:pPr>
      <w:r>
        <w:rPr>
          <w:rFonts w:ascii="Arial" w:cs="Arial" w:eastAsia="Arial" w:hAnsi="Arial"/>
          <w:sz w:val="10"/>
          <w:szCs w:val="10"/>
          <w:color w:val="auto"/>
        </w:rPr>
        <w:t>PSUs scheduled to vest on January 1, 2028, subject to continued service (or pursuant to the Retirement Plan under certain circumstances) and the achievement of the applicable absolute TSR performance goal. Such PSUs are reported in this table based on target performance.</w:t>
      </w:r>
    </w:p>
    <w:p>
      <w:pPr>
        <w:spacing w:after="0" w:line="51" w:lineRule="exact"/>
        <w:rPr>
          <w:rFonts w:ascii="Arial" w:cs="Arial" w:eastAsia="Arial" w:hAnsi="Arial"/>
          <w:sz w:val="10"/>
          <w:szCs w:val="10"/>
          <w:color w:val="auto"/>
        </w:rPr>
      </w:pPr>
    </w:p>
    <w:p>
      <w:pPr>
        <w:ind w:left="1460" w:hanging="193"/>
        <w:spacing w:after="0"/>
        <w:tabs>
          <w:tab w:leader="none" w:pos="1460" w:val="left"/>
        </w:tabs>
        <w:numPr>
          <w:ilvl w:val="0"/>
          <w:numId w:val="39"/>
        </w:numPr>
        <w:rPr>
          <w:rFonts w:ascii="Arial" w:cs="Arial" w:eastAsia="Arial" w:hAnsi="Arial"/>
          <w:sz w:val="10"/>
          <w:szCs w:val="10"/>
          <w:color w:val="auto"/>
        </w:rPr>
      </w:pPr>
      <w:r>
        <w:rPr>
          <w:rFonts w:ascii="Arial" w:cs="Arial" w:eastAsia="Arial" w:hAnsi="Arial"/>
          <w:sz w:val="10"/>
          <w:szCs w:val="10"/>
          <w:color w:val="auto"/>
        </w:rPr>
        <w:t>Time-based restricted stock scheduled to vest ratably on September 15, 2026, and 2027, subject to continued service through each such vesting date.</w:t>
      </w:r>
    </w:p>
    <w:p>
      <w:pPr>
        <w:spacing w:after="0" w:line="78" w:lineRule="exact"/>
        <w:rPr>
          <w:rFonts w:ascii="Arial" w:cs="Arial" w:eastAsia="Arial" w:hAnsi="Arial"/>
          <w:sz w:val="10"/>
          <w:szCs w:val="10"/>
          <w:color w:val="auto"/>
        </w:rPr>
      </w:pPr>
    </w:p>
    <w:p>
      <w:pPr>
        <w:ind w:left="1480" w:hanging="213"/>
        <w:spacing w:after="0"/>
        <w:tabs>
          <w:tab w:leader="none" w:pos="1480" w:val="left"/>
        </w:tabs>
        <w:numPr>
          <w:ilvl w:val="0"/>
          <w:numId w:val="39"/>
        </w:numPr>
        <w:rPr>
          <w:rFonts w:ascii="Arial" w:cs="Arial" w:eastAsia="Arial" w:hAnsi="Arial"/>
          <w:sz w:val="10"/>
          <w:szCs w:val="10"/>
          <w:color w:val="auto"/>
        </w:rPr>
      </w:pPr>
      <w:r>
        <w:rPr>
          <w:rFonts w:ascii="Arial" w:cs="Arial" w:eastAsia="Arial" w:hAnsi="Arial"/>
          <w:sz w:val="10"/>
          <w:szCs w:val="10"/>
          <w:color w:val="auto"/>
        </w:rPr>
        <w:t>Amounts in this column are based upon the closing price of the Company’s stock at December 31, 2025, which was $120.33.</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Stock Vested in 2025</w:t>
      </w:r>
    </w:p>
    <w:p>
      <w:pPr>
        <w:spacing w:after="0" w:line="278" w:lineRule="exact"/>
        <w:rPr>
          <w:sz w:val="20"/>
          <w:szCs w:val="20"/>
          <w:color w:val="auto"/>
        </w:rPr>
      </w:pPr>
    </w:p>
    <w:p>
      <w:pPr>
        <w:ind w:left="1260" w:right="319"/>
        <w:spacing w:after="0" w:line="271" w:lineRule="auto"/>
        <w:rPr>
          <w:sz w:val="20"/>
          <w:szCs w:val="20"/>
          <w:color w:val="auto"/>
        </w:rPr>
      </w:pPr>
      <w:r>
        <w:rPr>
          <w:rFonts w:ascii="Arial" w:cs="Arial" w:eastAsia="Arial" w:hAnsi="Arial"/>
          <w:sz w:val="13"/>
          <w:szCs w:val="13"/>
          <w:color w:val="auto"/>
        </w:rPr>
        <w:t>The following table sets forth certain information with respect to the vesting of stock awards and/or the exercise of stock options during fiscal year 2025 with respect to our NEOs. There were no stock options exercised by any of our NEOs during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5154295</wp:posOffset>
            </wp:positionH>
            <wp:positionV relativeFrom="paragraph">
              <wp:posOffset>105410</wp:posOffset>
            </wp:positionV>
            <wp:extent cx="1212850" cy="12877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12850" cy="1287780"/>
                    </a:xfrm>
                    <a:prstGeom prst="rect">
                      <a:avLst/>
                    </a:prstGeom>
                    <a:noFill/>
                  </pic:spPr>
                </pic:pic>
              </a:graphicData>
            </a:graphic>
          </wp:anchor>
        </w:drawing>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6840" w:type="dxa"/>
            <w:vAlign w:val="bottom"/>
            <w:shd w:val="clear" w:color="auto" w:fill="B9AFA0"/>
          </w:tcPr>
          <w:p>
            <w:pPr>
              <w:spacing w:after="0"/>
              <w:rPr>
                <w:sz w:val="18"/>
                <w:szCs w:val="18"/>
                <w:color w:val="auto"/>
              </w:rPr>
            </w:pPr>
          </w:p>
        </w:tc>
        <w:tc>
          <w:tcPr>
            <w:tcW w:w="1900" w:type="dxa"/>
            <w:vAlign w:val="bottom"/>
            <w:gridSpan w:val="2"/>
            <w:shd w:val="clear" w:color="auto" w:fill="B9AFA0"/>
          </w:tcPr>
          <w:p>
            <w:pPr>
              <w:jc w:val="right"/>
              <w:ind w:right="256"/>
              <w:spacing w:after="0"/>
              <w:rPr>
                <w:sz w:val="20"/>
                <w:szCs w:val="20"/>
                <w:color w:val="auto"/>
              </w:rPr>
            </w:pPr>
            <w:r>
              <w:rPr>
                <w:rFonts w:ascii="Arial" w:cs="Arial" w:eastAsia="Arial" w:hAnsi="Arial"/>
                <w:sz w:val="13"/>
                <w:szCs w:val="13"/>
                <w:color w:val="FFFFFF"/>
              </w:rPr>
              <w:t>STOCK AWARDS(1)</w:t>
            </w:r>
          </w:p>
        </w:tc>
      </w:tr>
      <w:tr>
        <w:trPr>
          <w:trHeight w:val="239"/>
        </w:trPr>
        <w:tc>
          <w:tcPr>
            <w:tcW w:w="6840" w:type="dxa"/>
            <w:vAlign w:val="bottom"/>
            <w:shd w:val="clear" w:color="auto" w:fill="B9AFA0"/>
          </w:tcPr>
          <w:p>
            <w:pPr>
              <w:spacing w:after="0"/>
              <w:rPr>
                <w:sz w:val="20"/>
                <w:szCs w:val="20"/>
                <w:color w:val="auto"/>
              </w:rPr>
            </w:pPr>
          </w:p>
        </w:tc>
        <w:tc>
          <w:tcPr>
            <w:tcW w:w="9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NUMBER OF</w:t>
            </w:r>
          </w:p>
        </w:tc>
        <w:tc>
          <w:tcPr>
            <w:tcW w:w="940" w:type="dxa"/>
            <w:vAlign w:val="bottom"/>
            <w:shd w:val="clear" w:color="auto" w:fill="B9AFA0"/>
          </w:tcPr>
          <w:p>
            <w:pPr>
              <w:spacing w:after="0"/>
              <w:rPr>
                <w:sz w:val="20"/>
                <w:szCs w:val="20"/>
                <w:color w:val="auto"/>
              </w:rPr>
            </w:pPr>
          </w:p>
        </w:tc>
      </w:tr>
      <w:tr>
        <w:trPr>
          <w:trHeight w:val="150"/>
        </w:trPr>
        <w:tc>
          <w:tcPr>
            <w:tcW w:w="6840" w:type="dxa"/>
            <w:vAlign w:val="bottom"/>
            <w:shd w:val="clear" w:color="auto" w:fill="B9AFA0"/>
          </w:tcPr>
          <w:p>
            <w:pPr>
              <w:spacing w:after="0"/>
              <w:rPr>
                <w:sz w:val="13"/>
                <w:szCs w:val="13"/>
                <w:color w:val="auto"/>
              </w:rPr>
            </w:pPr>
          </w:p>
        </w:tc>
        <w:tc>
          <w:tcPr>
            <w:tcW w:w="9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SHARES</w:t>
            </w:r>
          </w:p>
        </w:tc>
        <w:tc>
          <w:tcPr>
            <w:tcW w:w="94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VALUE</w:t>
            </w:r>
          </w:p>
        </w:tc>
      </w:tr>
      <w:tr>
        <w:trPr>
          <w:trHeight w:val="150"/>
        </w:trPr>
        <w:tc>
          <w:tcPr>
            <w:tcW w:w="6840" w:type="dxa"/>
            <w:vAlign w:val="bottom"/>
            <w:shd w:val="clear" w:color="auto" w:fill="B9AFA0"/>
          </w:tcPr>
          <w:p>
            <w:pPr>
              <w:spacing w:after="0"/>
              <w:rPr>
                <w:sz w:val="13"/>
                <w:szCs w:val="13"/>
                <w:color w:val="auto"/>
              </w:rPr>
            </w:pPr>
          </w:p>
        </w:tc>
        <w:tc>
          <w:tcPr>
            <w:tcW w:w="9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ACQUIRED</w:t>
            </w:r>
          </w:p>
        </w:tc>
        <w:tc>
          <w:tcPr>
            <w:tcW w:w="94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REALIZED</w:t>
            </w:r>
          </w:p>
        </w:tc>
      </w:tr>
      <w:tr>
        <w:trPr>
          <w:trHeight w:val="150"/>
        </w:trPr>
        <w:tc>
          <w:tcPr>
            <w:tcW w:w="6840" w:type="dxa"/>
            <w:vAlign w:val="bottom"/>
            <w:shd w:val="clear" w:color="auto" w:fill="B9AFA0"/>
          </w:tcPr>
          <w:p>
            <w:pPr>
              <w:ind w:left="40"/>
              <w:spacing w:after="0"/>
              <w:rPr>
                <w:sz w:val="20"/>
                <w:szCs w:val="20"/>
                <w:color w:val="auto"/>
              </w:rPr>
            </w:pPr>
            <w:r>
              <w:rPr>
                <w:rFonts w:ascii="Arial" w:cs="Arial" w:eastAsia="Arial" w:hAnsi="Arial"/>
                <w:sz w:val="13"/>
                <w:szCs w:val="13"/>
                <w:color w:val="FFFFFF"/>
              </w:rPr>
              <w:t>NAMED EXECUTIVE</w:t>
            </w:r>
          </w:p>
        </w:tc>
        <w:tc>
          <w:tcPr>
            <w:tcW w:w="9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ON VESTING</w:t>
            </w:r>
          </w:p>
        </w:tc>
        <w:tc>
          <w:tcPr>
            <w:tcW w:w="94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ON VESTING</w:t>
            </w:r>
          </w:p>
        </w:tc>
      </w:tr>
      <w:tr>
        <w:trPr>
          <w:trHeight w:val="205"/>
        </w:trPr>
        <w:tc>
          <w:tcPr>
            <w:tcW w:w="684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OFFICER</w:t>
            </w:r>
          </w:p>
        </w:tc>
        <w:tc>
          <w:tcPr>
            <w:tcW w:w="96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 xml:space="preserve">(#) </w:t>
            </w:r>
          </w:p>
        </w:tc>
        <w:tc>
          <w:tcPr>
            <w:tcW w:w="9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w:t>
            </w:r>
          </w:p>
        </w:tc>
      </w:tr>
      <w:tr>
        <w:trPr>
          <w:trHeight w:val="233"/>
        </w:trPr>
        <w:tc>
          <w:tcPr>
            <w:tcW w:w="6840" w:type="dxa"/>
            <w:vAlign w:val="bottom"/>
            <w:shd w:val="clear" w:color="auto" w:fill="F1EFEC"/>
          </w:tcPr>
          <w:p>
            <w:pPr>
              <w:ind w:left="40"/>
              <w:spacing w:after="0"/>
              <w:rPr>
                <w:sz w:val="20"/>
                <w:szCs w:val="20"/>
                <w:color w:val="auto"/>
              </w:rPr>
            </w:pPr>
            <w:r>
              <w:rPr>
                <w:rFonts w:ascii="Arial" w:cs="Arial" w:eastAsia="Arial" w:hAnsi="Arial"/>
                <w:sz w:val="13"/>
                <w:szCs w:val="13"/>
                <w:color w:val="auto"/>
              </w:rPr>
              <w:t>Craig S. Billings</w:t>
            </w:r>
          </w:p>
        </w:tc>
        <w:tc>
          <w:tcPr>
            <w:tcW w:w="96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68,661 </w:t>
            </w:r>
          </w:p>
        </w:tc>
        <w:tc>
          <w:tcPr>
            <w:tcW w:w="940" w:type="dxa"/>
            <w:vAlign w:val="bottom"/>
            <w:shd w:val="clear" w:color="auto" w:fill="F1EFEC"/>
          </w:tcPr>
          <w:p>
            <w:pPr>
              <w:jc w:val="right"/>
              <w:spacing w:after="0"/>
              <w:rPr>
                <w:sz w:val="20"/>
                <w:szCs w:val="20"/>
                <w:color w:val="auto"/>
              </w:rPr>
            </w:pPr>
            <w:r>
              <w:rPr>
                <w:rFonts w:ascii="Arial" w:cs="Arial" w:eastAsia="Arial" w:hAnsi="Arial"/>
                <w:sz w:val="13"/>
                <w:szCs w:val="13"/>
                <w:color w:val="auto"/>
              </w:rPr>
              <w:t>5,782,198</w:t>
            </w:r>
          </w:p>
        </w:tc>
      </w:tr>
      <w:tr>
        <w:trPr>
          <w:trHeight w:val="67"/>
        </w:trPr>
        <w:tc>
          <w:tcPr>
            <w:tcW w:w="6840" w:type="dxa"/>
            <w:vAlign w:val="bottom"/>
            <w:shd w:val="clear" w:color="auto" w:fill="F1EFEC"/>
          </w:tcPr>
          <w:p>
            <w:pPr>
              <w:spacing w:after="0"/>
              <w:rPr>
                <w:sz w:val="5"/>
                <w:szCs w:val="5"/>
                <w:color w:val="auto"/>
              </w:rPr>
            </w:pPr>
          </w:p>
        </w:tc>
        <w:tc>
          <w:tcPr>
            <w:tcW w:w="960" w:type="dxa"/>
            <w:vAlign w:val="bottom"/>
            <w:shd w:val="clear" w:color="auto" w:fill="F1EFEC"/>
          </w:tcPr>
          <w:p>
            <w:pPr>
              <w:spacing w:after="0"/>
              <w:rPr>
                <w:sz w:val="5"/>
                <w:szCs w:val="5"/>
                <w:color w:val="auto"/>
              </w:rPr>
            </w:pPr>
          </w:p>
        </w:tc>
        <w:tc>
          <w:tcPr>
            <w:tcW w:w="940" w:type="dxa"/>
            <w:vAlign w:val="bottom"/>
            <w:shd w:val="clear" w:color="auto" w:fill="F1EFEC"/>
          </w:tcPr>
          <w:p>
            <w:pPr>
              <w:spacing w:after="0"/>
              <w:rPr>
                <w:sz w:val="5"/>
                <w:szCs w:val="5"/>
                <w:color w:val="auto"/>
              </w:rPr>
            </w:pPr>
          </w:p>
        </w:tc>
      </w:tr>
      <w:tr>
        <w:trPr>
          <w:trHeight w:val="233"/>
        </w:trPr>
        <w:tc>
          <w:tcPr>
            <w:tcW w:w="6840" w:type="dxa"/>
            <w:vAlign w:val="bottom"/>
          </w:tcPr>
          <w:p>
            <w:pPr>
              <w:ind w:left="40"/>
              <w:spacing w:after="0"/>
              <w:rPr>
                <w:sz w:val="20"/>
                <w:szCs w:val="20"/>
                <w:color w:val="auto"/>
              </w:rPr>
            </w:pPr>
            <w:r>
              <w:rPr>
                <w:rFonts w:ascii="Arial" w:cs="Arial" w:eastAsia="Arial" w:hAnsi="Arial"/>
                <w:sz w:val="13"/>
                <w:szCs w:val="13"/>
                <w:color w:val="auto"/>
              </w:rPr>
              <w:t>Julie M. Cameron-Doe</w:t>
            </w: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24,947 </w:t>
            </w:r>
          </w:p>
        </w:tc>
        <w:tc>
          <w:tcPr>
            <w:tcW w:w="940" w:type="dxa"/>
            <w:vAlign w:val="bottom"/>
          </w:tcPr>
          <w:p>
            <w:pPr>
              <w:jc w:val="right"/>
              <w:spacing w:after="0"/>
              <w:rPr>
                <w:sz w:val="20"/>
                <w:szCs w:val="20"/>
                <w:color w:val="auto"/>
              </w:rPr>
            </w:pPr>
            <w:r>
              <w:rPr>
                <w:rFonts w:ascii="Arial" w:cs="Arial" w:eastAsia="Arial" w:hAnsi="Arial"/>
                <w:sz w:val="13"/>
                <w:szCs w:val="13"/>
                <w:color w:val="auto"/>
              </w:rPr>
              <w:t>1,993,714</w:t>
            </w:r>
          </w:p>
        </w:tc>
      </w:tr>
      <w:tr>
        <w:trPr>
          <w:trHeight w:val="67"/>
        </w:trPr>
        <w:tc>
          <w:tcPr>
            <w:tcW w:w="6840" w:type="dxa"/>
            <w:vAlign w:val="bottom"/>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33"/>
        </w:trPr>
        <w:tc>
          <w:tcPr>
            <w:tcW w:w="6840" w:type="dxa"/>
            <w:vAlign w:val="bottom"/>
            <w:shd w:val="clear" w:color="auto" w:fill="F1EFEC"/>
          </w:tcPr>
          <w:p>
            <w:pPr>
              <w:ind w:left="40"/>
              <w:spacing w:after="0"/>
              <w:rPr>
                <w:sz w:val="20"/>
                <w:szCs w:val="20"/>
                <w:color w:val="auto"/>
              </w:rPr>
            </w:pPr>
            <w:r>
              <w:rPr>
                <w:rFonts w:ascii="Arial" w:cs="Arial" w:eastAsia="Arial" w:hAnsi="Arial"/>
                <w:sz w:val="13"/>
                <w:szCs w:val="13"/>
                <w:color w:val="auto"/>
              </w:rPr>
              <w:t>Jacqui Krum</w:t>
            </w:r>
          </w:p>
        </w:tc>
        <w:tc>
          <w:tcPr>
            <w:tcW w:w="960" w:type="dxa"/>
            <w:vAlign w:val="bottom"/>
            <w:shd w:val="clear" w:color="auto" w:fill="F1EFEC"/>
          </w:tcPr>
          <w:p>
            <w:pPr>
              <w:jc w:val="right"/>
              <w:ind w:right="16"/>
              <w:spacing w:after="0"/>
              <w:rPr>
                <w:sz w:val="20"/>
                <w:szCs w:val="20"/>
                <w:color w:val="auto"/>
              </w:rPr>
            </w:pPr>
            <w:r>
              <w:rPr>
                <w:rFonts w:ascii="Arial" w:cs="Arial" w:eastAsia="Arial" w:hAnsi="Arial"/>
                <w:sz w:val="13"/>
                <w:szCs w:val="13"/>
                <w:color w:val="auto"/>
              </w:rPr>
              <w:t>7,744 </w:t>
            </w:r>
          </w:p>
        </w:tc>
        <w:tc>
          <w:tcPr>
            <w:tcW w:w="940" w:type="dxa"/>
            <w:vAlign w:val="bottom"/>
            <w:shd w:val="clear" w:color="auto" w:fill="F1EFEC"/>
          </w:tcPr>
          <w:p>
            <w:pPr>
              <w:jc w:val="right"/>
              <w:spacing w:after="0"/>
              <w:rPr>
                <w:sz w:val="20"/>
                <w:szCs w:val="20"/>
                <w:color w:val="auto"/>
              </w:rPr>
            </w:pPr>
            <w:r>
              <w:rPr>
                <w:rFonts w:ascii="Arial" w:cs="Arial" w:eastAsia="Arial" w:hAnsi="Arial"/>
                <w:sz w:val="13"/>
                <w:szCs w:val="13"/>
                <w:color w:val="auto"/>
              </w:rPr>
              <w:t>849,907</w:t>
            </w:r>
          </w:p>
        </w:tc>
      </w:tr>
      <w:tr>
        <w:trPr>
          <w:trHeight w:val="67"/>
        </w:trPr>
        <w:tc>
          <w:tcPr>
            <w:tcW w:w="6840" w:type="dxa"/>
            <w:vAlign w:val="bottom"/>
            <w:shd w:val="clear" w:color="auto" w:fill="F1EFEC"/>
          </w:tcPr>
          <w:p>
            <w:pPr>
              <w:spacing w:after="0"/>
              <w:rPr>
                <w:sz w:val="5"/>
                <w:szCs w:val="5"/>
                <w:color w:val="auto"/>
              </w:rPr>
            </w:pPr>
          </w:p>
        </w:tc>
        <w:tc>
          <w:tcPr>
            <w:tcW w:w="960" w:type="dxa"/>
            <w:vAlign w:val="bottom"/>
            <w:shd w:val="clear" w:color="auto" w:fill="F1EFEC"/>
          </w:tcPr>
          <w:p>
            <w:pPr>
              <w:spacing w:after="0"/>
              <w:rPr>
                <w:sz w:val="5"/>
                <w:szCs w:val="5"/>
                <w:color w:val="auto"/>
              </w:rPr>
            </w:pPr>
          </w:p>
        </w:tc>
        <w:tc>
          <w:tcPr>
            <w:tcW w:w="940" w:type="dxa"/>
            <w:vAlign w:val="bottom"/>
            <w:shd w:val="clear" w:color="auto" w:fill="F1EFEC"/>
          </w:tcPr>
          <w:p>
            <w:pPr>
              <w:spacing w:after="0"/>
              <w:rPr>
                <w:sz w:val="5"/>
                <w:szCs w:val="5"/>
                <w:color w:val="auto"/>
              </w:rPr>
            </w:pPr>
          </w:p>
        </w:tc>
      </w:tr>
    </w:tbl>
    <w:p>
      <w:pPr>
        <w:spacing w:after="0" w:line="71" w:lineRule="exact"/>
        <w:rPr>
          <w:sz w:val="20"/>
          <w:szCs w:val="20"/>
          <w:color w:val="auto"/>
        </w:rPr>
      </w:pPr>
    </w:p>
    <w:p>
      <w:pPr>
        <w:ind w:left="1260" w:right="159" w:firstLine="7"/>
        <w:spacing w:after="0" w:line="260" w:lineRule="auto"/>
        <w:tabs>
          <w:tab w:leader="none" w:pos="1410" w:val="left"/>
        </w:tabs>
        <w:numPr>
          <w:ilvl w:val="0"/>
          <w:numId w:val="40"/>
        </w:numPr>
        <w:rPr>
          <w:rFonts w:ascii="Arial" w:cs="Arial" w:eastAsia="Arial" w:hAnsi="Arial"/>
          <w:sz w:val="10"/>
          <w:szCs w:val="10"/>
          <w:color w:val="auto"/>
        </w:rPr>
      </w:pPr>
      <w:r>
        <w:rPr>
          <w:rFonts w:ascii="Arial" w:cs="Arial" w:eastAsia="Arial" w:hAnsi="Arial"/>
          <w:sz w:val="10"/>
          <w:szCs w:val="10"/>
          <w:color w:val="auto"/>
        </w:rPr>
        <w:t>The amounts reported in this table are based on the closing price of the Company’s Common Stock on the date the stock award vested. Upon vesting of the stock award, the applicable NEO also was paid an amount equal to the dividends that had accrued on the shares prior to their vesting.</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0159"/>
          </w:cols>
          <w:pgMar w:left="300" w:top="412"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279"/>
        <w:spacing w:after="0" w:line="266" w:lineRule="auto"/>
        <w:rPr>
          <w:sz w:val="20"/>
          <w:szCs w:val="20"/>
          <w:color w:val="auto"/>
        </w:rPr>
      </w:pPr>
      <w:r>
        <w:rPr>
          <w:rFonts w:ascii="Times New Roman" w:cs="Times New Roman" w:eastAsia="Times New Roman" w:hAnsi="Times New Roman"/>
          <w:sz w:val="36"/>
          <w:szCs w:val="36"/>
          <w:color w:val="auto"/>
        </w:rPr>
        <w:t>Potential Payments Upon Termination, Retirement or Change in Control</w:t>
      </w:r>
    </w:p>
    <w:p>
      <w:pPr>
        <w:spacing w:after="0" w:line="182" w:lineRule="exact"/>
        <w:rPr>
          <w:sz w:val="20"/>
          <w:szCs w:val="20"/>
          <w:color w:val="auto"/>
        </w:rPr>
      </w:pPr>
    </w:p>
    <w:p>
      <w:pPr>
        <w:ind w:left="1260" w:right="179"/>
        <w:spacing w:after="0" w:line="248" w:lineRule="auto"/>
        <w:rPr>
          <w:sz w:val="20"/>
          <w:szCs w:val="20"/>
          <w:color w:val="auto"/>
        </w:rPr>
      </w:pPr>
      <w:r>
        <w:rPr>
          <w:rFonts w:ascii="Arial" w:cs="Arial" w:eastAsia="Arial" w:hAnsi="Arial"/>
          <w:sz w:val="13"/>
          <w:szCs w:val="13"/>
          <w:color w:val="B9AFA0"/>
        </w:rPr>
        <w:t xml:space="preserve">PAYMENTS MADE UPON TERMINATION DUE TO DEATH, COMPLETE DISABILITY OR LICENSE REVOCATION. </w:t>
      </w:r>
      <w:r>
        <w:rPr>
          <w:rFonts w:ascii="Arial" w:cs="Arial" w:eastAsia="Arial" w:hAnsi="Arial"/>
          <w:sz w:val="13"/>
          <w:szCs w:val="13"/>
          <w:color w:val="000000"/>
        </w:rPr>
        <w:t>The Company’s employment</w:t>
      </w:r>
      <w:r>
        <w:rPr>
          <w:rFonts w:ascii="Arial" w:cs="Arial" w:eastAsia="Arial" w:hAnsi="Arial"/>
          <w:sz w:val="13"/>
          <w:szCs w:val="13"/>
          <w:color w:val="B9AFA0"/>
        </w:rPr>
        <w:t xml:space="preserve"> </w:t>
      </w:r>
      <w:r>
        <w:rPr>
          <w:rFonts w:ascii="Arial" w:cs="Arial" w:eastAsia="Arial" w:hAnsi="Arial"/>
          <w:sz w:val="13"/>
          <w:szCs w:val="13"/>
          <w:color w:val="000000"/>
        </w:rPr>
        <w:t>contracts with its current NEOs provide that such contracts terminate automatically upon death or complete disability of the NEO, as well as upon failure of the NEO to obtain or maintain any required gaming licenses. Upon such termination, such NEO is entitled to a lump sum payment of accrued and unpaid base salary and vacation pay through the termination date. Pursuant to the terms of the NEO’s applicable restricted stock grant agreements, all of the unvested restricted stock held by such NEOs would vest upon termination as a result of such NEO’s death or complete disability.</w:t>
      </w:r>
    </w:p>
    <w:p>
      <w:pPr>
        <w:spacing w:after="0" w:line="150" w:lineRule="exact"/>
        <w:rPr>
          <w:sz w:val="20"/>
          <w:szCs w:val="20"/>
          <w:color w:val="auto"/>
        </w:rPr>
      </w:pPr>
    </w:p>
    <w:p>
      <w:pPr>
        <w:ind w:left="1260" w:right="159"/>
        <w:spacing w:after="0" w:line="243" w:lineRule="auto"/>
        <w:rPr>
          <w:sz w:val="20"/>
          <w:szCs w:val="20"/>
          <w:color w:val="auto"/>
        </w:rPr>
      </w:pPr>
      <w:r>
        <w:rPr>
          <w:rFonts w:ascii="Arial" w:cs="Arial" w:eastAsia="Arial" w:hAnsi="Arial"/>
          <w:sz w:val="13"/>
          <w:szCs w:val="13"/>
          <w:color w:val="B9AFA0"/>
        </w:rPr>
        <w:t xml:space="preserve">PAYMENTS MADE UPON RETIREMENT. </w:t>
      </w:r>
      <w:r>
        <w:rPr>
          <w:rFonts w:ascii="Arial" w:cs="Arial" w:eastAsia="Arial" w:hAnsi="Arial"/>
          <w:sz w:val="13"/>
          <w:szCs w:val="13"/>
          <w:color w:val="000000"/>
        </w:rPr>
        <w:t>Under the terms of the Retirement Plan, which was amended on November 3, 2025, upon an NEO’s</w:t>
      </w:r>
      <w:r>
        <w:rPr>
          <w:rFonts w:ascii="Arial" w:cs="Arial" w:eastAsia="Arial" w:hAnsi="Arial"/>
          <w:sz w:val="13"/>
          <w:szCs w:val="13"/>
          <w:color w:val="B9AFA0"/>
        </w:rPr>
        <w:t xml:space="preserve"> </w:t>
      </w:r>
      <w:r>
        <w:rPr>
          <w:rFonts w:ascii="Arial" w:cs="Arial" w:eastAsia="Arial" w:hAnsi="Arial"/>
          <w:sz w:val="13"/>
          <w:szCs w:val="13"/>
          <w:color w:val="000000"/>
        </w:rPr>
        <w:t>retirement, (i) all outstanding equity incentive awards held by the NEO on the date of retirement will remain outstanding and will continue to vest in accordance with the terms of the applicable award agreement as if the NEO were still employed by the Company (provided, that, the NEO may elect to deliver written notice to the Company expressly disavowing the continued vesting benefits, and the vesting period will expire as of the date of delivery of such notice, and all of the NEO’s outstanding equity incentive awards that remain unvested as of such date will be immediately forfeited for no consideration); (ii) the Company will pay the NEO a total amount equal to a pro-rata portion of the annual incentive award the NEO earned during the fiscal year preceding the year in which the date of retirement occurs; and (iii) during the first eighteen months following the NEO’s retirement, assuming that the NEO has timely enrolled under COBRA, the Company will pay the full COBRA monthly premiums for the NEO and their spouse and dependents, and the Company will reimburse the NEO for any medical expenses incurred by the NEO or the NEO’s dependents that are not covered by COBRA but would have been subject to reimbursement under the Company’s senior executive health program. If the NEO has remained covered under the Company’s group health coverage through the end of such initial eighteen-month COBRA period, then for the remainder of the applicable restricted period (if any), the Company will maintain coverage for such NEO under the Company’s senior executive health program. The health benefits and/or reimbursement in lieu thereof will cease upon the earlier of the expiration of the applicable restricted period, the failure by the NEO to timely elect COBRA with respect to the initial eighteen-month COBRA period, the NEO enrolling under Medicare after the date of retirement or if the NEO becomes employed by another employer and becomes eligible to enroll under that employer’s group health coverage. Retirement under the Retirement Plan is defined as a voluntary resignation at the end of the applicable notice period where the sum of the executive’s age, continuous service with the Company and post-employment consulting period equals or exceeds 60.</w:t>
      </w:r>
    </w:p>
    <w:p>
      <w:pPr>
        <w:spacing w:after="0" w:line="152" w:lineRule="exact"/>
        <w:rPr>
          <w:sz w:val="20"/>
          <w:szCs w:val="20"/>
          <w:color w:val="auto"/>
        </w:rPr>
      </w:pPr>
    </w:p>
    <w:p>
      <w:pPr>
        <w:jc w:val="both"/>
        <w:ind w:left="1260" w:right="239"/>
        <w:spacing w:after="0" w:line="251" w:lineRule="auto"/>
        <w:rPr>
          <w:sz w:val="20"/>
          <w:szCs w:val="20"/>
          <w:color w:val="auto"/>
        </w:rPr>
      </w:pPr>
      <w:r>
        <w:rPr>
          <w:rFonts w:ascii="Arial" w:cs="Arial" w:eastAsia="Arial" w:hAnsi="Arial"/>
          <w:sz w:val="13"/>
          <w:szCs w:val="13"/>
          <w:color w:val="auto"/>
        </w:rPr>
        <w:t>The foregoing retirement benefits are conditioned upon the NEO remaining an employee in good standing through the three-month notice period prior to their retirement date, executing and not revoking a release of claims, acknowledging that the transition of duties and responsibilities during the transition period will not constitute “good reason”, and complying with the non-disparagement covenant in the Retirement Plan and any other restrictive covenants to which the NEO is subject.</w:t>
      </w:r>
    </w:p>
    <w:p>
      <w:pPr>
        <w:spacing w:after="0" w:line="147" w:lineRule="exact"/>
        <w:rPr>
          <w:sz w:val="20"/>
          <w:szCs w:val="20"/>
          <w:color w:val="auto"/>
        </w:rPr>
      </w:pPr>
    </w:p>
    <w:p>
      <w:pPr>
        <w:ind w:left="1260" w:right="199"/>
        <w:spacing w:after="0" w:line="251" w:lineRule="auto"/>
        <w:rPr>
          <w:sz w:val="20"/>
          <w:szCs w:val="20"/>
          <w:color w:val="auto"/>
        </w:rPr>
      </w:pPr>
      <w:r>
        <w:rPr>
          <w:rFonts w:ascii="Arial" w:cs="Arial" w:eastAsia="Arial" w:hAnsi="Arial"/>
          <w:sz w:val="13"/>
          <w:szCs w:val="13"/>
          <w:color w:val="auto"/>
        </w:rPr>
        <w:t>In addition, the Company will enter into a post-employment consulting agreement with the NEO for no additional compensation (except the foregoing retirement benefits), to assist in facilitating the successful transition of responsibilities, for a period of no more than 18 months, unless the Company no longer requires such services. In the event that the NEO voluntarily chooses to cease providing services under such consulting agreement, the Company will be relieved of its obligations to continue providing the foregoing retirement benefits.</w:t>
      </w:r>
    </w:p>
    <w:p>
      <w:pPr>
        <w:spacing w:after="0" w:line="93"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0159"/>
          </w:cols>
          <w:pgMar w:left="300" w:top="41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299"/>
        <w:spacing w:after="0" w:line="262" w:lineRule="auto"/>
        <w:rPr>
          <w:sz w:val="20"/>
          <w:szCs w:val="20"/>
          <w:color w:val="auto"/>
        </w:rPr>
      </w:pPr>
      <w:r>
        <w:rPr>
          <w:rFonts w:ascii="Arial" w:cs="Arial" w:eastAsia="Arial" w:hAnsi="Arial"/>
          <w:sz w:val="12"/>
          <w:szCs w:val="12"/>
          <w:color w:val="B9AFA0"/>
        </w:rPr>
        <w:t xml:space="preserve">PAYMENTS MADE UPON TERMINATION WITHOUT CAUSE AT EMPLOYER’S ELECTION OR AT EMPLOYEE’S ELECTION UPON COMPANY MATERIAL BREACH DURING THE TERM. </w:t>
      </w:r>
      <w:r>
        <w:rPr>
          <w:rFonts w:ascii="Arial" w:cs="Arial" w:eastAsia="Arial" w:hAnsi="Arial"/>
          <w:sz w:val="12"/>
          <w:szCs w:val="12"/>
          <w:color w:val="000000"/>
        </w:rPr>
        <w:t>The Company’s employment contracts with its current NEOs provide that such contracts are terminable by</w:t>
      </w:r>
      <w:r>
        <w:rPr>
          <w:rFonts w:ascii="Arial" w:cs="Arial" w:eastAsia="Arial" w:hAnsi="Arial"/>
          <w:sz w:val="12"/>
          <w:szCs w:val="12"/>
          <w:color w:val="B9AFA0"/>
        </w:rPr>
        <w:t xml:space="preserve"> </w:t>
      </w:r>
      <w:r>
        <w:rPr>
          <w:rFonts w:ascii="Arial" w:cs="Arial" w:eastAsia="Arial" w:hAnsi="Arial"/>
          <w:sz w:val="12"/>
          <w:szCs w:val="12"/>
          <w:color w:val="000000"/>
        </w:rPr>
        <w:t>the Company without “cause” upon notice to the NEO, so long as the Separation Payment (as defined below), is paid to the NEO as provided in such contracts (as further discussed below), or by the NEO upon written notice to the Company of the Company’s uncured material breach of the contract. “Cause” is generally defined in the employment contract to include (i) 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or its board; (vii) knowing material misrepresentation to the Company or its Board of Directors; (viii) failure to follow a material policy or procedure of the Company or an affiliate; or (ix) material breach of a statutory or common law duty of loyalty or fiduciary duty to the Company or an affiliate. “Material breach” is generally defined in the employment contract as (i) the Company’s failure to pay the employee’s base salary when due,</w:t>
      </w:r>
    </w:p>
    <w:p>
      <w:pPr>
        <w:spacing w:after="0" w:line="6" w:lineRule="exact"/>
        <w:rPr>
          <w:sz w:val="20"/>
          <w:szCs w:val="20"/>
          <w:color w:val="auto"/>
        </w:rPr>
      </w:pPr>
    </w:p>
    <w:p>
      <w:pPr>
        <w:ind w:left="1260" w:right="339" w:firstLine="7"/>
        <w:spacing w:after="0" w:line="246" w:lineRule="auto"/>
        <w:tabs>
          <w:tab w:leader="none" w:pos="1439"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Company’s material reduction in the scope in the employee’s duties and responsibilities such that the employee’s remaining duties and responsibilities are materially inconsistent with duties and responsibilities generally associated with the employee’s position with the Company, or (iii) a material reduction in the employee’s base salary.</w:t>
      </w:r>
    </w:p>
    <w:p>
      <w:pPr>
        <w:spacing w:after="0" w:line="151" w:lineRule="exact"/>
        <w:rPr>
          <w:sz w:val="20"/>
          <w:szCs w:val="20"/>
          <w:color w:val="auto"/>
        </w:rPr>
      </w:pPr>
    </w:p>
    <w:p>
      <w:pPr>
        <w:ind w:left="1260" w:right="139"/>
        <w:spacing w:after="0" w:line="248" w:lineRule="auto"/>
        <w:rPr>
          <w:sz w:val="20"/>
          <w:szCs w:val="20"/>
          <w:color w:val="auto"/>
        </w:rPr>
      </w:pPr>
      <w:r>
        <w:rPr>
          <w:rFonts w:ascii="Arial" w:cs="Arial" w:eastAsia="Arial" w:hAnsi="Arial"/>
          <w:sz w:val="13"/>
          <w:szCs w:val="13"/>
          <w:color w:val="auto"/>
        </w:rPr>
        <w:t>Upon a termination of the NEO’s employment by the Company without “cause” or by the employee upon the Company’s material breach, the “Separation Payment” for each of our current NEOs equals a lump sum payment equal to the sum of (a) the NEO’s base salary for the remainder of the term of the employment contract, but not less than 12 months (except for Mr. Billings, which is not less than 18 months); plus (b) any bonus amount projected for all bonus periods through the end of the term of the employment contract (based upon the last bonus paid pursuant to the employment contract), but not less than the preceding bonus that was paid; plus (c) any accrued but unpaid vacation pay.</w:t>
      </w:r>
    </w:p>
    <w:p>
      <w:pPr>
        <w:spacing w:after="0" w:line="150" w:lineRule="exact"/>
        <w:rPr>
          <w:sz w:val="20"/>
          <w:szCs w:val="20"/>
          <w:color w:val="auto"/>
        </w:rPr>
      </w:pPr>
    </w:p>
    <w:p>
      <w:pPr>
        <w:jc w:val="both"/>
        <w:ind w:left="1260" w:right="279"/>
        <w:spacing w:after="0" w:line="251" w:lineRule="auto"/>
        <w:rPr>
          <w:sz w:val="20"/>
          <w:szCs w:val="20"/>
          <w:color w:val="auto"/>
        </w:rPr>
      </w:pPr>
      <w:r>
        <w:rPr>
          <w:rFonts w:ascii="Arial" w:cs="Arial" w:eastAsia="Arial" w:hAnsi="Arial"/>
          <w:sz w:val="13"/>
          <w:szCs w:val="13"/>
          <w:color w:val="auto"/>
        </w:rPr>
        <w:t>If any of our NEOs are terminated by the Company without cause or resign following the Company’s material breach of his or her employment contract, then as a condition to receiving the Separation Payment, the NEO must execute a written release-severance agreement that (1) releases the Company, its affiliates, and their officers, directors, agents and employees, from any claims or causes of action, and (2) provides that the terminated NEO may not disclose either the terms of the release-severance agreement or the compensation that is paid.</w:t>
      </w:r>
    </w:p>
    <w:p>
      <w:pPr>
        <w:spacing w:after="0" w:line="147" w:lineRule="exact"/>
        <w:rPr>
          <w:sz w:val="20"/>
          <w:szCs w:val="20"/>
          <w:color w:val="auto"/>
        </w:rPr>
      </w:pPr>
    </w:p>
    <w:p>
      <w:pPr>
        <w:ind w:left="1260" w:right="179"/>
        <w:spacing w:after="0" w:line="248" w:lineRule="auto"/>
        <w:rPr>
          <w:sz w:val="20"/>
          <w:szCs w:val="20"/>
          <w:color w:val="auto"/>
        </w:rPr>
      </w:pPr>
      <w:r>
        <w:rPr>
          <w:rFonts w:ascii="Arial" w:cs="Arial" w:eastAsia="Arial" w:hAnsi="Arial"/>
          <w:sz w:val="13"/>
          <w:szCs w:val="13"/>
          <w:color w:val="auto"/>
        </w:rPr>
        <w:t>In addition to the Separation Payment, upon a termination of the NEO’s employment by the Company without “cause” or by the employee upon the Company’s material breach, the NEOs are also entitled to health benefits coverage under the same plan or arrangement as such NEO was covered immediately prior to termination. Mr. Billings is entitled to health benefits for the remainder of the term of his employment contract, but not less than 18 months and for a period of twelve months thereafter. Ms. Cameron-Doe and Ms. Krum are entitled to health benefits for the remainder of the original term of their employment contract but not less than 12 months and for a period of twelve months thereafter.</w:t>
      </w:r>
    </w:p>
    <w:p>
      <w:pPr>
        <w:spacing w:after="0" w:line="150" w:lineRule="exact"/>
        <w:rPr>
          <w:sz w:val="20"/>
          <w:szCs w:val="20"/>
          <w:color w:val="auto"/>
        </w:rPr>
      </w:pPr>
    </w:p>
    <w:p>
      <w:pPr>
        <w:jc w:val="both"/>
        <w:ind w:left="1260" w:right="239"/>
        <w:spacing w:after="0" w:line="256" w:lineRule="auto"/>
        <w:rPr>
          <w:sz w:val="20"/>
          <w:szCs w:val="20"/>
          <w:color w:val="auto"/>
        </w:rPr>
      </w:pPr>
      <w:r>
        <w:rPr>
          <w:rFonts w:ascii="Arial" w:cs="Arial" w:eastAsia="Arial" w:hAnsi="Arial"/>
          <w:sz w:val="13"/>
          <w:szCs w:val="13"/>
          <w:color w:val="auto"/>
        </w:rPr>
        <w:t>Pursuant to the terms of the NEO’s applicable restricted stock grant agreements, upon a termination of the NEO’s employment by the Company without cause or by the NEO upon the Company’s material breach, all of the unvested restricted stock held by such NEO would immediately vest pro rata based on the number of months served since the grant date.</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0159"/>
          </w:cols>
          <w:pgMar w:left="300" w:top="413"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219"/>
        <w:spacing w:after="0" w:line="264" w:lineRule="auto"/>
        <w:rPr>
          <w:sz w:val="20"/>
          <w:szCs w:val="20"/>
          <w:color w:val="auto"/>
        </w:rPr>
      </w:pPr>
      <w:r>
        <w:rPr>
          <w:rFonts w:ascii="Arial" w:cs="Arial" w:eastAsia="Arial" w:hAnsi="Arial"/>
          <w:sz w:val="12"/>
          <w:szCs w:val="12"/>
          <w:color w:val="B9AFA0"/>
        </w:rPr>
        <w:t>PAYMENTS MADE UPON TERMINATION BY EMPLOYEE FOR GOOD REASON AFTER CHANGE IN CONTROL</w:t>
      </w:r>
      <w:r>
        <w:rPr>
          <w:rFonts w:ascii="Arial" w:cs="Arial" w:eastAsia="Arial" w:hAnsi="Arial"/>
          <w:sz w:val="12"/>
          <w:szCs w:val="12"/>
          <w:color w:val="000000"/>
        </w:rPr>
        <w:t>. The Company’s employment</w:t>
      </w:r>
      <w:r>
        <w:rPr>
          <w:rFonts w:ascii="Arial" w:cs="Arial" w:eastAsia="Arial" w:hAnsi="Arial"/>
          <w:sz w:val="12"/>
          <w:szCs w:val="12"/>
          <w:color w:val="B9AFA0"/>
        </w:rPr>
        <w:t xml:space="preserve"> </w:t>
      </w:r>
      <w:r>
        <w:rPr>
          <w:rFonts w:ascii="Arial" w:cs="Arial" w:eastAsia="Arial" w:hAnsi="Arial"/>
          <w:sz w:val="12"/>
          <w:szCs w:val="12"/>
          <w:color w:val="000000"/>
        </w:rPr>
        <w:t>contracts with its current NEOs also provide that such contracts are terminable by the NEO for “good reason” after a “change of control”. A “change of control” is generally defined as (a) any person or group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generally defined as:</w:t>
      </w:r>
    </w:p>
    <w:p>
      <w:pPr>
        <w:spacing w:after="0" w:line="3" w:lineRule="exact"/>
        <w:rPr>
          <w:sz w:val="20"/>
          <w:szCs w:val="20"/>
          <w:color w:val="auto"/>
        </w:rPr>
      </w:pPr>
    </w:p>
    <w:p>
      <w:pPr>
        <w:ind w:left="1260" w:right="159" w:firstLine="7"/>
        <w:spacing w:after="0" w:line="241" w:lineRule="auto"/>
        <w:tabs>
          <w:tab w:leader="none" w:pos="141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reduction of employee’s base salary; (ii) discontinuation of employer’s bonus plan without immediately replacing such bonus plan with a plan that is the substantial economic equivalent of such bonus plan, or amending such bonus plan so as to materially reduce employee’s potential bonus at any given level of economic performance of employer or its successor entity; (iii) material reduction in the aggregate benefits and perquisites to employee;</w:t>
      </w:r>
    </w:p>
    <w:p>
      <w:pPr>
        <w:ind w:left="1260" w:right="239" w:firstLine="7"/>
        <w:spacing w:after="0" w:line="252" w:lineRule="auto"/>
        <w:tabs>
          <w:tab w:leader="none" w:pos="1474"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contract.</w:t>
      </w:r>
    </w:p>
    <w:p>
      <w:pPr>
        <w:spacing w:after="0" w:line="146" w:lineRule="exact"/>
        <w:rPr>
          <w:sz w:val="20"/>
          <w:szCs w:val="20"/>
          <w:color w:val="auto"/>
        </w:rPr>
      </w:pPr>
    </w:p>
    <w:p>
      <w:pPr>
        <w:ind w:left="1260" w:right="559"/>
        <w:spacing w:after="0" w:line="271" w:lineRule="auto"/>
        <w:rPr>
          <w:sz w:val="20"/>
          <w:szCs w:val="20"/>
          <w:color w:val="auto"/>
        </w:rPr>
      </w:pPr>
      <w:r>
        <w:rPr>
          <w:rFonts w:ascii="Arial" w:cs="Arial" w:eastAsia="Arial" w:hAnsi="Arial"/>
          <w:sz w:val="13"/>
          <w:szCs w:val="13"/>
          <w:color w:val="auto"/>
        </w:rPr>
        <w:t>Upon a termination by the NEO for good reason after a “change of control”, the NEO will receive the Separation Payment, subject to the terms and conditions described above.</w:t>
      </w:r>
    </w:p>
    <w:p>
      <w:pPr>
        <w:spacing w:after="0" w:line="134" w:lineRule="exact"/>
        <w:rPr>
          <w:sz w:val="20"/>
          <w:szCs w:val="20"/>
          <w:color w:val="auto"/>
        </w:rPr>
      </w:pPr>
    </w:p>
    <w:p>
      <w:pPr>
        <w:ind w:left="1260" w:right="579"/>
        <w:spacing w:after="0" w:line="271" w:lineRule="auto"/>
        <w:rPr>
          <w:sz w:val="20"/>
          <w:szCs w:val="20"/>
          <w:color w:val="auto"/>
        </w:rPr>
      </w:pPr>
      <w:r>
        <w:rPr>
          <w:rFonts w:ascii="Arial" w:cs="Arial" w:eastAsia="Arial" w:hAnsi="Arial"/>
          <w:sz w:val="13"/>
          <w:szCs w:val="13"/>
          <w:color w:val="auto"/>
        </w:rPr>
        <w:t>Pursuant to the terms of the NEO’s restricted stock grant agreements, upon termination for “good reason” following a “change of control,” all of the unvested restricted stock held by such NEOs would immediately vest.</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MS. CAMERON-DOE RETIREMENT</w:t>
      </w:r>
    </w:p>
    <w:p>
      <w:pPr>
        <w:spacing w:after="0" w:line="284" w:lineRule="exact"/>
        <w:rPr>
          <w:sz w:val="20"/>
          <w:szCs w:val="20"/>
          <w:color w:val="auto"/>
        </w:rPr>
      </w:pPr>
    </w:p>
    <w:p>
      <w:pPr>
        <w:ind w:left="1260" w:right="139"/>
        <w:spacing w:after="0" w:line="271" w:lineRule="auto"/>
        <w:rPr>
          <w:sz w:val="20"/>
          <w:szCs w:val="20"/>
          <w:color w:val="auto"/>
        </w:rPr>
      </w:pPr>
      <w:r>
        <w:rPr>
          <w:rFonts w:ascii="Arial" w:cs="Arial" w:eastAsia="Arial" w:hAnsi="Arial"/>
          <w:sz w:val="13"/>
          <w:szCs w:val="13"/>
          <w:color w:val="auto"/>
        </w:rPr>
        <w:t>On January 7, 2026, Ms. Cameron-Doe notified the Company of her decision to retire from her role as Chief Financial Officer of the Company, effective as of March 31, 2026, and to retire from the Company as an officer of the Company, effective as of June 1, 2026.</w:t>
      </w:r>
    </w:p>
    <w:p>
      <w:pPr>
        <w:spacing w:after="0" w:line="134" w:lineRule="exact"/>
        <w:rPr>
          <w:sz w:val="20"/>
          <w:szCs w:val="20"/>
          <w:color w:val="auto"/>
        </w:rPr>
      </w:pPr>
    </w:p>
    <w:p>
      <w:pPr>
        <w:ind w:left="1260" w:right="199"/>
        <w:spacing w:after="0" w:line="256" w:lineRule="auto"/>
        <w:rPr>
          <w:sz w:val="20"/>
          <w:szCs w:val="20"/>
          <w:color w:val="auto"/>
        </w:rPr>
      </w:pPr>
      <w:r>
        <w:rPr>
          <w:rFonts w:ascii="Arial" w:cs="Arial" w:eastAsia="Arial" w:hAnsi="Arial"/>
          <w:sz w:val="13"/>
          <w:szCs w:val="13"/>
          <w:color w:val="B9AFA0"/>
        </w:rPr>
        <w:t xml:space="preserve">PAYMENTS MADE UPON TERMINATION. </w:t>
      </w:r>
      <w:r>
        <w:rPr>
          <w:rFonts w:ascii="Arial" w:cs="Arial" w:eastAsia="Arial" w:hAnsi="Arial"/>
          <w:sz w:val="13"/>
          <w:szCs w:val="13"/>
          <w:color w:val="000000"/>
        </w:rPr>
        <w:t>The tables below provide information regarding potential payments to our NEOs as of December 31, 2025, in</w:t>
      </w:r>
      <w:r>
        <w:rPr>
          <w:rFonts w:ascii="Arial" w:cs="Arial" w:eastAsia="Arial" w:hAnsi="Arial"/>
          <w:sz w:val="13"/>
          <w:szCs w:val="13"/>
          <w:color w:val="B9AFA0"/>
        </w:rPr>
        <w:t xml:space="preserve"> </w:t>
      </w:r>
      <w:r>
        <w:rPr>
          <w:rFonts w:ascii="Arial" w:cs="Arial" w:eastAsia="Arial" w:hAnsi="Arial"/>
          <w:sz w:val="13"/>
          <w:szCs w:val="13"/>
          <w:color w:val="000000"/>
        </w:rPr>
        <w:t>connection with certain termination or change of control events, based on the NEO’s compensation as of such date and, if applicable, the Company’s closing stock price on that date.</w:t>
      </w:r>
    </w:p>
    <w:p>
      <w:pPr>
        <w:spacing w:after="0" w:line="144" w:lineRule="exact"/>
        <w:rPr>
          <w:sz w:val="20"/>
          <w:szCs w:val="20"/>
          <w:color w:val="auto"/>
        </w:rPr>
      </w:pPr>
    </w:p>
    <w:p>
      <w:pPr>
        <w:ind w:left="1260" w:right="219"/>
        <w:spacing w:after="0" w:line="270" w:lineRule="auto"/>
        <w:rPr>
          <w:sz w:val="20"/>
          <w:szCs w:val="20"/>
          <w:color w:val="auto"/>
        </w:rPr>
      </w:pPr>
      <w:r>
        <w:rPr>
          <w:rFonts w:ascii="Arial" w:cs="Arial" w:eastAsia="Arial" w:hAnsi="Arial"/>
          <w:sz w:val="12"/>
          <w:szCs w:val="12"/>
          <w:color w:val="auto"/>
        </w:rPr>
        <w:t>These benefits are in addition to benefits available prior to the occurrence of any termination of employment, including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83"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0159"/>
          </w:cols>
          <w:pgMar w:left="300" w:top="412"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111760</wp:posOffset>
            </wp:positionV>
            <wp:extent cx="6985" cy="16351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85" cy="163512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111760</wp:posOffset>
            </wp:positionV>
            <wp:extent cx="6985" cy="16351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85" cy="163512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111760</wp:posOffset>
            </wp:positionV>
            <wp:extent cx="6985" cy="16351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85" cy="1635125"/>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111760</wp:posOffset>
            </wp:positionV>
            <wp:extent cx="6985" cy="16351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85" cy="1635125"/>
                    </a:xfrm>
                    <a:prstGeom prst="rect">
                      <a:avLst/>
                    </a:prstGeom>
                    <a:noFill/>
                  </pic:spPr>
                </pic:pic>
              </a:graphicData>
            </a:graphic>
          </wp:anchor>
        </w:drawing>
      </w:r>
    </w:p>
    <w:p>
      <w:pPr>
        <w:spacing w:after="0" w:line="156"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2500" w:type="dxa"/>
            <w:vAlign w:val="bottom"/>
            <w:shd w:val="clear" w:color="auto" w:fill="B9AFA0"/>
          </w:tcPr>
          <w:p>
            <w:pPr>
              <w:spacing w:after="0"/>
              <w:rPr>
                <w:sz w:val="15"/>
                <w:szCs w:val="15"/>
                <w:color w:val="auto"/>
              </w:rPr>
            </w:pPr>
          </w:p>
        </w:tc>
        <w:tc>
          <w:tcPr>
            <w:tcW w:w="14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TERMINATION UPON</w:t>
            </w:r>
          </w:p>
        </w:tc>
        <w:tc>
          <w:tcPr>
            <w:tcW w:w="150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TERMINATION WITHOUT</w:t>
            </w:r>
          </w:p>
        </w:tc>
        <w:tc>
          <w:tcPr>
            <w:tcW w:w="178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TERMINATION BY EMPLOYEE</w:t>
            </w:r>
          </w:p>
        </w:tc>
        <w:tc>
          <w:tcPr>
            <w:tcW w:w="154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RETIREMENT PURSUANT</w:t>
            </w:r>
          </w:p>
        </w:tc>
      </w:tr>
      <w:tr>
        <w:trPr>
          <w:trHeight w:val="129"/>
        </w:trPr>
        <w:tc>
          <w:tcPr>
            <w:tcW w:w="2500" w:type="dxa"/>
            <w:vAlign w:val="bottom"/>
            <w:shd w:val="clear" w:color="auto" w:fill="B9AFA0"/>
          </w:tcPr>
          <w:p>
            <w:pPr>
              <w:spacing w:after="0"/>
              <w:rPr>
                <w:sz w:val="11"/>
                <w:szCs w:val="11"/>
                <w:color w:val="auto"/>
              </w:rPr>
            </w:pPr>
          </w:p>
        </w:tc>
        <w:tc>
          <w:tcPr>
            <w:tcW w:w="14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DEATH OR COMPLETE</w:t>
            </w:r>
          </w:p>
        </w:tc>
        <w:tc>
          <w:tcPr>
            <w:tcW w:w="150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CAUSE OR UPON</w:t>
            </w:r>
          </w:p>
        </w:tc>
        <w:tc>
          <w:tcPr>
            <w:tcW w:w="178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FOR GOOD REASON AFTER</w:t>
            </w:r>
          </w:p>
        </w:tc>
        <w:tc>
          <w:tcPr>
            <w:tcW w:w="154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TO RETIREMENT</w:t>
            </w:r>
          </w:p>
        </w:tc>
      </w:tr>
      <w:tr>
        <w:trPr>
          <w:trHeight w:val="179"/>
        </w:trPr>
        <w:tc>
          <w:tcPr>
            <w:tcW w:w="2500" w:type="dxa"/>
            <w:vAlign w:val="bottom"/>
            <w:tcBorders>
              <w:bottom w:val="single" w:sz="8" w:color="B9AFA0"/>
            </w:tcBorders>
            <w:shd w:val="clear" w:color="auto" w:fill="B9AFA0"/>
          </w:tcPr>
          <w:p>
            <w:pPr>
              <w:spacing w:after="0"/>
              <w:rPr>
                <w:sz w:val="15"/>
                <w:szCs w:val="15"/>
                <w:color w:val="auto"/>
              </w:rPr>
            </w:pPr>
          </w:p>
        </w:tc>
        <w:tc>
          <w:tcPr>
            <w:tcW w:w="14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w w:val="98"/>
              </w:rPr>
              <w:t>DISABILITY </w:t>
            </w:r>
          </w:p>
        </w:tc>
        <w:tc>
          <w:tcPr>
            <w:tcW w:w="150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MATERIAL BREACH  </w:t>
            </w:r>
          </w:p>
        </w:tc>
        <w:tc>
          <w:tcPr>
            <w:tcW w:w="17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CHANGE IN CONTROL  </w:t>
            </w:r>
          </w:p>
        </w:tc>
        <w:tc>
          <w:tcPr>
            <w:tcW w:w="15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PLAN (4)</w:t>
            </w:r>
          </w:p>
        </w:tc>
      </w:tr>
      <w:tr>
        <w:trPr>
          <w:trHeight w:val="233"/>
        </w:trPr>
        <w:tc>
          <w:tcPr>
            <w:tcW w:w="2500" w:type="dxa"/>
            <w:vAlign w:val="bottom"/>
            <w:shd w:val="clear" w:color="auto" w:fill="F1EFEC"/>
          </w:tcPr>
          <w:p>
            <w:pPr>
              <w:spacing w:after="0"/>
              <w:rPr>
                <w:sz w:val="20"/>
                <w:szCs w:val="20"/>
                <w:color w:val="auto"/>
              </w:rPr>
            </w:pP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Amounts earned and</w:t>
            </w:r>
          </w:p>
        </w:tc>
        <w:tc>
          <w:tcPr>
            <w:tcW w:w="1500" w:type="dxa"/>
            <w:vAlign w:val="bottom"/>
            <w:shd w:val="clear" w:color="auto" w:fill="F1EFEC"/>
          </w:tcPr>
          <w:p>
            <w:pPr>
              <w:spacing w:after="0"/>
              <w:rPr>
                <w:sz w:val="20"/>
                <w:szCs w:val="20"/>
                <w:color w:val="auto"/>
              </w:rPr>
            </w:pPr>
          </w:p>
        </w:tc>
        <w:tc>
          <w:tcPr>
            <w:tcW w:w="1780" w:type="dxa"/>
            <w:vAlign w:val="bottom"/>
            <w:shd w:val="clear" w:color="auto" w:fill="F1EFEC"/>
          </w:tcPr>
          <w:p>
            <w:pPr>
              <w:spacing w:after="0"/>
              <w:rPr>
                <w:sz w:val="20"/>
                <w:szCs w:val="20"/>
                <w:color w:val="auto"/>
              </w:rPr>
            </w:pPr>
          </w:p>
        </w:tc>
        <w:tc>
          <w:tcPr>
            <w:tcW w:w="1540" w:type="dxa"/>
            <w:vAlign w:val="bottom"/>
            <w:shd w:val="clear" w:color="auto" w:fill="F1EFEC"/>
          </w:tcPr>
          <w:p>
            <w:pPr>
              <w:spacing w:after="0"/>
              <w:rPr>
                <w:sz w:val="20"/>
                <w:szCs w:val="20"/>
                <w:color w:val="auto"/>
              </w:rPr>
            </w:pPr>
          </w:p>
        </w:tc>
      </w:tr>
      <w:tr>
        <w:trPr>
          <w:trHeight w:val="204"/>
        </w:trPr>
        <w:tc>
          <w:tcPr>
            <w:tcW w:w="2500" w:type="dxa"/>
            <w:vAlign w:val="bottom"/>
            <w:shd w:val="clear" w:color="auto" w:fill="F1EFEC"/>
          </w:tcPr>
          <w:p>
            <w:pPr>
              <w:ind w:left="40"/>
              <w:spacing w:after="0"/>
              <w:rPr>
                <w:sz w:val="20"/>
                <w:szCs w:val="20"/>
                <w:color w:val="auto"/>
              </w:rPr>
            </w:pPr>
            <w:r>
              <w:rPr>
                <w:rFonts w:ascii="Arial" w:cs="Arial" w:eastAsia="Arial" w:hAnsi="Arial"/>
                <w:sz w:val="13"/>
                <w:szCs w:val="13"/>
                <w:color w:val="auto"/>
              </w:rPr>
              <w:t>Base Salary</w:t>
            </w: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unpaid through the</w:t>
            </w:r>
          </w:p>
        </w:tc>
        <w:tc>
          <w:tcPr>
            <w:tcW w:w="150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8"/>
              </w:rPr>
              <w:t>$2,832,877</w:t>
            </w:r>
          </w:p>
        </w:tc>
        <w:tc>
          <w:tcPr>
            <w:tcW w:w="178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8"/>
              </w:rPr>
              <w:t>$2,832,877</w:t>
            </w:r>
          </w:p>
        </w:tc>
        <w:tc>
          <w:tcPr>
            <w:tcW w:w="1540" w:type="dxa"/>
            <w:vAlign w:val="bottom"/>
            <w:shd w:val="clear" w:color="auto" w:fill="F1EFEC"/>
          </w:tcPr>
          <w:p>
            <w:pPr>
              <w:jc w:val="center"/>
              <w:ind w:left="38"/>
              <w:spacing w:after="0"/>
              <w:rPr>
                <w:sz w:val="20"/>
                <w:szCs w:val="20"/>
                <w:color w:val="auto"/>
              </w:rPr>
            </w:pPr>
            <w:r>
              <w:rPr>
                <w:rFonts w:ascii="Arial" w:cs="Arial" w:eastAsia="Arial" w:hAnsi="Arial"/>
                <w:sz w:val="13"/>
                <w:szCs w:val="13"/>
                <w:color w:val="auto"/>
                <w:w w:val="91"/>
              </w:rPr>
              <w:t>-</w:t>
            </w:r>
          </w:p>
        </w:tc>
      </w:tr>
      <w:tr>
        <w:trPr>
          <w:trHeight w:val="193"/>
        </w:trPr>
        <w:tc>
          <w:tcPr>
            <w:tcW w:w="2500" w:type="dxa"/>
            <w:vAlign w:val="bottom"/>
            <w:shd w:val="clear" w:color="auto" w:fill="F1EFEC"/>
          </w:tcPr>
          <w:p>
            <w:pPr>
              <w:spacing w:after="0"/>
              <w:rPr>
                <w:sz w:val="16"/>
                <w:szCs w:val="16"/>
                <w:color w:val="auto"/>
              </w:rPr>
            </w:pP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8"/>
              </w:rPr>
              <w:t>date of termination</w:t>
            </w:r>
          </w:p>
        </w:tc>
        <w:tc>
          <w:tcPr>
            <w:tcW w:w="1500" w:type="dxa"/>
            <w:vAlign w:val="bottom"/>
            <w:shd w:val="clear" w:color="auto" w:fill="F1EFEC"/>
          </w:tcPr>
          <w:p>
            <w:pPr>
              <w:spacing w:after="0"/>
              <w:rPr>
                <w:sz w:val="16"/>
                <w:szCs w:val="16"/>
                <w:color w:val="auto"/>
              </w:rPr>
            </w:pPr>
          </w:p>
        </w:tc>
        <w:tc>
          <w:tcPr>
            <w:tcW w:w="1780" w:type="dxa"/>
            <w:vAlign w:val="bottom"/>
            <w:shd w:val="clear" w:color="auto" w:fill="F1EFEC"/>
          </w:tcPr>
          <w:p>
            <w:pPr>
              <w:spacing w:after="0"/>
              <w:rPr>
                <w:sz w:val="16"/>
                <w:szCs w:val="16"/>
                <w:color w:val="auto"/>
              </w:rPr>
            </w:pPr>
          </w:p>
        </w:tc>
        <w:tc>
          <w:tcPr>
            <w:tcW w:w="1540" w:type="dxa"/>
            <w:vAlign w:val="bottom"/>
            <w:shd w:val="clear" w:color="auto" w:fill="F1EFEC"/>
          </w:tcPr>
          <w:p>
            <w:pPr>
              <w:spacing w:after="0"/>
              <w:rPr>
                <w:sz w:val="16"/>
                <w:szCs w:val="16"/>
                <w:color w:val="auto"/>
              </w:rPr>
            </w:pPr>
          </w:p>
        </w:tc>
      </w:tr>
      <w:tr>
        <w:trPr>
          <w:trHeight w:val="78"/>
        </w:trPr>
        <w:tc>
          <w:tcPr>
            <w:tcW w:w="2500" w:type="dxa"/>
            <w:vAlign w:val="bottom"/>
            <w:shd w:val="clear" w:color="auto" w:fill="F1EFEC"/>
          </w:tcPr>
          <w:p>
            <w:pPr>
              <w:spacing w:after="0"/>
              <w:rPr>
                <w:sz w:val="6"/>
                <w:szCs w:val="6"/>
                <w:color w:val="auto"/>
              </w:rPr>
            </w:pPr>
          </w:p>
        </w:tc>
        <w:tc>
          <w:tcPr>
            <w:tcW w:w="1420" w:type="dxa"/>
            <w:vAlign w:val="bottom"/>
            <w:shd w:val="clear" w:color="auto" w:fill="F1EFEC"/>
          </w:tcPr>
          <w:p>
            <w:pPr>
              <w:spacing w:after="0"/>
              <w:rPr>
                <w:sz w:val="6"/>
                <w:szCs w:val="6"/>
                <w:color w:val="auto"/>
              </w:rPr>
            </w:pPr>
          </w:p>
        </w:tc>
        <w:tc>
          <w:tcPr>
            <w:tcW w:w="1500" w:type="dxa"/>
            <w:vAlign w:val="bottom"/>
            <w:shd w:val="clear" w:color="auto" w:fill="F1EFEC"/>
          </w:tcPr>
          <w:p>
            <w:pPr>
              <w:spacing w:after="0"/>
              <w:rPr>
                <w:sz w:val="6"/>
                <w:szCs w:val="6"/>
                <w:color w:val="auto"/>
              </w:rPr>
            </w:pPr>
          </w:p>
        </w:tc>
        <w:tc>
          <w:tcPr>
            <w:tcW w:w="1780" w:type="dxa"/>
            <w:vAlign w:val="bottom"/>
            <w:shd w:val="clear" w:color="auto" w:fill="F1EFEC"/>
          </w:tcPr>
          <w:p>
            <w:pPr>
              <w:spacing w:after="0"/>
              <w:rPr>
                <w:sz w:val="6"/>
                <w:szCs w:val="6"/>
                <w:color w:val="auto"/>
              </w:rPr>
            </w:pPr>
          </w:p>
        </w:tc>
        <w:tc>
          <w:tcPr>
            <w:tcW w:w="1540" w:type="dxa"/>
            <w:vAlign w:val="bottom"/>
            <w:shd w:val="clear" w:color="auto" w:fill="F1EFEC"/>
          </w:tcPr>
          <w:p>
            <w:pPr>
              <w:spacing w:after="0"/>
              <w:rPr>
                <w:sz w:val="6"/>
                <w:szCs w:val="6"/>
                <w:color w:val="auto"/>
              </w:rPr>
            </w:pPr>
          </w:p>
        </w:tc>
      </w:tr>
      <w:tr>
        <w:trPr>
          <w:trHeight w:val="351"/>
        </w:trPr>
        <w:tc>
          <w:tcPr>
            <w:tcW w:w="2500" w:type="dxa"/>
            <w:vAlign w:val="bottom"/>
          </w:tcPr>
          <w:p>
            <w:pPr>
              <w:ind w:left="40"/>
              <w:spacing w:after="0"/>
              <w:rPr>
                <w:sz w:val="20"/>
                <w:szCs w:val="20"/>
                <w:color w:val="auto"/>
              </w:rPr>
            </w:pPr>
            <w:r>
              <w:rPr>
                <w:rFonts w:ascii="Arial" w:cs="Arial" w:eastAsia="Arial" w:hAnsi="Arial"/>
                <w:sz w:val="13"/>
                <w:szCs w:val="13"/>
                <w:color w:val="auto"/>
              </w:rPr>
              <w:t>Bonus</w:t>
            </w: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auto"/>
                <w:w w:val="98"/>
              </w:rPr>
              <w:t>$7,260,417</w:t>
            </w:r>
          </w:p>
        </w:tc>
        <w:tc>
          <w:tcPr>
            <w:tcW w:w="1780" w:type="dxa"/>
            <w:vAlign w:val="bottom"/>
          </w:tcPr>
          <w:p>
            <w:pPr>
              <w:jc w:val="center"/>
              <w:spacing w:after="0"/>
              <w:rPr>
                <w:sz w:val="20"/>
                <w:szCs w:val="20"/>
                <w:color w:val="auto"/>
              </w:rPr>
            </w:pPr>
            <w:r>
              <w:rPr>
                <w:rFonts w:ascii="Arial" w:cs="Arial" w:eastAsia="Arial" w:hAnsi="Arial"/>
                <w:sz w:val="13"/>
                <w:szCs w:val="13"/>
                <w:color w:val="auto"/>
                <w:w w:val="98"/>
              </w:rPr>
              <w:t>$7,260,417</w:t>
            </w:r>
          </w:p>
        </w:tc>
        <w:tc>
          <w:tcPr>
            <w:tcW w:w="1540" w:type="dxa"/>
            <w:vAlign w:val="bottom"/>
          </w:tcPr>
          <w:p>
            <w:pPr>
              <w:jc w:val="center"/>
              <w:ind w:left="38"/>
              <w:spacing w:after="0"/>
              <w:rPr>
                <w:sz w:val="20"/>
                <w:szCs w:val="20"/>
                <w:color w:val="auto"/>
              </w:rPr>
            </w:pPr>
            <w:r>
              <w:rPr>
                <w:rFonts w:ascii="Arial" w:cs="Arial" w:eastAsia="Arial" w:hAnsi="Arial"/>
                <w:sz w:val="13"/>
                <w:szCs w:val="13"/>
                <w:color w:val="auto"/>
                <w:w w:val="91"/>
              </w:rPr>
              <w:t>-</w:t>
            </w:r>
          </w:p>
        </w:tc>
      </w:tr>
      <w:tr>
        <w:trPr>
          <w:trHeight w:val="78"/>
        </w:trPr>
        <w:tc>
          <w:tcPr>
            <w:tcW w:w="2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233"/>
        </w:trPr>
        <w:tc>
          <w:tcPr>
            <w:tcW w:w="2500" w:type="dxa"/>
            <w:vAlign w:val="bottom"/>
            <w:shd w:val="clear" w:color="auto" w:fill="F1EFEC"/>
          </w:tcPr>
          <w:p>
            <w:pPr>
              <w:ind w:left="40"/>
              <w:spacing w:after="0"/>
              <w:rPr>
                <w:sz w:val="20"/>
                <w:szCs w:val="20"/>
                <w:color w:val="auto"/>
              </w:rPr>
            </w:pPr>
            <w:r>
              <w:rPr>
                <w:rFonts w:ascii="Arial" w:cs="Arial" w:eastAsia="Arial" w:hAnsi="Arial"/>
                <w:sz w:val="13"/>
                <w:szCs w:val="13"/>
                <w:color w:val="auto"/>
              </w:rPr>
              <w:t>Outstanding Equity Awards (1)(2)(4)</w:t>
            </w: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6"/>
              </w:rPr>
              <w:t>$26,118,743</w:t>
            </w:r>
          </w:p>
        </w:tc>
        <w:tc>
          <w:tcPr>
            <w:tcW w:w="150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9"/>
              </w:rPr>
              <w:t>$13,662,018</w:t>
            </w:r>
          </w:p>
        </w:tc>
        <w:tc>
          <w:tcPr>
            <w:tcW w:w="178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6"/>
              </w:rPr>
              <w:t>$26,118,743</w:t>
            </w:r>
          </w:p>
        </w:tc>
        <w:tc>
          <w:tcPr>
            <w:tcW w:w="154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6"/>
              </w:rPr>
              <w:t>$26,118,743</w:t>
            </w:r>
          </w:p>
        </w:tc>
      </w:tr>
      <w:tr>
        <w:trPr>
          <w:trHeight w:val="78"/>
        </w:trPr>
        <w:tc>
          <w:tcPr>
            <w:tcW w:w="2500" w:type="dxa"/>
            <w:vAlign w:val="bottom"/>
            <w:shd w:val="clear" w:color="auto" w:fill="F1EFEC"/>
          </w:tcPr>
          <w:p>
            <w:pPr>
              <w:spacing w:after="0"/>
              <w:rPr>
                <w:sz w:val="6"/>
                <w:szCs w:val="6"/>
                <w:color w:val="auto"/>
              </w:rPr>
            </w:pPr>
          </w:p>
        </w:tc>
        <w:tc>
          <w:tcPr>
            <w:tcW w:w="1420" w:type="dxa"/>
            <w:vAlign w:val="bottom"/>
            <w:shd w:val="clear" w:color="auto" w:fill="F1EFEC"/>
          </w:tcPr>
          <w:p>
            <w:pPr>
              <w:spacing w:after="0"/>
              <w:rPr>
                <w:sz w:val="6"/>
                <w:szCs w:val="6"/>
                <w:color w:val="auto"/>
              </w:rPr>
            </w:pPr>
          </w:p>
        </w:tc>
        <w:tc>
          <w:tcPr>
            <w:tcW w:w="1500" w:type="dxa"/>
            <w:vAlign w:val="bottom"/>
            <w:shd w:val="clear" w:color="auto" w:fill="F1EFEC"/>
          </w:tcPr>
          <w:p>
            <w:pPr>
              <w:spacing w:after="0"/>
              <w:rPr>
                <w:sz w:val="6"/>
                <w:szCs w:val="6"/>
                <w:color w:val="auto"/>
              </w:rPr>
            </w:pPr>
          </w:p>
        </w:tc>
        <w:tc>
          <w:tcPr>
            <w:tcW w:w="1780" w:type="dxa"/>
            <w:vAlign w:val="bottom"/>
            <w:shd w:val="clear" w:color="auto" w:fill="F1EFEC"/>
          </w:tcPr>
          <w:p>
            <w:pPr>
              <w:spacing w:after="0"/>
              <w:rPr>
                <w:sz w:val="6"/>
                <w:szCs w:val="6"/>
                <w:color w:val="auto"/>
              </w:rPr>
            </w:pPr>
          </w:p>
        </w:tc>
        <w:tc>
          <w:tcPr>
            <w:tcW w:w="1540" w:type="dxa"/>
            <w:vAlign w:val="bottom"/>
            <w:shd w:val="clear" w:color="auto" w:fill="F1EFEC"/>
          </w:tcPr>
          <w:p>
            <w:pPr>
              <w:spacing w:after="0"/>
              <w:rPr>
                <w:sz w:val="6"/>
                <w:szCs w:val="6"/>
                <w:color w:val="auto"/>
              </w:rPr>
            </w:pPr>
          </w:p>
        </w:tc>
      </w:tr>
      <w:tr>
        <w:trPr>
          <w:trHeight w:val="233"/>
        </w:trPr>
        <w:tc>
          <w:tcPr>
            <w:tcW w:w="2500" w:type="dxa"/>
            <w:vAlign w:val="bottom"/>
          </w:tcPr>
          <w:p>
            <w:pPr>
              <w:ind w:left="40"/>
              <w:spacing w:after="0"/>
              <w:rPr>
                <w:sz w:val="20"/>
                <w:szCs w:val="20"/>
                <w:color w:val="auto"/>
              </w:rPr>
            </w:pPr>
            <w:r>
              <w:rPr>
                <w:rFonts w:ascii="Arial" w:cs="Arial" w:eastAsia="Arial" w:hAnsi="Arial"/>
                <w:sz w:val="13"/>
                <w:szCs w:val="13"/>
                <w:color w:val="auto"/>
              </w:rPr>
              <w:t>Company-Paid Life Insurance</w:t>
            </w:r>
          </w:p>
        </w:tc>
        <w:tc>
          <w:tcPr>
            <w:tcW w:w="1420" w:type="dxa"/>
            <w:vAlign w:val="bottom"/>
          </w:tcPr>
          <w:p>
            <w:pPr>
              <w:jc w:val="center"/>
              <w:ind w:left="18"/>
              <w:spacing w:after="0"/>
              <w:rPr>
                <w:sz w:val="20"/>
                <w:szCs w:val="20"/>
                <w:color w:val="auto"/>
              </w:rPr>
            </w:pPr>
            <w:r>
              <w:rPr>
                <w:rFonts w:ascii="Arial" w:cs="Arial" w:eastAsia="Arial" w:hAnsi="Arial"/>
                <w:sz w:val="13"/>
                <w:szCs w:val="13"/>
                <w:color w:val="auto"/>
              </w:rPr>
              <w:t>$2,000,000</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7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40" w:type="dxa"/>
            <w:vAlign w:val="bottom"/>
          </w:tcPr>
          <w:p>
            <w:pPr>
              <w:jc w:val="center"/>
              <w:ind w:left="38"/>
              <w:spacing w:after="0"/>
              <w:rPr>
                <w:sz w:val="20"/>
                <w:szCs w:val="20"/>
                <w:color w:val="auto"/>
              </w:rPr>
            </w:pPr>
            <w:r>
              <w:rPr>
                <w:rFonts w:ascii="Arial" w:cs="Arial" w:eastAsia="Arial" w:hAnsi="Arial"/>
                <w:sz w:val="13"/>
                <w:szCs w:val="13"/>
                <w:color w:val="auto"/>
                <w:w w:val="91"/>
              </w:rPr>
              <w:t>-</w:t>
            </w:r>
          </w:p>
        </w:tc>
      </w:tr>
      <w:tr>
        <w:trPr>
          <w:trHeight w:val="78"/>
        </w:trPr>
        <w:tc>
          <w:tcPr>
            <w:tcW w:w="2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233"/>
        </w:trPr>
        <w:tc>
          <w:tcPr>
            <w:tcW w:w="2500" w:type="dxa"/>
            <w:vAlign w:val="bottom"/>
            <w:shd w:val="clear" w:color="auto" w:fill="F1EFEC"/>
          </w:tcPr>
          <w:p>
            <w:pPr>
              <w:ind w:left="40"/>
              <w:spacing w:after="0"/>
              <w:rPr>
                <w:sz w:val="20"/>
                <w:szCs w:val="20"/>
                <w:color w:val="auto"/>
              </w:rPr>
            </w:pPr>
            <w:r>
              <w:rPr>
                <w:rFonts w:ascii="Arial" w:cs="Arial" w:eastAsia="Arial" w:hAnsi="Arial"/>
                <w:sz w:val="13"/>
                <w:szCs w:val="13"/>
                <w:color w:val="auto"/>
              </w:rPr>
              <w:t>Benefits (3)</w:t>
            </w:r>
          </w:p>
        </w:tc>
        <w:tc>
          <w:tcPr>
            <w:tcW w:w="142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$31,037</w:t>
            </w:r>
          </w:p>
        </w:tc>
        <w:tc>
          <w:tcPr>
            <w:tcW w:w="178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$31,037</w:t>
            </w:r>
          </w:p>
        </w:tc>
        <w:tc>
          <w:tcPr>
            <w:tcW w:w="154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$27,721</w:t>
            </w:r>
          </w:p>
        </w:tc>
      </w:tr>
      <w:tr>
        <w:trPr>
          <w:trHeight w:val="78"/>
        </w:trPr>
        <w:tc>
          <w:tcPr>
            <w:tcW w:w="2500" w:type="dxa"/>
            <w:vAlign w:val="bottom"/>
            <w:shd w:val="clear" w:color="auto" w:fill="F1EFEC"/>
          </w:tcPr>
          <w:p>
            <w:pPr>
              <w:spacing w:after="0"/>
              <w:rPr>
                <w:sz w:val="6"/>
                <w:szCs w:val="6"/>
                <w:color w:val="auto"/>
              </w:rPr>
            </w:pPr>
          </w:p>
        </w:tc>
        <w:tc>
          <w:tcPr>
            <w:tcW w:w="1420" w:type="dxa"/>
            <w:vAlign w:val="bottom"/>
            <w:shd w:val="clear" w:color="auto" w:fill="F1EFEC"/>
          </w:tcPr>
          <w:p>
            <w:pPr>
              <w:spacing w:after="0"/>
              <w:rPr>
                <w:sz w:val="6"/>
                <w:szCs w:val="6"/>
                <w:color w:val="auto"/>
              </w:rPr>
            </w:pPr>
          </w:p>
        </w:tc>
        <w:tc>
          <w:tcPr>
            <w:tcW w:w="1500" w:type="dxa"/>
            <w:vAlign w:val="bottom"/>
            <w:shd w:val="clear" w:color="auto" w:fill="F1EFEC"/>
          </w:tcPr>
          <w:p>
            <w:pPr>
              <w:spacing w:after="0"/>
              <w:rPr>
                <w:sz w:val="6"/>
                <w:szCs w:val="6"/>
                <w:color w:val="auto"/>
              </w:rPr>
            </w:pPr>
          </w:p>
        </w:tc>
        <w:tc>
          <w:tcPr>
            <w:tcW w:w="1780" w:type="dxa"/>
            <w:vAlign w:val="bottom"/>
            <w:shd w:val="clear" w:color="auto" w:fill="F1EFEC"/>
          </w:tcPr>
          <w:p>
            <w:pPr>
              <w:spacing w:after="0"/>
              <w:rPr>
                <w:sz w:val="6"/>
                <w:szCs w:val="6"/>
                <w:color w:val="auto"/>
              </w:rPr>
            </w:pPr>
          </w:p>
        </w:tc>
        <w:tc>
          <w:tcPr>
            <w:tcW w:w="1540" w:type="dxa"/>
            <w:vAlign w:val="bottom"/>
            <w:shd w:val="clear" w:color="auto" w:fill="F1EFEC"/>
          </w:tcPr>
          <w:p>
            <w:pPr>
              <w:spacing w:after="0"/>
              <w:rPr>
                <w:sz w:val="6"/>
                <w:szCs w:val="6"/>
                <w:color w:val="auto"/>
              </w:rPr>
            </w:pPr>
          </w:p>
        </w:tc>
      </w:tr>
    </w:tbl>
    <w:p>
      <w:pPr>
        <w:spacing w:after="0" w:line="71" w:lineRule="exact"/>
        <w:rPr>
          <w:sz w:val="20"/>
          <w:szCs w:val="20"/>
          <w:color w:val="auto"/>
        </w:rPr>
      </w:pPr>
    </w:p>
    <w:p>
      <w:pPr>
        <w:ind w:left="1260" w:right="339" w:firstLine="7"/>
        <w:spacing w:after="0" w:line="242" w:lineRule="auto"/>
        <w:tabs>
          <w:tab w:leader="none" w:pos="1410" w:val="left"/>
        </w:tabs>
        <w:numPr>
          <w:ilvl w:val="0"/>
          <w:numId w:val="44"/>
        </w:numPr>
        <w:rPr>
          <w:rFonts w:ascii="Arial" w:cs="Arial" w:eastAsia="Arial" w:hAnsi="Arial"/>
          <w:sz w:val="10"/>
          <w:szCs w:val="10"/>
          <w:color w:val="auto"/>
        </w:rPr>
      </w:pPr>
      <w:r>
        <w:rPr>
          <w:rFonts w:ascii="Arial" w:cs="Arial" w:eastAsia="Arial" w:hAnsi="Arial"/>
          <w:sz w:val="10"/>
          <w:szCs w:val="10"/>
          <w:color w:val="auto"/>
        </w:rPr>
        <w:t>Upon a termination due to death, complete disability, or by Mr. Billings for good reason after a change in control, 138,549 shares of restricted stock would immediately vest in full and 76,697 PSUs would immediately vest in full and be exchanged for one share of Common Stock per PSU. Using the Company’s closing stock price on December 31, 2025, the acceleration value of such equity awards would be equal to an aggregate of $25,900,551, plus accrued dividends of $218,192.</w:t>
      </w:r>
    </w:p>
    <w:p>
      <w:pPr>
        <w:spacing w:after="0" w:line="59" w:lineRule="exact"/>
        <w:rPr>
          <w:rFonts w:ascii="Arial" w:cs="Arial" w:eastAsia="Arial" w:hAnsi="Arial"/>
          <w:sz w:val="10"/>
          <w:szCs w:val="10"/>
          <w:color w:val="auto"/>
        </w:rPr>
      </w:pPr>
    </w:p>
    <w:p>
      <w:pPr>
        <w:ind w:left="1260" w:right="259" w:firstLine="7"/>
        <w:spacing w:after="0" w:line="242" w:lineRule="auto"/>
        <w:tabs>
          <w:tab w:leader="none" w:pos="1410" w:val="left"/>
        </w:tabs>
        <w:numPr>
          <w:ilvl w:val="0"/>
          <w:numId w:val="44"/>
        </w:numPr>
        <w:rPr>
          <w:rFonts w:ascii="Arial" w:cs="Arial" w:eastAsia="Arial" w:hAnsi="Arial"/>
          <w:sz w:val="10"/>
          <w:szCs w:val="10"/>
          <w:color w:val="auto"/>
        </w:rPr>
      </w:pPr>
      <w:r>
        <w:rPr>
          <w:rFonts w:ascii="Arial" w:cs="Arial" w:eastAsia="Arial" w:hAnsi="Arial"/>
          <w:sz w:val="10"/>
          <w:szCs w:val="10"/>
          <w:color w:val="auto"/>
        </w:rPr>
        <w:t>Upon a termination by the Company without cause, or by Mr. Billings upon the Company’s material breach, 60,339 shares of restricted stock would immediately vest, and 52,268 PSUs would immediately vest and be exchanged for one share of Common Stock per PSU, in each case on a prorated basis based on the number of months since the grant date. Using the Company’s closing stock price on December 31, 2025, the acceleration value of such equity awards would be equal to an aggregate of $13,550,001, plus accrued dividends of $112,017.</w:t>
      </w:r>
    </w:p>
    <w:p>
      <w:pPr>
        <w:spacing w:after="0" w:line="59" w:lineRule="exact"/>
        <w:rPr>
          <w:rFonts w:ascii="Arial" w:cs="Arial" w:eastAsia="Arial" w:hAnsi="Arial"/>
          <w:sz w:val="10"/>
          <w:szCs w:val="10"/>
          <w:color w:val="auto"/>
        </w:rPr>
      </w:pPr>
    </w:p>
    <w:p>
      <w:pPr>
        <w:ind w:left="1260" w:right="239" w:firstLine="7"/>
        <w:spacing w:after="0" w:line="260" w:lineRule="auto"/>
        <w:tabs>
          <w:tab w:leader="none" w:pos="1410"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These amounts represent continued health benefits for remainder of the term of Mr. Billings’ employment contract, but not less than 18 months and for a period of twelve months thereafter, or in the case of retirement, through the end of the restricted period, as defined in the Retirement Plan.</w:t>
      </w:r>
    </w:p>
    <w:p>
      <w:pPr>
        <w:spacing w:after="0" w:line="51" w:lineRule="exact"/>
        <w:rPr>
          <w:rFonts w:ascii="Arial" w:cs="Arial" w:eastAsia="Arial" w:hAnsi="Arial"/>
          <w:sz w:val="10"/>
          <w:szCs w:val="10"/>
          <w:color w:val="auto"/>
        </w:rPr>
      </w:pPr>
    </w:p>
    <w:p>
      <w:pPr>
        <w:ind w:left="1260" w:right="179" w:firstLine="7"/>
        <w:spacing w:after="0" w:line="242" w:lineRule="auto"/>
        <w:tabs>
          <w:tab w:leader="none" w:pos="1410" w:val="left"/>
        </w:tabs>
        <w:numPr>
          <w:ilvl w:val="0"/>
          <w:numId w:val="44"/>
        </w:numPr>
        <w:rPr>
          <w:rFonts w:ascii="Arial" w:cs="Arial" w:eastAsia="Arial" w:hAnsi="Arial"/>
          <w:sz w:val="10"/>
          <w:szCs w:val="10"/>
          <w:color w:val="auto"/>
        </w:rPr>
      </w:pPr>
      <w:r>
        <w:rPr>
          <w:rFonts w:ascii="Arial" w:cs="Arial" w:eastAsia="Arial" w:hAnsi="Arial"/>
          <w:sz w:val="10"/>
          <w:szCs w:val="10"/>
          <w:color w:val="auto"/>
        </w:rPr>
        <w:t>As of December 31, 2025, Mr. Billings is eligible to retire under the Retirement Plan. Upon retirement from the Company, 138,549 shares of restricted stock would continue to vest, and 76,697 PSUs would continue to vest, and once vested, be exchanged for one share of Common Stock per PSU. Using the closing stock price on December 31, 2025, the value of such equity awards would be equal to an aggregate of $25,900,551, plus accrued dividends of $218,192.</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JULIE M.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125730</wp:posOffset>
            </wp:positionV>
            <wp:extent cx="6985" cy="1560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85" cy="15601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125730</wp:posOffset>
            </wp:positionV>
            <wp:extent cx="6985" cy="1560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85" cy="156019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125730</wp:posOffset>
            </wp:positionV>
            <wp:extent cx="6985" cy="1560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85" cy="1560195"/>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125730</wp:posOffset>
            </wp:positionV>
            <wp:extent cx="6985" cy="1560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85" cy="1560195"/>
                    </a:xfrm>
                    <a:prstGeom prst="rect">
                      <a:avLst/>
                    </a:prstGeom>
                    <a:noFill/>
                  </pic:spPr>
                </pic:pic>
              </a:graphicData>
            </a:graphic>
          </wp:anchor>
        </w:drawing>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2500" w:type="dxa"/>
            <w:vAlign w:val="bottom"/>
            <w:shd w:val="clear" w:color="auto" w:fill="B9AFA0"/>
          </w:tcPr>
          <w:p>
            <w:pPr>
              <w:spacing w:after="0"/>
              <w:rPr>
                <w:sz w:val="15"/>
                <w:szCs w:val="15"/>
                <w:color w:val="auto"/>
              </w:rPr>
            </w:pPr>
          </w:p>
        </w:tc>
        <w:tc>
          <w:tcPr>
            <w:tcW w:w="14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TERMINATION UPON</w:t>
            </w:r>
          </w:p>
        </w:tc>
        <w:tc>
          <w:tcPr>
            <w:tcW w:w="150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TERMINATION WITHOUT</w:t>
            </w:r>
          </w:p>
        </w:tc>
        <w:tc>
          <w:tcPr>
            <w:tcW w:w="178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TERMINATION BY EMPLOYEE</w:t>
            </w:r>
          </w:p>
        </w:tc>
        <w:tc>
          <w:tcPr>
            <w:tcW w:w="154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RETIREMENT PURSUANT</w:t>
            </w:r>
          </w:p>
        </w:tc>
      </w:tr>
      <w:tr>
        <w:trPr>
          <w:trHeight w:val="129"/>
        </w:trPr>
        <w:tc>
          <w:tcPr>
            <w:tcW w:w="2500" w:type="dxa"/>
            <w:vAlign w:val="bottom"/>
            <w:shd w:val="clear" w:color="auto" w:fill="B9AFA0"/>
          </w:tcPr>
          <w:p>
            <w:pPr>
              <w:spacing w:after="0"/>
              <w:rPr>
                <w:sz w:val="11"/>
                <w:szCs w:val="11"/>
                <w:color w:val="auto"/>
              </w:rPr>
            </w:pPr>
          </w:p>
        </w:tc>
        <w:tc>
          <w:tcPr>
            <w:tcW w:w="14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DEATH OR COMPLETE</w:t>
            </w:r>
          </w:p>
        </w:tc>
        <w:tc>
          <w:tcPr>
            <w:tcW w:w="150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CAUSE OR UPON</w:t>
            </w:r>
          </w:p>
        </w:tc>
        <w:tc>
          <w:tcPr>
            <w:tcW w:w="178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FOR GOOD REASON AFTER</w:t>
            </w:r>
          </w:p>
        </w:tc>
        <w:tc>
          <w:tcPr>
            <w:tcW w:w="154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TO RETIREMENT</w:t>
            </w:r>
          </w:p>
        </w:tc>
      </w:tr>
      <w:tr>
        <w:trPr>
          <w:trHeight w:val="179"/>
        </w:trPr>
        <w:tc>
          <w:tcPr>
            <w:tcW w:w="2500" w:type="dxa"/>
            <w:vAlign w:val="bottom"/>
            <w:tcBorders>
              <w:bottom w:val="single" w:sz="8" w:color="B9AFA0"/>
            </w:tcBorders>
            <w:shd w:val="clear" w:color="auto" w:fill="B9AFA0"/>
          </w:tcPr>
          <w:p>
            <w:pPr>
              <w:spacing w:after="0"/>
              <w:rPr>
                <w:sz w:val="15"/>
                <w:szCs w:val="15"/>
                <w:color w:val="auto"/>
              </w:rPr>
            </w:pPr>
          </w:p>
        </w:tc>
        <w:tc>
          <w:tcPr>
            <w:tcW w:w="14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w w:val="98"/>
              </w:rPr>
              <w:t>DISABILITY </w:t>
            </w:r>
          </w:p>
        </w:tc>
        <w:tc>
          <w:tcPr>
            <w:tcW w:w="150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MATERIAL BREACH  </w:t>
            </w:r>
          </w:p>
        </w:tc>
        <w:tc>
          <w:tcPr>
            <w:tcW w:w="17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CHANGE IN CONTROL  </w:t>
            </w:r>
          </w:p>
        </w:tc>
        <w:tc>
          <w:tcPr>
            <w:tcW w:w="15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PLAN (4)</w:t>
            </w:r>
          </w:p>
        </w:tc>
      </w:tr>
      <w:tr>
        <w:trPr>
          <w:trHeight w:val="233"/>
        </w:trPr>
        <w:tc>
          <w:tcPr>
            <w:tcW w:w="2500" w:type="dxa"/>
            <w:vAlign w:val="bottom"/>
            <w:shd w:val="clear" w:color="auto" w:fill="F1EFEC"/>
          </w:tcPr>
          <w:p>
            <w:pPr>
              <w:spacing w:after="0"/>
              <w:rPr>
                <w:sz w:val="20"/>
                <w:szCs w:val="20"/>
                <w:color w:val="auto"/>
              </w:rPr>
            </w:pP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Amounts earned and</w:t>
            </w:r>
          </w:p>
        </w:tc>
        <w:tc>
          <w:tcPr>
            <w:tcW w:w="1500" w:type="dxa"/>
            <w:vAlign w:val="bottom"/>
            <w:shd w:val="clear" w:color="auto" w:fill="F1EFEC"/>
          </w:tcPr>
          <w:p>
            <w:pPr>
              <w:spacing w:after="0"/>
              <w:rPr>
                <w:sz w:val="20"/>
                <w:szCs w:val="20"/>
                <w:color w:val="auto"/>
              </w:rPr>
            </w:pPr>
          </w:p>
        </w:tc>
        <w:tc>
          <w:tcPr>
            <w:tcW w:w="1780" w:type="dxa"/>
            <w:vAlign w:val="bottom"/>
            <w:shd w:val="clear" w:color="auto" w:fill="F1EFEC"/>
          </w:tcPr>
          <w:p>
            <w:pPr>
              <w:spacing w:after="0"/>
              <w:rPr>
                <w:sz w:val="20"/>
                <w:szCs w:val="20"/>
                <w:color w:val="auto"/>
              </w:rPr>
            </w:pPr>
          </w:p>
        </w:tc>
        <w:tc>
          <w:tcPr>
            <w:tcW w:w="1540" w:type="dxa"/>
            <w:vAlign w:val="bottom"/>
            <w:shd w:val="clear" w:color="auto" w:fill="F1EFEC"/>
          </w:tcPr>
          <w:p>
            <w:pPr>
              <w:spacing w:after="0"/>
              <w:rPr>
                <w:sz w:val="20"/>
                <w:szCs w:val="20"/>
                <w:color w:val="auto"/>
              </w:rPr>
            </w:pPr>
          </w:p>
        </w:tc>
      </w:tr>
      <w:tr>
        <w:trPr>
          <w:trHeight w:val="204"/>
        </w:trPr>
        <w:tc>
          <w:tcPr>
            <w:tcW w:w="2500" w:type="dxa"/>
            <w:vAlign w:val="bottom"/>
            <w:shd w:val="clear" w:color="auto" w:fill="F1EFEC"/>
          </w:tcPr>
          <w:p>
            <w:pPr>
              <w:ind w:left="40"/>
              <w:spacing w:after="0"/>
              <w:rPr>
                <w:sz w:val="20"/>
                <w:szCs w:val="20"/>
                <w:color w:val="auto"/>
              </w:rPr>
            </w:pPr>
            <w:r>
              <w:rPr>
                <w:rFonts w:ascii="Arial" w:cs="Arial" w:eastAsia="Arial" w:hAnsi="Arial"/>
                <w:sz w:val="13"/>
                <w:szCs w:val="13"/>
                <w:color w:val="auto"/>
              </w:rPr>
              <w:t>Base Salary</w:t>
            </w: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unpaid through the</w:t>
            </w:r>
          </w:p>
        </w:tc>
        <w:tc>
          <w:tcPr>
            <w:tcW w:w="150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9"/>
              </w:rPr>
              <w:t>$950,000</w:t>
            </w:r>
          </w:p>
        </w:tc>
        <w:tc>
          <w:tcPr>
            <w:tcW w:w="178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9"/>
              </w:rPr>
              <w:t>$950,000</w:t>
            </w:r>
          </w:p>
        </w:tc>
        <w:tc>
          <w:tcPr>
            <w:tcW w:w="1540" w:type="dxa"/>
            <w:vAlign w:val="bottom"/>
            <w:shd w:val="clear" w:color="auto" w:fill="F1EFEC"/>
          </w:tcPr>
          <w:p>
            <w:pPr>
              <w:jc w:val="center"/>
              <w:ind w:left="38"/>
              <w:spacing w:after="0"/>
              <w:rPr>
                <w:sz w:val="20"/>
                <w:szCs w:val="20"/>
                <w:color w:val="auto"/>
              </w:rPr>
            </w:pPr>
            <w:r>
              <w:rPr>
                <w:rFonts w:ascii="Arial" w:cs="Arial" w:eastAsia="Arial" w:hAnsi="Arial"/>
                <w:sz w:val="13"/>
                <w:szCs w:val="13"/>
                <w:color w:val="auto"/>
                <w:w w:val="91"/>
              </w:rPr>
              <w:t>-</w:t>
            </w:r>
          </w:p>
        </w:tc>
      </w:tr>
      <w:tr>
        <w:trPr>
          <w:trHeight w:val="193"/>
        </w:trPr>
        <w:tc>
          <w:tcPr>
            <w:tcW w:w="2500" w:type="dxa"/>
            <w:vAlign w:val="bottom"/>
            <w:shd w:val="clear" w:color="auto" w:fill="F1EFEC"/>
          </w:tcPr>
          <w:p>
            <w:pPr>
              <w:spacing w:after="0"/>
              <w:rPr>
                <w:sz w:val="16"/>
                <w:szCs w:val="16"/>
                <w:color w:val="auto"/>
              </w:rPr>
            </w:pP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8"/>
              </w:rPr>
              <w:t>date of termination</w:t>
            </w:r>
          </w:p>
        </w:tc>
        <w:tc>
          <w:tcPr>
            <w:tcW w:w="1500" w:type="dxa"/>
            <w:vAlign w:val="bottom"/>
            <w:shd w:val="clear" w:color="auto" w:fill="F1EFEC"/>
          </w:tcPr>
          <w:p>
            <w:pPr>
              <w:spacing w:after="0"/>
              <w:rPr>
                <w:sz w:val="16"/>
                <w:szCs w:val="16"/>
                <w:color w:val="auto"/>
              </w:rPr>
            </w:pPr>
          </w:p>
        </w:tc>
        <w:tc>
          <w:tcPr>
            <w:tcW w:w="1780" w:type="dxa"/>
            <w:vAlign w:val="bottom"/>
            <w:shd w:val="clear" w:color="auto" w:fill="F1EFEC"/>
          </w:tcPr>
          <w:p>
            <w:pPr>
              <w:spacing w:after="0"/>
              <w:rPr>
                <w:sz w:val="16"/>
                <w:szCs w:val="16"/>
                <w:color w:val="auto"/>
              </w:rPr>
            </w:pPr>
          </w:p>
        </w:tc>
        <w:tc>
          <w:tcPr>
            <w:tcW w:w="1540" w:type="dxa"/>
            <w:vAlign w:val="bottom"/>
            <w:shd w:val="clear" w:color="auto" w:fill="F1EFEC"/>
          </w:tcPr>
          <w:p>
            <w:pPr>
              <w:spacing w:after="0"/>
              <w:rPr>
                <w:sz w:val="16"/>
                <w:szCs w:val="16"/>
                <w:color w:val="auto"/>
              </w:rPr>
            </w:pPr>
          </w:p>
        </w:tc>
      </w:tr>
      <w:tr>
        <w:trPr>
          <w:trHeight w:val="78"/>
        </w:trPr>
        <w:tc>
          <w:tcPr>
            <w:tcW w:w="2500" w:type="dxa"/>
            <w:vAlign w:val="bottom"/>
            <w:shd w:val="clear" w:color="auto" w:fill="F1EFEC"/>
          </w:tcPr>
          <w:p>
            <w:pPr>
              <w:spacing w:after="0"/>
              <w:rPr>
                <w:sz w:val="6"/>
                <w:szCs w:val="6"/>
                <w:color w:val="auto"/>
              </w:rPr>
            </w:pPr>
          </w:p>
        </w:tc>
        <w:tc>
          <w:tcPr>
            <w:tcW w:w="1420" w:type="dxa"/>
            <w:vAlign w:val="bottom"/>
            <w:shd w:val="clear" w:color="auto" w:fill="F1EFEC"/>
          </w:tcPr>
          <w:p>
            <w:pPr>
              <w:spacing w:after="0"/>
              <w:rPr>
                <w:sz w:val="6"/>
                <w:szCs w:val="6"/>
                <w:color w:val="auto"/>
              </w:rPr>
            </w:pPr>
          </w:p>
        </w:tc>
        <w:tc>
          <w:tcPr>
            <w:tcW w:w="1500" w:type="dxa"/>
            <w:vAlign w:val="bottom"/>
            <w:shd w:val="clear" w:color="auto" w:fill="F1EFEC"/>
          </w:tcPr>
          <w:p>
            <w:pPr>
              <w:spacing w:after="0"/>
              <w:rPr>
                <w:sz w:val="6"/>
                <w:szCs w:val="6"/>
                <w:color w:val="auto"/>
              </w:rPr>
            </w:pPr>
          </w:p>
        </w:tc>
        <w:tc>
          <w:tcPr>
            <w:tcW w:w="1780" w:type="dxa"/>
            <w:vAlign w:val="bottom"/>
            <w:shd w:val="clear" w:color="auto" w:fill="F1EFEC"/>
          </w:tcPr>
          <w:p>
            <w:pPr>
              <w:spacing w:after="0"/>
              <w:rPr>
                <w:sz w:val="6"/>
                <w:szCs w:val="6"/>
                <w:color w:val="auto"/>
              </w:rPr>
            </w:pPr>
          </w:p>
        </w:tc>
        <w:tc>
          <w:tcPr>
            <w:tcW w:w="1540" w:type="dxa"/>
            <w:vAlign w:val="bottom"/>
            <w:shd w:val="clear" w:color="auto" w:fill="F1EFEC"/>
          </w:tcPr>
          <w:p>
            <w:pPr>
              <w:spacing w:after="0"/>
              <w:rPr>
                <w:sz w:val="6"/>
                <w:szCs w:val="6"/>
                <w:color w:val="auto"/>
              </w:rPr>
            </w:pPr>
          </w:p>
        </w:tc>
      </w:tr>
      <w:tr>
        <w:trPr>
          <w:trHeight w:val="233"/>
        </w:trPr>
        <w:tc>
          <w:tcPr>
            <w:tcW w:w="2500" w:type="dxa"/>
            <w:vAlign w:val="bottom"/>
          </w:tcPr>
          <w:p>
            <w:pPr>
              <w:ind w:left="40"/>
              <w:spacing w:after="0"/>
              <w:rPr>
                <w:sz w:val="20"/>
                <w:szCs w:val="20"/>
                <w:color w:val="auto"/>
              </w:rPr>
            </w:pPr>
            <w:r>
              <w:rPr>
                <w:rFonts w:ascii="Arial" w:cs="Arial" w:eastAsia="Arial" w:hAnsi="Arial"/>
                <w:sz w:val="13"/>
                <w:szCs w:val="13"/>
                <w:color w:val="auto"/>
              </w:rPr>
              <w:t>Bonus</w:t>
            </w: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auto"/>
                <w:w w:val="98"/>
              </w:rPr>
              <w:t>$1,947,500</w:t>
            </w:r>
          </w:p>
        </w:tc>
        <w:tc>
          <w:tcPr>
            <w:tcW w:w="1780" w:type="dxa"/>
            <w:vAlign w:val="bottom"/>
          </w:tcPr>
          <w:p>
            <w:pPr>
              <w:jc w:val="center"/>
              <w:spacing w:after="0"/>
              <w:rPr>
                <w:sz w:val="20"/>
                <w:szCs w:val="20"/>
                <w:color w:val="auto"/>
              </w:rPr>
            </w:pPr>
            <w:r>
              <w:rPr>
                <w:rFonts w:ascii="Arial" w:cs="Arial" w:eastAsia="Arial" w:hAnsi="Arial"/>
                <w:sz w:val="13"/>
                <w:szCs w:val="13"/>
                <w:color w:val="auto"/>
                <w:w w:val="98"/>
              </w:rPr>
              <w:t>$1,947,500</w:t>
            </w:r>
          </w:p>
        </w:tc>
        <w:tc>
          <w:tcPr>
            <w:tcW w:w="1540" w:type="dxa"/>
            <w:vAlign w:val="bottom"/>
          </w:tcPr>
          <w:p>
            <w:pPr>
              <w:jc w:val="center"/>
              <w:ind w:left="38"/>
              <w:spacing w:after="0"/>
              <w:rPr>
                <w:sz w:val="20"/>
                <w:szCs w:val="20"/>
                <w:color w:val="auto"/>
              </w:rPr>
            </w:pPr>
            <w:r>
              <w:rPr>
                <w:rFonts w:ascii="Arial" w:cs="Arial" w:eastAsia="Arial" w:hAnsi="Arial"/>
                <w:sz w:val="13"/>
                <w:szCs w:val="13"/>
                <w:color w:val="auto"/>
                <w:w w:val="91"/>
              </w:rPr>
              <w:t>-</w:t>
            </w:r>
          </w:p>
        </w:tc>
      </w:tr>
      <w:tr>
        <w:trPr>
          <w:trHeight w:val="78"/>
        </w:trPr>
        <w:tc>
          <w:tcPr>
            <w:tcW w:w="2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233"/>
        </w:trPr>
        <w:tc>
          <w:tcPr>
            <w:tcW w:w="2500" w:type="dxa"/>
            <w:vAlign w:val="bottom"/>
            <w:shd w:val="clear" w:color="auto" w:fill="F1EFEC"/>
          </w:tcPr>
          <w:p>
            <w:pPr>
              <w:ind w:left="40"/>
              <w:spacing w:after="0"/>
              <w:rPr>
                <w:sz w:val="20"/>
                <w:szCs w:val="20"/>
                <w:color w:val="auto"/>
              </w:rPr>
            </w:pPr>
            <w:r>
              <w:rPr>
                <w:rFonts w:ascii="Arial" w:cs="Arial" w:eastAsia="Arial" w:hAnsi="Arial"/>
                <w:sz w:val="13"/>
                <w:szCs w:val="13"/>
                <w:color w:val="auto"/>
              </w:rPr>
              <w:t>Outstanding Equity Awards (1)(2)(4)</w:t>
            </w: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rPr>
              <w:t>$5,222,322</w:t>
            </w:r>
          </w:p>
        </w:tc>
        <w:tc>
          <w:tcPr>
            <w:tcW w:w="150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8"/>
              </w:rPr>
              <w:t>$2,700,296</w:t>
            </w:r>
          </w:p>
        </w:tc>
        <w:tc>
          <w:tcPr>
            <w:tcW w:w="178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8"/>
              </w:rPr>
              <w:t>$5,222,322</w:t>
            </w:r>
          </w:p>
        </w:tc>
        <w:tc>
          <w:tcPr>
            <w:tcW w:w="154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rPr>
              <w:t>$5,222,322</w:t>
            </w:r>
          </w:p>
        </w:tc>
      </w:tr>
      <w:tr>
        <w:trPr>
          <w:trHeight w:val="78"/>
        </w:trPr>
        <w:tc>
          <w:tcPr>
            <w:tcW w:w="2500" w:type="dxa"/>
            <w:vAlign w:val="bottom"/>
            <w:shd w:val="clear" w:color="auto" w:fill="F1EFEC"/>
          </w:tcPr>
          <w:p>
            <w:pPr>
              <w:spacing w:after="0"/>
              <w:rPr>
                <w:sz w:val="6"/>
                <w:szCs w:val="6"/>
                <w:color w:val="auto"/>
              </w:rPr>
            </w:pPr>
          </w:p>
        </w:tc>
        <w:tc>
          <w:tcPr>
            <w:tcW w:w="1420" w:type="dxa"/>
            <w:vAlign w:val="bottom"/>
            <w:shd w:val="clear" w:color="auto" w:fill="F1EFEC"/>
          </w:tcPr>
          <w:p>
            <w:pPr>
              <w:spacing w:after="0"/>
              <w:rPr>
                <w:sz w:val="6"/>
                <w:szCs w:val="6"/>
                <w:color w:val="auto"/>
              </w:rPr>
            </w:pPr>
          </w:p>
        </w:tc>
        <w:tc>
          <w:tcPr>
            <w:tcW w:w="1500" w:type="dxa"/>
            <w:vAlign w:val="bottom"/>
            <w:shd w:val="clear" w:color="auto" w:fill="F1EFEC"/>
          </w:tcPr>
          <w:p>
            <w:pPr>
              <w:spacing w:after="0"/>
              <w:rPr>
                <w:sz w:val="6"/>
                <w:szCs w:val="6"/>
                <w:color w:val="auto"/>
              </w:rPr>
            </w:pPr>
          </w:p>
        </w:tc>
        <w:tc>
          <w:tcPr>
            <w:tcW w:w="1780" w:type="dxa"/>
            <w:vAlign w:val="bottom"/>
            <w:shd w:val="clear" w:color="auto" w:fill="F1EFEC"/>
          </w:tcPr>
          <w:p>
            <w:pPr>
              <w:spacing w:after="0"/>
              <w:rPr>
                <w:sz w:val="6"/>
                <w:szCs w:val="6"/>
                <w:color w:val="auto"/>
              </w:rPr>
            </w:pPr>
          </w:p>
        </w:tc>
        <w:tc>
          <w:tcPr>
            <w:tcW w:w="1540" w:type="dxa"/>
            <w:vAlign w:val="bottom"/>
            <w:shd w:val="clear" w:color="auto" w:fill="F1EFEC"/>
          </w:tcPr>
          <w:p>
            <w:pPr>
              <w:spacing w:after="0"/>
              <w:rPr>
                <w:sz w:val="6"/>
                <w:szCs w:val="6"/>
                <w:color w:val="auto"/>
              </w:rPr>
            </w:pPr>
          </w:p>
        </w:tc>
      </w:tr>
      <w:tr>
        <w:trPr>
          <w:trHeight w:val="233"/>
        </w:trPr>
        <w:tc>
          <w:tcPr>
            <w:tcW w:w="2500" w:type="dxa"/>
            <w:vAlign w:val="bottom"/>
          </w:tcPr>
          <w:p>
            <w:pPr>
              <w:ind w:left="40"/>
              <w:spacing w:after="0"/>
              <w:rPr>
                <w:sz w:val="20"/>
                <w:szCs w:val="20"/>
                <w:color w:val="auto"/>
              </w:rPr>
            </w:pPr>
            <w:r>
              <w:rPr>
                <w:rFonts w:ascii="Arial" w:cs="Arial" w:eastAsia="Arial" w:hAnsi="Arial"/>
                <w:sz w:val="13"/>
                <w:szCs w:val="13"/>
                <w:color w:val="auto"/>
              </w:rPr>
              <w:t>Company-Paid Life Insurance</w:t>
            </w:r>
          </w:p>
        </w:tc>
        <w:tc>
          <w:tcPr>
            <w:tcW w:w="1420" w:type="dxa"/>
            <w:vAlign w:val="bottom"/>
          </w:tcPr>
          <w:p>
            <w:pPr>
              <w:jc w:val="center"/>
              <w:ind w:left="18"/>
              <w:spacing w:after="0"/>
              <w:rPr>
                <w:sz w:val="20"/>
                <w:szCs w:val="20"/>
                <w:color w:val="auto"/>
              </w:rPr>
            </w:pPr>
            <w:r>
              <w:rPr>
                <w:rFonts w:ascii="Arial" w:cs="Arial" w:eastAsia="Arial" w:hAnsi="Arial"/>
                <w:sz w:val="13"/>
                <w:szCs w:val="13"/>
                <w:color w:val="auto"/>
                <w:w w:val="99"/>
              </w:rPr>
              <w:t>$950,000</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7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40" w:type="dxa"/>
            <w:vAlign w:val="bottom"/>
          </w:tcPr>
          <w:p>
            <w:pPr>
              <w:jc w:val="center"/>
              <w:ind w:left="38"/>
              <w:spacing w:after="0"/>
              <w:rPr>
                <w:sz w:val="20"/>
                <w:szCs w:val="20"/>
                <w:color w:val="auto"/>
              </w:rPr>
            </w:pPr>
            <w:r>
              <w:rPr>
                <w:rFonts w:ascii="Arial" w:cs="Arial" w:eastAsia="Arial" w:hAnsi="Arial"/>
                <w:sz w:val="13"/>
                <w:szCs w:val="13"/>
                <w:color w:val="auto"/>
                <w:w w:val="91"/>
              </w:rPr>
              <w:t>-</w:t>
            </w:r>
          </w:p>
        </w:tc>
      </w:tr>
      <w:tr>
        <w:trPr>
          <w:trHeight w:val="78"/>
        </w:trPr>
        <w:tc>
          <w:tcPr>
            <w:tcW w:w="2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233"/>
        </w:trPr>
        <w:tc>
          <w:tcPr>
            <w:tcW w:w="2500" w:type="dxa"/>
            <w:vAlign w:val="bottom"/>
            <w:shd w:val="clear" w:color="auto" w:fill="F1EFEC"/>
          </w:tcPr>
          <w:p>
            <w:pPr>
              <w:ind w:left="40"/>
              <w:spacing w:after="0"/>
              <w:rPr>
                <w:sz w:val="20"/>
                <w:szCs w:val="20"/>
                <w:color w:val="auto"/>
              </w:rPr>
            </w:pPr>
            <w:r>
              <w:rPr>
                <w:rFonts w:ascii="Arial" w:cs="Arial" w:eastAsia="Arial" w:hAnsi="Arial"/>
                <w:sz w:val="13"/>
                <w:szCs w:val="13"/>
                <w:color w:val="auto"/>
              </w:rPr>
              <w:t>Benefits (3)</w:t>
            </w:r>
          </w:p>
        </w:tc>
        <w:tc>
          <w:tcPr>
            <w:tcW w:w="142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$17,921</w:t>
            </w:r>
          </w:p>
        </w:tc>
        <w:tc>
          <w:tcPr>
            <w:tcW w:w="178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$17,921</w:t>
            </w:r>
          </w:p>
        </w:tc>
        <w:tc>
          <w:tcPr>
            <w:tcW w:w="154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$27,721</w:t>
            </w:r>
          </w:p>
        </w:tc>
      </w:tr>
      <w:tr>
        <w:trPr>
          <w:trHeight w:val="78"/>
        </w:trPr>
        <w:tc>
          <w:tcPr>
            <w:tcW w:w="2500" w:type="dxa"/>
            <w:vAlign w:val="bottom"/>
            <w:shd w:val="clear" w:color="auto" w:fill="F1EFEC"/>
          </w:tcPr>
          <w:p>
            <w:pPr>
              <w:spacing w:after="0"/>
              <w:rPr>
                <w:sz w:val="6"/>
                <w:szCs w:val="6"/>
                <w:color w:val="auto"/>
              </w:rPr>
            </w:pPr>
          </w:p>
        </w:tc>
        <w:tc>
          <w:tcPr>
            <w:tcW w:w="1420" w:type="dxa"/>
            <w:vAlign w:val="bottom"/>
            <w:shd w:val="clear" w:color="auto" w:fill="F1EFEC"/>
          </w:tcPr>
          <w:p>
            <w:pPr>
              <w:spacing w:after="0"/>
              <w:rPr>
                <w:sz w:val="6"/>
                <w:szCs w:val="6"/>
                <w:color w:val="auto"/>
              </w:rPr>
            </w:pPr>
          </w:p>
        </w:tc>
        <w:tc>
          <w:tcPr>
            <w:tcW w:w="1500" w:type="dxa"/>
            <w:vAlign w:val="bottom"/>
            <w:shd w:val="clear" w:color="auto" w:fill="F1EFEC"/>
          </w:tcPr>
          <w:p>
            <w:pPr>
              <w:spacing w:after="0"/>
              <w:rPr>
                <w:sz w:val="6"/>
                <w:szCs w:val="6"/>
                <w:color w:val="auto"/>
              </w:rPr>
            </w:pPr>
          </w:p>
        </w:tc>
        <w:tc>
          <w:tcPr>
            <w:tcW w:w="1780" w:type="dxa"/>
            <w:vAlign w:val="bottom"/>
            <w:shd w:val="clear" w:color="auto" w:fill="F1EFEC"/>
          </w:tcPr>
          <w:p>
            <w:pPr>
              <w:spacing w:after="0"/>
              <w:rPr>
                <w:sz w:val="6"/>
                <w:szCs w:val="6"/>
                <w:color w:val="auto"/>
              </w:rPr>
            </w:pPr>
          </w:p>
        </w:tc>
        <w:tc>
          <w:tcPr>
            <w:tcW w:w="1540" w:type="dxa"/>
            <w:vAlign w:val="bottom"/>
            <w:shd w:val="clear" w:color="auto" w:fill="F1EFEC"/>
          </w:tcPr>
          <w:p>
            <w:pPr>
              <w:spacing w:after="0"/>
              <w:rPr>
                <w:sz w:val="6"/>
                <w:szCs w:val="6"/>
                <w:color w:val="auto"/>
              </w:rPr>
            </w:pPr>
          </w:p>
        </w:tc>
      </w:tr>
    </w:tbl>
    <w:p>
      <w:pPr>
        <w:spacing w:after="0" w:line="71" w:lineRule="exact"/>
        <w:rPr>
          <w:sz w:val="20"/>
          <w:szCs w:val="20"/>
          <w:color w:val="auto"/>
        </w:rPr>
      </w:pPr>
    </w:p>
    <w:p>
      <w:pPr>
        <w:ind w:left="1260" w:right="139" w:firstLine="7"/>
        <w:spacing w:after="0" w:line="242" w:lineRule="auto"/>
        <w:tabs>
          <w:tab w:leader="none" w:pos="1410" w:val="left"/>
        </w:tabs>
        <w:numPr>
          <w:ilvl w:val="0"/>
          <w:numId w:val="45"/>
        </w:numPr>
        <w:rPr>
          <w:rFonts w:ascii="Arial" w:cs="Arial" w:eastAsia="Arial" w:hAnsi="Arial"/>
          <w:sz w:val="10"/>
          <w:szCs w:val="10"/>
          <w:color w:val="auto"/>
        </w:rPr>
      </w:pPr>
      <w:r>
        <w:rPr>
          <w:rFonts w:ascii="Arial" w:cs="Arial" w:eastAsia="Arial" w:hAnsi="Arial"/>
          <w:sz w:val="10"/>
          <w:szCs w:val="10"/>
          <w:color w:val="auto"/>
        </w:rPr>
        <w:t>Upon a termination due to death, complete disability, or by Ms. Cameron-Doe for good reason after a change in control, 27,844 shares of restricted stock would immediately vest in full and 15,194 PSUs would immediately vest in full and be exchanged for one share of Common Stock per PSU. Using the closing stock price on December 31, 2025, the acceleration value of such equity awards would be equal to an aggregate of $5,178,763, plus accrued dividends of $43,559.</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0159"/>
          </w:cols>
          <w:pgMar w:left="300" w:top="412"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239" w:firstLine="7"/>
        <w:spacing w:after="0" w:line="242" w:lineRule="auto"/>
        <w:tabs>
          <w:tab w:leader="none" w:pos="1410" w:val="left"/>
        </w:tabs>
        <w:numPr>
          <w:ilvl w:val="0"/>
          <w:numId w:val="46"/>
        </w:numPr>
        <w:rPr>
          <w:rFonts w:ascii="Arial" w:cs="Arial" w:eastAsia="Arial" w:hAnsi="Arial"/>
          <w:sz w:val="10"/>
          <w:szCs w:val="10"/>
          <w:color w:val="auto"/>
        </w:rPr>
      </w:pPr>
      <w:r>
        <w:rPr>
          <w:rFonts w:ascii="Arial" w:cs="Arial" w:eastAsia="Arial" w:hAnsi="Arial"/>
          <w:sz w:val="10"/>
          <w:szCs w:val="10"/>
          <w:color w:val="auto"/>
        </w:rPr>
        <w:t>Upon a termination by the Company without cause, or by Ms. Cameron-Doe upon the Company’s material breach, 12,016 shares of restricted stock would immediately vest, and 10,241 PSUs would immediately vest and be exchanged for one share of Common Stock per PSU, in each case on a prorated basis based on the number of months since the grant date. Using the closing stock price on December 31, 2025, the acceleration value of such equity awards would be equal to an aggregate of $2,678,185, plus accrued dividends of $22,111.</w:t>
      </w:r>
    </w:p>
    <w:p>
      <w:pPr>
        <w:spacing w:after="0" w:line="59" w:lineRule="exact"/>
        <w:rPr>
          <w:rFonts w:ascii="Arial" w:cs="Arial" w:eastAsia="Arial" w:hAnsi="Arial"/>
          <w:sz w:val="10"/>
          <w:szCs w:val="10"/>
          <w:color w:val="auto"/>
        </w:rPr>
      </w:pPr>
    </w:p>
    <w:p>
      <w:pPr>
        <w:ind w:left="1260" w:right="219" w:firstLine="7"/>
        <w:spacing w:after="0" w:line="260" w:lineRule="auto"/>
        <w:tabs>
          <w:tab w:leader="none" w:pos="1410"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These amounts represent continued health benefits for the 12-month period subsequent to the later of the remainder of the term of Ms. Cameron-Doe’s employment contract, or the cessation of the severance pay period, or in the case of retirement, through the end of the restricted period, as defined in the Retirement Plan.</w:t>
      </w:r>
    </w:p>
    <w:p>
      <w:pPr>
        <w:spacing w:after="0" w:line="51" w:lineRule="exact"/>
        <w:rPr>
          <w:rFonts w:ascii="Arial" w:cs="Arial" w:eastAsia="Arial" w:hAnsi="Arial"/>
          <w:sz w:val="10"/>
          <w:szCs w:val="10"/>
          <w:color w:val="auto"/>
        </w:rPr>
      </w:pPr>
    </w:p>
    <w:p>
      <w:pPr>
        <w:ind w:left="1260" w:right="259" w:firstLine="7"/>
        <w:spacing w:after="0" w:line="237" w:lineRule="auto"/>
        <w:tabs>
          <w:tab w:leader="none" w:pos="1410" w:val="left"/>
        </w:tabs>
        <w:numPr>
          <w:ilvl w:val="0"/>
          <w:numId w:val="46"/>
        </w:numPr>
        <w:rPr>
          <w:rFonts w:ascii="Arial" w:cs="Arial" w:eastAsia="Arial" w:hAnsi="Arial"/>
          <w:sz w:val="10"/>
          <w:szCs w:val="10"/>
          <w:color w:val="auto"/>
        </w:rPr>
      </w:pPr>
      <w:r>
        <w:rPr>
          <w:rFonts w:ascii="Arial" w:cs="Arial" w:eastAsia="Arial" w:hAnsi="Arial"/>
          <w:sz w:val="10"/>
          <w:szCs w:val="10"/>
          <w:color w:val="auto"/>
        </w:rPr>
        <w:t>As of December 31, 2025, Ms. Cameron-Doe was eligible to retire under the Retirement Plan. Upon retirement from the Company, 27,844 shares of restricted stock would continue to vest, and 15,194 PSUs would continue to vest, and once vested, be exchanged for one share of Common Stock per PSU. Using the closing stock price on December 31, 2025, the value of such equity awards would be equal to an aggregate of $5,178,763, plus accrued dividends of $43,559. Ms. Cameron-Doe notified the Company on January 7, 2026 of her decision to retire from the Company, effective as of June 1, 2026.</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JACQUI KRUM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125730</wp:posOffset>
            </wp:positionV>
            <wp:extent cx="6985" cy="15601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85" cy="15601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125730</wp:posOffset>
            </wp:positionV>
            <wp:extent cx="6985" cy="1560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85" cy="156019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125730</wp:posOffset>
            </wp:positionV>
            <wp:extent cx="6985" cy="1560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85" cy="1560195"/>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125730</wp:posOffset>
            </wp:positionV>
            <wp:extent cx="6985" cy="1560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85" cy="1560195"/>
                    </a:xfrm>
                    <a:prstGeom prst="rect">
                      <a:avLst/>
                    </a:prstGeom>
                    <a:noFill/>
                  </pic:spPr>
                </pic:pic>
              </a:graphicData>
            </a:graphic>
          </wp:anchor>
        </w:drawing>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2500" w:type="dxa"/>
            <w:vAlign w:val="bottom"/>
            <w:shd w:val="clear" w:color="auto" w:fill="B9AFA0"/>
          </w:tcPr>
          <w:p>
            <w:pPr>
              <w:spacing w:after="0"/>
              <w:rPr>
                <w:sz w:val="15"/>
                <w:szCs w:val="15"/>
                <w:color w:val="auto"/>
              </w:rPr>
            </w:pPr>
          </w:p>
        </w:tc>
        <w:tc>
          <w:tcPr>
            <w:tcW w:w="14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TERMINATION UPON</w:t>
            </w:r>
          </w:p>
        </w:tc>
        <w:tc>
          <w:tcPr>
            <w:tcW w:w="150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TERMINATION WITHOUT</w:t>
            </w:r>
          </w:p>
        </w:tc>
        <w:tc>
          <w:tcPr>
            <w:tcW w:w="178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TERMINATION BY EMPLOYEE</w:t>
            </w:r>
          </w:p>
        </w:tc>
        <w:tc>
          <w:tcPr>
            <w:tcW w:w="154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RETIREMENT PURSUANT</w:t>
            </w:r>
          </w:p>
        </w:tc>
      </w:tr>
      <w:tr>
        <w:trPr>
          <w:trHeight w:val="129"/>
        </w:trPr>
        <w:tc>
          <w:tcPr>
            <w:tcW w:w="2500" w:type="dxa"/>
            <w:vAlign w:val="bottom"/>
            <w:shd w:val="clear" w:color="auto" w:fill="B9AFA0"/>
          </w:tcPr>
          <w:p>
            <w:pPr>
              <w:spacing w:after="0"/>
              <w:rPr>
                <w:sz w:val="11"/>
                <w:szCs w:val="11"/>
                <w:color w:val="auto"/>
              </w:rPr>
            </w:pPr>
          </w:p>
        </w:tc>
        <w:tc>
          <w:tcPr>
            <w:tcW w:w="142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DEATH OR COMPLETE</w:t>
            </w:r>
          </w:p>
        </w:tc>
        <w:tc>
          <w:tcPr>
            <w:tcW w:w="150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CAUSE OR UPON</w:t>
            </w:r>
          </w:p>
        </w:tc>
        <w:tc>
          <w:tcPr>
            <w:tcW w:w="178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FOR GOOD REASON AFTER</w:t>
            </w:r>
          </w:p>
        </w:tc>
        <w:tc>
          <w:tcPr>
            <w:tcW w:w="1540" w:type="dxa"/>
            <w:vAlign w:val="bottom"/>
            <w:shd w:val="clear" w:color="auto" w:fill="B9AFA0"/>
          </w:tcPr>
          <w:p>
            <w:pPr>
              <w:jc w:val="center"/>
              <w:spacing w:after="0"/>
              <w:rPr>
                <w:sz w:val="20"/>
                <w:szCs w:val="20"/>
                <w:color w:val="auto"/>
              </w:rPr>
            </w:pPr>
            <w:r>
              <w:rPr>
                <w:rFonts w:ascii="Arial" w:cs="Arial" w:eastAsia="Arial" w:hAnsi="Arial"/>
                <w:sz w:val="11"/>
                <w:szCs w:val="11"/>
                <w:color w:val="FFFFFF"/>
              </w:rPr>
              <w:t>TO RETIREMENT</w:t>
            </w:r>
          </w:p>
        </w:tc>
      </w:tr>
      <w:tr>
        <w:trPr>
          <w:trHeight w:val="179"/>
        </w:trPr>
        <w:tc>
          <w:tcPr>
            <w:tcW w:w="2500" w:type="dxa"/>
            <w:vAlign w:val="bottom"/>
            <w:tcBorders>
              <w:bottom w:val="single" w:sz="8" w:color="B9AFA0"/>
            </w:tcBorders>
            <w:shd w:val="clear" w:color="auto" w:fill="B9AFA0"/>
          </w:tcPr>
          <w:p>
            <w:pPr>
              <w:spacing w:after="0"/>
              <w:rPr>
                <w:sz w:val="15"/>
                <w:szCs w:val="15"/>
                <w:color w:val="auto"/>
              </w:rPr>
            </w:pPr>
          </w:p>
        </w:tc>
        <w:tc>
          <w:tcPr>
            <w:tcW w:w="14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w w:val="98"/>
              </w:rPr>
              <w:t>DISABILITY </w:t>
            </w:r>
          </w:p>
        </w:tc>
        <w:tc>
          <w:tcPr>
            <w:tcW w:w="150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MATERIAL BREACH  </w:t>
            </w:r>
          </w:p>
        </w:tc>
        <w:tc>
          <w:tcPr>
            <w:tcW w:w="17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CHANGE IN CONTROL  </w:t>
            </w:r>
          </w:p>
        </w:tc>
        <w:tc>
          <w:tcPr>
            <w:tcW w:w="154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1"/>
                <w:szCs w:val="11"/>
                <w:color w:val="FFFFFF"/>
              </w:rPr>
              <w:t>PLAN (4)</w:t>
            </w:r>
          </w:p>
        </w:tc>
      </w:tr>
      <w:tr>
        <w:trPr>
          <w:trHeight w:val="233"/>
        </w:trPr>
        <w:tc>
          <w:tcPr>
            <w:tcW w:w="2500" w:type="dxa"/>
            <w:vAlign w:val="bottom"/>
            <w:shd w:val="clear" w:color="auto" w:fill="F1EFEC"/>
          </w:tcPr>
          <w:p>
            <w:pPr>
              <w:spacing w:after="0"/>
              <w:rPr>
                <w:sz w:val="20"/>
                <w:szCs w:val="20"/>
                <w:color w:val="auto"/>
              </w:rPr>
            </w:pP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Amounts earned and</w:t>
            </w:r>
          </w:p>
        </w:tc>
        <w:tc>
          <w:tcPr>
            <w:tcW w:w="1500" w:type="dxa"/>
            <w:vAlign w:val="bottom"/>
            <w:shd w:val="clear" w:color="auto" w:fill="F1EFEC"/>
          </w:tcPr>
          <w:p>
            <w:pPr>
              <w:spacing w:after="0"/>
              <w:rPr>
                <w:sz w:val="20"/>
                <w:szCs w:val="20"/>
                <w:color w:val="auto"/>
              </w:rPr>
            </w:pPr>
          </w:p>
        </w:tc>
        <w:tc>
          <w:tcPr>
            <w:tcW w:w="1780" w:type="dxa"/>
            <w:vAlign w:val="bottom"/>
            <w:shd w:val="clear" w:color="auto" w:fill="F1EFEC"/>
          </w:tcPr>
          <w:p>
            <w:pPr>
              <w:spacing w:after="0"/>
              <w:rPr>
                <w:sz w:val="20"/>
                <w:szCs w:val="20"/>
                <w:color w:val="auto"/>
              </w:rPr>
            </w:pPr>
          </w:p>
        </w:tc>
        <w:tc>
          <w:tcPr>
            <w:tcW w:w="1540" w:type="dxa"/>
            <w:vAlign w:val="bottom"/>
            <w:shd w:val="clear" w:color="auto" w:fill="F1EFEC"/>
          </w:tcPr>
          <w:p>
            <w:pPr>
              <w:spacing w:after="0"/>
              <w:rPr>
                <w:sz w:val="20"/>
                <w:szCs w:val="20"/>
                <w:color w:val="auto"/>
              </w:rPr>
            </w:pPr>
          </w:p>
        </w:tc>
      </w:tr>
      <w:tr>
        <w:trPr>
          <w:trHeight w:val="204"/>
        </w:trPr>
        <w:tc>
          <w:tcPr>
            <w:tcW w:w="2500" w:type="dxa"/>
            <w:vAlign w:val="bottom"/>
            <w:shd w:val="clear" w:color="auto" w:fill="F1EFEC"/>
          </w:tcPr>
          <w:p>
            <w:pPr>
              <w:ind w:left="40"/>
              <w:spacing w:after="0"/>
              <w:rPr>
                <w:sz w:val="20"/>
                <w:szCs w:val="20"/>
                <w:color w:val="auto"/>
              </w:rPr>
            </w:pPr>
            <w:r>
              <w:rPr>
                <w:rFonts w:ascii="Arial" w:cs="Arial" w:eastAsia="Arial" w:hAnsi="Arial"/>
                <w:sz w:val="13"/>
                <w:szCs w:val="13"/>
                <w:color w:val="auto"/>
              </w:rPr>
              <w:t>Base Salary</w:t>
            </w: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unpaid through the</w:t>
            </w:r>
          </w:p>
        </w:tc>
        <w:tc>
          <w:tcPr>
            <w:tcW w:w="150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8"/>
              </w:rPr>
              <w:t>$1,408,151</w:t>
            </w:r>
          </w:p>
        </w:tc>
        <w:tc>
          <w:tcPr>
            <w:tcW w:w="178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8"/>
              </w:rPr>
              <w:t>$1,408,151</w:t>
            </w:r>
          </w:p>
        </w:tc>
        <w:tc>
          <w:tcPr>
            <w:tcW w:w="1540" w:type="dxa"/>
            <w:vAlign w:val="bottom"/>
            <w:shd w:val="clear" w:color="auto" w:fill="F1EFEC"/>
          </w:tcPr>
          <w:p>
            <w:pPr>
              <w:jc w:val="center"/>
              <w:ind w:left="38"/>
              <w:spacing w:after="0"/>
              <w:rPr>
                <w:sz w:val="20"/>
                <w:szCs w:val="20"/>
                <w:color w:val="auto"/>
              </w:rPr>
            </w:pPr>
            <w:r>
              <w:rPr>
                <w:rFonts w:ascii="Arial" w:cs="Arial" w:eastAsia="Arial" w:hAnsi="Arial"/>
                <w:sz w:val="13"/>
                <w:szCs w:val="13"/>
                <w:color w:val="auto"/>
                <w:w w:val="91"/>
              </w:rPr>
              <w:t>-</w:t>
            </w:r>
          </w:p>
        </w:tc>
      </w:tr>
      <w:tr>
        <w:trPr>
          <w:trHeight w:val="193"/>
        </w:trPr>
        <w:tc>
          <w:tcPr>
            <w:tcW w:w="2500" w:type="dxa"/>
            <w:vAlign w:val="bottom"/>
            <w:shd w:val="clear" w:color="auto" w:fill="F1EFEC"/>
          </w:tcPr>
          <w:p>
            <w:pPr>
              <w:spacing w:after="0"/>
              <w:rPr>
                <w:sz w:val="16"/>
                <w:szCs w:val="16"/>
                <w:color w:val="auto"/>
              </w:rPr>
            </w:pP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8"/>
              </w:rPr>
              <w:t>date of termination</w:t>
            </w:r>
          </w:p>
        </w:tc>
        <w:tc>
          <w:tcPr>
            <w:tcW w:w="1500" w:type="dxa"/>
            <w:vAlign w:val="bottom"/>
            <w:shd w:val="clear" w:color="auto" w:fill="F1EFEC"/>
          </w:tcPr>
          <w:p>
            <w:pPr>
              <w:spacing w:after="0"/>
              <w:rPr>
                <w:sz w:val="16"/>
                <w:szCs w:val="16"/>
                <w:color w:val="auto"/>
              </w:rPr>
            </w:pPr>
          </w:p>
        </w:tc>
        <w:tc>
          <w:tcPr>
            <w:tcW w:w="1780" w:type="dxa"/>
            <w:vAlign w:val="bottom"/>
            <w:shd w:val="clear" w:color="auto" w:fill="F1EFEC"/>
          </w:tcPr>
          <w:p>
            <w:pPr>
              <w:spacing w:after="0"/>
              <w:rPr>
                <w:sz w:val="16"/>
                <w:szCs w:val="16"/>
                <w:color w:val="auto"/>
              </w:rPr>
            </w:pPr>
          </w:p>
        </w:tc>
        <w:tc>
          <w:tcPr>
            <w:tcW w:w="1540" w:type="dxa"/>
            <w:vAlign w:val="bottom"/>
            <w:shd w:val="clear" w:color="auto" w:fill="F1EFEC"/>
          </w:tcPr>
          <w:p>
            <w:pPr>
              <w:spacing w:after="0"/>
              <w:rPr>
                <w:sz w:val="16"/>
                <w:szCs w:val="16"/>
                <w:color w:val="auto"/>
              </w:rPr>
            </w:pPr>
          </w:p>
        </w:tc>
      </w:tr>
      <w:tr>
        <w:trPr>
          <w:trHeight w:val="78"/>
        </w:trPr>
        <w:tc>
          <w:tcPr>
            <w:tcW w:w="2500" w:type="dxa"/>
            <w:vAlign w:val="bottom"/>
            <w:shd w:val="clear" w:color="auto" w:fill="F1EFEC"/>
          </w:tcPr>
          <w:p>
            <w:pPr>
              <w:spacing w:after="0"/>
              <w:rPr>
                <w:sz w:val="6"/>
                <w:szCs w:val="6"/>
                <w:color w:val="auto"/>
              </w:rPr>
            </w:pPr>
          </w:p>
        </w:tc>
        <w:tc>
          <w:tcPr>
            <w:tcW w:w="1420" w:type="dxa"/>
            <w:vAlign w:val="bottom"/>
            <w:shd w:val="clear" w:color="auto" w:fill="F1EFEC"/>
          </w:tcPr>
          <w:p>
            <w:pPr>
              <w:spacing w:after="0"/>
              <w:rPr>
                <w:sz w:val="6"/>
                <w:szCs w:val="6"/>
                <w:color w:val="auto"/>
              </w:rPr>
            </w:pPr>
          </w:p>
        </w:tc>
        <w:tc>
          <w:tcPr>
            <w:tcW w:w="1500" w:type="dxa"/>
            <w:vAlign w:val="bottom"/>
            <w:shd w:val="clear" w:color="auto" w:fill="F1EFEC"/>
          </w:tcPr>
          <w:p>
            <w:pPr>
              <w:spacing w:after="0"/>
              <w:rPr>
                <w:sz w:val="6"/>
                <w:szCs w:val="6"/>
                <w:color w:val="auto"/>
              </w:rPr>
            </w:pPr>
          </w:p>
        </w:tc>
        <w:tc>
          <w:tcPr>
            <w:tcW w:w="1780" w:type="dxa"/>
            <w:vAlign w:val="bottom"/>
            <w:shd w:val="clear" w:color="auto" w:fill="F1EFEC"/>
          </w:tcPr>
          <w:p>
            <w:pPr>
              <w:spacing w:after="0"/>
              <w:rPr>
                <w:sz w:val="6"/>
                <w:szCs w:val="6"/>
                <w:color w:val="auto"/>
              </w:rPr>
            </w:pPr>
          </w:p>
        </w:tc>
        <w:tc>
          <w:tcPr>
            <w:tcW w:w="1540" w:type="dxa"/>
            <w:vAlign w:val="bottom"/>
            <w:shd w:val="clear" w:color="auto" w:fill="F1EFEC"/>
          </w:tcPr>
          <w:p>
            <w:pPr>
              <w:spacing w:after="0"/>
              <w:rPr>
                <w:sz w:val="6"/>
                <w:szCs w:val="6"/>
                <w:color w:val="auto"/>
              </w:rPr>
            </w:pPr>
          </w:p>
        </w:tc>
      </w:tr>
      <w:tr>
        <w:trPr>
          <w:trHeight w:val="233"/>
        </w:trPr>
        <w:tc>
          <w:tcPr>
            <w:tcW w:w="2500" w:type="dxa"/>
            <w:vAlign w:val="bottom"/>
          </w:tcPr>
          <w:p>
            <w:pPr>
              <w:ind w:left="40"/>
              <w:spacing w:after="0"/>
              <w:rPr>
                <w:sz w:val="20"/>
                <w:szCs w:val="20"/>
                <w:color w:val="auto"/>
              </w:rPr>
            </w:pPr>
            <w:r>
              <w:rPr>
                <w:rFonts w:ascii="Arial" w:cs="Arial" w:eastAsia="Arial" w:hAnsi="Arial"/>
                <w:sz w:val="13"/>
                <w:szCs w:val="13"/>
                <w:color w:val="auto"/>
              </w:rPr>
              <w:t>Bonus</w:t>
            </w: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auto"/>
                <w:w w:val="98"/>
              </w:rPr>
              <w:t>$2,266,276</w:t>
            </w:r>
          </w:p>
        </w:tc>
        <w:tc>
          <w:tcPr>
            <w:tcW w:w="1780" w:type="dxa"/>
            <w:vAlign w:val="bottom"/>
          </w:tcPr>
          <w:p>
            <w:pPr>
              <w:jc w:val="center"/>
              <w:spacing w:after="0"/>
              <w:rPr>
                <w:sz w:val="20"/>
                <w:szCs w:val="20"/>
                <w:color w:val="auto"/>
              </w:rPr>
            </w:pPr>
            <w:r>
              <w:rPr>
                <w:rFonts w:ascii="Arial" w:cs="Arial" w:eastAsia="Arial" w:hAnsi="Arial"/>
                <w:sz w:val="13"/>
                <w:szCs w:val="13"/>
                <w:color w:val="auto"/>
                <w:w w:val="98"/>
              </w:rPr>
              <w:t>$2,266,276</w:t>
            </w:r>
          </w:p>
        </w:tc>
        <w:tc>
          <w:tcPr>
            <w:tcW w:w="1540" w:type="dxa"/>
            <w:vAlign w:val="bottom"/>
          </w:tcPr>
          <w:p>
            <w:pPr>
              <w:jc w:val="center"/>
              <w:ind w:left="38"/>
              <w:spacing w:after="0"/>
              <w:rPr>
                <w:sz w:val="20"/>
                <w:szCs w:val="20"/>
                <w:color w:val="auto"/>
              </w:rPr>
            </w:pPr>
            <w:r>
              <w:rPr>
                <w:rFonts w:ascii="Arial" w:cs="Arial" w:eastAsia="Arial" w:hAnsi="Arial"/>
                <w:sz w:val="13"/>
                <w:szCs w:val="13"/>
                <w:color w:val="auto"/>
                <w:w w:val="91"/>
              </w:rPr>
              <w:t>-</w:t>
            </w:r>
          </w:p>
        </w:tc>
      </w:tr>
      <w:tr>
        <w:trPr>
          <w:trHeight w:val="78"/>
        </w:trPr>
        <w:tc>
          <w:tcPr>
            <w:tcW w:w="2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233"/>
        </w:trPr>
        <w:tc>
          <w:tcPr>
            <w:tcW w:w="2500" w:type="dxa"/>
            <w:vAlign w:val="bottom"/>
            <w:shd w:val="clear" w:color="auto" w:fill="F1EFEC"/>
          </w:tcPr>
          <w:p>
            <w:pPr>
              <w:ind w:left="40"/>
              <w:spacing w:after="0"/>
              <w:rPr>
                <w:sz w:val="20"/>
                <w:szCs w:val="20"/>
                <w:color w:val="auto"/>
              </w:rPr>
            </w:pPr>
            <w:r>
              <w:rPr>
                <w:rFonts w:ascii="Arial" w:cs="Arial" w:eastAsia="Arial" w:hAnsi="Arial"/>
                <w:sz w:val="13"/>
                <w:szCs w:val="13"/>
                <w:color w:val="auto"/>
              </w:rPr>
              <w:t>Outstanding Equity Awards (1)(2)(4)</w:t>
            </w:r>
          </w:p>
        </w:tc>
        <w:tc>
          <w:tcPr>
            <w:tcW w:w="142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rPr>
              <w:t>$3,181,927</w:t>
            </w:r>
          </w:p>
        </w:tc>
        <w:tc>
          <w:tcPr>
            <w:tcW w:w="150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9"/>
              </w:rPr>
              <w:t>$758,884</w:t>
            </w:r>
          </w:p>
        </w:tc>
        <w:tc>
          <w:tcPr>
            <w:tcW w:w="178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8"/>
              </w:rPr>
              <w:t>$3,181,927</w:t>
            </w:r>
          </w:p>
        </w:tc>
        <w:tc>
          <w:tcPr>
            <w:tcW w:w="154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rPr>
              <w:t>$3,181,927</w:t>
            </w:r>
          </w:p>
        </w:tc>
      </w:tr>
      <w:tr>
        <w:trPr>
          <w:trHeight w:val="78"/>
        </w:trPr>
        <w:tc>
          <w:tcPr>
            <w:tcW w:w="2500" w:type="dxa"/>
            <w:vAlign w:val="bottom"/>
            <w:shd w:val="clear" w:color="auto" w:fill="F1EFEC"/>
          </w:tcPr>
          <w:p>
            <w:pPr>
              <w:spacing w:after="0"/>
              <w:rPr>
                <w:sz w:val="6"/>
                <w:szCs w:val="6"/>
                <w:color w:val="auto"/>
              </w:rPr>
            </w:pPr>
          </w:p>
        </w:tc>
        <w:tc>
          <w:tcPr>
            <w:tcW w:w="1420" w:type="dxa"/>
            <w:vAlign w:val="bottom"/>
            <w:shd w:val="clear" w:color="auto" w:fill="F1EFEC"/>
          </w:tcPr>
          <w:p>
            <w:pPr>
              <w:spacing w:after="0"/>
              <w:rPr>
                <w:sz w:val="6"/>
                <w:szCs w:val="6"/>
                <w:color w:val="auto"/>
              </w:rPr>
            </w:pPr>
          </w:p>
        </w:tc>
        <w:tc>
          <w:tcPr>
            <w:tcW w:w="1500" w:type="dxa"/>
            <w:vAlign w:val="bottom"/>
            <w:shd w:val="clear" w:color="auto" w:fill="F1EFEC"/>
          </w:tcPr>
          <w:p>
            <w:pPr>
              <w:spacing w:after="0"/>
              <w:rPr>
                <w:sz w:val="6"/>
                <w:szCs w:val="6"/>
                <w:color w:val="auto"/>
              </w:rPr>
            </w:pPr>
          </w:p>
        </w:tc>
        <w:tc>
          <w:tcPr>
            <w:tcW w:w="1780" w:type="dxa"/>
            <w:vAlign w:val="bottom"/>
            <w:shd w:val="clear" w:color="auto" w:fill="F1EFEC"/>
          </w:tcPr>
          <w:p>
            <w:pPr>
              <w:spacing w:after="0"/>
              <w:rPr>
                <w:sz w:val="6"/>
                <w:szCs w:val="6"/>
                <w:color w:val="auto"/>
              </w:rPr>
            </w:pPr>
          </w:p>
        </w:tc>
        <w:tc>
          <w:tcPr>
            <w:tcW w:w="1540" w:type="dxa"/>
            <w:vAlign w:val="bottom"/>
            <w:shd w:val="clear" w:color="auto" w:fill="F1EFEC"/>
          </w:tcPr>
          <w:p>
            <w:pPr>
              <w:spacing w:after="0"/>
              <w:rPr>
                <w:sz w:val="6"/>
                <w:szCs w:val="6"/>
                <w:color w:val="auto"/>
              </w:rPr>
            </w:pPr>
          </w:p>
        </w:tc>
      </w:tr>
      <w:tr>
        <w:trPr>
          <w:trHeight w:val="233"/>
        </w:trPr>
        <w:tc>
          <w:tcPr>
            <w:tcW w:w="2500" w:type="dxa"/>
            <w:vAlign w:val="bottom"/>
          </w:tcPr>
          <w:p>
            <w:pPr>
              <w:ind w:left="40"/>
              <w:spacing w:after="0"/>
              <w:rPr>
                <w:sz w:val="20"/>
                <w:szCs w:val="20"/>
                <w:color w:val="auto"/>
              </w:rPr>
            </w:pPr>
            <w:r>
              <w:rPr>
                <w:rFonts w:ascii="Arial" w:cs="Arial" w:eastAsia="Arial" w:hAnsi="Arial"/>
                <w:sz w:val="13"/>
                <w:szCs w:val="13"/>
                <w:color w:val="auto"/>
              </w:rPr>
              <w:t>Company-Paid Life Insurance</w:t>
            </w:r>
          </w:p>
        </w:tc>
        <w:tc>
          <w:tcPr>
            <w:tcW w:w="1420" w:type="dxa"/>
            <w:vAlign w:val="bottom"/>
          </w:tcPr>
          <w:p>
            <w:pPr>
              <w:jc w:val="center"/>
              <w:ind w:left="18"/>
              <w:spacing w:after="0"/>
              <w:rPr>
                <w:sz w:val="20"/>
                <w:szCs w:val="20"/>
                <w:color w:val="auto"/>
              </w:rPr>
            </w:pPr>
            <w:r>
              <w:rPr>
                <w:rFonts w:ascii="Arial" w:cs="Arial" w:eastAsia="Arial" w:hAnsi="Arial"/>
                <w:sz w:val="13"/>
                <w:szCs w:val="13"/>
                <w:color w:val="auto"/>
                <w:w w:val="99"/>
              </w:rPr>
              <w:t>$825,000</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7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40" w:type="dxa"/>
            <w:vAlign w:val="bottom"/>
          </w:tcPr>
          <w:p>
            <w:pPr>
              <w:jc w:val="center"/>
              <w:ind w:left="38"/>
              <w:spacing w:after="0"/>
              <w:rPr>
                <w:sz w:val="20"/>
                <w:szCs w:val="20"/>
                <w:color w:val="auto"/>
              </w:rPr>
            </w:pPr>
            <w:r>
              <w:rPr>
                <w:rFonts w:ascii="Arial" w:cs="Arial" w:eastAsia="Arial" w:hAnsi="Arial"/>
                <w:sz w:val="13"/>
                <w:szCs w:val="13"/>
                <w:color w:val="auto"/>
                <w:w w:val="91"/>
              </w:rPr>
              <w:t>-</w:t>
            </w:r>
          </w:p>
        </w:tc>
      </w:tr>
      <w:tr>
        <w:trPr>
          <w:trHeight w:val="78"/>
        </w:trPr>
        <w:tc>
          <w:tcPr>
            <w:tcW w:w="2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233"/>
        </w:trPr>
        <w:tc>
          <w:tcPr>
            <w:tcW w:w="2500" w:type="dxa"/>
            <w:vAlign w:val="bottom"/>
            <w:shd w:val="clear" w:color="auto" w:fill="F1EFEC"/>
          </w:tcPr>
          <w:p>
            <w:pPr>
              <w:ind w:left="40"/>
              <w:spacing w:after="0"/>
              <w:rPr>
                <w:sz w:val="20"/>
                <w:szCs w:val="20"/>
                <w:color w:val="auto"/>
              </w:rPr>
            </w:pPr>
            <w:r>
              <w:rPr>
                <w:rFonts w:ascii="Arial" w:cs="Arial" w:eastAsia="Arial" w:hAnsi="Arial"/>
                <w:sz w:val="13"/>
                <w:szCs w:val="13"/>
                <w:color w:val="auto"/>
              </w:rPr>
              <w:t>Benefits (3)</w:t>
            </w:r>
          </w:p>
        </w:tc>
        <w:tc>
          <w:tcPr>
            <w:tcW w:w="1420" w:type="dxa"/>
            <w:vAlign w:val="bottom"/>
            <w:shd w:val="clear" w:color="auto" w:fill="F1EFEC"/>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shd w:val="clear" w:color="auto" w:fill="F1EFEC"/>
          </w:tcPr>
          <w:p>
            <w:pPr>
              <w:jc w:val="center"/>
              <w:spacing w:after="0"/>
              <w:rPr>
                <w:sz w:val="20"/>
                <w:szCs w:val="20"/>
                <w:color w:val="auto"/>
              </w:rPr>
            </w:pPr>
            <w:r>
              <w:rPr>
                <w:rFonts w:ascii="Arial" w:cs="Arial" w:eastAsia="Arial" w:hAnsi="Arial"/>
                <w:sz w:val="13"/>
                <w:szCs w:val="13"/>
                <w:color w:val="auto"/>
              </w:rPr>
              <w:t>$34,378</w:t>
            </w:r>
          </w:p>
        </w:tc>
        <w:tc>
          <w:tcPr>
            <w:tcW w:w="178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$34,378</w:t>
            </w:r>
          </w:p>
        </w:tc>
        <w:tc>
          <w:tcPr>
            <w:tcW w:w="1540" w:type="dxa"/>
            <w:vAlign w:val="bottom"/>
            <w:shd w:val="clear" w:color="auto" w:fill="F1EFEC"/>
          </w:tcPr>
          <w:p>
            <w:pPr>
              <w:jc w:val="center"/>
              <w:ind w:left="18"/>
              <w:spacing w:after="0"/>
              <w:rPr>
                <w:sz w:val="20"/>
                <w:szCs w:val="20"/>
                <w:color w:val="auto"/>
              </w:rPr>
            </w:pPr>
            <w:r>
              <w:rPr>
                <w:rFonts w:ascii="Arial" w:cs="Arial" w:eastAsia="Arial" w:hAnsi="Arial"/>
                <w:sz w:val="13"/>
                <w:szCs w:val="13"/>
                <w:color w:val="auto"/>
                <w:w w:val="97"/>
              </w:rPr>
              <w:t>$27,721</w:t>
            </w:r>
          </w:p>
        </w:tc>
      </w:tr>
      <w:tr>
        <w:trPr>
          <w:trHeight w:val="78"/>
        </w:trPr>
        <w:tc>
          <w:tcPr>
            <w:tcW w:w="2500" w:type="dxa"/>
            <w:vAlign w:val="bottom"/>
            <w:shd w:val="clear" w:color="auto" w:fill="F1EFEC"/>
          </w:tcPr>
          <w:p>
            <w:pPr>
              <w:spacing w:after="0"/>
              <w:rPr>
                <w:sz w:val="6"/>
                <w:szCs w:val="6"/>
                <w:color w:val="auto"/>
              </w:rPr>
            </w:pPr>
          </w:p>
        </w:tc>
        <w:tc>
          <w:tcPr>
            <w:tcW w:w="1420" w:type="dxa"/>
            <w:vAlign w:val="bottom"/>
            <w:shd w:val="clear" w:color="auto" w:fill="F1EFEC"/>
          </w:tcPr>
          <w:p>
            <w:pPr>
              <w:spacing w:after="0"/>
              <w:rPr>
                <w:sz w:val="6"/>
                <w:szCs w:val="6"/>
                <w:color w:val="auto"/>
              </w:rPr>
            </w:pPr>
          </w:p>
        </w:tc>
        <w:tc>
          <w:tcPr>
            <w:tcW w:w="1500" w:type="dxa"/>
            <w:vAlign w:val="bottom"/>
            <w:shd w:val="clear" w:color="auto" w:fill="F1EFEC"/>
          </w:tcPr>
          <w:p>
            <w:pPr>
              <w:spacing w:after="0"/>
              <w:rPr>
                <w:sz w:val="6"/>
                <w:szCs w:val="6"/>
                <w:color w:val="auto"/>
              </w:rPr>
            </w:pPr>
          </w:p>
        </w:tc>
        <w:tc>
          <w:tcPr>
            <w:tcW w:w="1780" w:type="dxa"/>
            <w:vAlign w:val="bottom"/>
            <w:shd w:val="clear" w:color="auto" w:fill="F1EFEC"/>
          </w:tcPr>
          <w:p>
            <w:pPr>
              <w:spacing w:after="0"/>
              <w:rPr>
                <w:sz w:val="6"/>
                <w:szCs w:val="6"/>
                <w:color w:val="auto"/>
              </w:rPr>
            </w:pPr>
          </w:p>
        </w:tc>
        <w:tc>
          <w:tcPr>
            <w:tcW w:w="1540" w:type="dxa"/>
            <w:vAlign w:val="bottom"/>
            <w:shd w:val="clear" w:color="auto" w:fill="F1EFEC"/>
          </w:tcPr>
          <w:p>
            <w:pPr>
              <w:spacing w:after="0"/>
              <w:rPr>
                <w:sz w:val="6"/>
                <w:szCs w:val="6"/>
                <w:color w:val="auto"/>
              </w:rPr>
            </w:pPr>
          </w:p>
        </w:tc>
      </w:tr>
    </w:tbl>
    <w:p>
      <w:pPr>
        <w:spacing w:after="0" w:line="71" w:lineRule="exact"/>
        <w:rPr>
          <w:sz w:val="20"/>
          <w:szCs w:val="20"/>
          <w:color w:val="auto"/>
        </w:rPr>
      </w:pPr>
    </w:p>
    <w:p>
      <w:pPr>
        <w:jc w:val="both"/>
        <w:ind w:left="1260" w:right="239" w:firstLine="7"/>
        <w:spacing w:after="0" w:line="242" w:lineRule="auto"/>
        <w:tabs>
          <w:tab w:leader="none" w:pos="1410" w:val="left"/>
        </w:tabs>
        <w:numPr>
          <w:ilvl w:val="0"/>
          <w:numId w:val="47"/>
        </w:numPr>
        <w:rPr>
          <w:rFonts w:ascii="Arial" w:cs="Arial" w:eastAsia="Arial" w:hAnsi="Arial"/>
          <w:sz w:val="10"/>
          <w:szCs w:val="10"/>
          <w:color w:val="auto"/>
        </w:rPr>
      </w:pPr>
      <w:r>
        <w:rPr>
          <w:rFonts w:ascii="Arial" w:cs="Arial" w:eastAsia="Arial" w:hAnsi="Arial"/>
          <w:sz w:val="10"/>
          <w:szCs w:val="10"/>
          <w:color w:val="auto"/>
        </w:rPr>
        <w:t>Upon a termination due to death, complete disability, or by Ms. Krum for good reason after a change in control, 22,831 shares of restricted stock would immediately vest, and 3,378 PSUs would immediately vest and be exchanged for one share of Common Stock per PSU. Using the closing stock price on December 31, 2025, the acceleration value of such equity awards would be equal to an aggregate of $3,153,729, plus accrued dividends of $28,199.</w:t>
      </w:r>
    </w:p>
    <w:p>
      <w:pPr>
        <w:spacing w:after="0" w:line="59" w:lineRule="exact"/>
        <w:rPr>
          <w:rFonts w:ascii="Arial" w:cs="Arial" w:eastAsia="Arial" w:hAnsi="Arial"/>
          <w:sz w:val="10"/>
          <w:szCs w:val="10"/>
          <w:color w:val="auto"/>
        </w:rPr>
      </w:pPr>
    </w:p>
    <w:p>
      <w:pPr>
        <w:ind w:left="1260" w:right="279" w:firstLine="7"/>
        <w:spacing w:after="0" w:line="242" w:lineRule="auto"/>
        <w:tabs>
          <w:tab w:leader="none" w:pos="1410" w:val="left"/>
        </w:tabs>
        <w:numPr>
          <w:ilvl w:val="0"/>
          <w:numId w:val="47"/>
        </w:numPr>
        <w:rPr>
          <w:rFonts w:ascii="Arial" w:cs="Arial" w:eastAsia="Arial" w:hAnsi="Arial"/>
          <w:sz w:val="10"/>
          <w:szCs w:val="10"/>
          <w:color w:val="auto"/>
        </w:rPr>
      </w:pPr>
      <w:r>
        <w:rPr>
          <w:rFonts w:ascii="Arial" w:cs="Arial" w:eastAsia="Arial" w:hAnsi="Arial"/>
          <w:sz w:val="10"/>
          <w:szCs w:val="10"/>
          <w:color w:val="auto"/>
        </w:rPr>
        <w:t>Upon a termination by the Company without cause, or by Ms. Krum upon the Company’s material breach, 5,184 shares of restricted stock would immediately vest, and 1,062 PSUs would immediately vest and be exchanged for one share of Common Stock per PSU, in each case on a prorated basis based on the number of months since the grant date. Using the closing stock price on December 31, 2025, the acceleration value of such equity awards would be equal to an aggregate of $751,581, plus accrued dividends of $7,302.</w:t>
      </w:r>
    </w:p>
    <w:p>
      <w:pPr>
        <w:spacing w:after="0" w:line="59" w:lineRule="exact"/>
        <w:rPr>
          <w:rFonts w:ascii="Arial" w:cs="Arial" w:eastAsia="Arial" w:hAnsi="Arial"/>
          <w:sz w:val="10"/>
          <w:szCs w:val="10"/>
          <w:color w:val="auto"/>
        </w:rPr>
      </w:pPr>
    </w:p>
    <w:p>
      <w:pPr>
        <w:ind w:left="1260" w:right="319" w:firstLine="7"/>
        <w:spacing w:after="0" w:line="260" w:lineRule="auto"/>
        <w:tabs>
          <w:tab w:leader="none" w:pos="1410"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These amounts represent continued health benefits for the 12-month period subsequent to the later of the remainder of the term of her employment contract, or the cessation of the severance pay period, or in the case of retirement, through the end of the restricted period, as defined in the Retirement Plan.</w:t>
      </w:r>
    </w:p>
    <w:p>
      <w:pPr>
        <w:spacing w:after="0" w:line="51" w:lineRule="exact"/>
        <w:rPr>
          <w:rFonts w:ascii="Arial" w:cs="Arial" w:eastAsia="Arial" w:hAnsi="Arial"/>
          <w:sz w:val="10"/>
          <w:szCs w:val="10"/>
          <w:color w:val="auto"/>
        </w:rPr>
      </w:pPr>
    </w:p>
    <w:p>
      <w:pPr>
        <w:ind w:left="1260" w:right="179" w:firstLine="7"/>
        <w:spacing w:after="0" w:line="242" w:lineRule="auto"/>
        <w:tabs>
          <w:tab w:leader="none" w:pos="1410" w:val="left"/>
        </w:tabs>
        <w:numPr>
          <w:ilvl w:val="0"/>
          <w:numId w:val="47"/>
        </w:numPr>
        <w:rPr>
          <w:rFonts w:ascii="Arial" w:cs="Arial" w:eastAsia="Arial" w:hAnsi="Arial"/>
          <w:sz w:val="10"/>
          <w:szCs w:val="10"/>
          <w:color w:val="auto"/>
        </w:rPr>
      </w:pPr>
      <w:r>
        <w:rPr>
          <w:rFonts w:ascii="Arial" w:cs="Arial" w:eastAsia="Arial" w:hAnsi="Arial"/>
          <w:sz w:val="10"/>
          <w:szCs w:val="10"/>
          <w:color w:val="auto"/>
        </w:rPr>
        <w:t>As of December 31, 2025, Ms. Krum was eligible to retire under the Retirement Plan. Upon retirement from the Company, 22,831 shares of restricted stock would continue to vest, and 3,378 PSUs would continue to vest, and once vested, be exchanged for one share of Common Stock per PSU. Using the closing stock price on December 31, 2025, the value of such equity awards would be equal to an aggregate of $3,153,729, plus accrued dividends of $28,199.</w:t>
      </w:r>
    </w:p>
    <w:p>
      <w:pPr>
        <w:spacing w:after="0" w:line="96" w:lineRule="exact"/>
        <w:rPr>
          <w:sz w:val="20"/>
          <w:szCs w:val="20"/>
          <w:color w:val="auto"/>
        </w:rPr>
      </w:pPr>
    </w:p>
    <w:p>
      <w:pPr>
        <w:ind w:left="98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412"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Certain Relationships and Transactions</w:t>
      </w:r>
    </w:p>
    <w:p>
      <w:pPr>
        <w:spacing w:after="0" w:line="278" w:lineRule="exact"/>
        <w:rPr>
          <w:sz w:val="20"/>
          <w:szCs w:val="20"/>
          <w:color w:val="auto"/>
        </w:rPr>
      </w:pPr>
    </w:p>
    <w:p>
      <w:pPr>
        <w:ind w:left="1260" w:right="219"/>
        <w:spacing w:after="0" w:line="244" w:lineRule="auto"/>
        <w:rPr>
          <w:sz w:val="20"/>
          <w:szCs w:val="20"/>
          <w:color w:val="auto"/>
        </w:rPr>
      </w:pPr>
      <w:r>
        <w:rPr>
          <w:rFonts w:ascii="Arial" w:cs="Arial" w:eastAsia="Arial" w:hAnsi="Arial"/>
          <w:sz w:val="13"/>
          <w:szCs w:val="13"/>
          <w:color w:val="auto"/>
        </w:rPr>
        <w:t>Pursuant to written Company policy, the Audit Committee reviews for approval or ratification all transactions with any related person, which SEC rules define to include directors, director nominees, executive officers, beneficial owners of in excess of 5% of the outstanding shares of the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w:t>
      </w:r>
    </w:p>
    <w:p>
      <w:pPr>
        <w:spacing w:after="0" w:line="1" w:lineRule="exact"/>
        <w:rPr>
          <w:sz w:val="20"/>
          <w:szCs w:val="20"/>
          <w:color w:val="auto"/>
        </w:rPr>
      </w:pPr>
    </w:p>
    <w:p>
      <w:pPr>
        <w:ind w:left="1260" w:right="219" w:firstLine="7"/>
        <w:spacing w:after="0" w:line="266" w:lineRule="auto"/>
        <w:tabs>
          <w:tab w:leader="none" w:pos="1446" w:val="left"/>
        </w:tabs>
        <w:numPr>
          <w:ilvl w:val="0"/>
          <w:numId w:val="48"/>
        </w:numPr>
        <w:rPr>
          <w:rFonts w:ascii="Arial" w:cs="Arial" w:eastAsia="Arial" w:hAnsi="Arial"/>
          <w:sz w:val="12"/>
          <w:szCs w:val="12"/>
          <w:color w:val="auto"/>
        </w:rPr>
      </w:pPr>
      <w:r>
        <w:rPr>
          <w:rFonts w:ascii="Arial" w:cs="Arial" w:eastAsia="Arial" w:hAnsi="Arial"/>
          <w:sz w:val="12"/>
          <w:szCs w:val="12"/>
          <w:color w:val="auto"/>
        </w:rPr>
        <w:t>transactions where the related person’s interest arises solely from the ownership of the Company’s stock and all shareholders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41" w:lineRule="exact"/>
        <w:rPr>
          <w:sz w:val="20"/>
          <w:szCs w:val="20"/>
          <w:color w:val="auto"/>
        </w:rPr>
      </w:pPr>
    </w:p>
    <w:p>
      <w:pPr>
        <w:ind w:left="1260" w:right="339"/>
        <w:spacing w:after="0" w:line="271" w:lineRule="auto"/>
        <w:rPr>
          <w:sz w:val="20"/>
          <w:szCs w:val="20"/>
          <w:color w:val="auto"/>
        </w:rPr>
      </w:pPr>
      <w:r>
        <w:rPr>
          <w:rFonts w:ascii="Arial" w:cs="Arial" w:eastAsia="Arial" w:hAnsi="Arial"/>
          <w:sz w:val="13"/>
          <w:szCs w:val="13"/>
          <w:color w:val="auto"/>
        </w:rPr>
        <w:t>The following are the material transactions or agreements that occurred or were in effect at any time after January 1, 2025, between the Company and related persons. The Audit Committee has approved or ratified all of these transactions that occurred after the date of the adoption of the policy.</w:t>
      </w:r>
    </w:p>
    <w:p>
      <w:pPr>
        <w:spacing w:after="0" w:line="134" w:lineRule="exact"/>
        <w:rPr>
          <w:sz w:val="20"/>
          <w:szCs w:val="20"/>
          <w:color w:val="auto"/>
        </w:rPr>
      </w:pPr>
    </w:p>
    <w:p>
      <w:pPr>
        <w:ind w:left="1260" w:right="259"/>
        <w:spacing w:after="0" w:line="248" w:lineRule="auto"/>
        <w:rPr>
          <w:sz w:val="20"/>
          <w:szCs w:val="20"/>
          <w:color w:val="auto"/>
        </w:rPr>
      </w:pPr>
      <w:r>
        <w:rPr>
          <w:rFonts w:ascii="Arial" w:cs="Arial" w:eastAsia="Arial" w:hAnsi="Arial"/>
          <w:sz w:val="13"/>
          <w:szCs w:val="13"/>
          <w:color w:val="B9AFA0"/>
        </w:rPr>
        <w:t xml:space="preserve">COOPERATION AGREEMENT. </w:t>
      </w:r>
      <w:r>
        <w:rPr>
          <w:rFonts w:ascii="Arial" w:cs="Arial" w:eastAsia="Arial" w:hAnsi="Arial"/>
          <w:sz w:val="13"/>
          <w:szCs w:val="13"/>
          <w:color w:val="000000"/>
        </w:rPr>
        <w:t>On August 3, 2018, the Company entered into a Cooperation Agreement (the “Cooperation Agreement”) with Elaine P.</w:t>
      </w:r>
      <w:r>
        <w:rPr>
          <w:rFonts w:ascii="Arial" w:cs="Arial" w:eastAsia="Arial" w:hAnsi="Arial"/>
          <w:sz w:val="13"/>
          <w:szCs w:val="13"/>
          <w:color w:val="B9AFA0"/>
        </w:rPr>
        <w:t xml:space="preserve"> </w:t>
      </w:r>
      <w:r>
        <w:rPr>
          <w:rFonts w:ascii="Arial" w:cs="Arial" w:eastAsia="Arial" w:hAnsi="Arial"/>
          <w:sz w:val="13"/>
          <w:szCs w:val="13"/>
          <w:color w:val="000000"/>
        </w:rPr>
        <w:t>Wynn (“Ms. Wynn”) regarding the composition of the Board and certain other matters, including, among other things, the appointment of Mr. Satre to the Board, standstill restrictions, releases, non-disparagement, reimbursement of expenses, and the grant of certain complimentary privileges. The term of the Cooperation Agreement expires on the date that Phil Satre no longer serves as Chair of the Board, unless earlier terminated pursuant to the circumstances described in the Cooperation Agreement.</w:t>
      </w:r>
    </w:p>
    <w:p>
      <w:pPr>
        <w:spacing w:after="0" w:line="150" w:lineRule="exact"/>
        <w:rPr>
          <w:sz w:val="20"/>
          <w:szCs w:val="20"/>
          <w:color w:val="auto"/>
        </w:rPr>
      </w:pPr>
    </w:p>
    <w:p>
      <w:pPr>
        <w:ind w:left="1260" w:right="139"/>
        <w:spacing w:after="0" w:line="251" w:lineRule="auto"/>
        <w:rPr>
          <w:sz w:val="20"/>
          <w:szCs w:val="20"/>
          <w:color w:val="auto"/>
        </w:rPr>
      </w:pPr>
      <w:r>
        <w:rPr>
          <w:rFonts w:ascii="Arial" w:cs="Arial" w:eastAsia="Arial" w:hAnsi="Arial"/>
          <w:sz w:val="13"/>
          <w:szCs w:val="13"/>
          <w:color w:val="B9AFA0"/>
        </w:rPr>
        <w:t xml:space="preserve">REIMBURSABLE COSTS. </w:t>
      </w:r>
      <w:r>
        <w:rPr>
          <w:rFonts w:ascii="Arial" w:cs="Arial" w:eastAsia="Arial" w:hAnsi="Arial"/>
          <w:sz w:val="13"/>
          <w:szCs w:val="13"/>
          <w:color w:val="000000"/>
        </w:rPr>
        <w:t>The Company periodically provides services to certain executive officers, directors, or former directors of the Company,</w:t>
      </w:r>
      <w:r>
        <w:rPr>
          <w:rFonts w:ascii="Arial" w:cs="Arial" w:eastAsia="Arial" w:hAnsi="Arial"/>
          <w:sz w:val="13"/>
          <w:szCs w:val="13"/>
          <w:color w:val="B9AFA0"/>
        </w:rPr>
        <w:t xml:space="preserve"> </w:t>
      </w:r>
      <w:r>
        <w:rPr>
          <w:rFonts w:ascii="Arial" w:cs="Arial" w:eastAsia="Arial" w:hAnsi="Arial"/>
          <w:sz w:val="13"/>
          <w:szCs w:val="13"/>
          <w:color w:val="000000"/>
        </w:rPr>
        <w:t>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2025, these net deposit balances with the Company were immaterial, as were the services provided.</w:t>
      </w:r>
    </w:p>
    <w:p>
      <w:pPr>
        <w:spacing w:after="0" w:line="147" w:lineRule="exact"/>
        <w:rPr>
          <w:sz w:val="20"/>
          <w:szCs w:val="20"/>
          <w:color w:val="auto"/>
        </w:rPr>
      </w:pPr>
    </w:p>
    <w:p>
      <w:pPr>
        <w:ind w:left="1260" w:right="179"/>
        <w:spacing w:after="0" w:line="248" w:lineRule="auto"/>
        <w:rPr>
          <w:sz w:val="20"/>
          <w:szCs w:val="20"/>
          <w:color w:val="auto"/>
        </w:rPr>
      </w:pPr>
      <w:r>
        <w:rPr>
          <w:rFonts w:ascii="Arial" w:cs="Arial" w:eastAsia="Arial" w:hAnsi="Arial"/>
          <w:sz w:val="13"/>
          <w:szCs w:val="13"/>
          <w:color w:val="B9AFA0"/>
        </w:rPr>
        <w:t xml:space="preserve">AIRCRAFT ARRANGEMENTS. </w:t>
      </w:r>
      <w:r>
        <w:rPr>
          <w:rFonts w:ascii="Arial" w:cs="Arial" w:eastAsia="Arial" w:hAnsi="Arial"/>
          <w:sz w:val="13"/>
          <w:szCs w:val="13"/>
          <w:color w:val="000000"/>
        </w:rPr>
        <w:t>NEOs, among other executives, may periodically use the Company’s aircraft for business or personal travel. Should an</w:t>
      </w:r>
      <w:r>
        <w:rPr>
          <w:rFonts w:ascii="Arial" w:cs="Arial" w:eastAsia="Arial" w:hAnsi="Arial"/>
          <w:sz w:val="13"/>
          <w:szCs w:val="13"/>
          <w:color w:val="B9AFA0"/>
        </w:rPr>
        <w:t xml:space="preserve"> </w:t>
      </w:r>
      <w:r>
        <w:rPr>
          <w:rFonts w:ascii="Arial" w:cs="Arial" w:eastAsia="Arial" w:hAnsi="Arial"/>
          <w:sz w:val="13"/>
          <w:szCs w:val="13"/>
          <w:color w:val="000000"/>
        </w:rPr>
        <w:t>executive use the Company’s aircraft for personal reasons, they are required to enter into a time-sharing arrangement with the Company, whereby the executive reimburses the Company for the direct, incremental cost associated with the flight. Additionally, the Company is required to include as taxable compensation of an executive, the direct costs that the Company incurs in operating the aircraft where personal passengers accompany the executive on business flights, up to an amount determined by using the Internal Revenue</w:t>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0159"/>
          </w:cols>
          <w:pgMar w:left="300" w:top="413"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419"/>
        <w:spacing w:after="0" w:line="256" w:lineRule="auto"/>
        <w:rPr>
          <w:sz w:val="20"/>
          <w:szCs w:val="20"/>
          <w:color w:val="auto"/>
        </w:rPr>
      </w:pPr>
      <w:r>
        <w:rPr>
          <w:rFonts w:ascii="Arial" w:cs="Arial" w:eastAsia="Arial" w:hAnsi="Arial"/>
          <w:sz w:val="13"/>
          <w:szCs w:val="13"/>
          <w:color w:val="auto"/>
        </w:rPr>
        <w:t>Service Standard Industry Fare Level (SIFL) tables. During 2025, $10,714 was included in Mr. Billings’ taxable compensation for business flights with personal accompaniment. The Company does not provide tax gross ups related to the value of aircraft usage that is imputed into compensation. Ms. Cameron-Doe and Ms. Krum did not use the Company’s aircraft for personal travel during 2025.</w:t>
      </w:r>
    </w:p>
    <w:p>
      <w:pPr>
        <w:spacing w:after="0" w:line="144" w:lineRule="exact"/>
        <w:rPr>
          <w:sz w:val="20"/>
          <w:szCs w:val="20"/>
          <w:color w:val="auto"/>
        </w:rPr>
      </w:pPr>
    </w:p>
    <w:p>
      <w:pPr>
        <w:ind w:left="1260" w:right="199"/>
        <w:spacing w:after="0" w:line="247" w:lineRule="auto"/>
        <w:rPr>
          <w:sz w:val="20"/>
          <w:szCs w:val="20"/>
          <w:color w:val="auto"/>
        </w:rPr>
      </w:pPr>
      <w:r>
        <w:rPr>
          <w:rFonts w:ascii="Arial" w:cs="Arial" w:eastAsia="Arial" w:hAnsi="Arial"/>
          <w:sz w:val="13"/>
          <w:szCs w:val="13"/>
          <w:color w:val="B9AFA0"/>
        </w:rPr>
        <w:t xml:space="preserve">OTHER. </w:t>
      </w:r>
      <w:r>
        <w:rPr>
          <w:rFonts w:ascii="Arial" w:cs="Arial" w:eastAsia="Arial" w:hAnsi="Arial"/>
          <w:sz w:val="13"/>
          <w:szCs w:val="13"/>
          <w:color w:val="000000"/>
        </w:rPr>
        <w:t>In addition to the above, the Company (or its subsidiaries) employs Maryann Pascal, the sister-in-law of Ms. Wynn (who, prior to her death in</w:t>
      </w:r>
      <w:r>
        <w:rPr>
          <w:rFonts w:ascii="Arial" w:cs="Arial" w:eastAsia="Arial" w:hAnsi="Arial"/>
          <w:sz w:val="13"/>
          <w:szCs w:val="13"/>
          <w:color w:val="B9AFA0"/>
        </w:rPr>
        <w:t xml:space="preserve"> </w:t>
      </w:r>
      <w:r>
        <w:rPr>
          <w:rFonts w:ascii="Arial" w:cs="Arial" w:eastAsia="Arial" w:hAnsi="Arial"/>
          <w:sz w:val="13"/>
          <w:szCs w:val="13"/>
          <w:color w:val="000000"/>
        </w:rPr>
        <w:t>April 2025, was the beneficial owner of in excess of 5% of the outstanding shares of the Common Stock), as Vice President – Player Development at Wynn Las Vegas. The Audit Committee of the Company approved the employment arrangement and determined that compensation was at (or below) levels paid to non-family members. Total compensation paid to Ms. Pascal for 2025 included the following amounts calculated in the same manner as the Summary Compensation Table values presented for NEOs: salary of $325,000, stock awards of $47,648, bonus of $270,111, and other compensation of $0.</w:t>
      </w:r>
    </w:p>
    <w:p>
      <w:pPr>
        <w:spacing w:after="0" w:line="96"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0159"/>
          </w:cols>
          <w:pgMar w:left="300" w:top="41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Pay Ratio Disclosure</w:t>
      </w:r>
    </w:p>
    <w:p>
      <w:pPr>
        <w:spacing w:after="0" w:line="278" w:lineRule="exact"/>
        <w:rPr>
          <w:sz w:val="20"/>
          <w:szCs w:val="20"/>
          <w:color w:val="auto"/>
        </w:rPr>
      </w:pPr>
    </w:p>
    <w:p>
      <w:pPr>
        <w:ind w:left="1260" w:right="339"/>
        <w:spacing w:after="0" w:line="248" w:lineRule="auto"/>
        <w:rPr>
          <w:sz w:val="20"/>
          <w:szCs w:val="20"/>
          <w:color w:val="auto"/>
        </w:rPr>
      </w:pPr>
      <w:r>
        <w:rPr>
          <w:rFonts w:ascii="Arial" w:cs="Arial" w:eastAsia="Arial" w:hAnsi="Arial"/>
          <w:sz w:val="13"/>
          <w:szCs w:val="13"/>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may have different employee populations and compensation practices and may utilize different methodologies, exclusions, estimates and assumptions in calculating their own pay ratios.</w:t>
      </w:r>
    </w:p>
    <w:p>
      <w:pPr>
        <w:spacing w:after="0" w:line="150" w:lineRule="exact"/>
        <w:rPr>
          <w:sz w:val="20"/>
          <w:szCs w:val="20"/>
          <w:color w:val="auto"/>
        </w:rPr>
      </w:pPr>
    </w:p>
    <w:p>
      <w:pPr>
        <w:ind w:left="1260" w:right="259"/>
        <w:spacing w:after="0" w:line="244" w:lineRule="auto"/>
        <w:rPr>
          <w:sz w:val="20"/>
          <w:szCs w:val="20"/>
          <w:color w:val="auto"/>
        </w:rPr>
      </w:pPr>
      <w:r>
        <w:rPr>
          <w:rFonts w:ascii="Arial" w:cs="Arial" w:eastAsia="Arial" w:hAnsi="Arial"/>
          <w:sz w:val="13"/>
          <w:szCs w:val="13"/>
          <w:color w:val="auto"/>
        </w:rPr>
        <w:t>The pay ratio reported below is a reasonable estimate calculated in a manner consistent with SEC rules based on our payroll records and the methodology described below. For these purposes, we determined the median compensated employee using taxable income for 2025, which we annualized for any employee who did not work for the entire year unless designated as a temporary employee. We determined that, as of December 31, 2025, our employee population consisted of approximately 28,500 employees, with approximately 42% working in Macau as an employee of Wynn Macau, Limited or one of its subsidiaries. In identifying the median employee, we made a cost-of-living adjustment using the International Monetary Fund’s implied purchasing power conversion rate of 4.5 with respect to employees located in Macau. Using this methodology, we determined that the median employee for 2025 was a full-time, salaried employee located in Macau. The 2025 annual total compensation of our median compensated employee, other than our CEO, was $63,081; the 2025 annual total compensation of our CEO, Mr. Billings, was $15,090,901; and the ratio of these amounts was 1-to-239.</w:t>
      </w:r>
    </w:p>
    <w:p>
      <w:pPr>
        <w:spacing w:after="0" w:line="156" w:lineRule="exact"/>
        <w:rPr>
          <w:sz w:val="20"/>
          <w:szCs w:val="20"/>
          <w:color w:val="auto"/>
        </w:rPr>
      </w:pPr>
    </w:p>
    <w:p>
      <w:pPr>
        <w:ind w:left="1260" w:right="179"/>
        <w:spacing w:after="0" w:line="251" w:lineRule="auto"/>
        <w:rPr>
          <w:sz w:val="20"/>
          <w:szCs w:val="20"/>
          <w:color w:val="auto"/>
        </w:rPr>
      </w:pPr>
      <w:r>
        <w:rPr>
          <w:rFonts w:ascii="Arial" w:cs="Arial" w:eastAsia="Arial" w:hAnsi="Arial"/>
          <w:sz w:val="13"/>
          <w:szCs w:val="13"/>
          <w:color w:val="auto"/>
        </w:rPr>
        <w:t>To identify the median employee without a cost-of-living adjustment, we converted the compensation paid in Macau currency to U.S. dollars by applying a Macau patacas to U.S. dollars exchange rate using the noon buying rate of exchange of Macau patacas to U.S. dollars of 8.01 on December 31, 2025. The 2025 annual total compensation of our median compensated employee, other than our CEO serving as of December 31, 2025, without the cost-of-living adjustment was $51,032; and the ratio of this amount to Mr. Billings’ 2025 annual total compensation was 1-to-296.</w:t>
      </w:r>
    </w:p>
    <w:p>
      <w:pPr>
        <w:spacing w:after="0" w:line="147" w:lineRule="exact"/>
        <w:rPr>
          <w:sz w:val="20"/>
          <w:szCs w:val="20"/>
          <w:color w:val="auto"/>
        </w:rPr>
      </w:pPr>
    </w:p>
    <w:p>
      <w:pPr>
        <w:ind w:left="1260" w:right="139"/>
        <w:spacing w:after="0" w:line="247" w:lineRule="auto"/>
        <w:rPr>
          <w:sz w:val="20"/>
          <w:szCs w:val="20"/>
          <w:color w:val="auto"/>
        </w:rPr>
      </w:pPr>
      <w:r>
        <w:rPr>
          <w:rFonts w:ascii="Arial" w:cs="Arial" w:eastAsia="Arial" w:hAnsi="Arial"/>
          <w:sz w:val="13"/>
          <w:szCs w:val="13"/>
          <w:color w:val="auto"/>
        </w:rPr>
        <w:t>We believe the employee population for gaming and hospitality industries includes a large percentage of “steady extra workers.” These are permanent workers who are paid hourly and obtain hours based on business volumes (e.g., coverage during peak times such as when large conventions are in town) and personal needs of the employee. As of December 31, 2025, approximately 18% of our employee population of approximately 28,500 consisted of steady extra workers, most of whom are eligible for medical and other benefits. Based on SEC’s rules, these permanent workers are included in the employee population used in calculating the median employee compensation and may impact comparability of our median employee compensation amount with that in other industries.</w:t>
      </w:r>
    </w:p>
    <w:p>
      <w:pPr>
        <w:spacing w:after="0" w:line="150" w:lineRule="exact"/>
        <w:rPr>
          <w:sz w:val="20"/>
          <w:szCs w:val="20"/>
          <w:color w:val="auto"/>
        </w:rPr>
      </w:pPr>
    </w:p>
    <w:p>
      <w:pPr>
        <w:ind w:left="1260" w:right="259"/>
        <w:spacing w:after="0" w:line="256" w:lineRule="auto"/>
        <w:rPr>
          <w:sz w:val="20"/>
          <w:szCs w:val="20"/>
          <w:color w:val="auto"/>
        </w:rPr>
      </w:pPr>
      <w:r>
        <w:rPr>
          <w:rFonts w:ascii="Arial" w:cs="Arial" w:eastAsia="Arial" w:hAnsi="Arial"/>
          <w:sz w:val="13"/>
          <w:szCs w:val="13"/>
          <w:color w:val="auto"/>
        </w:rPr>
        <w:t>Our talented and dedicated employees play an integral role in our overall success and we place great emphasis on creating an environment for our employees to excel and advance. We are committed to the development, health and well-being of our workforce through various programs, benefits and amenities. Please refer to “Our people and our stewardship” for additional information.</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0159"/>
          </w:cols>
          <w:pgMar w:left="300" w:top="412"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Pay vs. Performance</w:t>
      </w:r>
    </w:p>
    <w:p>
      <w:pPr>
        <w:spacing w:after="0" w:line="192" w:lineRule="exact"/>
        <w:rPr>
          <w:sz w:val="20"/>
          <w:szCs w:val="20"/>
          <w:color w:val="auto"/>
        </w:rPr>
      </w:pPr>
    </w:p>
    <w:p>
      <w:pPr>
        <w:ind w:left="1260" w:right="1360"/>
        <w:spacing w:after="0" w:line="256" w:lineRule="auto"/>
        <w:rPr>
          <w:sz w:val="20"/>
          <w:szCs w:val="20"/>
          <w:color w:val="auto"/>
        </w:rPr>
      </w:pPr>
      <w:r>
        <w:rPr>
          <w:rFonts w:ascii="Arial" w:cs="Arial" w:eastAsia="Arial" w:hAnsi="Arial"/>
          <w:sz w:val="13"/>
          <w:szCs w:val="13"/>
          <w:color w:val="auto"/>
        </w:rPr>
        <w:t>The following table sets forth SEC required information with respect to the Company’s financial performance and the compensation paid to our Principal Executive Officer(s) (each, a “PEO”) and our non-PEO NEOs for the fiscal years ended on December 31, 2021, December 31, 2022, December 31, 2023, December 31, 2024, and December 31, 2025.</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80" w:type="dxa"/>
            <w:vAlign w:val="bottom"/>
            <w:shd w:val="clear" w:color="auto" w:fill="B9AFA0"/>
          </w:tcPr>
          <w:p>
            <w:pPr>
              <w:spacing w:after="0"/>
              <w:rPr>
                <w:sz w:val="11"/>
                <w:szCs w:val="11"/>
                <w:color w:val="auto"/>
              </w:rPr>
            </w:pPr>
          </w:p>
        </w:tc>
        <w:tc>
          <w:tcPr>
            <w:tcW w:w="400" w:type="dxa"/>
            <w:vAlign w:val="bottom"/>
            <w:shd w:val="clear" w:color="auto" w:fill="B9AFA0"/>
          </w:tcPr>
          <w:p>
            <w:pPr>
              <w:spacing w:after="0"/>
              <w:rPr>
                <w:sz w:val="11"/>
                <w:szCs w:val="11"/>
                <w:color w:val="auto"/>
              </w:rPr>
            </w:pPr>
          </w:p>
        </w:tc>
        <w:tc>
          <w:tcPr>
            <w:tcW w:w="740" w:type="dxa"/>
            <w:vAlign w:val="bottom"/>
            <w:shd w:val="clear" w:color="auto" w:fill="B9AFA0"/>
          </w:tcPr>
          <w:p>
            <w:pPr>
              <w:spacing w:after="0"/>
              <w:rPr>
                <w:sz w:val="11"/>
                <w:szCs w:val="11"/>
                <w:color w:val="auto"/>
              </w:rPr>
            </w:pPr>
          </w:p>
        </w:tc>
        <w:tc>
          <w:tcPr>
            <w:tcW w:w="1480" w:type="dxa"/>
            <w:vAlign w:val="bottom"/>
            <w:tcBorders>
              <w:right w:val="single" w:sz="8" w:color="B9AFA0"/>
            </w:tcBorders>
            <w:shd w:val="clear" w:color="auto" w:fill="B9AFA0"/>
          </w:tcPr>
          <w:p>
            <w:pPr>
              <w:spacing w:after="0"/>
              <w:rPr>
                <w:sz w:val="11"/>
                <w:szCs w:val="11"/>
                <w:color w:val="auto"/>
              </w:rPr>
            </w:pPr>
          </w:p>
        </w:tc>
        <w:tc>
          <w:tcPr>
            <w:tcW w:w="1180" w:type="dxa"/>
            <w:vAlign w:val="bottom"/>
            <w:shd w:val="clear" w:color="auto" w:fill="B9AFA0"/>
          </w:tcPr>
          <w:p>
            <w:pPr>
              <w:spacing w:after="0"/>
              <w:rPr>
                <w:sz w:val="11"/>
                <w:szCs w:val="11"/>
                <w:color w:val="auto"/>
              </w:rPr>
            </w:pPr>
          </w:p>
        </w:tc>
        <w:tc>
          <w:tcPr>
            <w:tcW w:w="440" w:type="dxa"/>
            <w:vAlign w:val="bottom"/>
            <w:shd w:val="clear" w:color="auto" w:fill="B9AFA0"/>
          </w:tcPr>
          <w:p>
            <w:pPr>
              <w:spacing w:after="0"/>
              <w:rPr>
                <w:sz w:val="11"/>
                <w:szCs w:val="11"/>
                <w:color w:val="auto"/>
              </w:rPr>
            </w:pPr>
          </w:p>
        </w:tc>
        <w:tc>
          <w:tcPr>
            <w:tcW w:w="740" w:type="dxa"/>
            <w:vAlign w:val="bottom"/>
            <w:shd w:val="clear" w:color="auto" w:fill="B9AFA0"/>
          </w:tcPr>
          <w:p>
            <w:pPr>
              <w:spacing w:after="0"/>
              <w:rPr>
                <w:sz w:val="11"/>
                <w:szCs w:val="11"/>
                <w:color w:val="auto"/>
              </w:rPr>
            </w:pPr>
          </w:p>
        </w:tc>
        <w:tc>
          <w:tcPr>
            <w:tcW w:w="1100" w:type="dxa"/>
            <w:vAlign w:val="bottom"/>
            <w:shd w:val="clear" w:color="auto" w:fill="B9AFA0"/>
          </w:tcPr>
          <w:p>
            <w:pPr>
              <w:spacing w:after="0"/>
              <w:rPr>
                <w:sz w:val="11"/>
                <w:szCs w:val="11"/>
                <w:color w:val="auto"/>
              </w:rPr>
            </w:pPr>
          </w:p>
        </w:tc>
        <w:tc>
          <w:tcPr>
            <w:tcW w:w="1120" w:type="dxa"/>
            <w:vAlign w:val="bottom"/>
            <w:shd w:val="clear" w:color="auto" w:fill="B9AFA0"/>
          </w:tcPr>
          <w:p>
            <w:pPr>
              <w:spacing w:after="0"/>
              <w:rPr>
                <w:sz w:val="11"/>
                <w:szCs w:val="11"/>
                <w:color w:val="auto"/>
              </w:rPr>
            </w:pPr>
          </w:p>
        </w:tc>
        <w:tc>
          <w:tcPr>
            <w:tcW w:w="460" w:type="dxa"/>
            <w:vAlign w:val="bottom"/>
            <w:shd w:val="clear" w:color="auto" w:fill="B9AFA0"/>
          </w:tcPr>
          <w:p>
            <w:pPr>
              <w:spacing w:after="0"/>
              <w:rPr>
                <w:sz w:val="11"/>
                <w:szCs w:val="11"/>
                <w:color w:val="auto"/>
              </w:rPr>
            </w:pPr>
          </w:p>
        </w:tc>
        <w:tc>
          <w:tcPr>
            <w:tcW w:w="1660" w:type="dxa"/>
            <w:vAlign w:val="bottom"/>
            <w:gridSpan w:val="2"/>
            <w:shd w:val="clear" w:color="auto" w:fill="B9AFA0"/>
          </w:tcPr>
          <w:p>
            <w:pPr>
              <w:jc w:val="center"/>
              <w:ind w:right="197"/>
              <w:spacing w:after="0"/>
              <w:rPr>
                <w:sz w:val="20"/>
                <w:szCs w:val="20"/>
                <w:color w:val="auto"/>
              </w:rPr>
            </w:pPr>
            <w:r>
              <w:rPr>
                <w:rFonts w:ascii="Arial" w:cs="Arial" w:eastAsia="Arial" w:hAnsi="Arial"/>
                <w:sz w:val="9"/>
                <w:szCs w:val="9"/>
                <w:color w:val="FFFFFF"/>
                <w:w w:val="94"/>
              </w:rPr>
              <w:t>VALUE OF INITIAL FIXED $100</w:t>
            </w:r>
          </w:p>
        </w:tc>
        <w:tc>
          <w:tcPr>
            <w:tcW w:w="220" w:type="dxa"/>
            <w:vAlign w:val="bottom"/>
            <w:shd w:val="clear" w:color="auto" w:fill="B9AFA0"/>
          </w:tcPr>
          <w:p>
            <w:pPr>
              <w:spacing w:after="0"/>
              <w:rPr>
                <w:sz w:val="11"/>
                <w:szCs w:val="11"/>
                <w:color w:val="auto"/>
              </w:rPr>
            </w:pPr>
          </w:p>
        </w:tc>
        <w:tc>
          <w:tcPr>
            <w:tcW w:w="260" w:type="dxa"/>
            <w:vAlign w:val="bottom"/>
            <w:shd w:val="clear" w:color="auto" w:fill="B9AFA0"/>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 w:type="dxa"/>
            <w:vAlign w:val="bottom"/>
            <w:tcBorders>
              <w:bottom w:val="single" w:sz="8" w:color="B9AFA0"/>
            </w:tcBorders>
            <w:shd w:val="clear" w:color="auto" w:fill="B9AFA0"/>
          </w:tcPr>
          <w:p>
            <w:pPr>
              <w:spacing w:after="0"/>
              <w:rPr>
                <w:sz w:val="12"/>
                <w:szCs w:val="12"/>
                <w:color w:val="auto"/>
              </w:rPr>
            </w:pPr>
          </w:p>
        </w:tc>
        <w:tc>
          <w:tcPr>
            <w:tcW w:w="400" w:type="dxa"/>
            <w:vAlign w:val="bottom"/>
            <w:tcBorders>
              <w:bottom w:val="single" w:sz="8" w:color="B9AFA0"/>
            </w:tcBorders>
            <w:shd w:val="clear" w:color="auto" w:fill="B9AFA0"/>
          </w:tcPr>
          <w:p>
            <w:pPr>
              <w:spacing w:after="0"/>
              <w:rPr>
                <w:sz w:val="12"/>
                <w:szCs w:val="12"/>
                <w:color w:val="auto"/>
              </w:rPr>
            </w:pPr>
          </w:p>
        </w:tc>
        <w:tc>
          <w:tcPr>
            <w:tcW w:w="740" w:type="dxa"/>
            <w:vAlign w:val="bottom"/>
            <w:tcBorders>
              <w:bottom w:val="single" w:sz="8" w:color="B9AFA0"/>
            </w:tcBorders>
            <w:shd w:val="clear" w:color="auto" w:fill="B9AFA0"/>
          </w:tcPr>
          <w:p>
            <w:pPr>
              <w:spacing w:after="0"/>
              <w:rPr>
                <w:sz w:val="12"/>
                <w:szCs w:val="12"/>
                <w:color w:val="auto"/>
              </w:rPr>
            </w:pPr>
          </w:p>
        </w:tc>
        <w:tc>
          <w:tcPr>
            <w:tcW w:w="1480" w:type="dxa"/>
            <w:vAlign w:val="bottom"/>
            <w:tcBorders>
              <w:bottom w:val="single" w:sz="8" w:color="B9AFA0"/>
              <w:right w:val="single" w:sz="8" w:color="B9AFA0"/>
            </w:tcBorders>
            <w:shd w:val="clear" w:color="auto" w:fill="B9AFA0"/>
          </w:tcPr>
          <w:p>
            <w:pPr>
              <w:spacing w:after="0"/>
              <w:rPr>
                <w:sz w:val="12"/>
                <w:szCs w:val="12"/>
                <w:color w:val="auto"/>
              </w:rPr>
            </w:pPr>
          </w:p>
        </w:tc>
        <w:tc>
          <w:tcPr>
            <w:tcW w:w="1180" w:type="dxa"/>
            <w:vAlign w:val="bottom"/>
            <w:tcBorders>
              <w:bottom w:val="single" w:sz="8" w:color="B9AFA0"/>
            </w:tcBorders>
            <w:shd w:val="clear" w:color="auto" w:fill="B9AFA0"/>
          </w:tcPr>
          <w:p>
            <w:pPr>
              <w:spacing w:after="0"/>
              <w:rPr>
                <w:sz w:val="12"/>
                <w:szCs w:val="12"/>
                <w:color w:val="auto"/>
              </w:rPr>
            </w:pPr>
          </w:p>
        </w:tc>
        <w:tc>
          <w:tcPr>
            <w:tcW w:w="440" w:type="dxa"/>
            <w:vAlign w:val="bottom"/>
            <w:tcBorders>
              <w:bottom w:val="single" w:sz="8" w:color="B9AFA0"/>
            </w:tcBorders>
            <w:shd w:val="clear" w:color="auto" w:fill="B9AFA0"/>
          </w:tcPr>
          <w:p>
            <w:pPr>
              <w:spacing w:after="0"/>
              <w:rPr>
                <w:sz w:val="12"/>
                <w:szCs w:val="12"/>
                <w:color w:val="auto"/>
              </w:rPr>
            </w:pPr>
          </w:p>
        </w:tc>
        <w:tc>
          <w:tcPr>
            <w:tcW w:w="740" w:type="dxa"/>
            <w:vAlign w:val="bottom"/>
            <w:tcBorders>
              <w:bottom w:val="single" w:sz="8" w:color="B9AFA0"/>
            </w:tcBorders>
            <w:shd w:val="clear" w:color="auto" w:fill="B9AFA0"/>
          </w:tcPr>
          <w:p>
            <w:pPr>
              <w:spacing w:after="0"/>
              <w:rPr>
                <w:sz w:val="12"/>
                <w:szCs w:val="12"/>
                <w:color w:val="auto"/>
              </w:rPr>
            </w:pPr>
          </w:p>
        </w:tc>
        <w:tc>
          <w:tcPr>
            <w:tcW w:w="1100" w:type="dxa"/>
            <w:vAlign w:val="bottom"/>
            <w:tcBorders>
              <w:bottom w:val="single" w:sz="8" w:color="B9AFA0"/>
            </w:tcBorders>
            <w:shd w:val="clear" w:color="auto" w:fill="B9AFA0"/>
          </w:tcPr>
          <w:p>
            <w:pPr>
              <w:spacing w:after="0"/>
              <w:rPr>
                <w:sz w:val="12"/>
                <w:szCs w:val="12"/>
                <w:color w:val="auto"/>
              </w:rPr>
            </w:pPr>
          </w:p>
        </w:tc>
        <w:tc>
          <w:tcPr>
            <w:tcW w:w="1120" w:type="dxa"/>
            <w:vAlign w:val="bottom"/>
            <w:tcBorders>
              <w:bottom w:val="single" w:sz="8" w:color="B9AFA0"/>
            </w:tcBorders>
            <w:shd w:val="clear" w:color="auto" w:fill="B9AFA0"/>
          </w:tcPr>
          <w:p>
            <w:pPr>
              <w:spacing w:after="0"/>
              <w:rPr>
                <w:sz w:val="12"/>
                <w:szCs w:val="12"/>
                <w:color w:val="auto"/>
              </w:rPr>
            </w:pPr>
          </w:p>
        </w:tc>
        <w:tc>
          <w:tcPr>
            <w:tcW w:w="460" w:type="dxa"/>
            <w:vAlign w:val="bottom"/>
            <w:tcBorders>
              <w:bottom w:val="single" w:sz="8" w:color="B9AFA0"/>
            </w:tcBorders>
            <w:shd w:val="clear" w:color="auto" w:fill="B9AFA0"/>
          </w:tcPr>
          <w:p>
            <w:pPr>
              <w:spacing w:after="0"/>
              <w:rPr>
                <w:sz w:val="12"/>
                <w:szCs w:val="12"/>
                <w:color w:val="auto"/>
              </w:rPr>
            </w:pPr>
          </w:p>
        </w:tc>
        <w:tc>
          <w:tcPr>
            <w:tcW w:w="1660" w:type="dxa"/>
            <w:vAlign w:val="bottom"/>
            <w:tcBorders>
              <w:bottom w:val="single" w:sz="8" w:color="B9AFA0"/>
            </w:tcBorders>
            <w:gridSpan w:val="2"/>
            <w:shd w:val="clear" w:color="auto" w:fill="B9AFA0"/>
          </w:tcPr>
          <w:p>
            <w:pPr>
              <w:jc w:val="center"/>
              <w:ind w:right="177"/>
              <w:spacing w:after="0"/>
              <w:rPr>
                <w:sz w:val="20"/>
                <w:szCs w:val="20"/>
                <w:color w:val="auto"/>
              </w:rPr>
            </w:pPr>
            <w:r>
              <w:rPr>
                <w:rFonts w:ascii="Arial" w:cs="Arial" w:eastAsia="Arial" w:hAnsi="Arial"/>
                <w:sz w:val="9"/>
                <w:szCs w:val="9"/>
                <w:color w:val="FFFFFF"/>
                <w:w w:val="94"/>
              </w:rPr>
              <w:t>INVESTMENT BASED ON:</w:t>
            </w:r>
          </w:p>
        </w:tc>
        <w:tc>
          <w:tcPr>
            <w:tcW w:w="220" w:type="dxa"/>
            <w:vAlign w:val="bottom"/>
            <w:tcBorders>
              <w:bottom w:val="single" w:sz="8" w:color="B9AFA0"/>
            </w:tcBorders>
            <w:shd w:val="clear" w:color="auto" w:fill="B9AFA0"/>
          </w:tcPr>
          <w:p>
            <w:pPr>
              <w:spacing w:after="0"/>
              <w:rPr>
                <w:sz w:val="12"/>
                <w:szCs w:val="12"/>
                <w:color w:val="auto"/>
              </w:rPr>
            </w:pPr>
          </w:p>
        </w:tc>
        <w:tc>
          <w:tcPr>
            <w:tcW w:w="260" w:type="dxa"/>
            <w:vAlign w:val="bottom"/>
            <w:tcBorders>
              <w:bottom w:val="single" w:sz="8" w:color="B9AFA0"/>
            </w:tcBorders>
            <w:shd w:val="clear" w:color="auto" w:fill="B9AFA0"/>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shd w:val="clear" w:color="auto" w:fill="B9AFA0"/>
          </w:tcPr>
          <w:p>
            <w:pPr>
              <w:spacing w:after="0"/>
              <w:rPr>
                <w:sz w:val="14"/>
                <w:szCs w:val="14"/>
                <w:color w:val="auto"/>
              </w:rPr>
            </w:pPr>
          </w:p>
        </w:tc>
        <w:tc>
          <w:tcPr>
            <w:tcW w:w="400" w:type="dxa"/>
            <w:vAlign w:val="bottom"/>
            <w:shd w:val="clear" w:color="auto" w:fill="B9AFA0"/>
          </w:tcPr>
          <w:p>
            <w:pPr>
              <w:spacing w:after="0"/>
              <w:rPr>
                <w:sz w:val="14"/>
                <w:szCs w:val="14"/>
                <w:color w:val="auto"/>
              </w:rPr>
            </w:pPr>
          </w:p>
        </w:tc>
        <w:tc>
          <w:tcPr>
            <w:tcW w:w="740" w:type="dxa"/>
            <w:vAlign w:val="bottom"/>
            <w:shd w:val="clear" w:color="auto" w:fill="B9AFA0"/>
          </w:tcPr>
          <w:p>
            <w:pPr>
              <w:spacing w:after="0"/>
              <w:rPr>
                <w:sz w:val="14"/>
                <w:szCs w:val="14"/>
                <w:color w:val="auto"/>
              </w:rPr>
            </w:pPr>
          </w:p>
        </w:tc>
        <w:tc>
          <w:tcPr>
            <w:tcW w:w="1480" w:type="dxa"/>
            <w:vAlign w:val="bottom"/>
            <w:tcBorders>
              <w:right w:val="single" w:sz="8" w:color="FCFCFC"/>
            </w:tcBorders>
            <w:shd w:val="clear" w:color="auto" w:fill="B9AFA0"/>
          </w:tcPr>
          <w:p>
            <w:pPr>
              <w:spacing w:after="0"/>
              <w:rPr>
                <w:sz w:val="14"/>
                <w:szCs w:val="14"/>
                <w:color w:val="auto"/>
              </w:rPr>
            </w:pPr>
          </w:p>
        </w:tc>
        <w:tc>
          <w:tcPr>
            <w:tcW w:w="1180" w:type="dxa"/>
            <w:vAlign w:val="bottom"/>
            <w:shd w:val="clear" w:color="auto" w:fill="B9AFA0"/>
          </w:tcPr>
          <w:p>
            <w:pPr>
              <w:spacing w:after="0"/>
              <w:rPr>
                <w:sz w:val="14"/>
                <w:szCs w:val="14"/>
                <w:color w:val="auto"/>
              </w:rPr>
            </w:pPr>
          </w:p>
        </w:tc>
        <w:tc>
          <w:tcPr>
            <w:tcW w:w="440" w:type="dxa"/>
            <w:vAlign w:val="bottom"/>
            <w:shd w:val="clear" w:color="auto" w:fill="B9AFA0"/>
          </w:tcPr>
          <w:p>
            <w:pPr>
              <w:spacing w:after="0"/>
              <w:rPr>
                <w:sz w:val="14"/>
                <w:szCs w:val="14"/>
                <w:color w:val="auto"/>
              </w:rPr>
            </w:pPr>
          </w:p>
        </w:tc>
        <w:tc>
          <w:tcPr>
            <w:tcW w:w="740" w:type="dxa"/>
            <w:vAlign w:val="bottom"/>
            <w:shd w:val="clear" w:color="auto" w:fill="B9AFA0"/>
          </w:tcPr>
          <w:p>
            <w:pPr>
              <w:spacing w:after="0"/>
              <w:rPr>
                <w:sz w:val="14"/>
                <w:szCs w:val="14"/>
                <w:color w:val="auto"/>
              </w:rPr>
            </w:pPr>
          </w:p>
        </w:tc>
        <w:tc>
          <w:tcPr>
            <w:tcW w:w="1100" w:type="dxa"/>
            <w:vAlign w:val="bottom"/>
            <w:shd w:val="clear" w:color="auto" w:fill="B9AFA0"/>
          </w:tcPr>
          <w:p>
            <w:pPr>
              <w:jc w:val="center"/>
              <w:spacing w:after="0"/>
              <w:rPr>
                <w:sz w:val="20"/>
                <w:szCs w:val="20"/>
                <w:color w:val="auto"/>
              </w:rPr>
            </w:pPr>
            <w:r>
              <w:rPr>
                <w:rFonts w:ascii="Arial" w:cs="Arial" w:eastAsia="Arial" w:hAnsi="Arial"/>
                <w:sz w:val="9"/>
                <w:szCs w:val="9"/>
                <w:color w:val="FFFFFF"/>
                <w:w w:val="91"/>
              </w:rPr>
              <w:t>AVERAGE</w:t>
            </w:r>
          </w:p>
        </w:tc>
        <w:tc>
          <w:tcPr>
            <w:tcW w:w="1120" w:type="dxa"/>
            <w:vAlign w:val="bottom"/>
            <w:shd w:val="clear" w:color="auto" w:fill="B9AFA0"/>
          </w:tcPr>
          <w:p>
            <w:pPr>
              <w:spacing w:after="0"/>
              <w:rPr>
                <w:sz w:val="14"/>
                <w:szCs w:val="14"/>
                <w:color w:val="auto"/>
              </w:rPr>
            </w:pPr>
          </w:p>
        </w:tc>
        <w:tc>
          <w:tcPr>
            <w:tcW w:w="460" w:type="dxa"/>
            <w:vAlign w:val="bottom"/>
            <w:shd w:val="clear" w:color="auto" w:fill="B9AFA0"/>
          </w:tcPr>
          <w:p>
            <w:pPr>
              <w:spacing w:after="0"/>
              <w:rPr>
                <w:sz w:val="14"/>
                <w:szCs w:val="14"/>
                <w:color w:val="auto"/>
              </w:rPr>
            </w:pPr>
          </w:p>
        </w:tc>
        <w:tc>
          <w:tcPr>
            <w:tcW w:w="640" w:type="dxa"/>
            <w:vAlign w:val="bottom"/>
            <w:shd w:val="clear" w:color="auto" w:fill="B9AFA0"/>
          </w:tcPr>
          <w:p>
            <w:pPr>
              <w:spacing w:after="0"/>
              <w:rPr>
                <w:sz w:val="14"/>
                <w:szCs w:val="14"/>
                <w:color w:val="auto"/>
              </w:rPr>
            </w:pPr>
          </w:p>
        </w:tc>
        <w:tc>
          <w:tcPr>
            <w:tcW w:w="1020" w:type="dxa"/>
            <w:vAlign w:val="bottom"/>
            <w:shd w:val="clear" w:color="auto" w:fill="B9AFA0"/>
          </w:tcPr>
          <w:p>
            <w:pPr>
              <w:spacing w:after="0"/>
              <w:rPr>
                <w:sz w:val="14"/>
                <w:szCs w:val="14"/>
                <w:color w:val="auto"/>
              </w:rPr>
            </w:pPr>
          </w:p>
        </w:tc>
        <w:tc>
          <w:tcPr>
            <w:tcW w:w="220" w:type="dxa"/>
            <w:vAlign w:val="bottom"/>
            <w:shd w:val="clear" w:color="auto" w:fill="B9AFA0"/>
          </w:tcPr>
          <w:p>
            <w:pPr>
              <w:spacing w:after="0"/>
              <w:rPr>
                <w:sz w:val="14"/>
                <w:szCs w:val="14"/>
                <w:color w:val="auto"/>
              </w:rPr>
            </w:pPr>
          </w:p>
        </w:tc>
        <w:tc>
          <w:tcPr>
            <w:tcW w:w="260" w:type="dxa"/>
            <w:vAlign w:val="bottom"/>
            <w:shd w:val="clear" w:color="auto" w:fill="B9AFA0"/>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80" w:type="dxa"/>
            <w:vAlign w:val="bottom"/>
            <w:shd w:val="clear" w:color="auto" w:fill="B9AFA0"/>
          </w:tcPr>
          <w:p>
            <w:pPr>
              <w:spacing w:after="0"/>
              <w:rPr>
                <w:sz w:val="8"/>
                <w:szCs w:val="8"/>
                <w:color w:val="auto"/>
              </w:rPr>
            </w:pPr>
          </w:p>
        </w:tc>
        <w:tc>
          <w:tcPr>
            <w:tcW w:w="400" w:type="dxa"/>
            <w:vAlign w:val="bottom"/>
            <w:shd w:val="clear" w:color="auto" w:fill="B9AFA0"/>
          </w:tcPr>
          <w:p>
            <w:pPr>
              <w:spacing w:after="0"/>
              <w:rPr>
                <w:sz w:val="8"/>
                <w:szCs w:val="8"/>
                <w:color w:val="auto"/>
              </w:rPr>
            </w:pPr>
          </w:p>
        </w:tc>
        <w:tc>
          <w:tcPr>
            <w:tcW w:w="740" w:type="dxa"/>
            <w:vAlign w:val="bottom"/>
            <w:shd w:val="clear" w:color="auto" w:fill="B9AFA0"/>
          </w:tcPr>
          <w:p>
            <w:pPr>
              <w:spacing w:after="0"/>
              <w:rPr>
                <w:sz w:val="8"/>
                <w:szCs w:val="8"/>
                <w:color w:val="auto"/>
              </w:rPr>
            </w:pPr>
          </w:p>
        </w:tc>
        <w:tc>
          <w:tcPr>
            <w:tcW w:w="1480" w:type="dxa"/>
            <w:vAlign w:val="bottom"/>
            <w:tcBorders>
              <w:right w:val="single" w:sz="8" w:color="FCFCFC"/>
            </w:tcBorders>
            <w:shd w:val="clear" w:color="auto" w:fill="B9AFA0"/>
          </w:tcPr>
          <w:p>
            <w:pPr>
              <w:spacing w:after="0"/>
              <w:rPr>
                <w:sz w:val="8"/>
                <w:szCs w:val="8"/>
                <w:color w:val="auto"/>
              </w:rPr>
            </w:pPr>
          </w:p>
        </w:tc>
        <w:tc>
          <w:tcPr>
            <w:tcW w:w="1180" w:type="dxa"/>
            <w:vAlign w:val="bottom"/>
            <w:shd w:val="clear" w:color="auto" w:fill="B9AFA0"/>
          </w:tcPr>
          <w:p>
            <w:pPr>
              <w:spacing w:after="0"/>
              <w:rPr>
                <w:sz w:val="8"/>
                <w:szCs w:val="8"/>
                <w:color w:val="auto"/>
              </w:rPr>
            </w:pPr>
          </w:p>
        </w:tc>
        <w:tc>
          <w:tcPr>
            <w:tcW w:w="440" w:type="dxa"/>
            <w:vAlign w:val="bottom"/>
            <w:shd w:val="clear" w:color="auto" w:fill="B9AFA0"/>
          </w:tcPr>
          <w:p>
            <w:pPr>
              <w:spacing w:after="0"/>
              <w:rPr>
                <w:sz w:val="8"/>
                <w:szCs w:val="8"/>
                <w:color w:val="auto"/>
              </w:rPr>
            </w:pPr>
          </w:p>
        </w:tc>
        <w:tc>
          <w:tcPr>
            <w:tcW w:w="740" w:type="dxa"/>
            <w:vAlign w:val="bottom"/>
            <w:shd w:val="clear" w:color="auto" w:fill="B9AFA0"/>
          </w:tcPr>
          <w:p>
            <w:pPr>
              <w:spacing w:after="0"/>
              <w:rPr>
                <w:sz w:val="8"/>
                <w:szCs w:val="8"/>
                <w:color w:val="auto"/>
              </w:rPr>
            </w:pPr>
          </w:p>
        </w:tc>
        <w:tc>
          <w:tcPr>
            <w:tcW w:w="1100" w:type="dxa"/>
            <w:vAlign w:val="bottom"/>
            <w:shd w:val="clear" w:color="auto" w:fill="B9AFA0"/>
          </w:tcPr>
          <w:p>
            <w:pPr>
              <w:jc w:val="center"/>
              <w:spacing w:after="0" w:line="97" w:lineRule="exact"/>
              <w:rPr>
                <w:sz w:val="20"/>
                <w:szCs w:val="20"/>
                <w:color w:val="auto"/>
              </w:rPr>
            </w:pPr>
            <w:r>
              <w:rPr>
                <w:rFonts w:ascii="Arial" w:cs="Arial" w:eastAsia="Arial" w:hAnsi="Arial"/>
                <w:sz w:val="9"/>
                <w:szCs w:val="9"/>
                <w:color w:val="FFFFFF"/>
                <w:w w:val="95"/>
              </w:rPr>
              <w:t>SUMMARY</w:t>
            </w:r>
          </w:p>
        </w:tc>
        <w:tc>
          <w:tcPr>
            <w:tcW w:w="1120" w:type="dxa"/>
            <w:vAlign w:val="bottom"/>
            <w:shd w:val="clear" w:color="auto" w:fill="B9AFA0"/>
          </w:tcPr>
          <w:p>
            <w:pPr>
              <w:spacing w:after="0"/>
              <w:rPr>
                <w:sz w:val="8"/>
                <w:szCs w:val="8"/>
                <w:color w:val="auto"/>
              </w:rPr>
            </w:pPr>
          </w:p>
        </w:tc>
        <w:tc>
          <w:tcPr>
            <w:tcW w:w="460" w:type="dxa"/>
            <w:vAlign w:val="bottom"/>
            <w:shd w:val="clear" w:color="auto" w:fill="B9AFA0"/>
          </w:tcPr>
          <w:p>
            <w:pPr>
              <w:spacing w:after="0"/>
              <w:rPr>
                <w:sz w:val="8"/>
                <w:szCs w:val="8"/>
                <w:color w:val="auto"/>
              </w:rPr>
            </w:pPr>
          </w:p>
        </w:tc>
        <w:tc>
          <w:tcPr>
            <w:tcW w:w="640" w:type="dxa"/>
            <w:vAlign w:val="bottom"/>
            <w:shd w:val="clear" w:color="auto" w:fill="B9AFA0"/>
          </w:tcPr>
          <w:p>
            <w:pPr>
              <w:spacing w:after="0"/>
              <w:rPr>
                <w:sz w:val="8"/>
                <w:szCs w:val="8"/>
                <w:color w:val="auto"/>
              </w:rPr>
            </w:pPr>
          </w:p>
        </w:tc>
        <w:tc>
          <w:tcPr>
            <w:tcW w:w="1020" w:type="dxa"/>
            <w:vAlign w:val="bottom"/>
            <w:shd w:val="clear" w:color="auto" w:fill="B9AFA0"/>
          </w:tcPr>
          <w:p>
            <w:pPr>
              <w:spacing w:after="0"/>
              <w:rPr>
                <w:sz w:val="8"/>
                <w:szCs w:val="8"/>
                <w:color w:val="auto"/>
              </w:rPr>
            </w:pPr>
          </w:p>
        </w:tc>
        <w:tc>
          <w:tcPr>
            <w:tcW w:w="220" w:type="dxa"/>
            <w:vAlign w:val="bottom"/>
            <w:shd w:val="clear" w:color="auto" w:fill="B9AFA0"/>
          </w:tcPr>
          <w:p>
            <w:pPr>
              <w:spacing w:after="0"/>
              <w:rPr>
                <w:sz w:val="8"/>
                <w:szCs w:val="8"/>
                <w:color w:val="auto"/>
              </w:rPr>
            </w:pPr>
          </w:p>
        </w:tc>
        <w:tc>
          <w:tcPr>
            <w:tcW w:w="260" w:type="dxa"/>
            <w:vAlign w:val="bottom"/>
            <w:shd w:val="clear" w:color="auto" w:fill="B9AFA0"/>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80" w:type="dxa"/>
            <w:vAlign w:val="bottom"/>
            <w:shd w:val="clear" w:color="auto" w:fill="B9AFA0"/>
          </w:tcPr>
          <w:p>
            <w:pPr>
              <w:spacing w:after="0"/>
              <w:rPr>
                <w:sz w:val="8"/>
                <w:szCs w:val="8"/>
                <w:color w:val="auto"/>
              </w:rPr>
            </w:pPr>
          </w:p>
        </w:tc>
        <w:tc>
          <w:tcPr>
            <w:tcW w:w="1140" w:type="dxa"/>
            <w:vAlign w:val="bottom"/>
            <w:gridSpan w:val="2"/>
            <w:shd w:val="clear" w:color="auto" w:fill="B9AFA0"/>
          </w:tcPr>
          <w:p>
            <w:pPr>
              <w:jc w:val="center"/>
              <w:spacing w:after="0" w:line="97" w:lineRule="exact"/>
              <w:rPr>
                <w:sz w:val="20"/>
                <w:szCs w:val="20"/>
                <w:color w:val="auto"/>
              </w:rPr>
            </w:pPr>
            <w:r>
              <w:rPr>
                <w:rFonts w:ascii="Arial" w:cs="Arial" w:eastAsia="Arial" w:hAnsi="Arial"/>
                <w:sz w:val="9"/>
                <w:szCs w:val="9"/>
                <w:color w:val="FFFFFF"/>
                <w:w w:val="95"/>
              </w:rPr>
              <w:t>SUMMARY</w:t>
            </w:r>
          </w:p>
        </w:tc>
        <w:tc>
          <w:tcPr>
            <w:tcW w:w="1480" w:type="dxa"/>
            <w:vAlign w:val="bottom"/>
            <w:tcBorders>
              <w:right w:val="single" w:sz="8" w:color="FCFCFC"/>
            </w:tcBorders>
            <w:shd w:val="clear" w:color="auto" w:fill="B9AFA0"/>
          </w:tcPr>
          <w:p>
            <w:pPr>
              <w:jc w:val="center"/>
              <w:spacing w:after="0" w:line="97" w:lineRule="exact"/>
              <w:rPr>
                <w:sz w:val="20"/>
                <w:szCs w:val="20"/>
                <w:color w:val="auto"/>
              </w:rPr>
            </w:pPr>
            <w:r>
              <w:rPr>
                <w:rFonts w:ascii="Arial" w:cs="Arial" w:eastAsia="Arial" w:hAnsi="Arial"/>
                <w:sz w:val="9"/>
                <w:szCs w:val="9"/>
                <w:color w:val="FFFFFF"/>
                <w:w w:val="95"/>
              </w:rPr>
              <w:t>SUMMARY</w:t>
            </w:r>
          </w:p>
        </w:tc>
        <w:tc>
          <w:tcPr>
            <w:tcW w:w="1180" w:type="dxa"/>
            <w:vAlign w:val="bottom"/>
            <w:shd w:val="clear" w:color="auto" w:fill="B9AFA0"/>
          </w:tcPr>
          <w:p>
            <w:pPr>
              <w:spacing w:after="0"/>
              <w:rPr>
                <w:sz w:val="8"/>
                <w:szCs w:val="8"/>
                <w:color w:val="auto"/>
              </w:rPr>
            </w:pPr>
          </w:p>
        </w:tc>
        <w:tc>
          <w:tcPr>
            <w:tcW w:w="440" w:type="dxa"/>
            <w:vAlign w:val="bottom"/>
            <w:shd w:val="clear" w:color="auto" w:fill="B9AFA0"/>
          </w:tcPr>
          <w:p>
            <w:pPr>
              <w:spacing w:after="0"/>
              <w:rPr>
                <w:sz w:val="8"/>
                <w:szCs w:val="8"/>
                <w:color w:val="auto"/>
              </w:rPr>
            </w:pPr>
          </w:p>
        </w:tc>
        <w:tc>
          <w:tcPr>
            <w:tcW w:w="740" w:type="dxa"/>
            <w:vAlign w:val="bottom"/>
            <w:shd w:val="clear" w:color="auto" w:fill="B9AFA0"/>
          </w:tcPr>
          <w:p>
            <w:pPr>
              <w:spacing w:after="0"/>
              <w:rPr>
                <w:sz w:val="8"/>
                <w:szCs w:val="8"/>
                <w:color w:val="auto"/>
              </w:rPr>
            </w:pPr>
          </w:p>
        </w:tc>
        <w:tc>
          <w:tcPr>
            <w:tcW w:w="1100" w:type="dxa"/>
            <w:vAlign w:val="bottom"/>
            <w:shd w:val="clear" w:color="auto" w:fill="B9AFA0"/>
          </w:tcPr>
          <w:p>
            <w:pPr>
              <w:jc w:val="center"/>
              <w:spacing w:after="0" w:line="97" w:lineRule="exact"/>
              <w:rPr>
                <w:sz w:val="20"/>
                <w:szCs w:val="20"/>
                <w:color w:val="auto"/>
              </w:rPr>
            </w:pPr>
            <w:r>
              <w:rPr>
                <w:rFonts w:ascii="Arial" w:cs="Arial" w:eastAsia="Arial" w:hAnsi="Arial"/>
                <w:sz w:val="9"/>
                <w:szCs w:val="9"/>
                <w:color w:val="FFFFFF"/>
                <w:w w:val="93"/>
              </w:rPr>
              <w:t>COMPENSATION</w:t>
            </w:r>
          </w:p>
        </w:tc>
        <w:tc>
          <w:tcPr>
            <w:tcW w:w="1120" w:type="dxa"/>
            <w:vAlign w:val="bottom"/>
            <w:shd w:val="clear" w:color="auto" w:fill="B9AFA0"/>
          </w:tcPr>
          <w:p>
            <w:pPr>
              <w:jc w:val="center"/>
              <w:ind w:right="17"/>
              <w:spacing w:after="0" w:line="97" w:lineRule="exact"/>
              <w:rPr>
                <w:sz w:val="20"/>
                <w:szCs w:val="20"/>
                <w:color w:val="auto"/>
              </w:rPr>
            </w:pPr>
            <w:r>
              <w:rPr>
                <w:rFonts w:ascii="Arial" w:cs="Arial" w:eastAsia="Arial" w:hAnsi="Arial"/>
                <w:sz w:val="9"/>
                <w:szCs w:val="9"/>
                <w:color w:val="FFFFFF"/>
                <w:w w:val="96"/>
              </w:rPr>
              <w:t>AVERAGE</w:t>
            </w:r>
          </w:p>
        </w:tc>
        <w:tc>
          <w:tcPr>
            <w:tcW w:w="460" w:type="dxa"/>
            <w:vAlign w:val="bottom"/>
            <w:shd w:val="clear" w:color="auto" w:fill="B9AFA0"/>
          </w:tcPr>
          <w:p>
            <w:pPr>
              <w:spacing w:after="0"/>
              <w:rPr>
                <w:sz w:val="8"/>
                <w:szCs w:val="8"/>
                <w:color w:val="auto"/>
              </w:rPr>
            </w:pPr>
          </w:p>
        </w:tc>
        <w:tc>
          <w:tcPr>
            <w:tcW w:w="640" w:type="dxa"/>
            <w:vAlign w:val="bottom"/>
            <w:shd w:val="clear" w:color="auto" w:fill="B9AFA0"/>
          </w:tcPr>
          <w:p>
            <w:pPr>
              <w:spacing w:after="0"/>
              <w:rPr>
                <w:sz w:val="8"/>
                <w:szCs w:val="8"/>
                <w:color w:val="auto"/>
              </w:rPr>
            </w:pPr>
          </w:p>
        </w:tc>
        <w:tc>
          <w:tcPr>
            <w:tcW w:w="1020" w:type="dxa"/>
            <w:vAlign w:val="bottom"/>
            <w:shd w:val="clear" w:color="auto" w:fill="B9AFA0"/>
          </w:tcPr>
          <w:p>
            <w:pPr>
              <w:spacing w:after="0"/>
              <w:rPr>
                <w:sz w:val="8"/>
                <w:szCs w:val="8"/>
                <w:color w:val="auto"/>
              </w:rPr>
            </w:pPr>
          </w:p>
        </w:tc>
        <w:tc>
          <w:tcPr>
            <w:tcW w:w="220" w:type="dxa"/>
            <w:vAlign w:val="bottom"/>
            <w:shd w:val="clear" w:color="auto" w:fill="B9AFA0"/>
          </w:tcPr>
          <w:p>
            <w:pPr>
              <w:spacing w:after="0"/>
              <w:rPr>
                <w:sz w:val="8"/>
                <w:szCs w:val="8"/>
                <w:color w:val="auto"/>
              </w:rPr>
            </w:pPr>
          </w:p>
        </w:tc>
        <w:tc>
          <w:tcPr>
            <w:tcW w:w="260" w:type="dxa"/>
            <w:vAlign w:val="bottom"/>
            <w:shd w:val="clear" w:color="auto" w:fill="B9AFA0"/>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80" w:type="dxa"/>
            <w:vAlign w:val="bottom"/>
            <w:shd w:val="clear" w:color="auto" w:fill="B9AFA0"/>
          </w:tcPr>
          <w:p>
            <w:pPr>
              <w:spacing w:after="0"/>
              <w:rPr>
                <w:sz w:val="8"/>
                <w:szCs w:val="8"/>
                <w:color w:val="auto"/>
              </w:rPr>
            </w:pPr>
          </w:p>
        </w:tc>
        <w:tc>
          <w:tcPr>
            <w:tcW w:w="1140" w:type="dxa"/>
            <w:vAlign w:val="bottom"/>
            <w:gridSpan w:val="2"/>
            <w:shd w:val="clear" w:color="auto" w:fill="B9AFA0"/>
          </w:tcPr>
          <w:p>
            <w:pPr>
              <w:jc w:val="center"/>
              <w:spacing w:after="0" w:line="97" w:lineRule="exact"/>
              <w:rPr>
                <w:sz w:val="20"/>
                <w:szCs w:val="20"/>
                <w:color w:val="auto"/>
              </w:rPr>
            </w:pPr>
            <w:r>
              <w:rPr>
                <w:rFonts w:ascii="Arial" w:cs="Arial" w:eastAsia="Arial" w:hAnsi="Arial"/>
                <w:sz w:val="9"/>
                <w:szCs w:val="9"/>
                <w:color w:val="FFFFFF"/>
                <w:w w:val="95"/>
              </w:rPr>
              <w:t>COMPENSATION</w:t>
            </w:r>
          </w:p>
        </w:tc>
        <w:tc>
          <w:tcPr>
            <w:tcW w:w="1480" w:type="dxa"/>
            <w:vAlign w:val="bottom"/>
            <w:tcBorders>
              <w:right w:val="single" w:sz="8" w:color="FCFCFC"/>
            </w:tcBorders>
            <w:shd w:val="clear" w:color="auto" w:fill="B9AFA0"/>
          </w:tcPr>
          <w:p>
            <w:pPr>
              <w:jc w:val="center"/>
              <w:spacing w:after="0" w:line="97" w:lineRule="exact"/>
              <w:rPr>
                <w:sz w:val="20"/>
                <w:szCs w:val="20"/>
                <w:color w:val="auto"/>
              </w:rPr>
            </w:pPr>
            <w:r>
              <w:rPr>
                <w:rFonts w:ascii="Arial" w:cs="Arial" w:eastAsia="Arial" w:hAnsi="Arial"/>
                <w:sz w:val="9"/>
                <w:szCs w:val="9"/>
                <w:color w:val="FFFFFF"/>
                <w:w w:val="93"/>
              </w:rPr>
              <w:t>COMPENSATION</w:t>
            </w:r>
          </w:p>
        </w:tc>
        <w:tc>
          <w:tcPr>
            <w:tcW w:w="1180" w:type="dxa"/>
            <w:vAlign w:val="bottom"/>
            <w:shd w:val="clear" w:color="auto" w:fill="B9AFA0"/>
          </w:tcPr>
          <w:p>
            <w:pPr>
              <w:jc w:val="center"/>
              <w:ind w:right="37"/>
              <w:spacing w:after="0" w:line="97" w:lineRule="exact"/>
              <w:rPr>
                <w:sz w:val="20"/>
                <w:szCs w:val="20"/>
                <w:color w:val="auto"/>
              </w:rPr>
            </w:pPr>
            <w:r>
              <w:rPr>
                <w:rFonts w:ascii="Arial" w:cs="Arial" w:eastAsia="Arial" w:hAnsi="Arial"/>
                <w:sz w:val="9"/>
                <w:szCs w:val="9"/>
                <w:color w:val="FFFFFF"/>
                <w:w w:val="95"/>
              </w:rPr>
              <w:t>COMPENSATION</w:t>
            </w:r>
          </w:p>
        </w:tc>
        <w:tc>
          <w:tcPr>
            <w:tcW w:w="1180" w:type="dxa"/>
            <w:vAlign w:val="bottom"/>
            <w:gridSpan w:val="2"/>
            <w:shd w:val="clear" w:color="auto" w:fill="B9AFA0"/>
          </w:tcPr>
          <w:p>
            <w:pPr>
              <w:jc w:val="center"/>
              <w:ind w:left="57"/>
              <w:spacing w:after="0" w:line="97" w:lineRule="exact"/>
              <w:rPr>
                <w:sz w:val="20"/>
                <w:szCs w:val="20"/>
                <w:color w:val="auto"/>
              </w:rPr>
            </w:pPr>
            <w:r>
              <w:rPr>
                <w:rFonts w:ascii="Arial" w:cs="Arial" w:eastAsia="Arial" w:hAnsi="Arial"/>
                <w:sz w:val="9"/>
                <w:szCs w:val="9"/>
                <w:color w:val="FFFFFF"/>
                <w:w w:val="93"/>
              </w:rPr>
              <w:t>COMPENSATION</w:t>
            </w:r>
          </w:p>
        </w:tc>
        <w:tc>
          <w:tcPr>
            <w:tcW w:w="1100" w:type="dxa"/>
            <w:vAlign w:val="bottom"/>
            <w:shd w:val="clear" w:color="auto" w:fill="B9AFA0"/>
          </w:tcPr>
          <w:p>
            <w:pPr>
              <w:jc w:val="center"/>
              <w:spacing w:after="0" w:line="97" w:lineRule="exact"/>
              <w:rPr>
                <w:sz w:val="20"/>
                <w:szCs w:val="20"/>
                <w:color w:val="auto"/>
              </w:rPr>
            </w:pPr>
            <w:r>
              <w:rPr>
                <w:rFonts w:ascii="Arial" w:cs="Arial" w:eastAsia="Arial" w:hAnsi="Arial"/>
                <w:sz w:val="9"/>
                <w:szCs w:val="9"/>
                <w:color w:val="FFFFFF"/>
                <w:w w:val="93"/>
              </w:rPr>
              <w:t>TABLE TOTAL</w:t>
            </w:r>
          </w:p>
        </w:tc>
        <w:tc>
          <w:tcPr>
            <w:tcW w:w="1120" w:type="dxa"/>
            <w:vAlign w:val="bottom"/>
            <w:shd w:val="clear" w:color="auto" w:fill="B9AFA0"/>
          </w:tcPr>
          <w:p>
            <w:pPr>
              <w:jc w:val="center"/>
              <w:ind w:right="17"/>
              <w:spacing w:after="0" w:line="97" w:lineRule="exact"/>
              <w:rPr>
                <w:sz w:val="20"/>
                <w:szCs w:val="20"/>
                <w:color w:val="auto"/>
              </w:rPr>
            </w:pPr>
            <w:r>
              <w:rPr>
                <w:rFonts w:ascii="Arial" w:cs="Arial" w:eastAsia="Arial" w:hAnsi="Arial"/>
                <w:sz w:val="9"/>
                <w:szCs w:val="9"/>
                <w:color w:val="FFFFFF"/>
                <w:w w:val="95"/>
              </w:rPr>
              <w:t>COMPENSATION</w:t>
            </w:r>
          </w:p>
        </w:tc>
        <w:tc>
          <w:tcPr>
            <w:tcW w:w="460" w:type="dxa"/>
            <w:vAlign w:val="bottom"/>
            <w:shd w:val="clear" w:color="auto" w:fill="B9AFA0"/>
          </w:tcPr>
          <w:p>
            <w:pPr>
              <w:spacing w:after="0"/>
              <w:rPr>
                <w:sz w:val="8"/>
                <w:szCs w:val="8"/>
                <w:color w:val="auto"/>
              </w:rPr>
            </w:pPr>
          </w:p>
        </w:tc>
        <w:tc>
          <w:tcPr>
            <w:tcW w:w="640" w:type="dxa"/>
            <w:vAlign w:val="bottom"/>
            <w:shd w:val="clear" w:color="auto" w:fill="B9AFA0"/>
          </w:tcPr>
          <w:p>
            <w:pPr>
              <w:spacing w:after="0"/>
              <w:rPr>
                <w:sz w:val="8"/>
                <w:szCs w:val="8"/>
                <w:color w:val="auto"/>
              </w:rPr>
            </w:pPr>
          </w:p>
        </w:tc>
        <w:tc>
          <w:tcPr>
            <w:tcW w:w="1020" w:type="dxa"/>
            <w:vAlign w:val="bottom"/>
            <w:shd w:val="clear" w:color="auto" w:fill="B9AFA0"/>
          </w:tcPr>
          <w:p>
            <w:pPr>
              <w:jc w:val="center"/>
              <w:ind w:left="17"/>
              <w:spacing w:after="0" w:line="97" w:lineRule="exact"/>
              <w:rPr>
                <w:sz w:val="20"/>
                <w:szCs w:val="20"/>
                <w:color w:val="auto"/>
              </w:rPr>
            </w:pPr>
            <w:r>
              <w:rPr>
                <w:rFonts w:ascii="Arial" w:cs="Arial" w:eastAsia="Arial" w:hAnsi="Arial"/>
                <w:sz w:val="9"/>
                <w:szCs w:val="9"/>
                <w:color w:val="FFFFFF"/>
                <w:w w:val="93"/>
              </w:rPr>
              <w:t>PEER GROUP</w:t>
            </w:r>
          </w:p>
        </w:tc>
        <w:tc>
          <w:tcPr>
            <w:tcW w:w="220" w:type="dxa"/>
            <w:vAlign w:val="bottom"/>
            <w:shd w:val="clear" w:color="auto" w:fill="B9AFA0"/>
          </w:tcPr>
          <w:p>
            <w:pPr>
              <w:spacing w:after="0"/>
              <w:rPr>
                <w:sz w:val="8"/>
                <w:szCs w:val="8"/>
                <w:color w:val="auto"/>
              </w:rPr>
            </w:pPr>
          </w:p>
        </w:tc>
        <w:tc>
          <w:tcPr>
            <w:tcW w:w="260" w:type="dxa"/>
            <w:vAlign w:val="bottom"/>
            <w:shd w:val="clear" w:color="auto" w:fill="B9AFA0"/>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80" w:type="dxa"/>
            <w:vAlign w:val="bottom"/>
            <w:shd w:val="clear" w:color="auto" w:fill="B9AFA0"/>
          </w:tcPr>
          <w:p>
            <w:pPr>
              <w:spacing w:after="0"/>
              <w:rPr>
                <w:sz w:val="8"/>
                <w:szCs w:val="8"/>
                <w:color w:val="auto"/>
              </w:rPr>
            </w:pPr>
          </w:p>
        </w:tc>
        <w:tc>
          <w:tcPr>
            <w:tcW w:w="1140" w:type="dxa"/>
            <w:vAlign w:val="bottom"/>
            <w:gridSpan w:val="2"/>
            <w:shd w:val="clear" w:color="auto" w:fill="B9AFA0"/>
          </w:tcPr>
          <w:p>
            <w:pPr>
              <w:jc w:val="center"/>
              <w:spacing w:after="0" w:line="97" w:lineRule="exact"/>
              <w:rPr>
                <w:sz w:val="20"/>
                <w:szCs w:val="20"/>
                <w:color w:val="auto"/>
              </w:rPr>
            </w:pPr>
            <w:r>
              <w:rPr>
                <w:rFonts w:ascii="Arial" w:cs="Arial" w:eastAsia="Arial" w:hAnsi="Arial"/>
                <w:sz w:val="9"/>
                <w:szCs w:val="9"/>
                <w:color w:val="FFFFFF"/>
                <w:w w:val="93"/>
              </w:rPr>
              <w:t>TABLE TOTAL</w:t>
            </w:r>
          </w:p>
        </w:tc>
        <w:tc>
          <w:tcPr>
            <w:tcW w:w="1480" w:type="dxa"/>
            <w:vAlign w:val="bottom"/>
            <w:tcBorders>
              <w:right w:val="single" w:sz="8" w:color="FCFCFC"/>
            </w:tcBorders>
            <w:shd w:val="clear" w:color="auto" w:fill="B9AFA0"/>
          </w:tcPr>
          <w:p>
            <w:pPr>
              <w:jc w:val="center"/>
              <w:spacing w:after="0" w:line="97" w:lineRule="exact"/>
              <w:rPr>
                <w:sz w:val="20"/>
                <w:szCs w:val="20"/>
                <w:color w:val="auto"/>
              </w:rPr>
            </w:pPr>
            <w:r>
              <w:rPr>
                <w:rFonts w:ascii="Arial" w:cs="Arial" w:eastAsia="Arial" w:hAnsi="Arial"/>
                <w:sz w:val="9"/>
                <w:szCs w:val="9"/>
                <w:color w:val="FFFFFF"/>
                <w:w w:val="93"/>
              </w:rPr>
              <w:t>TABLE TOTAL</w:t>
            </w:r>
          </w:p>
        </w:tc>
        <w:tc>
          <w:tcPr>
            <w:tcW w:w="1180" w:type="dxa"/>
            <w:vAlign w:val="bottom"/>
            <w:shd w:val="clear" w:color="auto" w:fill="B9AFA0"/>
          </w:tcPr>
          <w:p>
            <w:pPr>
              <w:jc w:val="center"/>
              <w:ind w:right="37"/>
              <w:spacing w:after="0" w:line="97" w:lineRule="exact"/>
              <w:rPr>
                <w:sz w:val="20"/>
                <w:szCs w:val="20"/>
                <w:color w:val="auto"/>
              </w:rPr>
            </w:pPr>
            <w:r>
              <w:rPr>
                <w:rFonts w:ascii="Arial" w:cs="Arial" w:eastAsia="Arial" w:hAnsi="Arial"/>
                <w:sz w:val="9"/>
                <w:szCs w:val="9"/>
                <w:color w:val="FFFFFF"/>
                <w:w w:val="94"/>
              </w:rPr>
              <w:t>ACTUALLY PAID</w:t>
            </w:r>
          </w:p>
        </w:tc>
        <w:tc>
          <w:tcPr>
            <w:tcW w:w="1180" w:type="dxa"/>
            <w:vAlign w:val="bottom"/>
            <w:gridSpan w:val="2"/>
            <w:shd w:val="clear" w:color="auto" w:fill="B9AFA0"/>
          </w:tcPr>
          <w:p>
            <w:pPr>
              <w:jc w:val="center"/>
              <w:ind w:left="57"/>
              <w:spacing w:after="0" w:line="97" w:lineRule="exact"/>
              <w:rPr>
                <w:sz w:val="20"/>
                <w:szCs w:val="20"/>
                <w:color w:val="auto"/>
              </w:rPr>
            </w:pPr>
            <w:r>
              <w:rPr>
                <w:rFonts w:ascii="Arial" w:cs="Arial" w:eastAsia="Arial" w:hAnsi="Arial"/>
                <w:sz w:val="9"/>
                <w:szCs w:val="9"/>
                <w:color w:val="FFFFFF"/>
                <w:w w:val="91"/>
              </w:rPr>
              <w:t>ACTUALLY PAID</w:t>
            </w:r>
          </w:p>
        </w:tc>
        <w:tc>
          <w:tcPr>
            <w:tcW w:w="1100" w:type="dxa"/>
            <w:vAlign w:val="bottom"/>
            <w:shd w:val="clear" w:color="auto" w:fill="B9AFA0"/>
          </w:tcPr>
          <w:p>
            <w:pPr>
              <w:jc w:val="center"/>
              <w:spacing w:after="0" w:line="97" w:lineRule="exact"/>
              <w:rPr>
                <w:sz w:val="20"/>
                <w:szCs w:val="20"/>
                <w:color w:val="auto"/>
              </w:rPr>
            </w:pPr>
            <w:r>
              <w:rPr>
                <w:rFonts w:ascii="Arial" w:cs="Arial" w:eastAsia="Arial" w:hAnsi="Arial"/>
                <w:sz w:val="9"/>
                <w:szCs w:val="9"/>
                <w:color w:val="FFFFFF"/>
                <w:w w:val="94"/>
              </w:rPr>
              <w:t>FOR</w:t>
            </w:r>
          </w:p>
        </w:tc>
        <w:tc>
          <w:tcPr>
            <w:tcW w:w="1120" w:type="dxa"/>
            <w:vAlign w:val="bottom"/>
            <w:shd w:val="clear" w:color="auto" w:fill="B9AFA0"/>
          </w:tcPr>
          <w:p>
            <w:pPr>
              <w:jc w:val="center"/>
              <w:ind w:right="17"/>
              <w:spacing w:after="0" w:line="97" w:lineRule="exact"/>
              <w:rPr>
                <w:sz w:val="20"/>
                <w:szCs w:val="20"/>
                <w:color w:val="auto"/>
              </w:rPr>
            </w:pPr>
            <w:r>
              <w:rPr>
                <w:rFonts w:ascii="Arial" w:cs="Arial" w:eastAsia="Arial" w:hAnsi="Arial"/>
                <w:sz w:val="9"/>
                <w:szCs w:val="9"/>
                <w:color w:val="FFFFFF"/>
                <w:w w:val="94"/>
              </w:rPr>
              <w:t>ACTUALLY PAID</w:t>
            </w:r>
          </w:p>
        </w:tc>
        <w:tc>
          <w:tcPr>
            <w:tcW w:w="1100" w:type="dxa"/>
            <w:vAlign w:val="bottom"/>
            <w:gridSpan w:val="2"/>
            <w:shd w:val="clear" w:color="auto" w:fill="B9AFA0"/>
          </w:tcPr>
          <w:p>
            <w:pPr>
              <w:jc w:val="center"/>
              <w:spacing w:after="0" w:line="97" w:lineRule="exact"/>
              <w:rPr>
                <w:sz w:val="20"/>
                <w:szCs w:val="20"/>
                <w:color w:val="auto"/>
              </w:rPr>
            </w:pPr>
            <w:r>
              <w:rPr>
                <w:rFonts w:ascii="Arial" w:cs="Arial" w:eastAsia="Arial" w:hAnsi="Arial"/>
                <w:sz w:val="9"/>
                <w:szCs w:val="9"/>
                <w:color w:val="FFFFFF"/>
                <w:w w:val="89"/>
              </w:rPr>
              <w:t>TOTAL</w:t>
            </w:r>
          </w:p>
        </w:tc>
        <w:tc>
          <w:tcPr>
            <w:tcW w:w="1020" w:type="dxa"/>
            <w:vAlign w:val="bottom"/>
            <w:shd w:val="clear" w:color="auto" w:fill="B9AFA0"/>
          </w:tcPr>
          <w:p>
            <w:pPr>
              <w:jc w:val="center"/>
              <w:ind w:left="17"/>
              <w:spacing w:after="0" w:line="97" w:lineRule="exact"/>
              <w:rPr>
                <w:sz w:val="20"/>
                <w:szCs w:val="20"/>
                <w:color w:val="auto"/>
              </w:rPr>
            </w:pPr>
            <w:r>
              <w:rPr>
                <w:rFonts w:ascii="Arial" w:cs="Arial" w:eastAsia="Arial" w:hAnsi="Arial"/>
                <w:sz w:val="9"/>
                <w:szCs w:val="9"/>
                <w:color w:val="FFFFFF"/>
                <w:w w:val="96"/>
              </w:rPr>
              <w:t>TOTAL</w:t>
            </w:r>
          </w:p>
        </w:tc>
        <w:tc>
          <w:tcPr>
            <w:tcW w:w="220" w:type="dxa"/>
            <w:vAlign w:val="bottom"/>
            <w:shd w:val="clear" w:color="auto" w:fill="B9AFA0"/>
          </w:tcPr>
          <w:p>
            <w:pPr>
              <w:spacing w:after="0"/>
              <w:rPr>
                <w:sz w:val="8"/>
                <w:szCs w:val="8"/>
                <w:color w:val="auto"/>
              </w:rPr>
            </w:pPr>
          </w:p>
        </w:tc>
        <w:tc>
          <w:tcPr>
            <w:tcW w:w="260" w:type="dxa"/>
            <w:vAlign w:val="bottom"/>
            <w:shd w:val="clear" w:color="auto" w:fill="B9AFA0"/>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80" w:type="dxa"/>
            <w:vAlign w:val="bottom"/>
            <w:shd w:val="clear" w:color="auto" w:fill="B9AFA0"/>
          </w:tcPr>
          <w:p>
            <w:pPr>
              <w:spacing w:after="0"/>
              <w:rPr>
                <w:sz w:val="8"/>
                <w:szCs w:val="8"/>
                <w:color w:val="auto"/>
              </w:rPr>
            </w:pPr>
          </w:p>
        </w:tc>
        <w:tc>
          <w:tcPr>
            <w:tcW w:w="400" w:type="dxa"/>
            <w:vAlign w:val="bottom"/>
            <w:shd w:val="clear" w:color="auto" w:fill="B9AFA0"/>
          </w:tcPr>
          <w:p>
            <w:pPr>
              <w:spacing w:after="0"/>
              <w:rPr>
                <w:sz w:val="8"/>
                <w:szCs w:val="8"/>
                <w:color w:val="auto"/>
              </w:rPr>
            </w:pPr>
          </w:p>
        </w:tc>
        <w:tc>
          <w:tcPr>
            <w:tcW w:w="740" w:type="dxa"/>
            <w:vAlign w:val="bottom"/>
            <w:shd w:val="clear" w:color="auto" w:fill="B9AFA0"/>
          </w:tcPr>
          <w:p>
            <w:pPr>
              <w:jc w:val="center"/>
              <w:ind w:right="317"/>
              <w:spacing w:after="0" w:line="97" w:lineRule="exact"/>
              <w:rPr>
                <w:sz w:val="20"/>
                <w:szCs w:val="20"/>
                <w:color w:val="auto"/>
              </w:rPr>
            </w:pPr>
            <w:r>
              <w:rPr>
                <w:rFonts w:ascii="Arial" w:cs="Arial" w:eastAsia="Arial" w:hAnsi="Arial"/>
                <w:sz w:val="9"/>
                <w:szCs w:val="9"/>
                <w:color w:val="FFFFFF"/>
                <w:w w:val="94"/>
              </w:rPr>
              <w:t>FOR</w:t>
            </w:r>
          </w:p>
        </w:tc>
        <w:tc>
          <w:tcPr>
            <w:tcW w:w="1480" w:type="dxa"/>
            <w:vAlign w:val="bottom"/>
            <w:tcBorders>
              <w:right w:val="single" w:sz="8" w:color="FCFCFC"/>
            </w:tcBorders>
            <w:shd w:val="clear" w:color="auto" w:fill="B9AFA0"/>
          </w:tcPr>
          <w:p>
            <w:pPr>
              <w:jc w:val="center"/>
              <w:spacing w:after="0" w:line="97" w:lineRule="exact"/>
              <w:rPr>
                <w:sz w:val="20"/>
                <w:szCs w:val="20"/>
                <w:color w:val="auto"/>
              </w:rPr>
            </w:pPr>
            <w:r>
              <w:rPr>
                <w:rFonts w:ascii="Arial" w:cs="Arial" w:eastAsia="Arial" w:hAnsi="Arial"/>
                <w:sz w:val="9"/>
                <w:szCs w:val="9"/>
                <w:color w:val="FFFFFF"/>
                <w:w w:val="94"/>
              </w:rPr>
              <w:t>FOR</w:t>
            </w:r>
          </w:p>
        </w:tc>
        <w:tc>
          <w:tcPr>
            <w:tcW w:w="1180" w:type="dxa"/>
            <w:vAlign w:val="bottom"/>
            <w:shd w:val="clear" w:color="auto" w:fill="B9AFA0"/>
          </w:tcPr>
          <w:p>
            <w:pPr>
              <w:jc w:val="center"/>
              <w:ind w:right="57"/>
              <w:spacing w:after="0" w:line="97" w:lineRule="exact"/>
              <w:rPr>
                <w:sz w:val="20"/>
                <w:szCs w:val="20"/>
                <w:color w:val="auto"/>
              </w:rPr>
            </w:pPr>
            <w:r>
              <w:rPr>
                <w:rFonts w:ascii="Arial" w:cs="Arial" w:eastAsia="Arial" w:hAnsi="Arial"/>
                <w:sz w:val="9"/>
                <w:szCs w:val="9"/>
                <w:color w:val="FFFFFF"/>
                <w:w w:val="95"/>
              </w:rPr>
              <w:t>TO</w:t>
            </w:r>
          </w:p>
        </w:tc>
        <w:tc>
          <w:tcPr>
            <w:tcW w:w="440" w:type="dxa"/>
            <w:vAlign w:val="bottom"/>
            <w:shd w:val="clear" w:color="auto" w:fill="B9AFA0"/>
          </w:tcPr>
          <w:p>
            <w:pPr>
              <w:spacing w:after="0"/>
              <w:rPr>
                <w:sz w:val="8"/>
                <w:szCs w:val="8"/>
                <w:color w:val="auto"/>
              </w:rPr>
            </w:pPr>
          </w:p>
        </w:tc>
        <w:tc>
          <w:tcPr>
            <w:tcW w:w="740" w:type="dxa"/>
            <w:vAlign w:val="bottom"/>
            <w:shd w:val="clear" w:color="auto" w:fill="B9AFA0"/>
          </w:tcPr>
          <w:p>
            <w:pPr>
              <w:jc w:val="center"/>
              <w:ind w:right="297"/>
              <w:spacing w:after="0" w:line="97" w:lineRule="exact"/>
              <w:rPr>
                <w:sz w:val="20"/>
                <w:szCs w:val="20"/>
                <w:color w:val="auto"/>
              </w:rPr>
            </w:pPr>
            <w:r>
              <w:rPr>
                <w:rFonts w:ascii="Arial" w:cs="Arial" w:eastAsia="Arial" w:hAnsi="Arial"/>
                <w:sz w:val="9"/>
                <w:szCs w:val="9"/>
                <w:color w:val="FFFFFF"/>
                <w:w w:val="95"/>
              </w:rPr>
              <w:t>TO</w:t>
            </w:r>
          </w:p>
        </w:tc>
        <w:tc>
          <w:tcPr>
            <w:tcW w:w="1100" w:type="dxa"/>
            <w:vAlign w:val="bottom"/>
            <w:shd w:val="clear" w:color="auto" w:fill="B9AFA0"/>
          </w:tcPr>
          <w:p>
            <w:pPr>
              <w:jc w:val="center"/>
              <w:spacing w:after="0" w:line="97" w:lineRule="exact"/>
              <w:rPr>
                <w:sz w:val="20"/>
                <w:szCs w:val="20"/>
                <w:color w:val="auto"/>
              </w:rPr>
            </w:pPr>
            <w:r>
              <w:rPr>
                <w:rFonts w:ascii="Arial" w:cs="Arial" w:eastAsia="Arial" w:hAnsi="Arial"/>
                <w:sz w:val="9"/>
                <w:szCs w:val="9"/>
                <w:color w:val="FFFFFF"/>
                <w:w w:val="93"/>
              </w:rPr>
              <w:t>NON-PEO NEOs</w:t>
            </w:r>
          </w:p>
        </w:tc>
        <w:tc>
          <w:tcPr>
            <w:tcW w:w="1120" w:type="dxa"/>
            <w:vAlign w:val="bottom"/>
            <w:shd w:val="clear" w:color="auto" w:fill="B9AFA0"/>
          </w:tcPr>
          <w:p>
            <w:pPr>
              <w:jc w:val="center"/>
              <w:ind w:right="17"/>
              <w:spacing w:after="0" w:line="97" w:lineRule="exact"/>
              <w:rPr>
                <w:sz w:val="20"/>
                <w:szCs w:val="20"/>
                <w:color w:val="auto"/>
              </w:rPr>
            </w:pPr>
            <w:r>
              <w:rPr>
                <w:rFonts w:ascii="Arial" w:cs="Arial" w:eastAsia="Arial" w:hAnsi="Arial"/>
                <w:sz w:val="9"/>
                <w:szCs w:val="9"/>
                <w:color w:val="FFFFFF"/>
                <w:w w:val="94"/>
              </w:rPr>
              <w:t>TO NON-PEO</w:t>
            </w:r>
          </w:p>
        </w:tc>
        <w:tc>
          <w:tcPr>
            <w:tcW w:w="1100" w:type="dxa"/>
            <w:vAlign w:val="bottom"/>
            <w:gridSpan w:val="2"/>
            <w:shd w:val="clear" w:color="auto" w:fill="B9AFA0"/>
          </w:tcPr>
          <w:p>
            <w:pPr>
              <w:jc w:val="center"/>
              <w:spacing w:after="0" w:line="97" w:lineRule="exact"/>
              <w:rPr>
                <w:sz w:val="20"/>
                <w:szCs w:val="20"/>
                <w:color w:val="auto"/>
              </w:rPr>
            </w:pPr>
            <w:r>
              <w:rPr>
                <w:rFonts w:ascii="Arial" w:cs="Arial" w:eastAsia="Arial" w:hAnsi="Arial"/>
                <w:sz w:val="9"/>
                <w:szCs w:val="9"/>
                <w:color w:val="FFFFFF"/>
                <w:w w:val="96"/>
              </w:rPr>
              <w:t>SHAREHOLDER</w:t>
            </w:r>
          </w:p>
        </w:tc>
        <w:tc>
          <w:tcPr>
            <w:tcW w:w="1020" w:type="dxa"/>
            <w:vAlign w:val="bottom"/>
            <w:shd w:val="clear" w:color="auto" w:fill="B9AFA0"/>
          </w:tcPr>
          <w:p>
            <w:pPr>
              <w:jc w:val="center"/>
              <w:ind w:left="17"/>
              <w:spacing w:after="0" w:line="97" w:lineRule="exact"/>
              <w:rPr>
                <w:sz w:val="20"/>
                <w:szCs w:val="20"/>
                <w:color w:val="auto"/>
              </w:rPr>
            </w:pPr>
            <w:r>
              <w:rPr>
                <w:rFonts w:ascii="Arial" w:cs="Arial" w:eastAsia="Arial" w:hAnsi="Arial"/>
                <w:sz w:val="9"/>
                <w:szCs w:val="9"/>
                <w:color w:val="FFFFFF"/>
                <w:w w:val="93"/>
              </w:rPr>
              <w:t>SHAREHOLDER</w:t>
            </w:r>
          </w:p>
        </w:tc>
        <w:tc>
          <w:tcPr>
            <w:tcW w:w="480" w:type="dxa"/>
            <w:vAlign w:val="bottom"/>
            <w:gridSpan w:val="2"/>
            <w:shd w:val="clear" w:color="auto" w:fill="B9AFA0"/>
          </w:tcPr>
          <w:p>
            <w:pPr>
              <w:jc w:val="right"/>
              <w:spacing w:after="0" w:line="97" w:lineRule="exact"/>
              <w:rPr>
                <w:sz w:val="20"/>
                <w:szCs w:val="20"/>
                <w:color w:val="auto"/>
              </w:rPr>
            </w:pPr>
            <w:r>
              <w:rPr>
                <w:rFonts w:ascii="Arial" w:cs="Arial" w:eastAsia="Arial" w:hAnsi="Arial"/>
                <w:sz w:val="9"/>
                <w:szCs w:val="9"/>
                <w:color w:val="FFFFFF"/>
              </w:rPr>
              <w:t>NET IN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9"/>
                <w:szCs w:val="9"/>
                <w:color w:val="FFFFFF"/>
                <w:w w:val="82"/>
              </w:rPr>
              <w:t>  YEAR</w:t>
            </w:r>
          </w:p>
        </w:tc>
        <w:tc>
          <w:tcPr>
            <w:tcW w:w="1140" w:type="dxa"/>
            <w:vAlign w:val="bottom"/>
            <w:tcBorders>
              <w:bottom w:val="single" w:sz="8" w:color="B9AFA0"/>
            </w:tcBorders>
            <w:gridSpan w:val="2"/>
            <w:shd w:val="clear" w:color="auto" w:fill="B9AFA0"/>
          </w:tcPr>
          <w:p>
            <w:pPr>
              <w:jc w:val="center"/>
              <w:spacing w:after="0"/>
              <w:rPr>
                <w:sz w:val="20"/>
                <w:szCs w:val="20"/>
                <w:color w:val="auto"/>
              </w:rPr>
            </w:pPr>
            <w:r>
              <w:rPr>
                <w:rFonts w:ascii="Arial" w:cs="Arial" w:eastAsia="Arial" w:hAnsi="Arial"/>
                <w:sz w:val="9"/>
                <w:szCs w:val="9"/>
                <w:color w:val="FFFFFF"/>
                <w:w w:val="96"/>
              </w:rPr>
              <w:t>PEO A (1)(2)</w:t>
            </w:r>
          </w:p>
        </w:tc>
        <w:tc>
          <w:tcPr>
            <w:tcW w:w="1480" w:type="dxa"/>
            <w:vAlign w:val="bottom"/>
            <w:tcBorders>
              <w:bottom w:val="single" w:sz="8" w:color="B9AFA0"/>
              <w:right w:val="single" w:sz="8" w:color="FCFCFC"/>
            </w:tcBorders>
            <w:shd w:val="clear" w:color="auto" w:fill="B9AFA0"/>
          </w:tcPr>
          <w:p>
            <w:pPr>
              <w:jc w:val="center"/>
              <w:spacing w:after="0"/>
              <w:rPr>
                <w:sz w:val="20"/>
                <w:szCs w:val="20"/>
                <w:color w:val="auto"/>
              </w:rPr>
            </w:pPr>
            <w:r>
              <w:rPr>
                <w:rFonts w:ascii="Arial" w:cs="Arial" w:eastAsia="Arial" w:hAnsi="Arial"/>
                <w:sz w:val="9"/>
                <w:szCs w:val="9"/>
                <w:color w:val="FFFFFF"/>
                <w:w w:val="97"/>
              </w:rPr>
              <w:t>PEO B (3)</w:t>
            </w:r>
          </w:p>
        </w:tc>
        <w:tc>
          <w:tcPr>
            <w:tcW w:w="1180" w:type="dxa"/>
            <w:vAlign w:val="bottom"/>
            <w:tcBorders>
              <w:bottom w:val="single" w:sz="8" w:color="B9AFA0"/>
            </w:tcBorders>
            <w:shd w:val="clear" w:color="auto" w:fill="B9AFA0"/>
          </w:tcPr>
          <w:p>
            <w:pPr>
              <w:jc w:val="center"/>
              <w:ind w:right="57"/>
              <w:spacing w:after="0"/>
              <w:rPr>
                <w:sz w:val="20"/>
                <w:szCs w:val="20"/>
                <w:color w:val="auto"/>
              </w:rPr>
            </w:pPr>
            <w:r>
              <w:rPr>
                <w:rFonts w:ascii="Arial" w:cs="Arial" w:eastAsia="Arial" w:hAnsi="Arial"/>
                <w:sz w:val="9"/>
                <w:szCs w:val="9"/>
                <w:color w:val="FFFFFF"/>
                <w:w w:val="95"/>
              </w:rPr>
              <w:t>PEO A (1)(2)(5)</w:t>
            </w:r>
          </w:p>
        </w:tc>
        <w:tc>
          <w:tcPr>
            <w:tcW w:w="1180" w:type="dxa"/>
            <w:vAlign w:val="bottom"/>
            <w:tcBorders>
              <w:bottom w:val="single" w:sz="8" w:color="B9AFA0"/>
            </w:tcBorders>
            <w:gridSpan w:val="2"/>
            <w:shd w:val="clear" w:color="auto" w:fill="B9AFA0"/>
          </w:tcPr>
          <w:p>
            <w:pPr>
              <w:jc w:val="center"/>
              <w:ind w:left="57"/>
              <w:spacing w:after="0"/>
              <w:rPr>
                <w:sz w:val="20"/>
                <w:szCs w:val="20"/>
                <w:color w:val="auto"/>
              </w:rPr>
            </w:pPr>
            <w:r>
              <w:rPr>
                <w:rFonts w:ascii="Arial" w:cs="Arial" w:eastAsia="Arial" w:hAnsi="Arial"/>
                <w:sz w:val="9"/>
                <w:szCs w:val="9"/>
                <w:color w:val="FFFFFF"/>
                <w:w w:val="95"/>
              </w:rPr>
              <w:t>PEO B (3)(5)(7)</w:t>
            </w:r>
          </w:p>
        </w:tc>
        <w:tc>
          <w:tcPr>
            <w:tcW w:w="110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9"/>
                <w:szCs w:val="9"/>
                <w:color w:val="FFFFFF"/>
              </w:rPr>
              <w:t>(4)</w:t>
            </w:r>
          </w:p>
        </w:tc>
        <w:tc>
          <w:tcPr>
            <w:tcW w:w="1120" w:type="dxa"/>
            <w:vAlign w:val="bottom"/>
            <w:tcBorders>
              <w:bottom w:val="single" w:sz="8" w:color="B9AFA0"/>
            </w:tcBorders>
            <w:shd w:val="clear" w:color="auto" w:fill="B9AFA0"/>
          </w:tcPr>
          <w:p>
            <w:pPr>
              <w:jc w:val="center"/>
              <w:ind w:right="17"/>
              <w:spacing w:after="0"/>
              <w:rPr>
                <w:sz w:val="20"/>
                <w:szCs w:val="20"/>
                <w:color w:val="auto"/>
              </w:rPr>
            </w:pPr>
            <w:r>
              <w:rPr>
                <w:rFonts w:ascii="Arial" w:cs="Arial" w:eastAsia="Arial" w:hAnsi="Arial"/>
                <w:sz w:val="9"/>
                <w:szCs w:val="9"/>
                <w:color w:val="FFFFFF"/>
                <w:w w:val="97"/>
              </w:rPr>
              <w:t>NEOs (4)(5)(8)</w:t>
            </w:r>
          </w:p>
        </w:tc>
        <w:tc>
          <w:tcPr>
            <w:tcW w:w="1100" w:type="dxa"/>
            <w:vAlign w:val="bottom"/>
            <w:tcBorders>
              <w:bottom w:val="single" w:sz="8" w:color="B9AFA0"/>
            </w:tcBorders>
            <w:gridSpan w:val="2"/>
            <w:shd w:val="clear" w:color="auto" w:fill="B9AFA0"/>
          </w:tcPr>
          <w:p>
            <w:pPr>
              <w:jc w:val="center"/>
              <w:ind w:left="17"/>
              <w:spacing w:after="0"/>
              <w:rPr>
                <w:sz w:val="20"/>
                <w:szCs w:val="20"/>
                <w:color w:val="auto"/>
              </w:rPr>
            </w:pPr>
            <w:r>
              <w:rPr>
                <w:rFonts w:ascii="Arial" w:cs="Arial" w:eastAsia="Arial" w:hAnsi="Arial"/>
                <w:sz w:val="9"/>
                <w:szCs w:val="9"/>
                <w:color w:val="FFFFFF"/>
                <w:w w:val="94"/>
              </w:rPr>
              <w:t>RETURN (6)</w:t>
            </w:r>
          </w:p>
        </w:tc>
        <w:tc>
          <w:tcPr>
            <w:tcW w:w="1020" w:type="dxa"/>
            <w:vAlign w:val="bottom"/>
            <w:tcBorders>
              <w:bottom w:val="single" w:sz="8" w:color="B9AFA0"/>
            </w:tcBorders>
            <w:shd w:val="clear" w:color="auto" w:fill="B9AFA0"/>
          </w:tcPr>
          <w:p>
            <w:pPr>
              <w:jc w:val="center"/>
              <w:ind w:left="17"/>
              <w:spacing w:after="0"/>
              <w:rPr>
                <w:sz w:val="20"/>
                <w:szCs w:val="20"/>
                <w:color w:val="auto"/>
              </w:rPr>
            </w:pPr>
            <w:r>
              <w:rPr>
                <w:rFonts w:ascii="Arial" w:cs="Arial" w:eastAsia="Arial" w:hAnsi="Arial"/>
                <w:sz w:val="9"/>
                <w:szCs w:val="9"/>
                <w:color w:val="FFFFFF"/>
                <w:w w:val="94"/>
              </w:rPr>
              <w:t>RETURN (6)</w:t>
            </w:r>
          </w:p>
        </w:tc>
        <w:tc>
          <w:tcPr>
            <w:tcW w:w="220" w:type="dxa"/>
            <w:vAlign w:val="bottom"/>
            <w:tcBorders>
              <w:bottom w:val="single" w:sz="8" w:color="B9AFA0"/>
            </w:tcBorders>
            <w:shd w:val="clear" w:color="auto" w:fill="B9AFA0"/>
          </w:tcPr>
          <w:p>
            <w:pPr>
              <w:spacing w:after="0"/>
              <w:rPr>
                <w:sz w:val="12"/>
                <w:szCs w:val="12"/>
                <w:color w:val="auto"/>
              </w:rPr>
            </w:pPr>
          </w:p>
        </w:tc>
        <w:tc>
          <w:tcPr>
            <w:tcW w:w="260" w:type="dxa"/>
            <w:vAlign w:val="bottom"/>
            <w:tcBorders>
              <w:bottom w:val="single" w:sz="8" w:color="B9AFA0"/>
            </w:tcBorders>
            <w:shd w:val="clear" w:color="auto" w:fill="B9AFA0"/>
          </w:tcPr>
          <w:p>
            <w:pPr>
              <w:jc w:val="right"/>
              <w:spacing w:after="0"/>
              <w:rPr>
                <w:sz w:val="20"/>
                <w:szCs w:val="20"/>
                <w:color w:val="auto"/>
              </w:rPr>
            </w:pPr>
            <w:r>
              <w:rPr>
                <w:rFonts w:ascii="Arial" w:cs="Arial" w:eastAsia="Arial" w:hAnsi="Arial"/>
                <w:sz w:val="9"/>
                <w:szCs w:val="9"/>
                <w:color w:val="FFFFFF"/>
                <w:w w:val="88"/>
              </w:rPr>
              <w:t>(LOSS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 w:type="dxa"/>
            <w:vAlign w:val="bottom"/>
            <w:shd w:val="clear" w:color="auto" w:fill="F1EFEC"/>
          </w:tcPr>
          <w:p>
            <w:pPr>
              <w:jc w:val="center"/>
              <w:spacing w:after="0"/>
              <w:rPr>
                <w:sz w:val="20"/>
                <w:szCs w:val="20"/>
                <w:color w:val="auto"/>
              </w:rPr>
            </w:pPr>
            <w:r>
              <w:rPr>
                <w:rFonts w:ascii="Arial" w:cs="Arial" w:eastAsia="Arial" w:hAnsi="Arial"/>
                <w:sz w:val="9"/>
                <w:szCs w:val="9"/>
                <w:color w:val="auto"/>
                <w:w w:val="99"/>
              </w:rPr>
              <w:t>2025</w:t>
            </w:r>
          </w:p>
        </w:tc>
        <w:tc>
          <w:tcPr>
            <w:tcW w:w="400" w:type="dxa"/>
            <w:vAlign w:val="bottom"/>
            <w:shd w:val="clear" w:color="auto" w:fill="F1EFEC"/>
          </w:tcPr>
          <w:p>
            <w:pPr>
              <w:spacing w:after="0"/>
              <w:rPr>
                <w:sz w:val="13"/>
                <w:szCs w:val="13"/>
                <w:color w:val="auto"/>
              </w:rPr>
            </w:pPr>
          </w:p>
        </w:tc>
        <w:tc>
          <w:tcPr>
            <w:tcW w:w="740" w:type="dxa"/>
            <w:vAlign w:val="bottom"/>
            <w:vMerge w:val="restart"/>
            <w:shd w:val="clear" w:color="auto" w:fill="F1EFEC"/>
          </w:tcPr>
          <w:p>
            <w:pPr>
              <w:jc w:val="right"/>
              <w:ind w:right="257"/>
              <w:spacing w:after="0"/>
              <w:rPr>
                <w:sz w:val="20"/>
                <w:szCs w:val="20"/>
                <w:color w:val="auto"/>
              </w:rPr>
            </w:pPr>
            <w:r>
              <w:rPr>
                <w:rFonts w:ascii="Arial" w:cs="Arial" w:eastAsia="Arial" w:hAnsi="Arial"/>
                <w:sz w:val="9"/>
                <w:szCs w:val="9"/>
                <w:color w:val="auto"/>
              </w:rPr>
              <w:t>-</w:t>
            </w:r>
          </w:p>
        </w:tc>
        <w:tc>
          <w:tcPr>
            <w:tcW w:w="1480" w:type="dxa"/>
            <w:vAlign w:val="bottom"/>
            <w:tcBorders>
              <w:right w:val="single" w:sz="8" w:color="F1EFEC"/>
            </w:tcBorders>
            <w:vMerge w:val="restart"/>
            <w:shd w:val="clear" w:color="auto" w:fill="F1EFEC"/>
          </w:tcPr>
          <w:p>
            <w:pPr>
              <w:jc w:val="right"/>
              <w:ind w:right="437"/>
              <w:spacing w:after="0"/>
              <w:rPr>
                <w:sz w:val="20"/>
                <w:szCs w:val="20"/>
                <w:color w:val="auto"/>
              </w:rPr>
            </w:pPr>
            <w:r>
              <w:rPr>
                <w:rFonts w:ascii="Arial" w:cs="Arial" w:eastAsia="Arial" w:hAnsi="Arial"/>
                <w:sz w:val="9"/>
                <w:szCs w:val="9"/>
                <w:color w:val="auto"/>
              </w:rPr>
              <w:t>$ 15,090,901</w:t>
            </w:r>
          </w:p>
        </w:tc>
        <w:tc>
          <w:tcPr>
            <w:tcW w:w="1180" w:type="dxa"/>
            <w:vAlign w:val="bottom"/>
            <w:vMerge w:val="restart"/>
            <w:shd w:val="clear" w:color="auto" w:fill="F1EFEC"/>
          </w:tcPr>
          <w:p>
            <w:pPr>
              <w:jc w:val="right"/>
              <w:ind w:right="377"/>
              <w:spacing w:after="0"/>
              <w:rPr>
                <w:sz w:val="20"/>
                <w:szCs w:val="20"/>
                <w:color w:val="auto"/>
              </w:rPr>
            </w:pPr>
            <w:r>
              <w:rPr>
                <w:rFonts w:ascii="Arial" w:cs="Arial" w:eastAsia="Arial" w:hAnsi="Arial"/>
                <w:sz w:val="9"/>
                <w:szCs w:val="9"/>
                <w:color w:val="auto"/>
              </w:rPr>
              <w:t>-</w:t>
            </w:r>
          </w:p>
        </w:tc>
        <w:tc>
          <w:tcPr>
            <w:tcW w:w="44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w:t>
            </w:r>
          </w:p>
        </w:tc>
        <w:tc>
          <w:tcPr>
            <w:tcW w:w="740" w:type="dxa"/>
            <w:vAlign w:val="bottom"/>
            <w:vMerge w:val="restart"/>
            <w:shd w:val="clear" w:color="auto" w:fill="F1EFEC"/>
          </w:tcPr>
          <w:p>
            <w:pPr>
              <w:jc w:val="right"/>
              <w:ind w:right="257"/>
              <w:spacing w:after="0"/>
              <w:rPr>
                <w:sz w:val="20"/>
                <w:szCs w:val="20"/>
                <w:color w:val="auto"/>
              </w:rPr>
            </w:pPr>
            <w:r>
              <w:rPr>
                <w:rFonts w:ascii="Arial" w:cs="Arial" w:eastAsia="Arial" w:hAnsi="Arial"/>
                <w:sz w:val="9"/>
                <w:szCs w:val="9"/>
                <w:color w:val="auto"/>
                <w:w w:val="93"/>
              </w:rPr>
              <w:t>24,305,795</w:t>
            </w:r>
          </w:p>
        </w:tc>
        <w:tc>
          <w:tcPr>
            <w:tcW w:w="1100" w:type="dxa"/>
            <w:vAlign w:val="bottom"/>
            <w:vMerge w:val="restart"/>
            <w:shd w:val="clear" w:color="auto" w:fill="F1EFEC"/>
          </w:tcPr>
          <w:p>
            <w:pPr>
              <w:jc w:val="right"/>
              <w:ind w:right="157"/>
              <w:spacing w:after="0"/>
              <w:rPr>
                <w:sz w:val="20"/>
                <w:szCs w:val="20"/>
                <w:color w:val="auto"/>
              </w:rPr>
            </w:pPr>
            <w:r>
              <w:rPr>
                <w:rFonts w:ascii="Arial" w:cs="Arial" w:eastAsia="Arial" w:hAnsi="Arial"/>
                <w:sz w:val="9"/>
                <w:szCs w:val="9"/>
                <w:color w:val="auto"/>
              </w:rPr>
              <w:t>$ 4,073,600</w:t>
            </w:r>
          </w:p>
        </w:tc>
        <w:tc>
          <w:tcPr>
            <w:tcW w:w="1120" w:type="dxa"/>
            <w:vAlign w:val="bottom"/>
            <w:vMerge w:val="restart"/>
            <w:shd w:val="clear" w:color="auto" w:fill="F1EFEC"/>
          </w:tcPr>
          <w:p>
            <w:pPr>
              <w:jc w:val="center"/>
              <w:spacing w:after="0"/>
              <w:rPr>
                <w:sz w:val="20"/>
                <w:szCs w:val="20"/>
                <w:color w:val="auto"/>
              </w:rPr>
            </w:pPr>
            <w:r>
              <w:rPr>
                <w:rFonts w:ascii="Arial" w:cs="Arial" w:eastAsia="Arial" w:hAnsi="Arial"/>
                <w:sz w:val="9"/>
                <w:szCs w:val="9"/>
                <w:color w:val="auto"/>
                <w:w w:val="92"/>
              </w:rPr>
              <w:t>$ 5,506,758</w:t>
            </w:r>
          </w:p>
        </w:tc>
        <w:tc>
          <w:tcPr>
            <w:tcW w:w="46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F1EFEC"/>
          </w:tcPr>
          <w:p>
            <w:pPr>
              <w:jc w:val="right"/>
              <w:ind w:right="317"/>
              <w:spacing w:after="0"/>
              <w:rPr>
                <w:sz w:val="20"/>
                <w:szCs w:val="20"/>
                <w:color w:val="auto"/>
              </w:rPr>
            </w:pPr>
            <w:r>
              <w:rPr>
                <w:rFonts w:ascii="Arial" w:cs="Arial" w:eastAsia="Arial" w:hAnsi="Arial"/>
                <w:sz w:val="9"/>
                <w:szCs w:val="9"/>
                <w:color w:val="auto"/>
                <w:w w:val="94"/>
              </w:rPr>
              <w:t>145.60</w:t>
            </w:r>
          </w:p>
        </w:tc>
        <w:tc>
          <w:tcPr>
            <w:tcW w:w="1020" w:type="dxa"/>
            <w:vAlign w:val="bottom"/>
            <w:vMerge w:val="restart"/>
            <w:shd w:val="clear" w:color="auto" w:fill="F1EFEC"/>
          </w:tcPr>
          <w:p>
            <w:pPr>
              <w:jc w:val="center"/>
              <w:ind w:left="17"/>
              <w:spacing w:after="0"/>
              <w:rPr>
                <w:sz w:val="20"/>
                <w:szCs w:val="20"/>
                <w:color w:val="auto"/>
              </w:rPr>
            </w:pPr>
            <w:r>
              <w:rPr>
                <w:rFonts w:ascii="Arial" w:cs="Arial" w:eastAsia="Arial" w:hAnsi="Arial"/>
                <w:sz w:val="9"/>
                <w:szCs w:val="9"/>
                <w:color w:val="auto"/>
                <w:w w:val="93"/>
              </w:rPr>
              <w:t>$ 93.85</w:t>
            </w:r>
          </w:p>
        </w:tc>
        <w:tc>
          <w:tcPr>
            <w:tcW w:w="22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w:t>
            </w:r>
          </w:p>
        </w:tc>
        <w:tc>
          <w:tcPr>
            <w:tcW w:w="26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327,3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0" w:type="dxa"/>
            <w:vAlign w:val="bottom"/>
            <w:tcBorders>
              <w:bottom w:val="single" w:sz="8" w:color="F1EFEC"/>
            </w:tcBorders>
            <w:shd w:val="clear" w:color="auto" w:fill="F1EFEC"/>
          </w:tcPr>
          <w:p>
            <w:pPr>
              <w:spacing w:after="0"/>
              <w:rPr>
                <w:sz w:val="9"/>
                <w:szCs w:val="9"/>
                <w:color w:val="auto"/>
              </w:rPr>
            </w:pPr>
          </w:p>
        </w:tc>
        <w:tc>
          <w:tcPr>
            <w:tcW w:w="400" w:type="dxa"/>
            <w:vAlign w:val="bottom"/>
            <w:tcBorders>
              <w:bottom w:val="single" w:sz="8" w:color="F1EFEC"/>
            </w:tcBorders>
            <w:shd w:val="clear" w:color="auto" w:fill="F1EFEC"/>
          </w:tcPr>
          <w:p>
            <w:pPr>
              <w:spacing w:after="0"/>
              <w:rPr>
                <w:sz w:val="9"/>
                <w:szCs w:val="9"/>
                <w:color w:val="auto"/>
              </w:rPr>
            </w:pPr>
          </w:p>
        </w:tc>
        <w:tc>
          <w:tcPr>
            <w:tcW w:w="740" w:type="dxa"/>
            <w:vAlign w:val="bottom"/>
            <w:tcBorders>
              <w:bottom w:val="single" w:sz="8" w:color="F1EFEC"/>
            </w:tcBorders>
            <w:vMerge w:val="continue"/>
            <w:shd w:val="clear" w:color="auto" w:fill="F1EFEC"/>
          </w:tcPr>
          <w:p>
            <w:pPr>
              <w:spacing w:after="0"/>
              <w:rPr>
                <w:sz w:val="9"/>
                <w:szCs w:val="9"/>
                <w:color w:val="auto"/>
              </w:rPr>
            </w:pPr>
          </w:p>
        </w:tc>
        <w:tc>
          <w:tcPr>
            <w:tcW w:w="1480" w:type="dxa"/>
            <w:vAlign w:val="bottom"/>
            <w:tcBorders>
              <w:bottom w:val="single" w:sz="8" w:color="F1EFEC"/>
              <w:right w:val="single" w:sz="8" w:color="F1EFEC"/>
            </w:tcBorders>
            <w:vMerge w:val="continue"/>
            <w:shd w:val="clear" w:color="auto" w:fill="F1EFEC"/>
          </w:tcPr>
          <w:p>
            <w:pPr>
              <w:spacing w:after="0"/>
              <w:rPr>
                <w:sz w:val="9"/>
                <w:szCs w:val="9"/>
                <w:color w:val="auto"/>
              </w:rPr>
            </w:pPr>
          </w:p>
        </w:tc>
        <w:tc>
          <w:tcPr>
            <w:tcW w:w="1180" w:type="dxa"/>
            <w:vAlign w:val="bottom"/>
            <w:tcBorders>
              <w:bottom w:val="single" w:sz="8" w:color="F1EFEC"/>
            </w:tcBorders>
            <w:vMerge w:val="continue"/>
            <w:shd w:val="clear" w:color="auto" w:fill="F1EFEC"/>
          </w:tcPr>
          <w:p>
            <w:pPr>
              <w:spacing w:after="0"/>
              <w:rPr>
                <w:sz w:val="9"/>
                <w:szCs w:val="9"/>
                <w:color w:val="auto"/>
              </w:rPr>
            </w:pPr>
          </w:p>
        </w:tc>
        <w:tc>
          <w:tcPr>
            <w:tcW w:w="440" w:type="dxa"/>
            <w:vAlign w:val="bottom"/>
            <w:tcBorders>
              <w:bottom w:val="single" w:sz="8" w:color="F1EFEC"/>
            </w:tcBorders>
            <w:vMerge w:val="continue"/>
            <w:shd w:val="clear" w:color="auto" w:fill="F1EFEC"/>
          </w:tcPr>
          <w:p>
            <w:pPr>
              <w:spacing w:after="0"/>
              <w:rPr>
                <w:sz w:val="9"/>
                <w:szCs w:val="9"/>
                <w:color w:val="auto"/>
              </w:rPr>
            </w:pPr>
          </w:p>
        </w:tc>
        <w:tc>
          <w:tcPr>
            <w:tcW w:w="740" w:type="dxa"/>
            <w:vAlign w:val="bottom"/>
            <w:tcBorders>
              <w:bottom w:val="single" w:sz="8" w:color="F1EFEC"/>
            </w:tcBorders>
            <w:vMerge w:val="continue"/>
            <w:shd w:val="clear" w:color="auto" w:fill="F1EFEC"/>
          </w:tcPr>
          <w:p>
            <w:pPr>
              <w:spacing w:after="0"/>
              <w:rPr>
                <w:sz w:val="9"/>
                <w:szCs w:val="9"/>
                <w:color w:val="auto"/>
              </w:rPr>
            </w:pPr>
          </w:p>
        </w:tc>
        <w:tc>
          <w:tcPr>
            <w:tcW w:w="1100" w:type="dxa"/>
            <w:vAlign w:val="bottom"/>
            <w:tcBorders>
              <w:bottom w:val="single" w:sz="8" w:color="F1EFEC"/>
            </w:tcBorders>
            <w:vMerge w:val="continue"/>
            <w:shd w:val="clear" w:color="auto" w:fill="F1EFEC"/>
          </w:tcPr>
          <w:p>
            <w:pPr>
              <w:spacing w:after="0"/>
              <w:rPr>
                <w:sz w:val="9"/>
                <w:szCs w:val="9"/>
                <w:color w:val="auto"/>
              </w:rPr>
            </w:pPr>
          </w:p>
        </w:tc>
        <w:tc>
          <w:tcPr>
            <w:tcW w:w="1120" w:type="dxa"/>
            <w:vAlign w:val="bottom"/>
            <w:tcBorders>
              <w:bottom w:val="single" w:sz="8" w:color="F1EFEC"/>
            </w:tcBorders>
            <w:vMerge w:val="continue"/>
            <w:shd w:val="clear" w:color="auto" w:fill="F1EFEC"/>
          </w:tcPr>
          <w:p>
            <w:pPr>
              <w:spacing w:after="0"/>
              <w:rPr>
                <w:sz w:val="9"/>
                <w:szCs w:val="9"/>
                <w:color w:val="auto"/>
              </w:rPr>
            </w:pPr>
          </w:p>
        </w:tc>
        <w:tc>
          <w:tcPr>
            <w:tcW w:w="460" w:type="dxa"/>
            <w:vAlign w:val="bottom"/>
            <w:tcBorders>
              <w:bottom w:val="single" w:sz="8" w:color="F1EFEC"/>
            </w:tcBorders>
            <w:vMerge w:val="continue"/>
            <w:shd w:val="clear" w:color="auto" w:fill="F1EFEC"/>
          </w:tcPr>
          <w:p>
            <w:pPr>
              <w:spacing w:after="0"/>
              <w:rPr>
                <w:sz w:val="9"/>
                <w:szCs w:val="9"/>
                <w:color w:val="auto"/>
              </w:rPr>
            </w:pPr>
          </w:p>
        </w:tc>
        <w:tc>
          <w:tcPr>
            <w:tcW w:w="640" w:type="dxa"/>
            <w:vAlign w:val="bottom"/>
            <w:tcBorders>
              <w:bottom w:val="single" w:sz="8" w:color="F1EFEC"/>
            </w:tcBorders>
            <w:vMerge w:val="continue"/>
            <w:shd w:val="clear" w:color="auto" w:fill="F1EFEC"/>
          </w:tcPr>
          <w:p>
            <w:pPr>
              <w:spacing w:after="0"/>
              <w:rPr>
                <w:sz w:val="9"/>
                <w:szCs w:val="9"/>
                <w:color w:val="auto"/>
              </w:rPr>
            </w:pPr>
          </w:p>
        </w:tc>
        <w:tc>
          <w:tcPr>
            <w:tcW w:w="1020" w:type="dxa"/>
            <w:vAlign w:val="bottom"/>
            <w:tcBorders>
              <w:bottom w:val="single" w:sz="8" w:color="F1EFEC"/>
            </w:tcBorders>
            <w:vMerge w:val="continue"/>
            <w:shd w:val="clear" w:color="auto" w:fill="F1EFEC"/>
          </w:tcPr>
          <w:p>
            <w:pPr>
              <w:spacing w:after="0"/>
              <w:rPr>
                <w:sz w:val="9"/>
                <w:szCs w:val="9"/>
                <w:color w:val="auto"/>
              </w:rPr>
            </w:pPr>
          </w:p>
        </w:tc>
        <w:tc>
          <w:tcPr>
            <w:tcW w:w="220" w:type="dxa"/>
            <w:vAlign w:val="bottom"/>
            <w:tcBorders>
              <w:bottom w:val="single" w:sz="8" w:color="F1EFEC"/>
            </w:tcBorders>
            <w:vMerge w:val="continue"/>
            <w:shd w:val="clear" w:color="auto" w:fill="F1EFEC"/>
          </w:tcPr>
          <w:p>
            <w:pPr>
              <w:spacing w:after="0"/>
              <w:rPr>
                <w:sz w:val="9"/>
                <w:szCs w:val="9"/>
                <w:color w:val="auto"/>
              </w:rPr>
            </w:pPr>
          </w:p>
        </w:tc>
        <w:tc>
          <w:tcPr>
            <w:tcW w:w="260" w:type="dxa"/>
            <w:vAlign w:val="bottom"/>
            <w:tcBorders>
              <w:bottom w:val="single" w:sz="8" w:color="F1EFEC"/>
            </w:tcBorders>
            <w:vMerge w:val="continue"/>
            <w:shd w:val="clear" w:color="auto" w:fill="F1EFE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 w:type="dxa"/>
            <w:vAlign w:val="bottom"/>
            <w:gridSpan w:val="2"/>
          </w:tcPr>
          <w:p>
            <w:pPr>
              <w:jc w:val="center"/>
              <w:spacing w:after="0"/>
              <w:rPr>
                <w:sz w:val="20"/>
                <w:szCs w:val="20"/>
                <w:color w:val="auto"/>
              </w:rPr>
            </w:pPr>
            <w:r>
              <w:rPr>
                <w:rFonts w:ascii="Arial" w:cs="Arial" w:eastAsia="Arial" w:hAnsi="Arial"/>
                <w:sz w:val="9"/>
                <w:szCs w:val="9"/>
                <w:color w:val="auto"/>
                <w:w w:val="99"/>
              </w:rPr>
              <w:t>2024</w:t>
            </w:r>
          </w:p>
        </w:tc>
        <w:tc>
          <w:tcPr>
            <w:tcW w:w="400" w:type="dxa"/>
            <w:vAlign w:val="bottom"/>
          </w:tcPr>
          <w:p>
            <w:pPr>
              <w:spacing w:after="0"/>
              <w:rPr>
                <w:sz w:val="13"/>
                <w:szCs w:val="13"/>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9"/>
                <w:szCs w:val="9"/>
                <w:color w:val="auto"/>
              </w:rPr>
              <w:t>-</w:t>
            </w:r>
          </w:p>
        </w:tc>
        <w:tc>
          <w:tcPr>
            <w:tcW w:w="1480" w:type="dxa"/>
            <w:vAlign w:val="bottom"/>
            <w:vMerge w:val="restart"/>
          </w:tcPr>
          <w:p>
            <w:pPr>
              <w:jc w:val="right"/>
              <w:ind w:right="437"/>
              <w:spacing w:after="0"/>
              <w:rPr>
                <w:sz w:val="20"/>
                <w:szCs w:val="20"/>
                <w:color w:val="auto"/>
              </w:rPr>
            </w:pPr>
            <w:r>
              <w:rPr>
                <w:rFonts w:ascii="Arial" w:cs="Arial" w:eastAsia="Arial" w:hAnsi="Arial"/>
                <w:sz w:val="9"/>
                <w:szCs w:val="9"/>
                <w:color w:val="auto"/>
              </w:rPr>
              <w:t>$ 15,931,316</w:t>
            </w:r>
          </w:p>
        </w:tc>
        <w:tc>
          <w:tcPr>
            <w:tcW w:w="1180" w:type="dxa"/>
            <w:vAlign w:val="bottom"/>
            <w:vMerge w:val="restart"/>
          </w:tcPr>
          <w:p>
            <w:pPr>
              <w:jc w:val="right"/>
              <w:ind w:right="377"/>
              <w:spacing w:after="0"/>
              <w:rPr>
                <w:sz w:val="20"/>
                <w:szCs w:val="20"/>
                <w:color w:val="auto"/>
              </w:rPr>
            </w:pPr>
            <w:r>
              <w:rPr>
                <w:rFonts w:ascii="Arial" w:cs="Arial" w:eastAsia="Arial" w:hAnsi="Arial"/>
                <w:sz w:val="9"/>
                <w:szCs w:val="9"/>
                <w:color w:val="auto"/>
              </w:rPr>
              <w:t>-</w:t>
            </w: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40" w:type="dxa"/>
            <w:vAlign w:val="bottom"/>
            <w:vMerge w:val="restart"/>
          </w:tcPr>
          <w:p>
            <w:pPr>
              <w:jc w:val="right"/>
              <w:ind w:right="257"/>
              <w:spacing w:after="0"/>
              <w:rPr>
                <w:sz w:val="20"/>
                <w:szCs w:val="20"/>
                <w:color w:val="auto"/>
              </w:rPr>
            </w:pPr>
            <w:r>
              <w:rPr>
                <w:rFonts w:ascii="Arial" w:cs="Arial" w:eastAsia="Arial" w:hAnsi="Arial"/>
                <w:sz w:val="9"/>
                <w:szCs w:val="9"/>
                <w:color w:val="auto"/>
                <w:w w:val="93"/>
              </w:rPr>
              <w:t>14,188,727</w:t>
            </w:r>
          </w:p>
        </w:tc>
        <w:tc>
          <w:tcPr>
            <w:tcW w:w="1100" w:type="dxa"/>
            <w:vAlign w:val="bottom"/>
            <w:vMerge w:val="restart"/>
          </w:tcPr>
          <w:p>
            <w:pPr>
              <w:jc w:val="right"/>
              <w:ind w:right="157"/>
              <w:spacing w:after="0"/>
              <w:rPr>
                <w:sz w:val="20"/>
                <w:szCs w:val="20"/>
                <w:color w:val="auto"/>
              </w:rPr>
            </w:pPr>
            <w:r>
              <w:rPr>
                <w:rFonts w:ascii="Arial" w:cs="Arial" w:eastAsia="Arial" w:hAnsi="Arial"/>
                <w:sz w:val="9"/>
                <w:szCs w:val="9"/>
                <w:color w:val="auto"/>
              </w:rPr>
              <w:t>$ 4,158,160</w:t>
            </w:r>
          </w:p>
        </w:tc>
        <w:tc>
          <w:tcPr>
            <w:tcW w:w="1120" w:type="dxa"/>
            <w:vAlign w:val="bottom"/>
            <w:vMerge w:val="restart"/>
          </w:tcPr>
          <w:p>
            <w:pPr>
              <w:jc w:val="center"/>
              <w:spacing w:after="0"/>
              <w:rPr>
                <w:sz w:val="20"/>
                <w:szCs w:val="20"/>
                <w:color w:val="auto"/>
              </w:rPr>
            </w:pPr>
            <w:r>
              <w:rPr>
                <w:rFonts w:ascii="Arial" w:cs="Arial" w:eastAsia="Arial" w:hAnsi="Arial"/>
                <w:sz w:val="9"/>
                <w:szCs w:val="9"/>
                <w:color w:val="auto"/>
                <w:w w:val="92"/>
              </w:rPr>
              <w:t>$ 4,094,550</w:t>
            </w: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17"/>
              <w:spacing w:after="0"/>
              <w:rPr>
                <w:sz w:val="20"/>
                <w:szCs w:val="20"/>
                <w:color w:val="auto"/>
              </w:rPr>
            </w:pPr>
            <w:r>
              <w:rPr>
                <w:rFonts w:ascii="Arial" w:cs="Arial" w:eastAsia="Arial" w:hAnsi="Arial"/>
                <w:sz w:val="9"/>
                <w:szCs w:val="9"/>
                <w:color w:val="auto"/>
              </w:rPr>
              <w:t>77.81</w:t>
            </w:r>
          </w:p>
        </w:tc>
        <w:tc>
          <w:tcPr>
            <w:tcW w:w="1020" w:type="dxa"/>
            <w:vAlign w:val="bottom"/>
            <w:vMerge w:val="restart"/>
          </w:tcPr>
          <w:p>
            <w:pPr>
              <w:jc w:val="center"/>
              <w:ind w:left="17"/>
              <w:spacing w:after="0"/>
              <w:rPr>
                <w:sz w:val="20"/>
                <w:szCs w:val="20"/>
                <w:color w:val="auto"/>
              </w:rPr>
            </w:pPr>
            <w:r>
              <w:rPr>
                <w:rFonts w:ascii="Arial" w:cs="Arial" w:eastAsia="Arial" w:hAnsi="Arial"/>
                <w:sz w:val="9"/>
                <w:szCs w:val="9"/>
                <w:color w:val="auto"/>
                <w:w w:val="93"/>
              </w:rPr>
              <w:t>$ 84.53</w:t>
            </w:r>
          </w:p>
        </w:tc>
        <w:tc>
          <w:tcPr>
            <w:tcW w:w="2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501,0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0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 w:type="dxa"/>
            <w:vAlign w:val="bottom"/>
            <w:shd w:val="clear" w:color="auto" w:fill="F1EFEC"/>
          </w:tcPr>
          <w:p>
            <w:pPr>
              <w:jc w:val="center"/>
              <w:spacing w:after="0"/>
              <w:rPr>
                <w:sz w:val="20"/>
                <w:szCs w:val="20"/>
                <w:color w:val="auto"/>
              </w:rPr>
            </w:pPr>
            <w:r>
              <w:rPr>
                <w:rFonts w:ascii="Arial" w:cs="Arial" w:eastAsia="Arial" w:hAnsi="Arial"/>
                <w:sz w:val="9"/>
                <w:szCs w:val="9"/>
                <w:color w:val="auto"/>
                <w:w w:val="99"/>
              </w:rPr>
              <w:t>2023</w:t>
            </w:r>
          </w:p>
        </w:tc>
        <w:tc>
          <w:tcPr>
            <w:tcW w:w="400" w:type="dxa"/>
            <w:vAlign w:val="bottom"/>
            <w:shd w:val="clear" w:color="auto" w:fill="F1EFEC"/>
          </w:tcPr>
          <w:p>
            <w:pPr>
              <w:spacing w:after="0"/>
              <w:rPr>
                <w:sz w:val="13"/>
                <w:szCs w:val="13"/>
                <w:color w:val="auto"/>
              </w:rPr>
            </w:pPr>
          </w:p>
        </w:tc>
        <w:tc>
          <w:tcPr>
            <w:tcW w:w="740" w:type="dxa"/>
            <w:vAlign w:val="bottom"/>
            <w:vMerge w:val="restart"/>
            <w:shd w:val="clear" w:color="auto" w:fill="F1EFEC"/>
          </w:tcPr>
          <w:p>
            <w:pPr>
              <w:jc w:val="right"/>
              <w:ind w:right="257"/>
              <w:spacing w:after="0"/>
              <w:rPr>
                <w:sz w:val="20"/>
                <w:szCs w:val="20"/>
                <w:color w:val="auto"/>
              </w:rPr>
            </w:pPr>
            <w:r>
              <w:rPr>
                <w:rFonts w:ascii="Arial" w:cs="Arial" w:eastAsia="Arial" w:hAnsi="Arial"/>
                <w:sz w:val="9"/>
                <w:szCs w:val="9"/>
                <w:color w:val="auto"/>
              </w:rPr>
              <w:t>-</w:t>
            </w:r>
          </w:p>
        </w:tc>
        <w:tc>
          <w:tcPr>
            <w:tcW w:w="1480" w:type="dxa"/>
            <w:vAlign w:val="bottom"/>
            <w:tcBorders>
              <w:right w:val="single" w:sz="8" w:color="F1EFEC"/>
            </w:tcBorders>
            <w:vMerge w:val="restart"/>
            <w:shd w:val="clear" w:color="auto" w:fill="F1EFEC"/>
          </w:tcPr>
          <w:p>
            <w:pPr>
              <w:jc w:val="right"/>
              <w:ind w:right="437"/>
              <w:spacing w:after="0"/>
              <w:rPr>
                <w:sz w:val="20"/>
                <w:szCs w:val="20"/>
                <w:color w:val="auto"/>
              </w:rPr>
            </w:pPr>
            <w:r>
              <w:rPr>
                <w:rFonts w:ascii="Arial" w:cs="Arial" w:eastAsia="Arial" w:hAnsi="Arial"/>
                <w:sz w:val="9"/>
                <w:szCs w:val="9"/>
                <w:color w:val="auto"/>
              </w:rPr>
              <w:t>$ 16,152,634</w:t>
            </w:r>
          </w:p>
        </w:tc>
        <w:tc>
          <w:tcPr>
            <w:tcW w:w="1180" w:type="dxa"/>
            <w:vAlign w:val="bottom"/>
            <w:vMerge w:val="restart"/>
            <w:shd w:val="clear" w:color="auto" w:fill="F1EFEC"/>
          </w:tcPr>
          <w:p>
            <w:pPr>
              <w:jc w:val="right"/>
              <w:ind w:right="377"/>
              <w:spacing w:after="0"/>
              <w:rPr>
                <w:sz w:val="20"/>
                <w:szCs w:val="20"/>
                <w:color w:val="auto"/>
              </w:rPr>
            </w:pPr>
            <w:r>
              <w:rPr>
                <w:rFonts w:ascii="Arial" w:cs="Arial" w:eastAsia="Arial" w:hAnsi="Arial"/>
                <w:sz w:val="9"/>
                <w:szCs w:val="9"/>
                <w:color w:val="auto"/>
              </w:rPr>
              <w:t>-</w:t>
            </w:r>
          </w:p>
        </w:tc>
        <w:tc>
          <w:tcPr>
            <w:tcW w:w="44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w:t>
            </w:r>
          </w:p>
        </w:tc>
        <w:tc>
          <w:tcPr>
            <w:tcW w:w="740" w:type="dxa"/>
            <w:vAlign w:val="bottom"/>
            <w:vMerge w:val="restart"/>
            <w:shd w:val="clear" w:color="auto" w:fill="F1EFEC"/>
          </w:tcPr>
          <w:p>
            <w:pPr>
              <w:jc w:val="right"/>
              <w:ind w:right="257"/>
              <w:spacing w:after="0"/>
              <w:rPr>
                <w:sz w:val="20"/>
                <w:szCs w:val="20"/>
                <w:color w:val="auto"/>
              </w:rPr>
            </w:pPr>
            <w:r>
              <w:rPr>
                <w:rFonts w:ascii="Arial" w:cs="Arial" w:eastAsia="Arial" w:hAnsi="Arial"/>
                <w:sz w:val="9"/>
                <w:szCs w:val="9"/>
                <w:color w:val="auto"/>
                <w:w w:val="93"/>
              </w:rPr>
              <w:t>17,456,662</w:t>
            </w:r>
          </w:p>
        </w:tc>
        <w:tc>
          <w:tcPr>
            <w:tcW w:w="1100" w:type="dxa"/>
            <w:vAlign w:val="bottom"/>
            <w:vMerge w:val="restart"/>
            <w:shd w:val="clear" w:color="auto" w:fill="F1EFEC"/>
          </w:tcPr>
          <w:p>
            <w:pPr>
              <w:jc w:val="right"/>
              <w:ind w:right="157"/>
              <w:spacing w:after="0"/>
              <w:rPr>
                <w:sz w:val="20"/>
                <w:szCs w:val="20"/>
                <w:color w:val="auto"/>
              </w:rPr>
            </w:pPr>
            <w:r>
              <w:rPr>
                <w:rFonts w:ascii="Arial" w:cs="Arial" w:eastAsia="Arial" w:hAnsi="Arial"/>
                <w:sz w:val="9"/>
                <w:szCs w:val="9"/>
                <w:color w:val="auto"/>
              </w:rPr>
              <w:t>$ 4,621,082</w:t>
            </w:r>
          </w:p>
        </w:tc>
        <w:tc>
          <w:tcPr>
            <w:tcW w:w="1120" w:type="dxa"/>
            <w:vAlign w:val="bottom"/>
            <w:vMerge w:val="restart"/>
            <w:shd w:val="clear" w:color="auto" w:fill="F1EFEC"/>
          </w:tcPr>
          <w:p>
            <w:pPr>
              <w:jc w:val="center"/>
              <w:spacing w:after="0"/>
              <w:rPr>
                <w:sz w:val="20"/>
                <w:szCs w:val="20"/>
                <w:color w:val="auto"/>
              </w:rPr>
            </w:pPr>
            <w:r>
              <w:rPr>
                <w:rFonts w:ascii="Arial" w:cs="Arial" w:eastAsia="Arial" w:hAnsi="Arial"/>
                <w:sz w:val="9"/>
                <w:szCs w:val="9"/>
                <w:color w:val="auto"/>
                <w:w w:val="92"/>
              </w:rPr>
              <w:t>$ 5,238,530</w:t>
            </w:r>
          </w:p>
        </w:tc>
        <w:tc>
          <w:tcPr>
            <w:tcW w:w="46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F1EFEC"/>
          </w:tcPr>
          <w:p>
            <w:pPr>
              <w:jc w:val="right"/>
              <w:ind w:right="317"/>
              <w:spacing w:after="0"/>
              <w:rPr>
                <w:sz w:val="20"/>
                <w:szCs w:val="20"/>
                <w:color w:val="auto"/>
              </w:rPr>
            </w:pPr>
            <w:r>
              <w:rPr>
                <w:rFonts w:ascii="Arial" w:cs="Arial" w:eastAsia="Arial" w:hAnsi="Arial"/>
                <w:sz w:val="9"/>
                <w:szCs w:val="9"/>
                <w:color w:val="auto"/>
              </w:rPr>
              <w:t>66.70</w:t>
            </w:r>
          </w:p>
        </w:tc>
        <w:tc>
          <w:tcPr>
            <w:tcW w:w="1020" w:type="dxa"/>
            <w:vAlign w:val="bottom"/>
            <w:vMerge w:val="restart"/>
            <w:shd w:val="clear" w:color="auto" w:fill="F1EFEC"/>
          </w:tcPr>
          <w:p>
            <w:pPr>
              <w:jc w:val="center"/>
              <w:ind w:left="17"/>
              <w:spacing w:after="0"/>
              <w:rPr>
                <w:sz w:val="20"/>
                <w:szCs w:val="20"/>
                <w:color w:val="auto"/>
              </w:rPr>
            </w:pPr>
            <w:r>
              <w:rPr>
                <w:rFonts w:ascii="Arial" w:cs="Arial" w:eastAsia="Arial" w:hAnsi="Arial"/>
                <w:sz w:val="9"/>
                <w:szCs w:val="9"/>
                <w:color w:val="auto"/>
                <w:w w:val="93"/>
              </w:rPr>
              <w:t>$ 75.96</w:t>
            </w:r>
          </w:p>
        </w:tc>
        <w:tc>
          <w:tcPr>
            <w:tcW w:w="22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w:t>
            </w:r>
          </w:p>
        </w:tc>
        <w:tc>
          <w:tcPr>
            <w:tcW w:w="26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729,9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0" w:type="dxa"/>
            <w:vAlign w:val="bottom"/>
            <w:tcBorders>
              <w:bottom w:val="single" w:sz="8" w:color="F1EFEC"/>
            </w:tcBorders>
            <w:shd w:val="clear" w:color="auto" w:fill="F1EFEC"/>
          </w:tcPr>
          <w:p>
            <w:pPr>
              <w:spacing w:after="0"/>
              <w:rPr>
                <w:sz w:val="9"/>
                <w:szCs w:val="9"/>
                <w:color w:val="auto"/>
              </w:rPr>
            </w:pPr>
          </w:p>
        </w:tc>
        <w:tc>
          <w:tcPr>
            <w:tcW w:w="400" w:type="dxa"/>
            <w:vAlign w:val="bottom"/>
            <w:tcBorders>
              <w:bottom w:val="single" w:sz="8" w:color="F1EFEC"/>
            </w:tcBorders>
            <w:shd w:val="clear" w:color="auto" w:fill="F1EFEC"/>
          </w:tcPr>
          <w:p>
            <w:pPr>
              <w:spacing w:after="0"/>
              <w:rPr>
                <w:sz w:val="9"/>
                <w:szCs w:val="9"/>
                <w:color w:val="auto"/>
              </w:rPr>
            </w:pPr>
          </w:p>
        </w:tc>
        <w:tc>
          <w:tcPr>
            <w:tcW w:w="740" w:type="dxa"/>
            <w:vAlign w:val="bottom"/>
            <w:tcBorders>
              <w:bottom w:val="single" w:sz="8" w:color="F1EFEC"/>
            </w:tcBorders>
            <w:vMerge w:val="continue"/>
            <w:shd w:val="clear" w:color="auto" w:fill="F1EFEC"/>
          </w:tcPr>
          <w:p>
            <w:pPr>
              <w:spacing w:after="0"/>
              <w:rPr>
                <w:sz w:val="9"/>
                <w:szCs w:val="9"/>
                <w:color w:val="auto"/>
              </w:rPr>
            </w:pPr>
          </w:p>
        </w:tc>
        <w:tc>
          <w:tcPr>
            <w:tcW w:w="1480" w:type="dxa"/>
            <w:vAlign w:val="bottom"/>
            <w:tcBorders>
              <w:bottom w:val="single" w:sz="8" w:color="F1EFEC"/>
              <w:right w:val="single" w:sz="8" w:color="F1EFEC"/>
            </w:tcBorders>
            <w:vMerge w:val="continue"/>
            <w:shd w:val="clear" w:color="auto" w:fill="F1EFEC"/>
          </w:tcPr>
          <w:p>
            <w:pPr>
              <w:spacing w:after="0"/>
              <w:rPr>
                <w:sz w:val="9"/>
                <w:szCs w:val="9"/>
                <w:color w:val="auto"/>
              </w:rPr>
            </w:pPr>
          </w:p>
        </w:tc>
        <w:tc>
          <w:tcPr>
            <w:tcW w:w="1180" w:type="dxa"/>
            <w:vAlign w:val="bottom"/>
            <w:tcBorders>
              <w:bottom w:val="single" w:sz="8" w:color="F1EFEC"/>
            </w:tcBorders>
            <w:vMerge w:val="continue"/>
            <w:shd w:val="clear" w:color="auto" w:fill="F1EFEC"/>
          </w:tcPr>
          <w:p>
            <w:pPr>
              <w:spacing w:after="0"/>
              <w:rPr>
                <w:sz w:val="9"/>
                <w:szCs w:val="9"/>
                <w:color w:val="auto"/>
              </w:rPr>
            </w:pPr>
          </w:p>
        </w:tc>
        <w:tc>
          <w:tcPr>
            <w:tcW w:w="440" w:type="dxa"/>
            <w:vAlign w:val="bottom"/>
            <w:tcBorders>
              <w:bottom w:val="single" w:sz="8" w:color="F1EFEC"/>
            </w:tcBorders>
            <w:vMerge w:val="continue"/>
            <w:shd w:val="clear" w:color="auto" w:fill="F1EFEC"/>
          </w:tcPr>
          <w:p>
            <w:pPr>
              <w:spacing w:after="0"/>
              <w:rPr>
                <w:sz w:val="9"/>
                <w:szCs w:val="9"/>
                <w:color w:val="auto"/>
              </w:rPr>
            </w:pPr>
          </w:p>
        </w:tc>
        <w:tc>
          <w:tcPr>
            <w:tcW w:w="740" w:type="dxa"/>
            <w:vAlign w:val="bottom"/>
            <w:tcBorders>
              <w:bottom w:val="single" w:sz="8" w:color="F1EFEC"/>
            </w:tcBorders>
            <w:vMerge w:val="continue"/>
            <w:shd w:val="clear" w:color="auto" w:fill="F1EFEC"/>
          </w:tcPr>
          <w:p>
            <w:pPr>
              <w:spacing w:after="0"/>
              <w:rPr>
                <w:sz w:val="9"/>
                <w:szCs w:val="9"/>
                <w:color w:val="auto"/>
              </w:rPr>
            </w:pPr>
          </w:p>
        </w:tc>
        <w:tc>
          <w:tcPr>
            <w:tcW w:w="1100" w:type="dxa"/>
            <w:vAlign w:val="bottom"/>
            <w:tcBorders>
              <w:bottom w:val="single" w:sz="8" w:color="F1EFEC"/>
            </w:tcBorders>
            <w:vMerge w:val="continue"/>
            <w:shd w:val="clear" w:color="auto" w:fill="F1EFEC"/>
          </w:tcPr>
          <w:p>
            <w:pPr>
              <w:spacing w:after="0"/>
              <w:rPr>
                <w:sz w:val="9"/>
                <w:szCs w:val="9"/>
                <w:color w:val="auto"/>
              </w:rPr>
            </w:pPr>
          </w:p>
        </w:tc>
        <w:tc>
          <w:tcPr>
            <w:tcW w:w="1120" w:type="dxa"/>
            <w:vAlign w:val="bottom"/>
            <w:tcBorders>
              <w:bottom w:val="single" w:sz="8" w:color="F1EFEC"/>
            </w:tcBorders>
            <w:vMerge w:val="continue"/>
            <w:shd w:val="clear" w:color="auto" w:fill="F1EFEC"/>
          </w:tcPr>
          <w:p>
            <w:pPr>
              <w:spacing w:after="0"/>
              <w:rPr>
                <w:sz w:val="9"/>
                <w:szCs w:val="9"/>
                <w:color w:val="auto"/>
              </w:rPr>
            </w:pPr>
          </w:p>
        </w:tc>
        <w:tc>
          <w:tcPr>
            <w:tcW w:w="460" w:type="dxa"/>
            <w:vAlign w:val="bottom"/>
            <w:tcBorders>
              <w:bottom w:val="single" w:sz="8" w:color="F1EFEC"/>
            </w:tcBorders>
            <w:vMerge w:val="continue"/>
            <w:shd w:val="clear" w:color="auto" w:fill="F1EFEC"/>
          </w:tcPr>
          <w:p>
            <w:pPr>
              <w:spacing w:after="0"/>
              <w:rPr>
                <w:sz w:val="9"/>
                <w:szCs w:val="9"/>
                <w:color w:val="auto"/>
              </w:rPr>
            </w:pPr>
          </w:p>
        </w:tc>
        <w:tc>
          <w:tcPr>
            <w:tcW w:w="640" w:type="dxa"/>
            <w:vAlign w:val="bottom"/>
            <w:tcBorders>
              <w:bottom w:val="single" w:sz="8" w:color="F1EFEC"/>
            </w:tcBorders>
            <w:vMerge w:val="continue"/>
            <w:shd w:val="clear" w:color="auto" w:fill="F1EFEC"/>
          </w:tcPr>
          <w:p>
            <w:pPr>
              <w:spacing w:after="0"/>
              <w:rPr>
                <w:sz w:val="9"/>
                <w:szCs w:val="9"/>
                <w:color w:val="auto"/>
              </w:rPr>
            </w:pPr>
          </w:p>
        </w:tc>
        <w:tc>
          <w:tcPr>
            <w:tcW w:w="1020" w:type="dxa"/>
            <w:vAlign w:val="bottom"/>
            <w:tcBorders>
              <w:bottom w:val="single" w:sz="8" w:color="F1EFEC"/>
            </w:tcBorders>
            <w:vMerge w:val="continue"/>
            <w:shd w:val="clear" w:color="auto" w:fill="F1EFEC"/>
          </w:tcPr>
          <w:p>
            <w:pPr>
              <w:spacing w:after="0"/>
              <w:rPr>
                <w:sz w:val="9"/>
                <w:szCs w:val="9"/>
                <w:color w:val="auto"/>
              </w:rPr>
            </w:pPr>
          </w:p>
        </w:tc>
        <w:tc>
          <w:tcPr>
            <w:tcW w:w="220" w:type="dxa"/>
            <w:vAlign w:val="bottom"/>
            <w:tcBorders>
              <w:bottom w:val="single" w:sz="8" w:color="F1EFEC"/>
            </w:tcBorders>
            <w:vMerge w:val="continue"/>
            <w:shd w:val="clear" w:color="auto" w:fill="F1EFEC"/>
          </w:tcPr>
          <w:p>
            <w:pPr>
              <w:spacing w:after="0"/>
              <w:rPr>
                <w:sz w:val="9"/>
                <w:szCs w:val="9"/>
                <w:color w:val="auto"/>
              </w:rPr>
            </w:pPr>
          </w:p>
        </w:tc>
        <w:tc>
          <w:tcPr>
            <w:tcW w:w="260" w:type="dxa"/>
            <w:vAlign w:val="bottom"/>
            <w:tcBorders>
              <w:bottom w:val="single" w:sz="8" w:color="F1EFEC"/>
            </w:tcBorders>
            <w:vMerge w:val="continue"/>
            <w:shd w:val="clear" w:color="auto" w:fill="F1EFE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 w:type="dxa"/>
            <w:vAlign w:val="bottom"/>
            <w:gridSpan w:val="2"/>
          </w:tcPr>
          <w:p>
            <w:pPr>
              <w:jc w:val="center"/>
              <w:spacing w:after="0"/>
              <w:rPr>
                <w:sz w:val="20"/>
                <w:szCs w:val="20"/>
                <w:color w:val="auto"/>
              </w:rPr>
            </w:pPr>
            <w:r>
              <w:rPr>
                <w:rFonts w:ascii="Arial" w:cs="Arial" w:eastAsia="Arial" w:hAnsi="Arial"/>
                <w:sz w:val="9"/>
                <w:szCs w:val="9"/>
                <w:color w:val="auto"/>
                <w:w w:val="99"/>
              </w:rPr>
              <w:t>2022</w:t>
            </w: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40" w:type="dxa"/>
            <w:vAlign w:val="bottom"/>
            <w:vMerge w:val="restart"/>
          </w:tcPr>
          <w:p>
            <w:pPr>
              <w:jc w:val="right"/>
              <w:ind w:right="257"/>
              <w:spacing w:after="0"/>
              <w:rPr>
                <w:sz w:val="20"/>
                <w:szCs w:val="20"/>
                <w:color w:val="auto"/>
              </w:rPr>
            </w:pPr>
            <w:r>
              <w:rPr>
                <w:rFonts w:ascii="Arial" w:cs="Arial" w:eastAsia="Arial" w:hAnsi="Arial"/>
                <w:sz w:val="9"/>
                <w:szCs w:val="9"/>
                <w:color w:val="auto"/>
              </w:rPr>
              <w:t>7,830,157</w:t>
            </w:r>
          </w:p>
        </w:tc>
        <w:tc>
          <w:tcPr>
            <w:tcW w:w="1480" w:type="dxa"/>
            <w:vAlign w:val="bottom"/>
            <w:vMerge w:val="restart"/>
          </w:tcPr>
          <w:p>
            <w:pPr>
              <w:jc w:val="right"/>
              <w:ind w:right="437"/>
              <w:spacing w:after="0"/>
              <w:rPr>
                <w:sz w:val="20"/>
                <w:szCs w:val="20"/>
                <w:color w:val="auto"/>
              </w:rPr>
            </w:pPr>
            <w:r>
              <w:rPr>
                <w:rFonts w:ascii="Arial" w:cs="Arial" w:eastAsia="Arial" w:hAnsi="Arial"/>
                <w:sz w:val="9"/>
                <w:szCs w:val="9"/>
                <w:color w:val="auto"/>
              </w:rPr>
              <w:t>$ 12,229,087</w:t>
            </w:r>
          </w:p>
        </w:tc>
        <w:tc>
          <w:tcPr>
            <w:tcW w:w="1180" w:type="dxa"/>
            <w:vAlign w:val="bottom"/>
            <w:vMerge w:val="restart"/>
          </w:tcPr>
          <w:p>
            <w:pPr>
              <w:jc w:val="right"/>
              <w:ind w:right="337"/>
              <w:spacing w:after="0"/>
              <w:rPr>
                <w:sz w:val="20"/>
                <w:szCs w:val="20"/>
                <w:color w:val="auto"/>
              </w:rPr>
            </w:pPr>
            <w:r>
              <w:rPr>
                <w:rFonts w:ascii="Arial" w:cs="Arial" w:eastAsia="Arial" w:hAnsi="Arial"/>
                <w:sz w:val="9"/>
                <w:szCs w:val="9"/>
                <w:color w:val="auto"/>
              </w:rPr>
              <w:t>$ (698,593)</w:t>
            </w: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40" w:type="dxa"/>
            <w:vAlign w:val="bottom"/>
            <w:vMerge w:val="restart"/>
          </w:tcPr>
          <w:p>
            <w:pPr>
              <w:jc w:val="right"/>
              <w:ind w:right="257"/>
              <w:spacing w:after="0"/>
              <w:rPr>
                <w:sz w:val="20"/>
                <w:szCs w:val="20"/>
                <w:color w:val="auto"/>
              </w:rPr>
            </w:pPr>
            <w:r>
              <w:rPr>
                <w:rFonts w:ascii="Arial" w:cs="Arial" w:eastAsia="Arial" w:hAnsi="Arial"/>
                <w:sz w:val="9"/>
                <w:szCs w:val="9"/>
                <w:color w:val="auto"/>
              </w:rPr>
              <w:t>6,644,349</w:t>
            </w:r>
          </w:p>
        </w:tc>
        <w:tc>
          <w:tcPr>
            <w:tcW w:w="1100" w:type="dxa"/>
            <w:vAlign w:val="bottom"/>
            <w:vMerge w:val="restart"/>
          </w:tcPr>
          <w:p>
            <w:pPr>
              <w:jc w:val="right"/>
              <w:ind w:right="157"/>
              <w:spacing w:after="0"/>
              <w:rPr>
                <w:sz w:val="20"/>
                <w:szCs w:val="20"/>
                <w:color w:val="auto"/>
              </w:rPr>
            </w:pPr>
            <w:r>
              <w:rPr>
                <w:rFonts w:ascii="Arial" w:cs="Arial" w:eastAsia="Arial" w:hAnsi="Arial"/>
                <w:sz w:val="9"/>
                <w:szCs w:val="9"/>
                <w:color w:val="auto"/>
              </w:rPr>
              <w:t>$ 5,265,417</w:t>
            </w:r>
          </w:p>
        </w:tc>
        <w:tc>
          <w:tcPr>
            <w:tcW w:w="1120" w:type="dxa"/>
            <w:vAlign w:val="bottom"/>
            <w:vMerge w:val="restart"/>
          </w:tcPr>
          <w:p>
            <w:pPr>
              <w:jc w:val="center"/>
              <w:spacing w:after="0"/>
              <w:rPr>
                <w:sz w:val="20"/>
                <w:szCs w:val="20"/>
                <w:color w:val="auto"/>
              </w:rPr>
            </w:pPr>
            <w:r>
              <w:rPr>
                <w:rFonts w:ascii="Arial" w:cs="Arial" w:eastAsia="Arial" w:hAnsi="Arial"/>
                <w:sz w:val="9"/>
                <w:szCs w:val="9"/>
                <w:color w:val="auto"/>
                <w:w w:val="92"/>
              </w:rPr>
              <w:t>$ 5,161,405</w:t>
            </w: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17"/>
              <w:spacing w:after="0"/>
              <w:rPr>
                <w:sz w:val="20"/>
                <w:szCs w:val="20"/>
                <w:color w:val="auto"/>
              </w:rPr>
            </w:pPr>
            <w:r>
              <w:rPr>
                <w:rFonts w:ascii="Arial" w:cs="Arial" w:eastAsia="Arial" w:hAnsi="Arial"/>
                <w:sz w:val="9"/>
                <w:szCs w:val="9"/>
                <w:color w:val="auto"/>
              </w:rPr>
              <w:t>59.91</w:t>
            </w:r>
          </w:p>
        </w:tc>
        <w:tc>
          <w:tcPr>
            <w:tcW w:w="1020" w:type="dxa"/>
            <w:vAlign w:val="bottom"/>
            <w:vMerge w:val="restart"/>
          </w:tcPr>
          <w:p>
            <w:pPr>
              <w:jc w:val="center"/>
              <w:ind w:left="17"/>
              <w:spacing w:after="0"/>
              <w:rPr>
                <w:sz w:val="20"/>
                <w:szCs w:val="20"/>
                <w:color w:val="auto"/>
              </w:rPr>
            </w:pPr>
            <w:r>
              <w:rPr>
                <w:rFonts w:ascii="Arial" w:cs="Arial" w:eastAsia="Arial" w:hAnsi="Arial"/>
                <w:sz w:val="9"/>
                <w:szCs w:val="9"/>
                <w:color w:val="auto"/>
                <w:w w:val="93"/>
              </w:rPr>
              <w:t>$ 58.28</w:t>
            </w:r>
          </w:p>
        </w:tc>
        <w:tc>
          <w:tcPr>
            <w:tcW w:w="2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w w:val="93"/>
              </w:rPr>
              <w:t>(423,8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0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 w:type="dxa"/>
            <w:vAlign w:val="bottom"/>
            <w:shd w:val="clear" w:color="auto" w:fill="F1EFEC"/>
          </w:tcPr>
          <w:p>
            <w:pPr>
              <w:jc w:val="center"/>
              <w:spacing w:after="0"/>
              <w:rPr>
                <w:sz w:val="20"/>
                <w:szCs w:val="20"/>
                <w:color w:val="auto"/>
              </w:rPr>
            </w:pPr>
            <w:r>
              <w:rPr>
                <w:rFonts w:ascii="Arial" w:cs="Arial" w:eastAsia="Arial" w:hAnsi="Arial"/>
                <w:sz w:val="9"/>
                <w:szCs w:val="9"/>
                <w:color w:val="auto"/>
                <w:w w:val="99"/>
              </w:rPr>
              <w:t>2021</w:t>
            </w:r>
          </w:p>
        </w:tc>
        <w:tc>
          <w:tcPr>
            <w:tcW w:w="40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w:t>
            </w:r>
          </w:p>
        </w:tc>
        <w:tc>
          <w:tcPr>
            <w:tcW w:w="740" w:type="dxa"/>
            <w:vAlign w:val="bottom"/>
            <w:vMerge w:val="restart"/>
            <w:shd w:val="clear" w:color="auto" w:fill="F1EFEC"/>
          </w:tcPr>
          <w:p>
            <w:pPr>
              <w:jc w:val="right"/>
              <w:ind w:right="257"/>
              <w:spacing w:after="0"/>
              <w:rPr>
                <w:sz w:val="20"/>
                <w:szCs w:val="20"/>
                <w:color w:val="auto"/>
              </w:rPr>
            </w:pPr>
            <w:r>
              <w:rPr>
                <w:rFonts w:ascii="Arial" w:cs="Arial" w:eastAsia="Arial" w:hAnsi="Arial"/>
                <w:sz w:val="9"/>
                <w:szCs w:val="9"/>
                <w:color w:val="auto"/>
                <w:w w:val="93"/>
              </w:rPr>
              <w:t>12,928,747</w:t>
            </w:r>
          </w:p>
        </w:tc>
        <w:tc>
          <w:tcPr>
            <w:tcW w:w="1480" w:type="dxa"/>
            <w:vAlign w:val="bottom"/>
            <w:tcBorders>
              <w:right w:val="single" w:sz="8" w:color="F1EFEC"/>
            </w:tcBorders>
            <w:vMerge w:val="restart"/>
            <w:shd w:val="clear" w:color="auto" w:fill="F1EFEC"/>
          </w:tcPr>
          <w:p>
            <w:pPr>
              <w:jc w:val="right"/>
              <w:ind w:right="437"/>
              <w:spacing w:after="0"/>
              <w:rPr>
                <w:sz w:val="20"/>
                <w:szCs w:val="20"/>
                <w:color w:val="auto"/>
              </w:rPr>
            </w:pPr>
            <w:r>
              <w:rPr>
                <w:rFonts w:ascii="Arial" w:cs="Arial" w:eastAsia="Arial" w:hAnsi="Arial"/>
                <w:sz w:val="9"/>
                <w:szCs w:val="9"/>
                <w:color w:val="auto"/>
              </w:rPr>
              <w:t>-</w:t>
            </w:r>
          </w:p>
        </w:tc>
        <w:tc>
          <w:tcPr>
            <w:tcW w:w="1180" w:type="dxa"/>
            <w:vAlign w:val="bottom"/>
            <w:vMerge w:val="restart"/>
            <w:shd w:val="clear" w:color="auto" w:fill="F1EFEC"/>
          </w:tcPr>
          <w:p>
            <w:pPr>
              <w:jc w:val="right"/>
              <w:ind w:right="377"/>
              <w:spacing w:after="0"/>
              <w:rPr>
                <w:sz w:val="20"/>
                <w:szCs w:val="20"/>
                <w:color w:val="auto"/>
              </w:rPr>
            </w:pPr>
            <w:r>
              <w:rPr>
                <w:rFonts w:ascii="Arial" w:cs="Arial" w:eastAsia="Arial" w:hAnsi="Arial"/>
                <w:sz w:val="9"/>
                <w:szCs w:val="9"/>
                <w:color w:val="auto"/>
              </w:rPr>
              <w:t>$ 7,935,501</w:t>
            </w:r>
          </w:p>
        </w:tc>
        <w:tc>
          <w:tcPr>
            <w:tcW w:w="440" w:type="dxa"/>
            <w:vAlign w:val="bottom"/>
            <w:shd w:val="clear" w:color="auto" w:fill="F1EFEC"/>
          </w:tcPr>
          <w:p>
            <w:pPr>
              <w:spacing w:after="0"/>
              <w:rPr>
                <w:sz w:val="13"/>
                <w:szCs w:val="13"/>
                <w:color w:val="auto"/>
              </w:rPr>
            </w:pPr>
          </w:p>
        </w:tc>
        <w:tc>
          <w:tcPr>
            <w:tcW w:w="740" w:type="dxa"/>
            <w:vAlign w:val="bottom"/>
            <w:vMerge w:val="restart"/>
            <w:shd w:val="clear" w:color="auto" w:fill="F1EFEC"/>
          </w:tcPr>
          <w:p>
            <w:pPr>
              <w:jc w:val="right"/>
              <w:ind w:right="257"/>
              <w:spacing w:after="0"/>
              <w:rPr>
                <w:sz w:val="20"/>
                <w:szCs w:val="20"/>
                <w:color w:val="auto"/>
              </w:rPr>
            </w:pPr>
            <w:r>
              <w:rPr>
                <w:rFonts w:ascii="Arial" w:cs="Arial" w:eastAsia="Arial" w:hAnsi="Arial"/>
                <w:sz w:val="9"/>
                <w:szCs w:val="9"/>
                <w:color w:val="auto"/>
              </w:rPr>
              <w:t>-</w:t>
            </w:r>
          </w:p>
        </w:tc>
        <w:tc>
          <w:tcPr>
            <w:tcW w:w="1100" w:type="dxa"/>
            <w:vAlign w:val="bottom"/>
            <w:vMerge w:val="restart"/>
            <w:shd w:val="clear" w:color="auto" w:fill="F1EFEC"/>
          </w:tcPr>
          <w:p>
            <w:pPr>
              <w:jc w:val="right"/>
              <w:ind w:right="157"/>
              <w:spacing w:after="0"/>
              <w:rPr>
                <w:sz w:val="20"/>
                <w:szCs w:val="20"/>
                <w:color w:val="auto"/>
              </w:rPr>
            </w:pPr>
            <w:r>
              <w:rPr>
                <w:rFonts w:ascii="Arial" w:cs="Arial" w:eastAsia="Arial" w:hAnsi="Arial"/>
                <w:sz w:val="9"/>
                <w:szCs w:val="9"/>
                <w:color w:val="auto"/>
              </w:rPr>
              <w:t>$ 6,936,390</w:t>
            </w:r>
          </w:p>
        </w:tc>
        <w:tc>
          <w:tcPr>
            <w:tcW w:w="1120" w:type="dxa"/>
            <w:vAlign w:val="bottom"/>
            <w:vMerge w:val="restart"/>
            <w:shd w:val="clear" w:color="auto" w:fill="F1EFEC"/>
          </w:tcPr>
          <w:p>
            <w:pPr>
              <w:jc w:val="center"/>
              <w:spacing w:after="0"/>
              <w:rPr>
                <w:sz w:val="20"/>
                <w:szCs w:val="20"/>
                <w:color w:val="auto"/>
              </w:rPr>
            </w:pPr>
            <w:r>
              <w:rPr>
                <w:rFonts w:ascii="Arial" w:cs="Arial" w:eastAsia="Arial" w:hAnsi="Arial"/>
                <w:sz w:val="9"/>
                <w:szCs w:val="9"/>
                <w:color w:val="auto"/>
                <w:w w:val="92"/>
              </w:rPr>
              <w:t>$ 7,397,174</w:t>
            </w:r>
          </w:p>
        </w:tc>
        <w:tc>
          <w:tcPr>
            <w:tcW w:w="46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F1EFEC"/>
          </w:tcPr>
          <w:p>
            <w:pPr>
              <w:jc w:val="right"/>
              <w:ind w:right="317"/>
              <w:spacing w:after="0"/>
              <w:rPr>
                <w:sz w:val="20"/>
                <w:szCs w:val="20"/>
                <w:color w:val="auto"/>
              </w:rPr>
            </w:pPr>
            <w:r>
              <w:rPr>
                <w:rFonts w:ascii="Arial" w:cs="Arial" w:eastAsia="Arial" w:hAnsi="Arial"/>
                <w:sz w:val="9"/>
                <w:szCs w:val="9"/>
                <w:color w:val="auto"/>
              </w:rPr>
              <w:t>61.77</w:t>
            </w:r>
          </w:p>
        </w:tc>
        <w:tc>
          <w:tcPr>
            <w:tcW w:w="1020" w:type="dxa"/>
            <w:vAlign w:val="bottom"/>
            <w:vMerge w:val="restart"/>
            <w:shd w:val="clear" w:color="auto" w:fill="F1EFEC"/>
          </w:tcPr>
          <w:p>
            <w:pPr>
              <w:jc w:val="center"/>
              <w:ind w:left="17"/>
              <w:spacing w:after="0"/>
              <w:rPr>
                <w:sz w:val="20"/>
                <w:szCs w:val="20"/>
                <w:color w:val="auto"/>
              </w:rPr>
            </w:pPr>
            <w:r>
              <w:rPr>
                <w:rFonts w:ascii="Arial" w:cs="Arial" w:eastAsia="Arial" w:hAnsi="Arial"/>
                <w:sz w:val="9"/>
                <w:szCs w:val="9"/>
                <w:color w:val="auto"/>
                <w:w w:val="93"/>
              </w:rPr>
              <w:t>$ 78.17</w:t>
            </w:r>
          </w:p>
        </w:tc>
        <w:tc>
          <w:tcPr>
            <w:tcW w:w="22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rPr>
              <w:t>$</w:t>
            </w:r>
          </w:p>
        </w:tc>
        <w:tc>
          <w:tcPr>
            <w:tcW w:w="260" w:type="dxa"/>
            <w:vAlign w:val="bottom"/>
            <w:vMerge w:val="restart"/>
            <w:shd w:val="clear" w:color="auto" w:fill="F1EFEC"/>
          </w:tcPr>
          <w:p>
            <w:pPr>
              <w:jc w:val="right"/>
              <w:spacing w:after="0"/>
              <w:rPr>
                <w:sz w:val="20"/>
                <w:szCs w:val="20"/>
                <w:color w:val="auto"/>
              </w:rPr>
            </w:pPr>
            <w:r>
              <w:rPr>
                <w:rFonts w:ascii="Arial" w:cs="Arial" w:eastAsia="Arial" w:hAnsi="Arial"/>
                <w:sz w:val="9"/>
                <w:szCs w:val="9"/>
                <w:color w:val="auto"/>
                <w:w w:val="93"/>
              </w:rPr>
              <w:t>(755,7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shd w:val="clear" w:color="auto" w:fill="F1EFEC"/>
          </w:tcPr>
          <w:p>
            <w:pPr>
              <w:spacing w:after="0"/>
              <w:rPr>
                <w:sz w:val="6"/>
                <w:szCs w:val="6"/>
                <w:color w:val="auto"/>
              </w:rPr>
            </w:pPr>
          </w:p>
        </w:tc>
        <w:tc>
          <w:tcPr>
            <w:tcW w:w="400" w:type="dxa"/>
            <w:vAlign w:val="bottom"/>
            <w:vMerge w:val="continue"/>
            <w:shd w:val="clear" w:color="auto" w:fill="F1EFEC"/>
          </w:tcPr>
          <w:p>
            <w:pPr>
              <w:spacing w:after="0"/>
              <w:rPr>
                <w:sz w:val="6"/>
                <w:szCs w:val="6"/>
                <w:color w:val="auto"/>
              </w:rPr>
            </w:pPr>
          </w:p>
        </w:tc>
        <w:tc>
          <w:tcPr>
            <w:tcW w:w="740" w:type="dxa"/>
            <w:vAlign w:val="bottom"/>
            <w:vMerge w:val="continue"/>
            <w:shd w:val="clear" w:color="auto" w:fill="F1EFEC"/>
          </w:tcPr>
          <w:p>
            <w:pPr>
              <w:spacing w:after="0"/>
              <w:rPr>
                <w:sz w:val="6"/>
                <w:szCs w:val="6"/>
                <w:color w:val="auto"/>
              </w:rPr>
            </w:pPr>
          </w:p>
        </w:tc>
        <w:tc>
          <w:tcPr>
            <w:tcW w:w="1480" w:type="dxa"/>
            <w:vAlign w:val="bottom"/>
            <w:tcBorders>
              <w:right w:val="single" w:sz="8" w:color="F1EFEC"/>
            </w:tcBorders>
            <w:vMerge w:val="continue"/>
            <w:shd w:val="clear" w:color="auto" w:fill="F1EFEC"/>
          </w:tcPr>
          <w:p>
            <w:pPr>
              <w:spacing w:after="0"/>
              <w:rPr>
                <w:sz w:val="6"/>
                <w:szCs w:val="6"/>
                <w:color w:val="auto"/>
              </w:rPr>
            </w:pPr>
          </w:p>
        </w:tc>
        <w:tc>
          <w:tcPr>
            <w:tcW w:w="1180" w:type="dxa"/>
            <w:vAlign w:val="bottom"/>
            <w:vMerge w:val="continue"/>
            <w:shd w:val="clear" w:color="auto" w:fill="F1EFEC"/>
          </w:tcPr>
          <w:p>
            <w:pPr>
              <w:spacing w:after="0"/>
              <w:rPr>
                <w:sz w:val="6"/>
                <w:szCs w:val="6"/>
                <w:color w:val="auto"/>
              </w:rPr>
            </w:pPr>
          </w:p>
        </w:tc>
        <w:tc>
          <w:tcPr>
            <w:tcW w:w="440" w:type="dxa"/>
            <w:vAlign w:val="bottom"/>
            <w:shd w:val="clear" w:color="auto" w:fill="F1EFEC"/>
          </w:tcPr>
          <w:p>
            <w:pPr>
              <w:spacing w:after="0"/>
              <w:rPr>
                <w:sz w:val="6"/>
                <w:szCs w:val="6"/>
                <w:color w:val="auto"/>
              </w:rPr>
            </w:pPr>
          </w:p>
        </w:tc>
        <w:tc>
          <w:tcPr>
            <w:tcW w:w="740" w:type="dxa"/>
            <w:vAlign w:val="bottom"/>
            <w:vMerge w:val="continue"/>
            <w:shd w:val="clear" w:color="auto" w:fill="F1EFEC"/>
          </w:tcPr>
          <w:p>
            <w:pPr>
              <w:spacing w:after="0"/>
              <w:rPr>
                <w:sz w:val="6"/>
                <w:szCs w:val="6"/>
                <w:color w:val="auto"/>
              </w:rPr>
            </w:pPr>
          </w:p>
        </w:tc>
        <w:tc>
          <w:tcPr>
            <w:tcW w:w="1100" w:type="dxa"/>
            <w:vAlign w:val="bottom"/>
            <w:vMerge w:val="continue"/>
            <w:shd w:val="clear" w:color="auto" w:fill="F1EFEC"/>
          </w:tcPr>
          <w:p>
            <w:pPr>
              <w:spacing w:after="0"/>
              <w:rPr>
                <w:sz w:val="6"/>
                <w:szCs w:val="6"/>
                <w:color w:val="auto"/>
              </w:rPr>
            </w:pPr>
          </w:p>
        </w:tc>
        <w:tc>
          <w:tcPr>
            <w:tcW w:w="1120" w:type="dxa"/>
            <w:vAlign w:val="bottom"/>
            <w:vMerge w:val="continue"/>
            <w:shd w:val="clear" w:color="auto" w:fill="F1EFEC"/>
          </w:tcPr>
          <w:p>
            <w:pPr>
              <w:spacing w:after="0"/>
              <w:rPr>
                <w:sz w:val="6"/>
                <w:szCs w:val="6"/>
                <w:color w:val="auto"/>
              </w:rPr>
            </w:pPr>
          </w:p>
        </w:tc>
        <w:tc>
          <w:tcPr>
            <w:tcW w:w="460" w:type="dxa"/>
            <w:vAlign w:val="bottom"/>
            <w:vMerge w:val="continue"/>
            <w:shd w:val="clear" w:color="auto" w:fill="F1EFEC"/>
          </w:tcPr>
          <w:p>
            <w:pPr>
              <w:spacing w:after="0"/>
              <w:rPr>
                <w:sz w:val="6"/>
                <w:szCs w:val="6"/>
                <w:color w:val="auto"/>
              </w:rPr>
            </w:pPr>
          </w:p>
        </w:tc>
        <w:tc>
          <w:tcPr>
            <w:tcW w:w="640" w:type="dxa"/>
            <w:vAlign w:val="bottom"/>
            <w:vMerge w:val="continue"/>
            <w:shd w:val="clear" w:color="auto" w:fill="F1EFEC"/>
          </w:tcPr>
          <w:p>
            <w:pPr>
              <w:spacing w:after="0"/>
              <w:rPr>
                <w:sz w:val="6"/>
                <w:szCs w:val="6"/>
                <w:color w:val="auto"/>
              </w:rPr>
            </w:pPr>
          </w:p>
        </w:tc>
        <w:tc>
          <w:tcPr>
            <w:tcW w:w="1020" w:type="dxa"/>
            <w:vAlign w:val="bottom"/>
            <w:vMerge w:val="continue"/>
            <w:shd w:val="clear" w:color="auto" w:fill="F1EFEC"/>
          </w:tcPr>
          <w:p>
            <w:pPr>
              <w:spacing w:after="0"/>
              <w:rPr>
                <w:sz w:val="6"/>
                <w:szCs w:val="6"/>
                <w:color w:val="auto"/>
              </w:rPr>
            </w:pPr>
          </w:p>
        </w:tc>
        <w:tc>
          <w:tcPr>
            <w:tcW w:w="220" w:type="dxa"/>
            <w:vAlign w:val="bottom"/>
            <w:vMerge w:val="continue"/>
            <w:shd w:val="clear" w:color="auto" w:fill="F1EFEC"/>
          </w:tcPr>
          <w:p>
            <w:pPr>
              <w:spacing w:after="0"/>
              <w:rPr>
                <w:sz w:val="6"/>
                <w:szCs w:val="6"/>
                <w:color w:val="auto"/>
              </w:rPr>
            </w:pPr>
          </w:p>
        </w:tc>
        <w:tc>
          <w:tcPr>
            <w:tcW w:w="260" w:type="dxa"/>
            <w:vAlign w:val="bottom"/>
            <w:vMerge w:val="continue"/>
            <w:shd w:val="clear" w:color="auto" w:fill="F1EFEC"/>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0" w:type="dxa"/>
            <w:vAlign w:val="bottom"/>
            <w:shd w:val="clear" w:color="auto" w:fill="F1EFEC"/>
          </w:tcPr>
          <w:p>
            <w:pPr>
              <w:spacing w:after="0"/>
              <w:rPr>
                <w:sz w:val="4"/>
                <w:szCs w:val="4"/>
                <w:color w:val="auto"/>
              </w:rPr>
            </w:pPr>
          </w:p>
        </w:tc>
        <w:tc>
          <w:tcPr>
            <w:tcW w:w="400" w:type="dxa"/>
            <w:vAlign w:val="bottom"/>
            <w:shd w:val="clear" w:color="auto" w:fill="F1EFEC"/>
          </w:tcPr>
          <w:p>
            <w:pPr>
              <w:spacing w:after="0"/>
              <w:rPr>
                <w:sz w:val="4"/>
                <w:szCs w:val="4"/>
                <w:color w:val="auto"/>
              </w:rPr>
            </w:pPr>
          </w:p>
        </w:tc>
        <w:tc>
          <w:tcPr>
            <w:tcW w:w="740" w:type="dxa"/>
            <w:vAlign w:val="bottom"/>
            <w:shd w:val="clear" w:color="auto" w:fill="F1EFEC"/>
          </w:tcPr>
          <w:p>
            <w:pPr>
              <w:spacing w:after="0"/>
              <w:rPr>
                <w:sz w:val="4"/>
                <w:szCs w:val="4"/>
                <w:color w:val="auto"/>
              </w:rPr>
            </w:pPr>
          </w:p>
        </w:tc>
        <w:tc>
          <w:tcPr>
            <w:tcW w:w="1480" w:type="dxa"/>
            <w:vAlign w:val="bottom"/>
            <w:tcBorders>
              <w:right w:val="single" w:sz="8" w:color="F1EFEC"/>
            </w:tcBorders>
            <w:shd w:val="clear" w:color="auto" w:fill="F1EFEC"/>
          </w:tcPr>
          <w:p>
            <w:pPr>
              <w:spacing w:after="0"/>
              <w:rPr>
                <w:sz w:val="4"/>
                <w:szCs w:val="4"/>
                <w:color w:val="auto"/>
              </w:rPr>
            </w:pPr>
          </w:p>
        </w:tc>
        <w:tc>
          <w:tcPr>
            <w:tcW w:w="1180" w:type="dxa"/>
            <w:vAlign w:val="bottom"/>
            <w:shd w:val="clear" w:color="auto" w:fill="F1EFEC"/>
          </w:tcPr>
          <w:p>
            <w:pPr>
              <w:spacing w:after="0"/>
              <w:rPr>
                <w:sz w:val="4"/>
                <w:szCs w:val="4"/>
                <w:color w:val="auto"/>
              </w:rPr>
            </w:pPr>
          </w:p>
        </w:tc>
        <w:tc>
          <w:tcPr>
            <w:tcW w:w="440" w:type="dxa"/>
            <w:vAlign w:val="bottom"/>
            <w:shd w:val="clear" w:color="auto" w:fill="F1EFEC"/>
          </w:tcPr>
          <w:p>
            <w:pPr>
              <w:spacing w:after="0"/>
              <w:rPr>
                <w:sz w:val="4"/>
                <w:szCs w:val="4"/>
                <w:color w:val="auto"/>
              </w:rPr>
            </w:pPr>
          </w:p>
        </w:tc>
        <w:tc>
          <w:tcPr>
            <w:tcW w:w="740" w:type="dxa"/>
            <w:vAlign w:val="bottom"/>
            <w:shd w:val="clear" w:color="auto" w:fill="F1EFEC"/>
          </w:tcPr>
          <w:p>
            <w:pPr>
              <w:spacing w:after="0"/>
              <w:rPr>
                <w:sz w:val="4"/>
                <w:szCs w:val="4"/>
                <w:color w:val="auto"/>
              </w:rPr>
            </w:pPr>
          </w:p>
        </w:tc>
        <w:tc>
          <w:tcPr>
            <w:tcW w:w="1100" w:type="dxa"/>
            <w:vAlign w:val="bottom"/>
            <w:shd w:val="clear" w:color="auto" w:fill="F1EFEC"/>
          </w:tcPr>
          <w:p>
            <w:pPr>
              <w:spacing w:after="0"/>
              <w:rPr>
                <w:sz w:val="4"/>
                <w:szCs w:val="4"/>
                <w:color w:val="auto"/>
              </w:rPr>
            </w:pPr>
          </w:p>
        </w:tc>
        <w:tc>
          <w:tcPr>
            <w:tcW w:w="1120" w:type="dxa"/>
            <w:vAlign w:val="bottom"/>
            <w:shd w:val="clear" w:color="auto" w:fill="F1EFEC"/>
          </w:tcPr>
          <w:p>
            <w:pPr>
              <w:spacing w:after="0"/>
              <w:rPr>
                <w:sz w:val="4"/>
                <w:szCs w:val="4"/>
                <w:color w:val="auto"/>
              </w:rPr>
            </w:pPr>
          </w:p>
        </w:tc>
        <w:tc>
          <w:tcPr>
            <w:tcW w:w="460" w:type="dxa"/>
            <w:vAlign w:val="bottom"/>
            <w:shd w:val="clear" w:color="auto" w:fill="F1EFEC"/>
          </w:tcPr>
          <w:p>
            <w:pPr>
              <w:spacing w:after="0"/>
              <w:rPr>
                <w:sz w:val="4"/>
                <w:szCs w:val="4"/>
                <w:color w:val="auto"/>
              </w:rPr>
            </w:pPr>
          </w:p>
        </w:tc>
        <w:tc>
          <w:tcPr>
            <w:tcW w:w="640" w:type="dxa"/>
            <w:vAlign w:val="bottom"/>
            <w:shd w:val="clear" w:color="auto" w:fill="F1EFEC"/>
          </w:tcPr>
          <w:p>
            <w:pPr>
              <w:spacing w:after="0"/>
              <w:rPr>
                <w:sz w:val="4"/>
                <w:szCs w:val="4"/>
                <w:color w:val="auto"/>
              </w:rPr>
            </w:pPr>
          </w:p>
        </w:tc>
        <w:tc>
          <w:tcPr>
            <w:tcW w:w="1020" w:type="dxa"/>
            <w:vAlign w:val="bottom"/>
            <w:shd w:val="clear" w:color="auto" w:fill="F1EFEC"/>
          </w:tcPr>
          <w:p>
            <w:pPr>
              <w:spacing w:after="0"/>
              <w:rPr>
                <w:sz w:val="4"/>
                <w:szCs w:val="4"/>
                <w:color w:val="auto"/>
              </w:rPr>
            </w:pPr>
          </w:p>
        </w:tc>
        <w:tc>
          <w:tcPr>
            <w:tcW w:w="220" w:type="dxa"/>
            <w:vAlign w:val="bottom"/>
            <w:shd w:val="clear" w:color="auto" w:fill="F1EFEC"/>
          </w:tcPr>
          <w:p>
            <w:pPr>
              <w:spacing w:after="0"/>
              <w:rPr>
                <w:sz w:val="4"/>
                <w:szCs w:val="4"/>
                <w:color w:val="auto"/>
              </w:rPr>
            </w:pPr>
          </w:p>
        </w:tc>
        <w:tc>
          <w:tcPr>
            <w:tcW w:w="260" w:type="dxa"/>
            <w:vAlign w:val="bottom"/>
            <w:shd w:val="clear" w:color="auto" w:fill="F1EFEC"/>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-1579880</wp:posOffset>
            </wp:positionV>
            <wp:extent cx="6405880" cy="1587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05880" cy="1587500"/>
                    </a:xfrm>
                    <a:prstGeom prst="rect">
                      <a:avLst/>
                    </a:prstGeom>
                    <a:noFill/>
                  </pic:spPr>
                </pic:pic>
              </a:graphicData>
            </a:graphic>
          </wp:anchor>
        </w:drawing>
      </w:r>
    </w:p>
    <w:p>
      <w:pPr>
        <w:spacing w:after="0" w:line="62" w:lineRule="exact"/>
        <w:rPr>
          <w:sz w:val="20"/>
          <w:szCs w:val="20"/>
          <w:color w:val="auto"/>
        </w:rPr>
      </w:pPr>
    </w:p>
    <w:p>
      <w:pPr>
        <w:ind w:left="1260" w:right="1560" w:firstLine="7"/>
        <w:spacing w:after="0" w:line="242" w:lineRule="auto"/>
        <w:tabs>
          <w:tab w:leader="none" w:pos="1410" w:val="left"/>
        </w:tabs>
        <w:numPr>
          <w:ilvl w:val="0"/>
          <w:numId w:val="49"/>
        </w:numPr>
        <w:rPr>
          <w:rFonts w:ascii="Arial" w:cs="Arial" w:eastAsia="Arial" w:hAnsi="Arial"/>
          <w:sz w:val="10"/>
          <w:szCs w:val="10"/>
          <w:color w:val="auto"/>
        </w:rPr>
      </w:pPr>
      <w:r>
        <w:rPr>
          <w:rFonts w:ascii="Arial" w:cs="Arial" w:eastAsia="Arial" w:hAnsi="Arial"/>
          <w:sz w:val="10"/>
          <w:szCs w:val="10"/>
          <w:color w:val="auto"/>
        </w:rPr>
        <w:t>Effective February 1, 2022, Mr. Billings (“PEO B”) succeeded Matt Maddox (“PEO A”) as the Company’s Chief Executive Officer and the Principal Executive Officer. For the year 2022, the amounts set forth in these columns reflect Mr. Maddox’s compensation for the period between January 1, 2022, and January 31, 2022, including severance. Mr. Maddox was also the PEO of the Company for fiscal year 2021. Mr. Billings was the Company’s Chief Executive Officer and the PEO for 2025, 2024, 2023 and February 1, 2022, through December 31, 2022, for 2022.</w:t>
      </w:r>
    </w:p>
    <w:p>
      <w:pPr>
        <w:spacing w:after="0" w:line="59" w:lineRule="exact"/>
        <w:rPr>
          <w:rFonts w:ascii="Arial" w:cs="Arial" w:eastAsia="Arial" w:hAnsi="Arial"/>
          <w:sz w:val="10"/>
          <w:szCs w:val="10"/>
          <w:color w:val="auto"/>
        </w:rPr>
      </w:pPr>
    </w:p>
    <w:p>
      <w:pPr>
        <w:ind w:left="1420" w:hanging="153"/>
        <w:spacing w:after="0"/>
        <w:tabs>
          <w:tab w:leader="none" w:pos="1420" w:val="left"/>
        </w:tabs>
        <w:numPr>
          <w:ilvl w:val="0"/>
          <w:numId w:val="49"/>
        </w:numPr>
        <w:rPr>
          <w:rFonts w:ascii="Arial" w:cs="Arial" w:eastAsia="Arial" w:hAnsi="Arial"/>
          <w:sz w:val="10"/>
          <w:szCs w:val="10"/>
          <w:color w:val="auto"/>
        </w:rPr>
      </w:pPr>
      <w:r>
        <w:rPr>
          <w:rFonts w:ascii="Arial" w:cs="Arial" w:eastAsia="Arial" w:hAnsi="Arial"/>
          <w:sz w:val="10"/>
          <w:szCs w:val="10"/>
          <w:color w:val="auto"/>
        </w:rPr>
        <w:t>For the year 2022, compensation information for Mr. Maddox includes consideration of the terms set forth in the Maddox Transition Agreement, including forfeitures.</w:t>
      </w:r>
    </w:p>
    <w:p>
      <w:pPr>
        <w:spacing w:after="0" w:line="78" w:lineRule="exact"/>
        <w:rPr>
          <w:rFonts w:ascii="Arial" w:cs="Arial" w:eastAsia="Arial" w:hAnsi="Arial"/>
          <w:sz w:val="10"/>
          <w:szCs w:val="10"/>
          <w:color w:val="auto"/>
        </w:rPr>
      </w:pPr>
    </w:p>
    <w:p>
      <w:pPr>
        <w:ind w:left="1260" w:right="1440" w:firstLine="7"/>
        <w:spacing w:after="0" w:line="260" w:lineRule="auto"/>
        <w:tabs>
          <w:tab w:leader="none" w:pos="141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The amounts set forth in these columns reflect Mr. Billings’ total compensation. For fiscal year 2022, such amounts include compensation Mr. Billings received as the Company’s Chief Financial Officer for the period between January 1, 2022, and January 31, 2022.</w:t>
      </w:r>
    </w:p>
    <w:p>
      <w:pPr>
        <w:spacing w:after="0" w:line="51" w:lineRule="exact"/>
        <w:rPr>
          <w:rFonts w:ascii="Arial" w:cs="Arial" w:eastAsia="Arial" w:hAnsi="Arial"/>
          <w:sz w:val="10"/>
          <w:szCs w:val="10"/>
          <w:color w:val="auto"/>
        </w:rPr>
      </w:pPr>
    </w:p>
    <w:p>
      <w:pPr>
        <w:ind w:left="1260" w:right="1340" w:firstLine="7"/>
        <w:spacing w:after="0" w:line="234" w:lineRule="auto"/>
        <w:tabs>
          <w:tab w:leader="none" w:pos="1410" w:val="left"/>
        </w:tabs>
        <w:numPr>
          <w:ilvl w:val="0"/>
          <w:numId w:val="49"/>
        </w:numPr>
        <w:rPr>
          <w:rFonts w:ascii="Arial" w:cs="Arial" w:eastAsia="Arial" w:hAnsi="Arial"/>
          <w:sz w:val="10"/>
          <w:szCs w:val="10"/>
          <w:color w:val="auto"/>
        </w:rPr>
      </w:pPr>
      <w:r>
        <w:rPr>
          <w:rFonts w:ascii="Arial" w:cs="Arial" w:eastAsia="Arial" w:hAnsi="Arial"/>
          <w:sz w:val="10"/>
          <w:szCs w:val="10"/>
          <w:color w:val="auto"/>
        </w:rPr>
        <w:t>Effective February 1, 2022, Mr. Billings was named the PEO and was excluded from the list of Non-PEO NEOs. Mr. Billings’ compensation is included in PEO columns. Effective April 18, 2022, Ms. Cameron-Doe was appointed as the Company’s Chief Financial Officer and was named a NEO. Effective December 1, 2024, Ms. Krum was appointed as the Company’s Executive Vice President, General Counsel and Secretary and was named a NEO. For 2025, the Company’s non-PEO NEOs were Ms. Cameron-Doe and Ms. Krum. For 2024, the Company’s non-PEO NEOs were Ms. Cameron-Doe, Ms. Krum, and Ms. Whittemore. For 2023 and 2022, the Company’s non-PEO NEOs were Ms. Cameron-Doe, who joined the Company on April 18, 2022, and Ms. Whittemore. For 2021, the Company’s non-PEO NEOs were Mr. Billings and Ms. Whittemore.</w:t>
      </w:r>
    </w:p>
    <w:p>
      <w:pPr>
        <w:spacing w:after="0" w:line="61" w:lineRule="exact"/>
        <w:rPr>
          <w:rFonts w:ascii="Arial" w:cs="Arial" w:eastAsia="Arial" w:hAnsi="Arial"/>
          <w:sz w:val="10"/>
          <w:szCs w:val="10"/>
          <w:color w:val="auto"/>
        </w:rPr>
      </w:pPr>
    </w:p>
    <w:p>
      <w:pPr>
        <w:ind w:left="1260" w:right="1480" w:firstLine="7"/>
        <w:spacing w:after="0" w:line="242" w:lineRule="auto"/>
        <w:tabs>
          <w:tab w:leader="none" w:pos="1410" w:val="left"/>
        </w:tabs>
        <w:numPr>
          <w:ilvl w:val="0"/>
          <w:numId w:val="49"/>
        </w:numPr>
        <w:rPr>
          <w:rFonts w:ascii="Arial" w:cs="Arial" w:eastAsia="Arial" w:hAnsi="Arial"/>
          <w:sz w:val="10"/>
          <w:szCs w:val="10"/>
          <w:color w:val="auto"/>
        </w:rPr>
      </w:pPr>
      <w:r>
        <w:rPr>
          <w:rFonts w:ascii="Arial" w:cs="Arial" w:eastAsia="Arial" w:hAnsi="Arial"/>
          <w:sz w:val="10"/>
          <w:szCs w:val="10"/>
          <w:color w:val="auto"/>
        </w:rPr>
        <w:t>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other than the stock price of a subsidiary used in the valuation of subsidiary stock options. NEOs do not receive pension benefits.</w:t>
      </w:r>
    </w:p>
    <w:p>
      <w:pPr>
        <w:spacing w:after="0" w:line="59" w:lineRule="exact"/>
        <w:rPr>
          <w:rFonts w:ascii="Arial" w:cs="Arial" w:eastAsia="Arial" w:hAnsi="Arial"/>
          <w:sz w:val="10"/>
          <w:szCs w:val="10"/>
          <w:color w:val="auto"/>
        </w:rPr>
      </w:pPr>
    </w:p>
    <w:p>
      <w:pPr>
        <w:ind w:left="1260" w:right="1480" w:firstLine="7"/>
        <w:spacing w:after="0" w:line="260" w:lineRule="auto"/>
        <w:tabs>
          <w:tab w:leader="none" w:pos="1408"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The Company TSR and the TSR of the Dow Jones Gambling Index (Ticker: DJUSCA), the Company’s peer group, reflected in these columns for each applicable fiscal year is calculated based on a fixed investment of $100, including the reinvestment of dividends, on the applicable measurement point on the same cumulative basis as is used in Item 201(e) of Regulation S-K.</w:t>
      </w:r>
    </w:p>
    <w:p>
      <w:pPr>
        <w:spacing w:after="0" w:line="51" w:lineRule="exact"/>
        <w:rPr>
          <w:rFonts w:ascii="Arial" w:cs="Arial" w:eastAsia="Arial" w:hAnsi="Arial"/>
          <w:sz w:val="10"/>
          <w:szCs w:val="10"/>
          <w:color w:val="auto"/>
        </w:rPr>
      </w:pPr>
    </w:p>
    <w:p>
      <w:pPr>
        <w:ind w:left="1260" w:right="1400" w:firstLine="7"/>
        <w:spacing w:after="0" w:line="234" w:lineRule="auto"/>
        <w:tabs>
          <w:tab w:leader="none" w:pos="141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The “Compensation Actually Paid” to PEO B reflects the following adjustments made to the “Total Compensation” amounts reported in the Summary Compensation Table for the 2025 fiscal year, computed in accordance with Item 402(v) of Regulation S-K:</w:t>
      </w:r>
    </w:p>
    <w:p>
      <w:pPr>
        <w:ind w:left="1520" w:right="1400"/>
        <w:spacing w:after="0" w:line="234" w:lineRule="auto"/>
        <w:rPr>
          <w:rFonts w:ascii="Arial" w:cs="Arial" w:eastAsia="Arial" w:hAnsi="Arial"/>
          <w:sz w:val="10"/>
          <w:szCs w:val="10"/>
          <w:color w:val="auto"/>
        </w:rPr>
      </w:pPr>
      <w:r>
        <w:rPr>
          <w:rFonts w:ascii="Arial" w:cs="Arial" w:eastAsia="Arial" w:hAnsi="Arial"/>
          <w:sz w:val="10"/>
          <w:szCs w:val="10"/>
          <w:color w:val="auto"/>
        </w:rPr>
        <w:t>$9,214,894 represents a change in fair value of equity awards at either the vesting date or December 31, 2025, in the case of unvested restricted stock awards and unexercised stock options. Of this amount, stock awards granted during 2025 with an aggregate grant date fair value of $9,624,110 were remeasured at $13,901,960, for a change of $4,277,850, as of December 31, 2025, $5,191,605 was granted prior to 2025 and is outstanding at December 31, 2025, and $(254,561) was granted prior to 2025 and vested in 2025.</w:t>
      </w:r>
    </w:p>
    <w:p>
      <w:pPr>
        <w:spacing w:after="0" w:line="61" w:lineRule="exact"/>
        <w:rPr>
          <w:rFonts w:ascii="Arial" w:cs="Arial" w:eastAsia="Arial" w:hAnsi="Arial"/>
          <w:sz w:val="10"/>
          <w:szCs w:val="10"/>
          <w:color w:val="auto"/>
        </w:rPr>
      </w:pPr>
    </w:p>
    <w:p>
      <w:pPr>
        <w:ind w:left="1420" w:hanging="153"/>
        <w:spacing w:after="0"/>
        <w:tabs>
          <w:tab w:leader="none" w:pos="142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The average “Compensation Actually Paid” to the non-PEOs reflects the following adjustments made to the “Total Compensation” amounts reported in the Summary Compensation Table for the</w:t>
      </w:r>
    </w:p>
    <w:p>
      <w:pPr>
        <w:spacing w:after="0" w:line="2" w:lineRule="exact"/>
        <w:rPr>
          <w:rFonts w:ascii="Arial" w:cs="Arial" w:eastAsia="Arial" w:hAnsi="Arial"/>
          <w:sz w:val="10"/>
          <w:szCs w:val="10"/>
          <w:color w:val="auto"/>
        </w:rPr>
      </w:pPr>
    </w:p>
    <w:p>
      <w:pPr>
        <w:ind w:left="1260"/>
        <w:spacing w:after="0" w:line="223" w:lineRule="auto"/>
        <w:rPr>
          <w:rFonts w:ascii="Arial" w:cs="Arial" w:eastAsia="Arial" w:hAnsi="Arial"/>
          <w:sz w:val="10"/>
          <w:szCs w:val="10"/>
          <w:color w:val="auto"/>
        </w:rPr>
      </w:pPr>
      <w:r>
        <w:rPr>
          <w:rFonts w:ascii="Arial" w:cs="Arial" w:eastAsia="Arial" w:hAnsi="Arial"/>
          <w:sz w:val="10"/>
          <w:szCs w:val="10"/>
          <w:color w:val="auto"/>
        </w:rPr>
        <w:t>2025 fiscal year, computed in accordance with Item 402(v) of Regulation S-K:</w:t>
      </w:r>
    </w:p>
    <w:p>
      <w:pPr>
        <w:jc w:val="both"/>
        <w:ind w:left="1520" w:right="1580"/>
        <w:spacing w:after="0" w:line="234" w:lineRule="auto"/>
        <w:rPr>
          <w:rFonts w:ascii="Arial" w:cs="Arial" w:eastAsia="Arial" w:hAnsi="Arial"/>
          <w:sz w:val="10"/>
          <w:szCs w:val="10"/>
          <w:color w:val="auto"/>
        </w:rPr>
      </w:pPr>
      <w:r>
        <w:rPr>
          <w:rFonts w:ascii="Arial" w:cs="Arial" w:eastAsia="Arial" w:hAnsi="Arial"/>
          <w:sz w:val="10"/>
          <w:szCs w:val="10"/>
          <w:color w:val="auto"/>
        </w:rPr>
        <w:t>$1,433,159 represents a change in the fair value of equity awards at either the vesting date or December 31, 2025, in the case of unvested restricted stock awards and unexercised stock options. Of this amount, stock awards granted during 2025 with an average aggregate grant date fair value of $1,943,395 were remeasured at $2,667,619, for a change of $724,225, as of December 31, 2025, $728,404 was granted prior to 2025 and is outstanding at December 31, 2025, and $(19,470) was granted prior to 2025 and vested in 2025.</w:t>
      </w:r>
    </w:p>
    <w:p>
      <w:pPr>
        <w:spacing w:after="0" w:line="61" w:lineRule="exact"/>
        <w:rPr>
          <w:rFonts w:ascii="Arial" w:cs="Arial" w:eastAsia="Arial" w:hAnsi="Arial"/>
          <w:sz w:val="10"/>
          <w:szCs w:val="10"/>
          <w:color w:val="auto"/>
        </w:rPr>
      </w:pPr>
    </w:p>
    <w:p>
      <w:pPr>
        <w:ind w:left="1420" w:hanging="153"/>
        <w:spacing w:after="0"/>
        <w:tabs>
          <w:tab w:leader="none" w:pos="142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The dollar amounts reported represent the amount of net income reflected in the Company’s audited financial statements for the applicable year.</w:t>
      </w:r>
    </w:p>
    <w:p>
      <w:pPr>
        <w:spacing w:after="0" w:line="78" w:lineRule="exact"/>
        <w:rPr>
          <w:rFonts w:ascii="Arial" w:cs="Arial" w:eastAsia="Arial" w:hAnsi="Arial"/>
          <w:sz w:val="10"/>
          <w:szCs w:val="10"/>
          <w:color w:val="auto"/>
        </w:rPr>
      </w:pPr>
    </w:p>
    <w:p>
      <w:pPr>
        <w:ind w:left="1260" w:right="1460" w:firstLine="7"/>
        <w:spacing w:after="0" w:line="260" w:lineRule="auto"/>
        <w:tabs>
          <w:tab w:leader="none" w:pos="1466" w:val="left"/>
        </w:tabs>
        <w:numPr>
          <w:ilvl w:val="0"/>
          <w:numId w:val="49"/>
        </w:numPr>
        <w:rPr>
          <w:rFonts w:ascii="Arial" w:cs="Arial" w:eastAsia="Arial" w:hAnsi="Arial"/>
          <w:sz w:val="10"/>
          <w:szCs w:val="10"/>
          <w:color w:val="auto"/>
        </w:rPr>
      </w:pPr>
      <w:r>
        <w:rPr>
          <w:rFonts w:ascii="Arial" w:cs="Arial" w:eastAsia="Arial" w:hAnsi="Arial"/>
          <w:sz w:val="10"/>
          <w:szCs w:val="10"/>
          <w:color w:val="auto"/>
        </w:rPr>
        <w:t>We have selected Adjusted Property EBITDAR as our most important financial measure (that is not otherwise required to be disclosed in this table) used to link ‘compensation actually paid’ to our NEOs to company performance for fiscal year 2025. See the section entitled “2025 Highlights” for a definition of Adjusted Property EBITDAR.</w:t>
      </w:r>
    </w:p>
    <w:p>
      <w:pPr>
        <w:spacing w:after="0" w:line="88" w:lineRule="exact"/>
        <w:rPr>
          <w:sz w:val="20"/>
          <w:szCs w:val="20"/>
          <w:color w:val="auto"/>
        </w:rPr>
      </w:pPr>
    </w:p>
    <w:p>
      <w:pPr>
        <w:jc w:val="right"/>
        <w:ind w:right="1340"/>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360"/>
          </w:cols>
          <w:pgMar w:left="300" w:top="413"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1459"/>
        <w:spacing w:after="0" w:line="266" w:lineRule="auto"/>
        <w:rPr>
          <w:sz w:val="20"/>
          <w:szCs w:val="20"/>
          <w:color w:val="auto"/>
        </w:rPr>
      </w:pPr>
      <w:r>
        <w:rPr>
          <w:rFonts w:ascii="Times New Roman" w:cs="Times New Roman" w:eastAsia="Times New Roman" w:hAnsi="Times New Roman"/>
          <w:sz w:val="36"/>
          <w:szCs w:val="36"/>
          <w:color w:val="auto"/>
        </w:rPr>
        <w:t>Relationship Between Executive Compensation and Performance</w:t>
      </w:r>
    </w:p>
    <w:p>
      <w:pPr>
        <w:spacing w:after="0" w:line="182" w:lineRule="exact"/>
        <w:rPr>
          <w:sz w:val="20"/>
          <w:szCs w:val="20"/>
          <w:color w:val="auto"/>
        </w:rPr>
      </w:pPr>
    </w:p>
    <w:p>
      <w:pPr>
        <w:ind w:left="1260" w:right="319"/>
        <w:spacing w:after="0" w:line="271" w:lineRule="auto"/>
        <w:rPr>
          <w:sz w:val="20"/>
          <w:szCs w:val="20"/>
          <w:color w:val="auto"/>
        </w:rPr>
      </w:pPr>
      <w:r>
        <w:rPr>
          <w:rFonts w:ascii="Arial" w:cs="Arial" w:eastAsia="Arial" w:hAnsi="Arial"/>
          <w:sz w:val="13"/>
          <w:szCs w:val="13"/>
          <w:color w:val="auto"/>
        </w:rPr>
        <w:t>The following chart outlines the relationship among the Company’s key performance metrics and the aggregate “total compensation actually paid” to all NEOs for each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105410</wp:posOffset>
            </wp:positionV>
            <wp:extent cx="5586730" cy="28136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86730" cy="281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0159"/>
          </w:cols>
          <w:pgMar w:left="300" w:top="412"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86730" cy="68605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86730" cy="686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0159"/>
          </w:cols>
          <w:pgMar w:left="300" w:top="413"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Pay vs. Performance Tabular List</w:t>
      </w:r>
    </w:p>
    <w:p>
      <w:pPr>
        <w:spacing w:after="0" w:line="278" w:lineRule="exact"/>
        <w:rPr>
          <w:sz w:val="20"/>
          <w:szCs w:val="20"/>
          <w:color w:val="auto"/>
        </w:rPr>
      </w:pPr>
    </w:p>
    <w:p>
      <w:pPr>
        <w:ind w:left="1260" w:right="199"/>
        <w:spacing w:after="0" w:line="271" w:lineRule="auto"/>
        <w:rPr>
          <w:sz w:val="20"/>
          <w:szCs w:val="20"/>
          <w:color w:val="auto"/>
        </w:rPr>
      </w:pPr>
      <w:r>
        <w:rPr>
          <w:rFonts w:ascii="Arial" w:cs="Arial" w:eastAsia="Arial" w:hAnsi="Arial"/>
          <w:sz w:val="13"/>
          <w:szCs w:val="13"/>
          <w:color w:val="auto"/>
        </w:rPr>
        <w:t>The table below lists our most important performance measures used to link compensation actually paid for our NEOs to company performance, over the fiscal year ended December 31, 2025. The performance measures included in this table are not ranked by relative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105410</wp:posOffset>
            </wp:positionV>
            <wp:extent cx="5559425" cy="163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59425" cy="163830"/>
                    </a:xfrm>
                    <a:prstGeom prst="rect">
                      <a:avLst/>
                    </a:prstGeom>
                    <a:noFill/>
                  </pic:spPr>
                </pic:pic>
              </a:graphicData>
            </a:graphic>
          </wp:anchor>
        </w:drawing>
      </w:r>
    </w:p>
    <w:p>
      <w:pPr>
        <w:spacing w:after="0" w:line="190" w:lineRule="exact"/>
        <w:rPr>
          <w:sz w:val="20"/>
          <w:szCs w:val="20"/>
          <w:color w:val="auto"/>
        </w:rPr>
      </w:pPr>
    </w:p>
    <w:p>
      <w:pPr>
        <w:ind w:left="1320"/>
        <w:spacing w:after="0"/>
        <w:rPr>
          <w:sz w:val="20"/>
          <w:szCs w:val="20"/>
          <w:color w:val="auto"/>
        </w:rPr>
      </w:pPr>
      <w:r>
        <w:rPr>
          <w:rFonts w:ascii="Arial" w:cs="Arial" w:eastAsia="Arial" w:hAnsi="Arial"/>
          <w:sz w:val="13"/>
          <w:szCs w:val="13"/>
          <w:color w:val="FFFFFF"/>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41275</wp:posOffset>
            </wp:positionV>
            <wp:extent cx="5559425" cy="1905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59425" cy="190500"/>
                    </a:xfrm>
                    <a:prstGeom prst="rect">
                      <a:avLst/>
                    </a:prstGeom>
                    <a:noFill/>
                  </pic:spPr>
                </pic:pic>
              </a:graphicData>
            </a:graphic>
          </wp:anchor>
        </w:drawing>
      </w:r>
    </w:p>
    <w:p>
      <w:pPr>
        <w:spacing w:after="0" w:line="109" w:lineRule="exact"/>
        <w:rPr>
          <w:sz w:val="20"/>
          <w:szCs w:val="20"/>
          <w:color w:val="auto"/>
        </w:rPr>
      </w:pPr>
    </w:p>
    <w:p>
      <w:pPr>
        <w:ind w:left="1520" w:hanging="197"/>
        <w:spacing w:after="0"/>
        <w:tabs>
          <w:tab w:leader="none" w:pos="15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Adjusted Property EBITDAR</w:t>
      </w:r>
    </w:p>
    <w:p>
      <w:pPr>
        <w:spacing w:after="0" w:line="150" w:lineRule="exact"/>
        <w:rPr>
          <w:rFonts w:ascii="Arial" w:cs="Arial" w:eastAsia="Arial" w:hAnsi="Arial"/>
          <w:sz w:val="13"/>
          <w:szCs w:val="13"/>
          <w:color w:val="auto"/>
        </w:rPr>
      </w:pPr>
    </w:p>
    <w:p>
      <w:pPr>
        <w:ind w:left="1520" w:hanging="197"/>
        <w:spacing w:after="0"/>
        <w:tabs>
          <w:tab w:leader="none" w:pos="15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Market Share of Gross Gaming Revenues</w:t>
      </w:r>
    </w:p>
    <w:p>
      <w:pPr>
        <w:spacing w:after="0" w:line="150" w:lineRule="exact"/>
        <w:rPr>
          <w:rFonts w:ascii="Arial" w:cs="Arial" w:eastAsia="Arial" w:hAnsi="Arial"/>
          <w:sz w:val="13"/>
          <w:szCs w:val="13"/>
          <w:color w:val="auto"/>
        </w:rPr>
      </w:pPr>
    </w:p>
    <w:p>
      <w:pPr>
        <w:ind w:left="1520" w:hanging="197"/>
        <w:spacing w:after="0"/>
        <w:tabs>
          <w:tab w:leader="none" w:pos="15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Achievement of Forbes Five-Star awards</w:t>
      </w:r>
    </w:p>
    <w:p>
      <w:pPr>
        <w:spacing w:after="0" w:line="193" w:lineRule="exact"/>
        <w:rPr>
          <w:rFonts w:ascii="Arial" w:cs="Arial" w:eastAsia="Arial" w:hAnsi="Arial"/>
          <w:sz w:val="13"/>
          <w:szCs w:val="13"/>
          <w:color w:val="auto"/>
        </w:rPr>
      </w:pPr>
    </w:p>
    <w:p>
      <w:pPr>
        <w:ind w:left="1260"/>
        <w:spacing w:after="0"/>
        <w:rPr>
          <w:rFonts w:ascii="Arial" w:cs="Arial" w:eastAsia="Arial" w:hAnsi="Arial"/>
          <w:sz w:val="13"/>
          <w:szCs w:val="13"/>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-353060</wp:posOffset>
            </wp:positionV>
            <wp:extent cx="5559425" cy="1905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59425" cy="190500"/>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Security Ownership</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CERTAIN BENEFICIAL OWNERSHIP AND MANAGEMENT</w:t>
      </w:r>
    </w:p>
    <w:p>
      <w:pPr>
        <w:spacing w:after="0" w:line="273" w:lineRule="exact"/>
        <w:rPr>
          <w:sz w:val="20"/>
          <w:szCs w:val="20"/>
          <w:color w:val="auto"/>
        </w:rPr>
      </w:pPr>
    </w:p>
    <w:p>
      <w:pPr>
        <w:ind w:left="1260" w:right="139"/>
        <w:spacing w:after="0" w:line="246" w:lineRule="auto"/>
        <w:rPr>
          <w:sz w:val="20"/>
          <w:szCs w:val="20"/>
          <w:color w:val="auto"/>
        </w:rPr>
      </w:pPr>
      <w:r>
        <w:rPr>
          <w:rFonts w:ascii="Arial" w:cs="Arial" w:eastAsia="Arial" w:hAnsi="Arial"/>
          <w:sz w:val="13"/>
          <w:szCs w:val="13"/>
          <w:color w:val="auto"/>
        </w:rPr>
        <w:t>The following table sets forth, as of March 12, 2026, (unless otherwise indicated), certain information regarding the shares of Common Stock beneficially owned by: (i) each director; (ii) each shareholder who is known by the Company to beneficially own in excess of 5% of the outstanding shares of Common Stock; (iii) each of the Company’s NEOs; and (iv) all executive officers, directors and director nominees as a group. Each shareholder’s beneficial ownership and corresponding percentage includes exercisable stock options, restricted shares and performance stock units that become exercisable or may be settled within 60 days of March 12, 2026, at the discretion of the shareholder. The percentage ownership is based on 104,043,396 shares of Common Stock outstanding as of March 12, 2026, and treats as outstanding all options held by that shareholder and exercisable within 60 days of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115570</wp:posOffset>
            </wp:positionV>
            <wp:extent cx="1717040" cy="43668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17040" cy="4366895"/>
                    </a:xfrm>
                    <a:prstGeom prst="rect">
                      <a:avLst/>
                    </a:prstGeom>
                    <a:noFill/>
                  </pic:spPr>
                </pic:pic>
              </a:graphicData>
            </a:graphic>
          </wp:anchor>
        </w:drawing>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6040" w:type="dxa"/>
            <w:vAlign w:val="bottom"/>
            <w:shd w:val="clear" w:color="auto" w:fill="B9AFA0"/>
          </w:tcPr>
          <w:p>
            <w:pPr>
              <w:spacing w:after="0"/>
              <w:rPr>
                <w:sz w:val="18"/>
                <w:szCs w:val="18"/>
                <w:color w:val="auto"/>
              </w:rPr>
            </w:pPr>
          </w:p>
        </w:tc>
        <w:tc>
          <w:tcPr>
            <w:tcW w:w="2700" w:type="dxa"/>
            <w:vAlign w:val="bottom"/>
            <w:gridSpan w:val="2"/>
            <w:shd w:val="clear" w:color="auto" w:fill="B9AFA0"/>
          </w:tcPr>
          <w:p>
            <w:pPr>
              <w:jc w:val="right"/>
              <w:spacing w:after="0"/>
              <w:rPr>
                <w:sz w:val="20"/>
                <w:szCs w:val="20"/>
                <w:color w:val="auto"/>
              </w:rPr>
            </w:pPr>
            <w:r>
              <w:rPr>
                <w:rFonts w:ascii="Arial" w:cs="Arial" w:eastAsia="Arial" w:hAnsi="Arial"/>
                <w:sz w:val="13"/>
                <w:szCs w:val="13"/>
                <w:color w:val="FFFFFF"/>
              </w:rPr>
              <w:t>BENEFICIAL OWNERSHIP OF SHARES (1)</w:t>
            </w:r>
          </w:p>
        </w:tc>
      </w:tr>
      <w:tr>
        <w:trPr>
          <w:trHeight w:val="283"/>
        </w:trPr>
        <w:tc>
          <w:tcPr>
            <w:tcW w:w="604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NAME AND ADDRESS OF BENEFICIAL OWNER (2)</w:t>
            </w:r>
          </w:p>
        </w:tc>
        <w:tc>
          <w:tcPr>
            <w:tcW w:w="1320" w:type="dxa"/>
            <w:vAlign w:val="bottom"/>
            <w:tcBorders>
              <w:bottom w:val="single" w:sz="8" w:color="B9AFA0"/>
            </w:tcBorders>
            <w:shd w:val="clear" w:color="auto" w:fill="B9AFA0"/>
          </w:tcPr>
          <w:p>
            <w:pPr>
              <w:jc w:val="right"/>
              <w:ind w:right="256"/>
              <w:spacing w:after="0"/>
              <w:rPr>
                <w:sz w:val="20"/>
                <w:szCs w:val="20"/>
                <w:color w:val="auto"/>
              </w:rPr>
            </w:pPr>
            <w:r>
              <w:rPr>
                <w:rFonts w:ascii="Arial" w:cs="Arial" w:eastAsia="Arial" w:hAnsi="Arial"/>
                <w:sz w:val="13"/>
                <w:szCs w:val="13"/>
                <w:color w:val="FFFFFF"/>
              </w:rPr>
              <w:t>NUMBER</w:t>
            </w:r>
          </w:p>
        </w:tc>
        <w:tc>
          <w:tcPr>
            <w:tcW w:w="1380" w:type="dxa"/>
            <w:vAlign w:val="bottom"/>
            <w:tcBorders>
              <w:bottom w:val="single" w:sz="8" w:color="B9AFA0"/>
            </w:tcBorders>
            <w:shd w:val="clear" w:color="auto" w:fill="B9AFA0"/>
          </w:tcPr>
          <w:p>
            <w:pPr>
              <w:jc w:val="right"/>
              <w:ind w:right="116"/>
              <w:spacing w:after="0"/>
              <w:rPr>
                <w:sz w:val="20"/>
                <w:szCs w:val="20"/>
                <w:color w:val="auto"/>
              </w:rPr>
            </w:pPr>
            <w:r>
              <w:rPr>
                <w:rFonts w:ascii="Arial" w:cs="Arial" w:eastAsia="Arial" w:hAnsi="Arial"/>
                <w:sz w:val="13"/>
                <w:szCs w:val="13"/>
                <w:color w:val="FFFFFF"/>
              </w:rPr>
              <w:t>   PERCENTAGE</w:t>
            </w: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5% Shareholders:</w:t>
            </w:r>
          </w:p>
        </w:tc>
        <w:tc>
          <w:tcPr>
            <w:tcW w:w="1320" w:type="dxa"/>
            <w:vAlign w:val="bottom"/>
            <w:shd w:val="clear" w:color="auto" w:fill="F1EFEC"/>
          </w:tcPr>
          <w:p>
            <w:pPr>
              <w:spacing w:after="0"/>
              <w:rPr>
                <w:sz w:val="20"/>
                <w:szCs w:val="20"/>
                <w:color w:val="auto"/>
              </w:rPr>
            </w:pPr>
          </w:p>
        </w:tc>
        <w:tc>
          <w:tcPr>
            <w:tcW w:w="1380" w:type="dxa"/>
            <w:vAlign w:val="bottom"/>
            <w:shd w:val="clear" w:color="auto" w:fill="F1EFEC"/>
          </w:tcPr>
          <w:p>
            <w:pPr>
              <w:spacing w:after="0"/>
              <w:rPr>
                <w:sz w:val="20"/>
                <w:szCs w:val="20"/>
                <w:color w:val="auto"/>
              </w:rPr>
            </w:pPr>
          </w:p>
        </w:tc>
      </w:tr>
      <w:tr>
        <w:trPr>
          <w:trHeight w:val="67"/>
        </w:trPr>
        <w:tc>
          <w:tcPr>
            <w:tcW w:w="604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1380" w:type="dxa"/>
            <w:vAlign w:val="bottom"/>
            <w:shd w:val="clear" w:color="auto" w:fill="F1EFEC"/>
          </w:tcPr>
          <w:p>
            <w:pPr>
              <w:spacing w:after="0"/>
              <w:rPr>
                <w:sz w:val="5"/>
                <w:szCs w:val="5"/>
                <w:color w:val="auto"/>
              </w:rPr>
            </w:pPr>
          </w:p>
        </w:tc>
      </w:tr>
      <w:tr>
        <w:trPr>
          <w:trHeight w:val="233"/>
        </w:trPr>
        <w:tc>
          <w:tcPr>
            <w:tcW w:w="6040" w:type="dxa"/>
            <w:vAlign w:val="bottom"/>
          </w:tcPr>
          <w:p>
            <w:pPr>
              <w:ind w:left="40"/>
              <w:spacing w:after="0"/>
              <w:rPr>
                <w:sz w:val="20"/>
                <w:szCs w:val="20"/>
                <w:color w:val="auto"/>
              </w:rPr>
            </w:pPr>
            <w:r>
              <w:rPr>
                <w:rFonts w:ascii="Arial" w:cs="Arial" w:eastAsia="Arial" w:hAnsi="Arial"/>
                <w:sz w:val="13"/>
                <w:szCs w:val="13"/>
                <w:color w:val="auto"/>
              </w:rPr>
              <w:t>Tilman J. Fertitta (3)(4)</w:t>
            </w: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4"/>
        </w:trPr>
        <w:tc>
          <w:tcPr>
            <w:tcW w:w="6040" w:type="dxa"/>
            <w:vAlign w:val="bottom"/>
          </w:tcPr>
          <w:p>
            <w:pPr>
              <w:ind w:left="220"/>
              <w:spacing w:after="0"/>
              <w:rPr>
                <w:sz w:val="20"/>
                <w:szCs w:val="20"/>
                <w:color w:val="auto"/>
              </w:rPr>
            </w:pPr>
            <w:r>
              <w:rPr>
                <w:rFonts w:ascii="Arial" w:cs="Arial" w:eastAsia="Arial" w:hAnsi="Arial"/>
                <w:sz w:val="13"/>
                <w:szCs w:val="13"/>
                <w:color w:val="auto"/>
              </w:rPr>
              <w:t>c/o Fertitta Entertainment, Inc.</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3"/>
        </w:trPr>
        <w:tc>
          <w:tcPr>
            <w:tcW w:w="6040" w:type="dxa"/>
            <w:vAlign w:val="bottom"/>
          </w:tcPr>
          <w:p>
            <w:pPr>
              <w:ind w:left="220"/>
              <w:spacing w:after="0"/>
              <w:rPr>
                <w:sz w:val="20"/>
                <w:szCs w:val="20"/>
                <w:color w:val="auto"/>
              </w:rPr>
            </w:pPr>
            <w:r>
              <w:rPr>
                <w:rFonts w:ascii="Arial" w:cs="Arial" w:eastAsia="Arial" w:hAnsi="Arial"/>
                <w:sz w:val="13"/>
                <w:szCs w:val="13"/>
                <w:color w:val="auto"/>
              </w:rPr>
              <w:t>1510 West Loop South</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5"/>
        </w:trPr>
        <w:tc>
          <w:tcPr>
            <w:tcW w:w="6040" w:type="dxa"/>
            <w:vAlign w:val="bottom"/>
          </w:tcPr>
          <w:p>
            <w:pPr>
              <w:ind w:left="220"/>
              <w:spacing w:after="0"/>
              <w:rPr>
                <w:sz w:val="20"/>
                <w:szCs w:val="20"/>
                <w:color w:val="auto"/>
              </w:rPr>
            </w:pPr>
            <w:r>
              <w:rPr>
                <w:rFonts w:ascii="Arial" w:cs="Arial" w:eastAsia="Arial" w:hAnsi="Arial"/>
                <w:sz w:val="13"/>
                <w:szCs w:val="13"/>
                <w:color w:val="auto"/>
              </w:rPr>
              <w:t>Houston, TX 77027</w:t>
            </w:r>
          </w:p>
        </w:tc>
        <w:tc>
          <w:tcPr>
            <w:tcW w:w="1320" w:type="dxa"/>
            <w:vAlign w:val="bottom"/>
          </w:tcPr>
          <w:p>
            <w:pPr>
              <w:jc w:val="right"/>
              <w:ind w:right="116"/>
              <w:spacing w:after="0"/>
              <w:rPr>
                <w:sz w:val="20"/>
                <w:szCs w:val="20"/>
                <w:color w:val="auto"/>
              </w:rPr>
            </w:pPr>
            <w:r>
              <w:rPr>
                <w:rFonts w:ascii="Arial" w:cs="Arial" w:eastAsia="Arial" w:hAnsi="Arial"/>
                <w:sz w:val="13"/>
                <w:szCs w:val="13"/>
                <w:color w:val="auto"/>
              </w:rPr>
              <w:t>12,600,000</w:t>
            </w:r>
          </w:p>
        </w:tc>
        <w:tc>
          <w:tcPr>
            <w:tcW w:w="1380" w:type="dxa"/>
            <w:vAlign w:val="bottom"/>
          </w:tcPr>
          <w:p>
            <w:pPr>
              <w:jc w:val="right"/>
              <w:ind w:right="216"/>
              <w:spacing w:after="0"/>
              <w:rPr>
                <w:sz w:val="20"/>
                <w:szCs w:val="20"/>
                <w:color w:val="auto"/>
              </w:rPr>
            </w:pPr>
            <w:r>
              <w:rPr>
                <w:rFonts w:ascii="Arial" w:cs="Arial" w:eastAsia="Arial" w:hAnsi="Arial"/>
                <w:sz w:val="13"/>
                <w:szCs w:val="13"/>
                <w:color w:val="auto"/>
              </w:rPr>
              <w:t>12.11%</w:t>
            </w:r>
          </w:p>
        </w:tc>
      </w:tr>
      <w:tr>
        <w:trPr>
          <w:trHeight w:val="67"/>
        </w:trPr>
        <w:tc>
          <w:tcPr>
            <w:tcW w:w="60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The Vanguard Group (5)</w:t>
            </w:r>
          </w:p>
        </w:tc>
        <w:tc>
          <w:tcPr>
            <w:tcW w:w="1320" w:type="dxa"/>
            <w:vAlign w:val="bottom"/>
            <w:shd w:val="clear" w:color="auto" w:fill="F1EFEC"/>
          </w:tcPr>
          <w:p>
            <w:pPr>
              <w:spacing w:after="0"/>
              <w:rPr>
                <w:sz w:val="20"/>
                <w:szCs w:val="20"/>
                <w:color w:val="auto"/>
              </w:rPr>
            </w:pPr>
          </w:p>
        </w:tc>
        <w:tc>
          <w:tcPr>
            <w:tcW w:w="1380" w:type="dxa"/>
            <w:vAlign w:val="bottom"/>
            <w:shd w:val="clear" w:color="auto" w:fill="F1EFEC"/>
          </w:tcPr>
          <w:p>
            <w:pPr>
              <w:spacing w:after="0"/>
              <w:rPr>
                <w:sz w:val="20"/>
                <w:szCs w:val="20"/>
                <w:color w:val="auto"/>
              </w:rPr>
            </w:pPr>
          </w:p>
        </w:tc>
      </w:tr>
      <w:tr>
        <w:trPr>
          <w:trHeight w:val="204"/>
        </w:trPr>
        <w:tc>
          <w:tcPr>
            <w:tcW w:w="6040" w:type="dxa"/>
            <w:vAlign w:val="bottom"/>
            <w:shd w:val="clear" w:color="auto" w:fill="F1EFEC"/>
          </w:tcPr>
          <w:p>
            <w:pPr>
              <w:ind w:left="220"/>
              <w:spacing w:after="0"/>
              <w:rPr>
                <w:sz w:val="20"/>
                <w:szCs w:val="20"/>
                <w:color w:val="auto"/>
              </w:rPr>
            </w:pPr>
            <w:r>
              <w:rPr>
                <w:rFonts w:ascii="Arial" w:cs="Arial" w:eastAsia="Arial" w:hAnsi="Arial"/>
                <w:sz w:val="13"/>
                <w:szCs w:val="13"/>
                <w:color w:val="auto"/>
              </w:rPr>
              <w:t>100 Vanguard Blvd.</w:t>
            </w:r>
          </w:p>
        </w:tc>
        <w:tc>
          <w:tcPr>
            <w:tcW w:w="1320" w:type="dxa"/>
            <w:vAlign w:val="bottom"/>
            <w:shd w:val="clear" w:color="auto" w:fill="F1EFEC"/>
          </w:tcPr>
          <w:p>
            <w:pPr>
              <w:spacing w:after="0"/>
              <w:rPr>
                <w:sz w:val="17"/>
                <w:szCs w:val="17"/>
                <w:color w:val="auto"/>
              </w:rPr>
            </w:pPr>
          </w:p>
        </w:tc>
        <w:tc>
          <w:tcPr>
            <w:tcW w:w="1380" w:type="dxa"/>
            <w:vAlign w:val="bottom"/>
            <w:shd w:val="clear" w:color="auto" w:fill="F1EFEC"/>
          </w:tcPr>
          <w:p>
            <w:pPr>
              <w:spacing w:after="0"/>
              <w:rPr>
                <w:sz w:val="17"/>
                <w:szCs w:val="17"/>
                <w:color w:val="auto"/>
              </w:rPr>
            </w:pPr>
          </w:p>
        </w:tc>
      </w:tr>
      <w:tr>
        <w:trPr>
          <w:trHeight w:val="204"/>
        </w:trPr>
        <w:tc>
          <w:tcPr>
            <w:tcW w:w="6040" w:type="dxa"/>
            <w:vAlign w:val="bottom"/>
            <w:shd w:val="clear" w:color="auto" w:fill="F1EFEC"/>
          </w:tcPr>
          <w:p>
            <w:pPr>
              <w:ind w:left="220"/>
              <w:spacing w:after="0"/>
              <w:rPr>
                <w:sz w:val="20"/>
                <w:szCs w:val="20"/>
                <w:color w:val="auto"/>
              </w:rPr>
            </w:pPr>
            <w:r>
              <w:rPr>
                <w:rFonts w:ascii="Arial" w:cs="Arial" w:eastAsia="Arial" w:hAnsi="Arial"/>
                <w:sz w:val="13"/>
                <w:szCs w:val="13"/>
                <w:color w:val="auto"/>
              </w:rPr>
              <w:t>Malvern, PA 19355</w:t>
            </w:r>
          </w:p>
        </w:tc>
        <w:tc>
          <w:tcPr>
            <w:tcW w:w="1320" w:type="dxa"/>
            <w:vAlign w:val="bottom"/>
            <w:shd w:val="clear" w:color="auto" w:fill="F1EFEC"/>
          </w:tcPr>
          <w:p>
            <w:pPr>
              <w:jc w:val="right"/>
              <w:ind w:right="116"/>
              <w:spacing w:after="0"/>
              <w:rPr>
                <w:sz w:val="20"/>
                <w:szCs w:val="20"/>
                <w:color w:val="auto"/>
              </w:rPr>
            </w:pPr>
            <w:r>
              <w:rPr>
                <w:rFonts w:ascii="Arial" w:cs="Arial" w:eastAsia="Arial" w:hAnsi="Arial"/>
                <w:sz w:val="13"/>
                <w:szCs w:val="13"/>
                <w:color w:val="auto"/>
              </w:rPr>
              <w:t>10,862,024</w:t>
            </w:r>
          </w:p>
        </w:tc>
        <w:tc>
          <w:tcPr>
            <w:tcW w:w="1380" w:type="dxa"/>
            <w:vAlign w:val="bottom"/>
            <w:shd w:val="clear" w:color="auto" w:fill="F1EFEC"/>
          </w:tcPr>
          <w:p>
            <w:pPr>
              <w:jc w:val="right"/>
              <w:ind w:right="216"/>
              <w:spacing w:after="0"/>
              <w:rPr>
                <w:sz w:val="20"/>
                <w:szCs w:val="20"/>
                <w:color w:val="auto"/>
              </w:rPr>
            </w:pPr>
            <w:r>
              <w:rPr>
                <w:rFonts w:ascii="Arial" w:cs="Arial" w:eastAsia="Arial" w:hAnsi="Arial"/>
                <w:sz w:val="13"/>
                <w:szCs w:val="13"/>
                <w:color w:val="auto"/>
              </w:rPr>
              <w:t>10.44%</w:t>
            </w:r>
          </w:p>
        </w:tc>
      </w:tr>
      <w:tr>
        <w:trPr>
          <w:trHeight w:val="67"/>
        </w:trPr>
        <w:tc>
          <w:tcPr>
            <w:tcW w:w="604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1380" w:type="dxa"/>
            <w:vAlign w:val="bottom"/>
            <w:shd w:val="clear" w:color="auto" w:fill="F1EFEC"/>
          </w:tcPr>
          <w:p>
            <w:pPr>
              <w:spacing w:after="0"/>
              <w:rPr>
                <w:sz w:val="5"/>
                <w:szCs w:val="5"/>
                <w:color w:val="auto"/>
              </w:rPr>
            </w:pPr>
          </w:p>
        </w:tc>
      </w:tr>
      <w:tr>
        <w:trPr>
          <w:trHeight w:val="233"/>
        </w:trPr>
        <w:tc>
          <w:tcPr>
            <w:tcW w:w="6040" w:type="dxa"/>
            <w:vAlign w:val="bottom"/>
          </w:tcPr>
          <w:p>
            <w:pPr>
              <w:ind w:left="40"/>
              <w:spacing w:after="0"/>
              <w:rPr>
                <w:sz w:val="20"/>
                <w:szCs w:val="20"/>
                <w:color w:val="auto"/>
              </w:rPr>
            </w:pPr>
            <w:r>
              <w:rPr>
                <w:rFonts w:ascii="Arial" w:cs="Arial" w:eastAsia="Arial" w:hAnsi="Arial"/>
                <w:sz w:val="13"/>
                <w:szCs w:val="13"/>
                <w:color w:val="auto"/>
              </w:rPr>
              <w:t>Capital World Investors (6)</w:t>
            </w: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4"/>
        </w:trPr>
        <w:tc>
          <w:tcPr>
            <w:tcW w:w="6040" w:type="dxa"/>
            <w:vAlign w:val="bottom"/>
          </w:tcPr>
          <w:p>
            <w:pPr>
              <w:ind w:left="220"/>
              <w:spacing w:after="0"/>
              <w:rPr>
                <w:sz w:val="20"/>
                <w:szCs w:val="20"/>
                <w:color w:val="auto"/>
              </w:rPr>
            </w:pPr>
            <w:r>
              <w:rPr>
                <w:rFonts w:ascii="Arial" w:cs="Arial" w:eastAsia="Arial" w:hAnsi="Arial"/>
                <w:sz w:val="13"/>
                <w:szCs w:val="13"/>
                <w:color w:val="auto"/>
              </w:rPr>
              <w:t>333 South Hope Street</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3"/>
        </w:trPr>
        <w:tc>
          <w:tcPr>
            <w:tcW w:w="6040" w:type="dxa"/>
            <w:vAlign w:val="bottom"/>
          </w:tcPr>
          <w:p>
            <w:pPr>
              <w:ind w:left="220"/>
              <w:spacing w:after="0"/>
              <w:rPr>
                <w:sz w:val="20"/>
                <w:szCs w:val="20"/>
                <w:color w:val="auto"/>
              </w:rPr>
            </w:pPr>
            <w:r>
              <w:rPr>
                <w:rFonts w:ascii="Arial" w:cs="Arial" w:eastAsia="Arial" w:hAnsi="Arial"/>
                <w:sz w:val="13"/>
                <w:szCs w:val="13"/>
                <w:color w:val="auto"/>
              </w:rPr>
              <w:t>55th Floor</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5"/>
        </w:trPr>
        <w:tc>
          <w:tcPr>
            <w:tcW w:w="6040" w:type="dxa"/>
            <w:vAlign w:val="bottom"/>
          </w:tcPr>
          <w:p>
            <w:pPr>
              <w:ind w:left="220"/>
              <w:spacing w:after="0"/>
              <w:rPr>
                <w:sz w:val="20"/>
                <w:szCs w:val="20"/>
                <w:color w:val="auto"/>
              </w:rPr>
            </w:pPr>
            <w:r>
              <w:rPr>
                <w:rFonts w:ascii="Arial" w:cs="Arial" w:eastAsia="Arial" w:hAnsi="Arial"/>
                <w:sz w:val="13"/>
                <w:szCs w:val="13"/>
                <w:color w:val="auto"/>
              </w:rPr>
              <w:t>Los Angeles, CA 90071</w:t>
            </w:r>
          </w:p>
        </w:tc>
        <w:tc>
          <w:tcPr>
            <w:tcW w:w="1320" w:type="dxa"/>
            <w:vAlign w:val="bottom"/>
          </w:tcPr>
          <w:p>
            <w:pPr>
              <w:jc w:val="right"/>
              <w:ind w:right="116"/>
              <w:spacing w:after="0"/>
              <w:rPr>
                <w:sz w:val="20"/>
                <w:szCs w:val="20"/>
                <w:color w:val="auto"/>
              </w:rPr>
            </w:pPr>
            <w:r>
              <w:rPr>
                <w:rFonts w:ascii="Arial" w:cs="Arial" w:eastAsia="Arial" w:hAnsi="Arial"/>
                <w:sz w:val="13"/>
                <w:szCs w:val="13"/>
                <w:color w:val="auto"/>
              </w:rPr>
              <w:t>9,584,511</w:t>
            </w:r>
          </w:p>
        </w:tc>
        <w:tc>
          <w:tcPr>
            <w:tcW w:w="1380" w:type="dxa"/>
            <w:vAlign w:val="bottom"/>
          </w:tcPr>
          <w:p>
            <w:pPr>
              <w:jc w:val="right"/>
              <w:ind w:right="216"/>
              <w:spacing w:after="0"/>
              <w:rPr>
                <w:sz w:val="20"/>
                <w:szCs w:val="20"/>
                <w:color w:val="auto"/>
              </w:rPr>
            </w:pPr>
            <w:r>
              <w:rPr>
                <w:rFonts w:ascii="Arial" w:cs="Arial" w:eastAsia="Arial" w:hAnsi="Arial"/>
                <w:sz w:val="13"/>
                <w:szCs w:val="13"/>
                <w:color w:val="auto"/>
              </w:rPr>
              <w:t>9.21%</w:t>
            </w:r>
          </w:p>
        </w:tc>
      </w:tr>
      <w:tr>
        <w:trPr>
          <w:trHeight w:val="67"/>
        </w:trPr>
        <w:tc>
          <w:tcPr>
            <w:tcW w:w="60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Elaine Wynn Family Trust (7)</w:t>
            </w:r>
          </w:p>
        </w:tc>
        <w:tc>
          <w:tcPr>
            <w:tcW w:w="1320" w:type="dxa"/>
            <w:vAlign w:val="bottom"/>
            <w:shd w:val="clear" w:color="auto" w:fill="F1EFEC"/>
          </w:tcPr>
          <w:p>
            <w:pPr>
              <w:spacing w:after="0"/>
              <w:rPr>
                <w:sz w:val="20"/>
                <w:szCs w:val="20"/>
                <w:color w:val="auto"/>
              </w:rPr>
            </w:pPr>
          </w:p>
        </w:tc>
        <w:tc>
          <w:tcPr>
            <w:tcW w:w="1380" w:type="dxa"/>
            <w:vAlign w:val="bottom"/>
            <w:shd w:val="clear" w:color="auto" w:fill="F1EFEC"/>
          </w:tcPr>
          <w:p>
            <w:pPr>
              <w:spacing w:after="0"/>
              <w:rPr>
                <w:sz w:val="20"/>
                <w:szCs w:val="20"/>
                <w:color w:val="auto"/>
              </w:rPr>
            </w:pPr>
          </w:p>
        </w:tc>
      </w:tr>
      <w:tr>
        <w:trPr>
          <w:trHeight w:val="204"/>
        </w:trPr>
        <w:tc>
          <w:tcPr>
            <w:tcW w:w="6040" w:type="dxa"/>
            <w:vAlign w:val="bottom"/>
            <w:shd w:val="clear" w:color="auto" w:fill="F1EFEC"/>
          </w:tcPr>
          <w:p>
            <w:pPr>
              <w:ind w:left="220"/>
              <w:spacing w:after="0"/>
              <w:rPr>
                <w:sz w:val="20"/>
                <w:szCs w:val="20"/>
                <w:color w:val="auto"/>
              </w:rPr>
            </w:pPr>
            <w:r>
              <w:rPr>
                <w:rFonts w:ascii="Arial" w:cs="Arial" w:eastAsia="Arial" w:hAnsi="Arial"/>
                <w:sz w:val="13"/>
                <w:szCs w:val="13"/>
                <w:color w:val="auto"/>
              </w:rPr>
              <w:t>c/o Elaine P. Wynn and Family Foundation</w:t>
            </w:r>
          </w:p>
        </w:tc>
        <w:tc>
          <w:tcPr>
            <w:tcW w:w="1320" w:type="dxa"/>
            <w:vAlign w:val="bottom"/>
            <w:shd w:val="clear" w:color="auto" w:fill="F1EFEC"/>
          </w:tcPr>
          <w:p>
            <w:pPr>
              <w:spacing w:after="0"/>
              <w:rPr>
                <w:sz w:val="17"/>
                <w:szCs w:val="17"/>
                <w:color w:val="auto"/>
              </w:rPr>
            </w:pPr>
          </w:p>
        </w:tc>
        <w:tc>
          <w:tcPr>
            <w:tcW w:w="1380" w:type="dxa"/>
            <w:vAlign w:val="bottom"/>
            <w:shd w:val="clear" w:color="auto" w:fill="F1EFEC"/>
          </w:tcPr>
          <w:p>
            <w:pPr>
              <w:spacing w:after="0"/>
              <w:rPr>
                <w:sz w:val="17"/>
                <w:szCs w:val="17"/>
                <w:color w:val="auto"/>
              </w:rPr>
            </w:pPr>
          </w:p>
        </w:tc>
      </w:tr>
      <w:tr>
        <w:trPr>
          <w:trHeight w:val="193"/>
        </w:trPr>
        <w:tc>
          <w:tcPr>
            <w:tcW w:w="6040" w:type="dxa"/>
            <w:vAlign w:val="bottom"/>
            <w:shd w:val="clear" w:color="auto" w:fill="F1EFEC"/>
          </w:tcPr>
          <w:p>
            <w:pPr>
              <w:ind w:left="220"/>
              <w:spacing w:after="0"/>
              <w:rPr>
                <w:sz w:val="20"/>
                <w:szCs w:val="20"/>
                <w:color w:val="auto"/>
              </w:rPr>
            </w:pPr>
            <w:r>
              <w:rPr>
                <w:rFonts w:ascii="Arial" w:cs="Arial" w:eastAsia="Arial" w:hAnsi="Arial"/>
                <w:sz w:val="13"/>
                <w:szCs w:val="13"/>
                <w:color w:val="auto"/>
              </w:rPr>
              <w:t>3800 Howard Hughes Parkway</w:t>
            </w:r>
          </w:p>
        </w:tc>
        <w:tc>
          <w:tcPr>
            <w:tcW w:w="1320" w:type="dxa"/>
            <w:vAlign w:val="bottom"/>
            <w:shd w:val="clear" w:color="auto" w:fill="F1EFEC"/>
          </w:tcPr>
          <w:p>
            <w:pPr>
              <w:spacing w:after="0"/>
              <w:rPr>
                <w:sz w:val="16"/>
                <w:szCs w:val="16"/>
                <w:color w:val="auto"/>
              </w:rPr>
            </w:pPr>
          </w:p>
        </w:tc>
        <w:tc>
          <w:tcPr>
            <w:tcW w:w="1380" w:type="dxa"/>
            <w:vAlign w:val="bottom"/>
            <w:shd w:val="clear" w:color="auto" w:fill="F1EFEC"/>
          </w:tcPr>
          <w:p>
            <w:pPr>
              <w:spacing w:after="0"/>
              <w:rPr>
                <w:sz w:val="16"/>
                <w:szCs w:val="16"/>
                <w:color w:val="auto"/>
              </w:rPr>
            </w:pPr>
          </w:p>
        </w:tc>
      </w:tr>
      <w:tr>
        <w:trPr>
          <w:trHeight w:val="204"/>
        </w:trPr>
        <w:tc>
          <w:tcPr>
            <w:tcW w:w="6040" w:type="dxa"/>
            <w:vAlign w:val="bottom"/>
            <w:shd w:val="clear" w:color="auto" w:fill="F1EFEC"/>
          </w:tcPr>
          <w:p>
            <w:pPr>
              <w:ind w:left="220"/>
              <w:spacing w:after="0"/>
              <w:rPr>
                <w:sz w:val="20"/>
                <w:szCs w:val="20"/>
                <w:color w:val="auto"/>
              </w:rPr>
            </w:pPr>
            <w:r>
              <w:rPr>
                <w:rFonts w:ascii="Arial" w:cs="Arial" w:eastAsia="Arial" w:hAnsi="Arial"/>
                <w:sz w:val="13"/>
                <w:szCs w:val="13"/>
                <w:color w:val="auto"/>
              </w:rPr>
              <w:t>Suite 960</w:t>
            </w:r>
          </w:p>
        </w:tc>
        <w:tc>
          <w:tcPr>
            <w:tcW w:w="1320" w:type="dxa"/>
            <w:vAlign w:val="bottom"/>
            <w:shd w:val="clear" w:color="auto" w:fill="F1EFEC"/>
          </w:tcPr>
          <w:p>
            <w:pPr>
              <w:spacing w:after="0"/>
              <w:rPr>
                <w:sz w:val="17"/>
                <w:szCs w:val="17"/>
                <w:color w:val="auto"/>
              </w:rPr>
            </w:pPr>
          </w:p>
        </w:tc>
        <w:tc>
          <w:tcPr>
            <w:tcW w:w="1380" w:type="dxa"/>
            <w:vAlign w:val="bottom"/>
            <w:shd w:val="clear" w:color="auto" w:fill="F1EFEC"/>
          </w:tcPr>
          <w:p>
            <w:pPr>
              <w:spacing w:after="0"/>
              <w:rPr>
                <w:sz w:val="17"/>
                <w:szCs w:val="17"/>
                <w:color w:val="auto"/>
              </w:rPr>
            </w:pPr>
          </w:p>
        </w:tc>
      </w:tr>
      <w:tr>
        <w:trPr>
          <w:trHeight w:val="215"/>
        </w:trPr>
        <w:tc>
          <w:tcPr>
            <w:tcW w:w="6040" w:type="dxa"/>
            <w:vAlign w:val="bottom"/>
            <w:shd w:val="clear" w:color="auto" w:fill="F1EFEC"/>
          </w:tcPr>
          <w:p>
            <w:pPr>
              <w:ind w:left="220"/>
              <w:spacing w:after="0"/>
              <w:rPr>
                <w:sz w:val="20"/>
                <w:szCs w:val="20"/>
                <w:color w:val="auto"/>
              </w:rPr>
            </w:pPr>
            <w:r>
              <w:rPr>
                <w:rFonts w:ascii="Arial" w:cs="Arial" w:eastAsia="Arial" w:hAnsi="Arial"/>
                <w:sz w:val="13"/>
                <w:szCs w:val="13"/>
                <w:color w:val="auto"/>
              </w:rPr>
              <w:t>Las Vegas, NV 89169</w:t>
            </w:r>
          </w:p>
        </w:tc>
        <w:tc>
          <w:tcPr>
            <w:tcW w:w="1320" w:type="dxa"/>
            <w:vAlign w:val="bottom"/>
            <w:shd w:val="clear" w:color="auto" w:fill="F1EFEC"/>
          </w:tcPr>
          <w:p>
            <w:pPr>
              <w:jc w:val="right"/>
              <w:ind w:right="116"/>
              <w:spacing w:after="0"/>
              <w:rPr>
                <w:sz w:val="20"/>
                <w:szCs w:val="20"/>
                <w:color w:val="auto"/>
              </w:rPr>
            </w:pPr>
            <w:r>
              <w:rPr>
                <w:rFonts w:ascii="Arial" w:cs="Arial" w:eastAsia="Arial" w:hAnsi="Arial"/>
                <w:sz w:val="13"/>
                <w:szCs w:val="13"/>
                <w:color w:val="auto"/>
              </w:rPr>
              <w:t>9,539,077</w:t>
            </w:r>
          </w:p>
        </w:tc>
        <w:tc>
          <w:tcPr>
            <w:tcW w:w="1380" w:type="dxa"/>
            <w:vAlign w:val="bottom"/>
            <w:shd w:val="clear" w:color="auto" w:fill="F1EFEC"/>
          </w:tcPr>
          <w:p>
            <w:pPr>
              <w:jc w:val="right"/>
              <w:ind w:right="216"/>
              <w:spacing w:after="0"/>
              <w:rPr>
                <w:sz w:val="20"/>
                <w:szCs w:val="20"/>
                <w:color w:val="auto"/>
              </w:rPr>
            </w:pPr>
            <w:r>
              <w:rPr>
                <w:rFonts w:ascii="Arial" w:cs="Arial" w:eastAsia="Arial" w:hAnsi="Arial"/>
                <w:sz w:val="13"/>
                <w:szCs w:val="13"/>
                <w:color w:val="auto"/>
              </w:rPr>
              <w:t>9.17%</w:t>
            </w:r>
          </w:p>
        </w:tc>
      </w:tr>
      <w:tr>
        <w:trPr>
          <w:trHeight w:val="67"/>
        </w:trPr>
        <w:tc>
          <w:tcPr>
            <w:tcW w:w="604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1380" w:type="dxa"/>
            <w:vAlign w:val="bottom"/>
            <w:shd w:val="clear" w:color="auto" w:fill="F1EFEC"/>
          </w:tcPr>
          <w:p>
            <w:pPr>
              <w:spacing w:after="0"/>
              <w:rPr>
                <w:sz w:val="5"/>
                <w:szCs w:val="5"/>
                <w:color w:val="auto"/>
              </w:rPr>
            </w:pPr>
          </w:p>
        </w:tc>
      </w:tr>
      <w:tr>
        <w:trPr>
          <w:trHeight w:val="233"/>
        </w:trPr>
        <w:tc>
          <w:tcPr>
            <w:tcW w:w="6040" w:type="dxa"/>
            <w:vAlign w:val="bottom"/>
          </w:tcPr>
          <w:p>
            <w:pPr>
              <w:ind w:left="40"/>
              <w:spacing w:after="0"/>
              <w:rPr>
                <w:sz w:val="20"/>
                <w:szCs w:val="20"/>
                <w:color w:val="auto"/>
              </w:rPr>
            </w:pPr>
            <w:r>
              <w:rPr>
                <w:rFonts w:ascii="Arial" w:cs="Arial" w:eastAsia="Arial" w:hAnsi="Arial"/>
                <w:sz w:val="13"/>
                <w:szCs w:val="13"/>
                <w:color w:val="auto"/>
              </w:rPr>
              <w:t>Blossom Fountain Limited (8)</w:t>
            </w: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4"/>
        </w:trPr>
        <w:tc>
          <w:tcPr>
            <w:tcW w:w="6040" w:type="dxa"/>
            <w:vAlign w:val="bottom"/>
          </w:tcPr>
          <w:p>
            <w:pPr>
              <w:ind w:left="220"/>
              <w:spacing w:after="0"/>
              <w:rPr>
                <w:sz w:val="20"/>
                <w:szCs w:val="20"/>
                <w:color w:val="auto"/>
              </w:rPr>
            </w:pPr>
            <w:r>
              <w:rPr>
                <w:rFonts w:ascii="Arial" w:cs="Arial" w:eastAsia="Arial" w:hAnsi="Arial"/>
                <w:sz w:val="13"/>
                <w:szCs w:val="13"/>
                <w:color w:val="auto"/>
              </w:rPr>
              <w:t>Vistra Corporate Services Centre</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3"/>
        </w:trPr>
        <w:tc>
          <w:tcPr>
            <w:tcW w:w="6040" w:type="dxa"/>
            <w:vAlign w:val="bottom"/>
          </w:tcPr>
          <w:p>
            <w:pPr>
              <w:ind w:left="220"/>
              <w:spacing w:after="0"/>
              <w:rPr>
                <w:sz w:val="20"/>
                <w:szCs w:val="20"/>
                <w:color w:val="auto"/>
              </w:rPr>
            </w:pPr>
            <w:r>
              <w:rPr>
                <w:rFonts w:ascii="Arial" w:cs="Arial" w:eastAsia="Arial" w:hAnsi="Arial"/>
                <w:sz w:val="13"/>
                <w:szCs w:val="13"/>
                <w:color w:val="auto"/>
              </w:rPr>
              <w:t>Wickhams Cay II, Road Town</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5"/>
        </w:trPr>
        <w:tc>
          <w:tcPr>
            <w:tcW w:w="6040" w:type="dxa"/>
            <w:vAlign w:val="bottom"/>
          </w:tcPr>
          <w:p>
            <w:pPr>
              <w:ind w:left="220"/>
              <w:spacing w:after="0"/>
              <w:rPr>
                <w:sz w:val="20"/>
                <w:szCs w:val="20"/>
                <w:color w:val="auto"/>
              </w:rPr>
            </w:pPr>
            <w:r>
              <w:rPr>
                <w:rFonts w:ascii="Arial" w:cs="Arial" w:eastAsia="Arial" w:hAnsi="Arial"/>
                <w:sz w:val="13"/>
                <w:szCs w:val="13"/>
                <w:color w:val="auto"/>
              </w:rPr>
              <w:t>Tortola, VG1110, British Virgin Islands</w:t>
            </w:r>
          </w:p>
        </w:tc>
        <w:tc>
          <w:tcPr>
            <w:tcW w:w="1320" w:type="dxa"/>
            <w:vAlign w:val="bottom"/>
          </w:tcPr>
          <w:p>
            <w:pPr>
              <w:jc w:val="right"/>
              <w:ind w:right="116"/>
              <w:spacing w:after="0"/>
              <w:rPr>
                <w:sz w:val="20"/>
                <w:szCs w:val="20"/>
                <w:color w:val="auto"/>
              </w:rPr>
            </w:pPr>
            <w:r>
              <w:rPr>
                <w:rFonts w:ascii="Arial" w:cs="Arial" w:eastAsia="Arial" w:hAnsi="Arial"/>
                <w:sz w:val="13"/>
                <w:szCs w:val="13"/>
                <w:color w:val="auto"/>
              </w:rPr>
              <w:t>5,200,000</w:t>
            </w:r>
          </w:p>
        </w:tc>
        <w:tc>
          <w:tcPr>
            <w:tcW w:w="1380" w:type="dxa"/>
            <w:vAlign w:val="bottom"/>
          </w:tcPr>
          <w:p>
            <w:pPr>
              <w:jc w:val="right"/>
              <w:ind w:right="216"/>
              <w:spacing w:after="0"/>
              <w:rPr>
                <w:sz w:val="20"/>
                <w:szCs w:val="20"/>
                <w:color w:val="auto"/>
              </w:rPr>
            </w:pPr>
            <w:r>
              <w:rPr>
                <w:rFonts w:ascii="Arial" w:cs="Arial" w:eastAsia="Arial" w:hAnsi="Arial"/>
                <w:sz w:val="13"/>
                <w:szCs w:val="13"/>
                <w:color w:val="auto"/>
              </w:rPr>
              <w:t>5.00%</w:t>
            </w:r>
          </w:p>
        </w:tc>
      </w:tr>
      <w:tr>
        <w:trPr>
          <w:trHeight w:val="67"/>
        </w:trPr>
        <w:tc>
          <w:tcPr>
            <w:tcW w:w="60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Named Executive Officers, Directors and Director Nominees:</w:t>
            </w:r>
          </w:p>
        </w:tc>
        <w:tc>
          <w:tcPr>
            <w:tcW w:w="1320" w:type="dxa"/>
            <w:vAlign w:val="bottom"/>
            <w:shd w:val="clear" w:color="auto" w:fill="F1EFEC"/>
          </w:tcPr>
          <w:p>
            <w:pPr>
              <w:spacing w:after="0"/>
              <w:rPr>
                <w:sz w:val="20"/>
                <w:szCs w:val="20"/>
                <w:color w:val="auto"/>
              </w:rPr>
            </w:pPr>
          </w:p>
        </w:tc>
        <w:tc>
          <w:tcPr>
            <w:tcW w:w="1380" w:type="dxa"/>
            <w:vAlign w:val="bottom"/>
            <w:shd w:val="clear" w:color="auto" w:fill="F1EFEC"/>
          </w:tcPr>
          <w:p>
            <w:pPr>
              <w:spacing w:after="0"/>
              <w:rPr>
                <w:sz w:val="20"/>
                <w:szCs w:val="20"/>
                <w:color w:val="auto"/>
              </w:rPr>
            </w:pPr>
          </w:p>
        </w:tc>
      </w:tr>
      <w:tr>
        <w:trPr>
          <w:trHeight w:val="67"/>
        </w:trPr>
        <w:tc>
          <w:tcPr>
            <w:tcW w:w="604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1380" w:type="dxa"/>
            <w:vAlign w:val="bottom"/>
            <w:shd w:val="clear" w:color="auto" w:fill="F1EFEC"/>
          </w:tcPr>
          <w:p>
            <w:pPr>
              <w:spacing w:after="0"/>
              <w:rPr>
                <w:sz w:val="5"/>
                <w:szCs w:val="5"/>
                <w:color w:val="auto"/>
              </w:rPr>
            </w:pPr>
          </w:p>
        </w:tc>
      </w:tr>
      <w:tr>
        <w:trPr>
          <w:trHeight w:val="233"/>
        </w:trPr>
        <w:tc>
          <w:tcPr>
            <w:tcW w:w="6040" w:type="dxa"/>
            <w:vAlign w:val="bottom"/>
          </w:tcPr>
          <w:p>
            <w:pPr>
              <w:ind w:left="40"/>
              <w:spacing w:after="0"/>
              <w:rPr>
                <w:sz w:val="20"/>
                <w:szCs w:val="20"/>
                <w:color w:val="auto"/>
              </w:rPr>
            </w:pPr>
            <w:r>
              <w:rPr>
                <w:rFonts w:ascii="Arial" w:cs="Arial" w:eastAsia="Arial" w:hAnsi="Arial"/>
                <w:sz w:val="13"/>
                <w:szCs w:val="13"/>
                <w:color w:val="auto"/>
              </w:rPr>
              <w:t>Philip G. Satre (9)</w:t>
            </w:r>
          </w:p>
        </w:tc>
        <w:tc>
          <w:tcPr>
            <w:tcW w:w="1320" w:type="dxa"/>
            <w:vAlign w:val="bottom"/>
          </w:tcPr>
          <w:p>
            <w:pPr>
              <w:jc w:val="right"/>
              <w:ind w:right="116"/>
              <w:spacing w:after="0"/>
              <w:rPr>
                <w:sz w:val="20"/>
                <w:szCs w:val="20"/>
                <w:color w:val="auto"/>
              </w:rPr>
            </w:pPr>
            <w:r>
              <w:rPr>
                <w:rFonts w:ascii="Arial" w:cs="Arial" w:eastAsia="Arial" w:hAnsi="Arial"/>
                <w:sz w:val="13"/>
                <w:szCs w:val="13"/>
                <w:color w:val="auto"/>
              </w:rPr>
              <w:t>66,311</w:t>
            </w:r>
          </w:p>
        </w:tc>
        <w:tc>
          <w:tcPr>
            <w:tcW w:w="1380" w:type="dxa"/>
            <w:vAlign w:val="bottom"/>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Betsy S. Atkins (10)</w:t>
            </w:r>
          </w:p>
        </w:tc>
        <w:tc>
          <w:tcPr>
            <w:tcW w:w="1320" w:type="dxa"/>
            <w:vAlign w:val="bottom"/>
            <w:shd w:val="clear" w:color="auto" w:fill="F1EFEC"/>
          </w:tcPr>
          <w:p>
            <w:pPr>
              <w:jc w:val="right"/>
              <w:ind w:right="116"/>
              <w:spacing w:after="0"/>
              <w:rPr>
                <w:sz w:val="20"/>
                <w:szCs w:val="20"/>
                <w:color w:val="auto"/>
              </w:rPr>
            </w:pPr>
            <w:r>
              <w:rPr>
                <w:rFonts w:ascii="Arial" w:cs="Arial" w:eastAsia="Arial" w:hAnsi="Arial"/>
                <w:sz w:val="13"/>
                <w:szCs w:val="13"/>
                <w:color w:val="auto"/>
              </w:rPr>
              <w:t>16,173</w:t>
            </w:r>
          </w:p>
        </w:tc>
        <w:tc>
          <w:tcPr>
            <w:tcW w:w="1380" w:type="dxa"/>
            <w:vAlign w:val="bottom"/>
            <w:shd w:val="clear" w:color="auto" w:fill="F1EFEC"/>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1380" w:type="dxa"/>
            <w:vAlign w:val="bottom"/>
            <w:shd w:val="clear" w:color="auto" w:fill="F1EFEC"/>
          </w:tcPr>
          <w:p>
            <w:pPr>
              <w:spacing w:after="0"/>
              <w:rPr>
                <w:sz w:val="5"/>
                <w:szCs w:val="5"/>
                <w:color w:val="auto"/>
              </w:rPr>
            </w:pPr>
          </w:p>
        </w:tc>
      </w:tr>
      <w:tr>
        <w:trPr>
          <w:trHeight w:val="233"/>
        </w:trPr>
        <w:tc>
          <w:tcPr>
            <w:tcW w:w="6040" w:type="dxa"/>
            <w:vAlign w:val="bottom"/>
          </w:tcPr>
          <w:p>
            <w:pPr>
              <w:ind w:left="40"/>
              <w:spacing w:after="0"/>
              <w:rPr>
                <w:sz w:val="20"/>
                <w:szCs w:val="20"/>
                <w:color w:val="auto"/>
              </w:rPr>
            </w:pPr>
            <w:r>
              <w:rPr>
                <w:rFonts w:ascii="Arial" w:cs="Arial" w:eastAsia="Arial" w:hAnsi="Arial"/>
                <w:sz w:val="13"/>
                <w:szCs w:val="13"/>
                <w:color w:val="auto"/>
              </w:rPr>
              <w:t>Richard J. Byrne (11)</w:t>
            </w:r>
          </w:p>
        </w:tc>
        <w:tc>
          <w:tcPr>
            <w:tcW w:w="1320" w:type="dxa"/>
            <w:vAlign w:val="bottom"/>
          </w:tcPr>
          <w:p>
            <w:pPr>
              <w:jc w:val="right"/>
              <w:ind w:right="116"/>
              <w:spacing w:after="0"/>
              <w:rPr>
                <w:sz w:val="20"/>
                <w:szCs w:val="20"/>
                <w:color w:val="auto"/>
              </w:rPr>
            </w:pPr>
            <w:r>
              <w:rPr>
                <w:rFonts w:ascii="Arial" w:cs="Arial" w:eastAsia="Arial" w:hAnsi="Arial"/>
                <w:sz w:val="13"/>
                <w:szCs w:val="13"/>
                <w:color w:val="auto"/>
              </w:rPr>
              <w:t>21,554</w:t>
            </w:r>
          </w:p>
        </w:tc>
        <w:tc>
          <w:tcPr>
            <w:tcW w:w="1380" w:type="dxa"/>
            <w:vAlign w:val="bottom"/>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Paul Liu (12)</w:t>
            </w:r>
          </w:p>
        </w:tc>
        <w:tc>
          <w:tcPr>
            <w:tcW w:w="1320" w:type="dxa"/>
            <w:vAlign w:val="bottom"/>
            <w:shd w:val="clear" w:color="auto" w:fill="F1EFEC"/>
          </w:tcPr>
          <w:p>
            <w:pPr>
              <w:jc w:val="right"/>
              <w:ind w:right="116"/>
              <w:spacing w:after="0"/>
              <w:rPr>
                <w:sz w:val="20"/>
                <w:szCs w:val="20"/>
                <w:color w:val="auto"/>
              </w:rPr>
            </w:pPr>
            <w:r>
              <w:rPr>
                <w:rFonts w:ascii="Arial" w:cs="Arial" w:eastAsia="Arial" w:hAnsi="Arial"/>
                <w:sz w:val="13"/>
                <w:szCs w:val="13"/>
                <w:color w:val="auto"/>
              </w:rPr>
              <w:t>10,362</w:t>
            </w:r>
          </w:p>
        </w:tc>
        <w:tc>
          <w:tcPr>
            <w:tcW w:w="1380" w:type="dxa"/>
            <w:vAlign w:val="bottom"/>
            <w:shd w:val="clear" w:color="auto" w:fill="F1EFEC"/>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shd w:val="clear" w:color="auto" w:fill="F1EFEC"/>
          </w:tcPr>
          <w:p>
            <w:pPr>
              <w:spacing w:after="0"/>
              <w:rPr>
                <w:sz w:val="5"/>
                <w:szCs w:val="5"/>
                <w:color w:val="auto"/>
              </w:rPr>
            </w:pPr>
          </w:p>
        </w:tc>
        <w:tc>
          <w:tcPr>
            <w:tcW w:w="1320" w:type="dxa"/>
            <w:vAlign w:val="bottom"/>
            <w:shd w:val="clear" w:color="auto" w:fill="F1EFEC"/>
          </w:tcPr>
          <w:p>
            <w:pPr>
              <w:spacing w:after="0"/>
              <w:rPr>
                <w:sz w:val="5"/>
                <w:szCs w:val="5"/>
                <w:color w:val="auto"/>
              </w:rPr>
            </w:pPr>
          </w:p>
        </w:tc>
        <w:tc>
          <w:tcPr>
            <w:tcW w:w="1380" w:type="dxa"/>
            <w:vAlign w:val="bottom"/>
            <w:shd w:val="clear" w:color="auto" w:fill="F1EFEC"/>
          </w:tcPr>
          <w:p>
            <w:pPr>
              <w:spacing w:after="0"/>
              <w:rPr>
                <w:sz w:val="5"/>
                <w:szCs w:val="5"/>
                <w:color w:val="auto"/>
              </w:rPr>
            </w:pPr>
          </w:p>
        </w:tc>
      </w:tr>
      <w:tr>
        <w:trPr>
          <w:trHeight w:val="276"/>
        </w:trPr>
        <w:tc>
          <w:tcPr>
            <w:tcW w:w="6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71</w:t>
            </w:r>
          </w:p>
        </w:tc>
      </w:tr>
    </w:tbl>
    <w:p>
      <w:pPr>
        <w:sectPr>
          <w:pgSz w:w="11900" w:h="16838" w:orient="portrait"/>
          <w:cols w:equalWidth="0" w:num="1">
            <w:col w:w="10159"/>
          </w:cols>
          <w:pgMar w:left="300" w:top="412"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30657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59425" cy="306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6040" w:type="dxa"/>
            <w:vAlign w:val="bottom"/>
            <w:shd w:val="clear" w:color="auto" w:fill="B9AFA0"/>
          </w:tcPr>
          <w:p>
            <w:pPr>
              <w:spacing w:after="0"/>
              <w:rPr>
                <w:sz w:val="18"/>
                <w:szCs w:val="18"/>
                <w:color w:val="auto"/>
              </w:rPr>
            </w:pPr>
          </w:p>
        </w:tc>
        <w:tc>
          <w:tcPr>
            <w:tcW w:w="2700" w:type="dxa"/>
            <w:vAlign w:val="bottom"/>
            <w:gridSpan w:val="2"/>
            <w:shd w:val="clear" w:color="auto" w:fill="B9AFA0"/>
          </w:tcPr>
          <w:p>
            <w:pPr>
              <w:jc w:val="right"/>
              <w:spacing w:after="0"/>
              <w:rPr>
                <w:sz w:val="20"/>
                <w:szCs w:val="20"/>
                <w:color w:val="auto"/>
              </w:rPr>
            </w:pPr>
            <w:r>
              <w:rPr>
                <w:rFonts w:ascii="Arial" w:cs="Arial" w:eastAsia="Arial" w:hAnsi="Arial"/>
                <w:sz w:val="13"/>
                <w:szCs w:val="13"/>
                <w:color w:val="FFFFFF"/>
              </w:rPr>
              <w:t>BENEFICIAL OWNERSHIP OF SHARES (1)</w:t>
            </w:r>
          </w:p>
        </w:tc>
      </w:tr>
      <w:tr>
        <w:trPr>
          <w:trHeight w:val="239"/>
        </w:trPr>
        <w:tc>
          <w:tcPr>
            <w:tcW w:w="6040" w:type="dxa"/>
            <w:vAlign w:val="bottom"/>
            <w:shd w:val="clear" w:color="auto" w:fill="B9AFA0"/>
          </w:tcPr>
          <w:p>
            <w:pPr>
              <w:spacing w:after="0"/>
              <w:rPr>
                <w:sz w:val="20"/>
                <w:szCs w:val="20"/>
                <w:color w:val="auto"/>
              </w:rPr>
            </w:pPr>
          </w:p>
        </w:tc>
        <w:tc>
          <w:tcPr>
            <w:tcW w:w="1500" w:type="dxa"/>
            <w:vAlign w:val="bottom"/>
            <w:shd w:val="clear" w:color="auto" w:fill="B9AFA0"/>
          </w:tcPr>
          <w:p>
            <w:pPr>
              <w:spacing w:after="0"/>
              <w:rPr>
                <w:sz w:val="20"/>
                <w:szCs w:val="20"/>
                <w:color w:val="auto"/>
              </w:rPr>
            </w:pPr>
          </w:p>
        </w:tc>
        <w:tc>
          <w:tcPr>
            <w:tcW w:w="1200" w:type="dxa"/>
            <w:vAlign w:val="bottom"/>
            <w:shd w:val="clear" w:color="auto" w:fill="B9AFA0"/>
          </w:tcPr>
          <w:p>
            <w:pPr>
              <w:jc w:val="right"/>
              <w:ind w:right="476"/>
              <w:spacing w:after="0"/>
              <w:rPr>
                <w:sz w:val="20"/>
                <w:szCs w:val="20"/>
                <w:color w:val="auto"/>
              </w:rPr>
            </w:pPr>
            <w:r>
              <w:rPr>
                <w:rFonts w:ascii="Arial" w:cs="Arial" w:eastAsia="Arial" w:hAnsi="Arial"/>
                <w:sz w:val="13"/>
                <w:szCs w:val="13"/>
                <w:color w:val="FFFFFF"/>
              </w:rPr>
              <w:t> </w:t>
            </w:r>
          </w:p>
        </w:tc>
      </w:tr>
      <w:tr>
        <w:trPr>
          <w:trHeight w:val="194"/>
        </w:trPr>
        <w:tc>
          <w:tcPr>
            <w:tcW w:w="604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NAME AND ADDRESS OF BENEFICIAL OWNER (2)</w:t>
            </w:r>
          </w:p>
        </w:tc>
        <w:tc>
          <w:tcPr>
            <w:tcW w:w="1500" w:type="dxa"/>
            <w:vAlign w:val="bottom"/>
            <w:tcBorders>
              <w:bottom w:val="single" w:sz="8" w:color="B9AFA0"/>
            </w:tcBorders>
            <w:shd w:val="clear" w:color="auto" w:fill="B9AFA0"/>
          </w:tcPr>
          <w:p>
            <w:pPr>
              <w:jc w:val="right"/>
              <w:ind w:right="356"/>
              <w:spacing w:after="0"/>
              <w:rPr>
                <w:sz w:val="20"/>
                <w:szCs w:val="20"/>
                <w:color w:val="auto"/>
              </w:rPr>
            </w:pPr>
            <w:r>
              <w:rPr>
                <w:rFonts w:ascii="Arial" w:cs="Arial" w:eastAsia="Arial" w:hAnsi="Arial"/>
                <w:sz w:val="13"/>
                <w:szCs w:val="13"/>
                <w:color w:val="FFFFFF"/>
              </w:rPr>
              <w:t>NUMBER</w:t>
            </w:r>
          </w:p>
        </w:tc>
        <w:tc>
          <w:tcPr>
            <w:tcW w:w="1200" w:type="dxa"/>
            <w:vAlign w:val="bottom"/>
            <w:tcBorders>
              <w:bottom w:val="single" w:sz="8" w:color="B9AFA0"/>
            </w:tcBorders>
            <w:shd w:val="clear" w:color="auto" w:fill="B9AFA0"/>
          </w:tcPr>
          <w:p>
            <w:pPr>
              <w:jc w:val="right"/>
              <w:ind w:right="56"/>
              <w:spacing w:after="0"/>
              <w:rPr>
                <w:sz w:val="20"/>
                <w:szCs w:val="20"/>
                <w:color w:val="auto"/>
              </w:rPr>
            </w:pPr>
            <w:r>
              <w:rPr>
                <w:rFonts w:ascii="Arial" w:cs="Arial" w:eastAsia="Arial" w:hAnsi="Arial"/>
                <w:sz w:val="13"/>
                <w:szCs w:val="13"/>
                <w:color w:val="FFFFFF"/>
              </w:rPr>
              <w:t>PERCENTAGE</w:t>
            </w: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Winifred M. Webb (13)</w:t>
            </w:r>
          </w:p>
        </w:tc>
        <w:tc>
          <w:tcPr>
            <w:tcW w:w="1500" w:type="dxa"/>
            <w:vAlign w:val="bottom"/>
            <w:shd w:val="clear" w:color="auto" w:fill="F1EFEC"/>
          </w:tcPr>
          <w:p>
            <w:pPr>
              <w:jc w:val="right"/>
              <w:ind w:right="136"/>
              <w:spacing w:after="0"/>
              <w:rPr>
                <w:sz w:val="20"/>
                <w:szCs w:val="20"/>
                <w:color w:val="auto"/>
              </w:rPr>
            </w:pPr>
            <w:r>
              <w:rPr>
                <w:rFonts w:ascii="Arial" w:cs="Arial" w:eastAsia="Arial" w:hAnsi="Arial"/>
                <w:sz w:val="13"/>
                <w:szCs w:val="13"/>
                <w:color w:val="auto"/>
              </w:rPr>
              <w:t>24,506</w:t>
            </w:r>
          </w:p>
        </w:tc>
        <w:tc>
          <w:tcPr>
            <w:tcW w:w="1200" w:type="dxa"/>
            <w:vAlign w:val="bottom"/>
            <w:shd w:val="clear" w:color="auto" w:fill="F1EFEC"/>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shd w:val="clear" w:color="auto" w:fill="F1EFEC"/>
          </w:tcPr>
          <w:p>
            <w:pPr>
              <w:spacing w:after="0"/>
              <w:rPr>
                <w:sz w:val="5"/>
                <w:szCs w:val="5"/>
                <w:color w:val="auto"/>
              </w:rPr>
            </w:pPr>
          </w:p>
        </w:tc>
        <w:tc>
          <w:tcPr>
            <w:tcW w:w="1500" w:type="dxa"/>
            <w:vAlign w:val="bottom"/>
            <w:shd w:val="clear" w:color="auto" w:fill="F1EFEC"/>
          </w:tcPr>
          <w:p>
            <w:pPr>
              <w:spacing w:after="0"/>
              <w:rPr>
                <w:sz w:val="5"/>
                <w:szCs w:val="5"/>
                <w:color w:val="auto"/>
              </w:rPr>
            </w:pPr>
          </w:p>
        </w:tc>
        <w:tc>
          <w:tcPr>
            <w:tcW w:w="1200" w:type="dxa"/>
            <w:vAlign w:val="bottom"/>
            <w:shd w:val="clear" w:color="auto" w:fill="F1EFEC"/>
          </w:tcPr>
          <w:p>
            <w:pPr>
              <w:spacing w:after="0"/>
              <w:rPr>
                <w:sz w:val="5"/>
                <w:szCs w:val="5"/>
                <w:color w:val="auto"/>
              </w:rPr>
            </w:pPr>
          </w:p>
        </w:tc>
      </w:tr>
      <w:tr>
        <w:trPr>
          <w:trHeight w:val="233"/>
        </w:trPr>
        <w:tc>
          <w:tcPr>
            <w:tcW w:w="6040" w:type="dxa"/>
            <w:vAlign w:val="bottom"/>
          </w:tcPr>
          <w:p>
            <w:pPr>
              <w:ind w:left="40"/>
              <w:spacing w:after="0"/>
              <w:rPr>
                <w:sz w:val="20"/>
                <w:szCs w:val="20"/>
                <w:color w:val="auto"/>
              </w:rPr>
            </w:pPr>
            <w:r>
              <w:rPr>
                <w:rFonts w:ascii="Arial" w:cs="Arial" w:eastAsia="Arial" w:hAnsi="Arial"/>
                <w:sz w:val="13"/>
                <w:szCs w:val="13"/>
                <w:color w:val="auto"/>
              </w:rPr>
              <w:t>Patricia Mulroy (14)</w:t>
            </w:r>
          </w:p>
        </w:tc>
        <w:tc>
          <w:tcPr>
            <w:tcW w:w="1500" w:type="dxa"/>
            <w:vAlign w:val="bottom"/>
          </w:tcPr>
          <w:p>
            <w:pPr>
              <w:jc w:val="right"/>
              <w:ind w:right="136"/>
              <w:spacing w:after="0"/>
              <w:rPr>
                <w:sz w:val="20"/>
                <w:szCs w:val="20"/>
                <w:color w:val="auto"/>
              </w:rPr>
            </w:pPr>
            <w:r>
              <w:rPr>
                <w:rFonts w:ascii="Arial" w:cs="Arial" w:eastAsia="Arial" w:hAnsi="Arial"/>
                <w:sz w:val="13"/>
                <w:szCs w:val="13"/>
                <w:color w:val="auto"/>
              </w:rPr>
              <w:t>11,451</w:t>
            </w:r>
          </w:p>
        </w:tc>
        <w:tc>
          <w:tcPr>
            <w:tcW w:w="1200" w:type="dxa"/>
            <w:vAlign w:val="bottom"/>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Anthony Sanfilippo (15)</w:t>
            </w:r>
          </w:p>
        </w:tc>
        <w:tc>
          <w:tcPr>
            <w:tcW w:w="1500" w:type="dxa"/>
            <w:vAlign w:val="bottom"/>
            <w:shd w:val="clear" w:color="auto" w:fill="F1EFEC"/>
          </w:tcPr>
          <w:p>
            <w:pPr>
              <w:jc w:val="right"/>
              <w:ind w:right="136"/>
              <w:spacing w:after="0"/>
              <w:rPr>
                <w:sz w:val="20"/>
                <w:szCs w:val="20"/>
                <w:color w:val="auto"/>
              </w:rPr>
            </w:pPr>
            <w:r>
              <w:rPr>
                <w:rFonts w:ascii="Arial" w:cs="Arial" w:eastAsia="Arial" w:hAnsi="Arial"/>
                <w:sz w:val="13"/>
                <w:szCs w:val="13"/>
                <w:color w:val="auto"/>
              </w:rPr>
              <w:t>156,066</w:t>
            </w:r>
          </w:p>
        </w:tc>
        <w:tc>
          <w:tcPr>
            <w:tcW w:w="1200" w:type="dxa"/>
            <w:vAlign w:val="bottom"/>
            <w:shd w:val="clear" w:color="auto" w:fill="F1EFEC"/>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shd w:val="clear" w:color="auto" w:fill="F1EFEC"/>
          </w:tcPr>
          <w:p>
            <w:pPr>
              <w:spacing w:after="0"/>
              <w:rPr>
                <w:sz w:val="5"/>
                <w:szCs w:val="5"/>
                <w:color w:val="auto"/>
              </w:rPr>
            </w:pPr>
          </w:p>
        </w:tc>
        <w:tc>
          <w:tcPr>
            <w:tcW w:w="1500" w:type="dxa"/>
            <w:vAlign w:val="bottom"/>
            <w:shd w:val="clear" w:color="auto" w:fill="F1EFEC"/>
          </w:tcPr>
          <w:p>
            <w:pPr>
              <w:spacing w:after="0"/>
              <w:rPr>
                <w:sz w:val="5"/>
                <w:szCs w:val="5"/>
                <w:color w:val="auto"/>
              </w:rPr>
            </w:pPr>
          </w:p>
        </w:tc>
        <w:tc>
          <w:tcPr>
            <w:tcW w:w="1200" w:type="dxa"/>
            <w:vAlign w:val="bottom"/>
            <w:shd w:val="clear" w:color="auto" w:fill="F1EFEC"/>
          </w:tcPr>
          <w:p>
            <w:pPr>
              <w:spacing w:after="0"/>
              <w:rPr>
                <w:sz w:val="5"/>
                <w:szCs w:val="5"/>
                <w:color w:val="auto"/>
              </w:rPr>
            </w:pPr>
          </w:p>
        </w:tc>
      </w:tr>
      <w:tr>
        <w:trPr>
          <w:trHeight w:val="233"/>
        </w:trPr>
        <w:tc>
          <w:tcPr>
            <w:tcW w:w="6040" w:type="dxa"/>
            <w:vAlign w:val="bottom"/>
          </w:tcPr>
          <w:p>
            <w:pPr>
              <w:ind w:left="40"/>
              <w:spacing w:after="0"/>
              <w:rPr>
                <w:sz w:val="20"/>
                <w:szCs w:val="20"/>
                <w:color w:val="auto"/>
              </w:rPr>
            </w:pPr>
            <w:r>
              <w:rPr>
                <w:rFonts w:ascii="Arial" w:cs="Arial" w:eastAsia="Arial" w:hAnsi="Arial"/>
                <w:sz w:val="13"/>
                <w:szCs w:val="13"/>
                <w:color w:val="auto"/>
              </w:rPr>
              <w:t>Darnell O. Strom (16)</w:t>
            </w:r>
          </w:p>
        </w:tc>
        <w:tc>
          <w:tcPr>
            <w:tcW w:w="1500" w:type="dxa"/>
            <w:vAlign w:val="bottom"/>
          </w:tcPr>
          <w:p>
            <w:pPr>
              <w:jc w:val="right"/>
              <w:ind w:right="136"/>
              <w:spacing w:after="0"/>
              <w:rPr>
                <w:sz w:val="20"/>
                <w:szCs w:val="20"/>
                <w:color w:val="auto"/>
              </w:rPr>
            </w:pPr>
            <w:r>
              <w:rPr>
                <w:rFonts w:ascii="Arial" w:cs="Arial" w:eastAsia="Arial" w:hAnsi="Arial"/>
                <w:sz w:val="13"/>
                <w:szCs w:val="13"/>
                <w:color w:val="auto"/>
              </w:rPr>
              <w:t>17,007</w:t>
            </w:r>
          </w:p>
        </w:tc>
        <w:tc>
          <w:tcPr>
            <w:tcW w:w="1200" w:type="dxa"/>
            <w:vAlign w:val="bottom"/>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Craig S. Billings (17)</w:t>
            </w:r>
          </w:p>
        </w:tc>
        <w:tc>
          <w:tcPr>
            <w:tcW w:w="1500" w:type="dxa"/>
            <w:vAlign w:val="bottom"/>
            <w:shd w:val="clear" w:color="auto" w:fill="F1EFEC"/>
          </w:tcPr>
          <w:p>
            <w:pPr>
              <w:jc w:val="right"/>
              <w:ind w:right="136"/>
              <w:spacing w:after="0"/>
              <w:rPr>
                <w:sz w:val="20"/>
                <w:szCs w:val="20"/>
                <w:color w:val="auto"/>
              </w:rPr>
            </w:pPr>
            <w:r>
              <w:rPr>
                <w:rFonts w:ascii="Arial" w:cs="Arial" w:eastAsia="Arial" w:hAnsi="Arial"/>
                <w:sz w:val="13"/>
                <w:szCs w:val="13"/>
                <w:color w:val="auto"/>
              </w:rPr>
              <w:t>418,524</w:t>
            </w:r>
          </w:p>
        </w:tc>
        <w:tc>
          <w:tcPr>
            <w:tcW w:w="1200" w:type="dxa"/>
            <w:vAlign w:val="bottom"/>
            <w:shd w:val="clear" w:color="auto" w:fill="F1EFEC"/>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shd w:val="clear" w:color="auto" w:fill="F1EFEC"/>
          </w:tcPr>
          <w:p>
            <w:pPr>
              <w:spacing w:after="0"/>
              <w:rPr>
                <w:sz w:val="5"/>
                <w:szCs w:val="5"/>
                <w:color w:val="auto"/>
              </w:rPr>
            </w:pPr>
          </w:p>
        </w:tc>
        <w:tc>
          <w:tcPr>
            <w:tcW w:w="1500" w:type="dxa"/>
            <w:vAlign w:val="bottom"/>
            <w:shd w:val="clear" w:color="auto" w:fill="F1EFEC"/>
          </w:tcPr>
          <w:p>
            <w:pPr>
              <w:spacing w:after="0"/>
              <w:rPr>
                <w:sz w:val="5"/>
                <w:szCs w:val="5"/>
                <w:color w:val="auto"/>
              </w:rPr>
            </w:pPr>
          </w:p>
        </w:tc>
        <w:tc>
          <w:tcPr>
            <w:tcW w:w="1200" w:type="dxa"/>
            <w:vAlign w:val="bottom"/>
            <w:shd w:val="clear" w:color="auto" w:fill="F1EFEC"/>
          </w:tcPr>
          <w:p>
            <w:pPr>
              <w:spacing w:after="0"/>
              <w:rPr>
                <w:sz w:val="5"/>
                <w:szCs w:val="5"/>
                <w:color w:val="auto"/>
              </w:rPr>
            </w:pPr>
          </w:p>
        </w:tc>
      </w:tr>
      <w:tr>
        <w:trPr>
          <w:trHeight w:val="233"/>
        </w:trPr>
        <w:tc>
          <w:tcPr>
            <w:tcW w:w="6040" w:type="dxa"/>
            <w:vAlign w:val="bottom"/>
          </w:tcPr>
          <w:p>
            <w:pPr>
              <w:ind w:left="40"/>
              <w:spacing w:after="0"/>
              <w:rPr>
                <w:sz w:val="20"/>
                <w:szCs w:val="20"/>
                <w:color w:val="auto"/>
              </w:rPr>
            </w:pPr>
            <w:r>
              <w:rPr>
                <w:rFonts w:ascii="Arial" w:cs="Arial" w:eastAsia="Arial" w:hAnsi="Arial"/>
                <w:sz w:val="13"/>
                <w:szCs w:val="13"/>
                <w:color w:val="auto"/>
              </w:rPr>
              <w:t>Julie M. Cameron-Doe (18)</w:t>
            </w:r>
          </w:p>
        </w:tc>
        <w:tc>
          <w:tcPr>
            <w:tcW w:w="1500" w:type="dxa"/>
            <w:vAlign w:val="bottom"/>
          </w:tcPr>
          <w:p>
            <w:pPr>
              <w:jc w:val="right"/>
              <w:ind w:right="136"/>
              <w:spacing w:after="0"/>
              <w:rPr>
                <w:sz w:val="20"/>
                <w:szCs w:val="20"/>
                <w:color w:val="auto"/>
              </w:rPr>
            </w:pPr>
            <w:r>
              <w:rPr>
                <w:rFonts w:ascii="Arial" w:cs="Arial" w:eastAsia="Arial" w:hAnsi="Arial"/>
                <w:sz w:val="13"/>
                <w:szCs w:val="13"/>
                <w:color w:val="auto"/>
              </w:rPr>
              <w:t>98,873</w:t>
            </w:r>
          </w:p>
        </w:tc>
        <w:tc>
          <w:tcPr>
            <w:tcW w:w="1200" w:type="dxa"/>
            <w:vAlign w:val="bottom"/>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33"/>
        </w:trPr>
        <w:tc>
          <w:tcPr>
            <w:tcW w:w="6040" w:type="dxa"/>
            <w:vAlign w:val="bottom"/>
            <w:shd w:val="clear" w:color="auto" w:fill="F1EFEC"/>
          </w:tcPr>
          <w:p>
            <w:pPr>
              <w:ind w:left="40"/>
              <w:spacing w:after="0"/>
              <w:rPr>
                <w:sz w:val="20"/>
                <w:szCs w:val="20"/>
                <w:color w:val="auto"/>
              </w:rPr>
            </w:pPr>
            <w:r>
              <w:rPr>
                <w:rFonts w:ascii="Arial" w:cs="Arial" w:eastAsia="Arial" w:hAnsi="Arial"/>
                <w:sz w:val="13"/>
                <w:szCs w:val="13"/>
                <w:color w:val="auto"/>
              </w:rPr>
              <w:t>Jacqui Krum (19)</w:t>
            </w:r>
          </w:p>
        </w:tc>
        <w:tc>
          <w:tcPr>
            <w:tcW w:w="1500" w:type="dxa"/>
            <w:vAlign w:val="bottom"/>
            <w:shd w:val="clear" w:color="auto" w:fill="F1EFEC"/>
          </w:tcPr>
          <w:p>
            <w:pPr>
              <w:jc w:val="right"/>
              <w:ind w:right="136"/>
              <w:spacing w:after="0"/>
              <w:rPr>
                <w:sz w:val="20"/>
                <w:szCs w:val="20"/>
                <w:color w:val="auto"/>
              </w:rPr>
            </w:pPr>
            <w:r>
              <w:rPr>
                <w:rFonts w:ascii="Arial" w:cs="Arial" w:eastAsia="Arial" w:hAnsi="Arial"/>
                <w:sz w:val="13"/>
                <w:szCs w:val="13"/>
                <w:color w:val="auto"/>
              </w:rPr>
              <w:t>51,301</w:t>
            </w:r>
          </w:p>
        </w:tc>
        <w:tc>
          <w:tcPr>
            <w:tcW w:w="1200" w:type="dxa"/>
            <w:vAlign w:val="bottom"/>
            <w:shd w:val="clear" w:color="auto" w:fill="F1EFEC"/>
          </w:tcPr>
          <w:p>
            <w:pPr>
              <w:jc w:val="right"/>
              <w:ind w:right="316"/>
              <w:spacing w:after="0"/>
              <w:rPr>
                <w:sz w:val="20"/>
                <w:szCs w:val="20"/>
                <w:color w:val="auto"/>
              </w:rPr>
            </w:pPr>
            <w:r>
              <w:rPr>
                <w:rFonts w:ascii="Arial" w:cs="Arial" w:eastAsia="Arial" w:hAnsi="Arial"/>
                <w:sz w:val="13"/>
                <w:szCs w:val="13"/>
                <w:color w:val="auto"/>
              </w:rPr>
              <w:t>*</w:t>
            </w:r>
          </w:p>
        </w:tc>
      </w:tr>
      <w:tr>
        <w:trPr>
          <w:trHeight w:val="67"/>
        </w:trPr>
        <w:tc>
          <w:tcPr>
            <w:tcW w:w="6040" w:type="dxa"/>
            <w:vAlign w:val="bottom"/>
            <w:shd w:val="clear" w:color="auto" w:fill="F1EFEC"/>
          </w:tcPr>
          <w:p>
            <w:pPr>
              <w:spacing w:after="0"/>
              <w:rPr>
                <w:sz w:val="5"/>
                <w:szCs w:val="5"/>
                <w:color w:val="auto"/>
              </w:rPr>
            </w:pPr>
          </w:p>
        </w:tc>
        <w:tc>
          <w:tcPr>
            <w:tcW w:w="1500" w:type="dxa"/>
            <w:vAlign w:val="bottom"/>
            <w:shd w:val="clear" w:color="auto" w:fill="F1EFEC"/>
          </w:tcPr>
          <w:p>
            <w:pPr>
              <w:spacing w:after="0"/>
              <w:rPr>
                <w:sz w:val="5"/>
                <w:szCs w:val="5"/>
                <w:color w:val="auto"/>
              </w:rPr>
            </w:pPr>
          </w:p>
        </w:tc>
        <w:tc>
          <w:tcPr>
            <w:tcW w:w="1200" w:type="dxa"/>
            <w:vAlign w:val="bottom"/>
            <w:shd w:val="clear" w:color="auto" w:fill="F1EFEC"/>
          </w:tcPr>
          <w:p>
            <w:pPr>
              <w:spacing w:after="0"/>
              <w:rPr>
                <w:sz w:val="5"/>
                <w:szCs w:val="5"/>
                <w:color w:val="auto"/>
              </w:rPr>
            </w:pPr>
          </w:p>
        </w:tc>
      </w:tr>
      <w:tr>
        <w:trPr>
          <w:trHeight w:val="233"/>
        </w:trPr>
        <w:tc>
          <w:tcPr>
            <w:tcW w:w="6040" w:type="dxa"/>
            <w:vAlign w:val="bottom"/>
          </w:tcPr>
          <w:p>
            <w:pPr>
              <w:ind w:left="40"/>
              <w:spacing w:after="0"/>
              <w:rPr>
                <w:sz w:val="20"/>
                <w:szCs w:val="20"/>
                <w:color w:val="auto"/>
              </w:rPr>
            </w:pPr>
            <w:r>
              <w:rPr>
                <w:rFonts w:ascii="Arial" w:cs="Arial" w:eastAsia="Arial" w:hAnsi="Arial"/>
                <w:sz w:val="13"/>
                <w:szCs w:val="13"/>
                <w:color w:val="auto"/>
              </w:rPr>
              <w:t>All current directors and executive officers as a group (11 persons)</w:t>
            </w:r>
          </w:p>
        </w:tc>
        <w:tc>
          <w:tcPr>
            <w:tcW w:w="1500" w:type="dxa"/>
            <w:vAlign w:val="bottom"/>
          </w:tcPr>
          <w:p>
            <w:pPr>
              <w:jc w:val="right"/>
              <w:ind w:right="136"/>
              <w:spacing w:after="0"/>
              <w:rPr>
                <w:sz w:val="20"/>
                <w:szCs w:val="20"/>
                <w:color w:val="auto"/>
              </w:rPr>
            </w:pPr>
            <w:r>
              <w:rPr>
                <w:rFonts w:ascii="Arial" w:cs="Arial" w:eastAsia="Arial" w:hAnsi="Arial"/>
                <w:sz w:val="13"/>
                <w:szCs w:val="13"/>
                <w:color w:val="auto"/>
              </w:rPr>
              <w:t>892,128</w:t>
            </w:r>
          </w:p>
        </w:tc>
        <w:tc>
          <w:tcPr>
            <w:tcW w:w="1200" w:type="dxa"/>
            <w:vAlign w:val="bottom"/>
          </w:tcPr>
          <w:p>
            <w:pPr>
              <w:jc w:val="right"/>
              <w:ind w:right="316"/>
              <w:spacing w:after="0"/>
              <w:rPr>
                <w:sz w:val="20"/>
                <w:szCs w:val="20"/>
                <w:color w:val="auto"/>
              </w:rPr>
            </w:pPr>
            <w:r>
              <w:rPr>
                <w:rFonts w:ascii="Arial" w:cs="Arial" w:eastAsia="Arial" w:hAnsi="Arial"/>
                <w:sz w:val="13"/>
                <w:szCs w:val="13"/>
                <w:color w:val="auto"/>
              </w:rPr>
              <w:t>*</w:t>
            </w:r>
          </w:p>
        </w:tc>
      </w:tr>
    </w:tbl>
    <w:p>
      <w:pPr>
        <w:spacing w:after="0" w:line="224" w:lineRule="exact"/>
        <w:rPr>
          <w:sz w:val="20"/>
          <w:szCs w:val="20"/>
          <w:color w:val="auto"/>
        </w:rPr>
      </w:pPr>
    </w:p>
    <w:p>
      <w:pPr>
        <w:ind w:left="1260"/>
        <w:spacing w:after="0"/>
        <w:rPr>
          <w:sz w:val="20"/>
          <w:szCs w:val="20"/>
          <w:color w:val="auto"/>
        </w:rPr>
      </w:pPr>
      <w:r>
        <w:rPr>
          <w:rFonts w:ascii="Arial" w:cs="Arial" w:eastAsia="Arial" w:hAnsi="Arial"/>
          <w:sz w:val="10"/>
          <w:szCs w:val="10"/>
          <w:color w:val="auto"/>
        </w:rPr>
        <w:t>* Less than one percent</w:t>
      </w:r>
    </w:p>
    <w:p>
      <w:pPr>
        <w:spacing w:after="0" w:line="78" w:lineRule="exact"/>
        <w:rPr>
          <w:sz w:val="20"/>
          <w:szCs w:val="20"/>
          <w:color w:val="auto"/>
        </w:rPr>
      </w:pPr>
    </w:p>
    <w:p>
      <w:pPr>
        <w:ind w:left="1260" w:right="259" w:firstLine="7"/>
        <w:spacing w:after="0" w:line="237" w:lineRule="auto"/>
        <w:tabs>
          <w:tab w:leader="none" w:pos="1410" w:val="left"/>
        </w:tabs>
        <w:numPr>
          <w:ilvl w:val="0"/>
          <w:numId w:val="51"/>
        </w:numPr>
        <w:rPr>
          <w:rFonts w:ascii="Arial" w:cs="Arial" w:eastAsia="Arial" w:hAnsi="Arial"/>
          <w:sz w:val="10"/>
          <w:szCs w:val="10"/>
          <w:color w:val="auto"/>
        </w:rPr>
      </w:pPr>
      <w:r>
        <w:rPr>
          <w:rFonts w:ascii="Arial" w:cs="Arial" w:eastAsia="Arial" w:hAnsi="Arial"/>
          <w:sz w:val="10"/>
          <w:szCs w:val="10"/>
          <w:color w:val="auto"/>
        </w:rPr>
        <w:t>This table is based upon information supplied by our executive officers, directors, and nominees for director, and contained in Forms 3 and 4 and Schedules 13D and 13G (and amendments thereto) filed with the SEC. Unless otherwise indicated in the footnotes to this table and subject to community property laws, where applicable, the Company believes each of the shareholders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60" w:lineRule="exact"/>
        <w:rPr>
          <w:rFonts w:ascii="Arial" w:cs="Arial" w:eastAsia="Arial" w:hAnsi="Arial"/>
          <w:sz w:val="10"/>
          <w:szCs w:val="10"/>
          <w:color w:val="auto"/>
        </w:rPr>
      </w:pPr>
    </w:p>
    <w:p>
      <w:pPr>
        <w:ind w:left="1420" w:hanging="153"/>
        <w:spacing w:after="0"/>
        <w:tabs>
          <w:tab w:leader="none" w:pos="1420" w:val="left"/>
        </w:tabs>
        <w:numPr>
          <w:ilvl w:val="0"/>
          <w:numId w:val="51"/>
        </w:numPr>
        <w:rPr>
          <w:rFonts w:ascii="Arial" w:cs="Arial" w:eastAsia="Arial" w:hAnsi="Arial"/>
          <w:sz w:val="10"/>
          <w:szCs w:val="10"/>
          <w:color w:val="auto"/>
        </w:rPr>
      </w:pPr>
      <w:r>
        <w:rPr>
          <w:rFonts w:ascii="Arial" w:cs="Arial" w:eastAsia="Arial" w:hAnsi="Arial"/>
          <w:sz w:val="10"/>
          <w:szCs w:val="10"/>
          <w:color w:val="auto"/>
        </w:rPr>
        <w:t>Unless otherwise indicated, the address of each of the named parties in this table is: c/o Wynn Resorts, Limited, 3131 Las Vegas Boulevard South, Las Vegas, Nevada 89109.</w:t>
      </w:r>
    </w:p>
    <w:p>
      <w:pPr>
        <w:spacing w:after="0" w:line="78" w:lineRule="exact"/>
        <w:rPr>
          <w:rFonts w:ascii="Arial" w:cs="Arial" w:eastAsia="Arial" w:hAnsi="Arial"/>
          <w:sz w:val="10"/>
          <w:szCs w:val="10"/>
          <w:color w:val="auto"/>
        </w:rPr>
      </w:pPr>
    </w:p>
    <w:p>
      <w:pPr>
        <w:jc w:val="both"/>
        <w:ind w:left="1260" w:right="179" w:firstLine="7"/>
        <w:spacing w:after="0" w:line="230" w:lineRule="auto"/>
        <w:tabs>
          <w:tab w:leader="none" w:pos="1410" w:val="left"/>
        </w:tabs>
        <w:numPr>
          <w:ilvl w:val="0"/>
          <w:numId w:val="51"/>
        </w:numPr>
        <w:rPr>
          <w:rFonts w:ascii="Arial" w:cs="Arial" w:eastAsia="Arial" w:hAnsi="Arial"/>
          <w:sz w:val="10"/>
          <w:szCs w:val="10"/>
          <w:color w:val="auto"/>
        </w:rPr>
      </w:pPr>
      <w:r>
        <w:rPr>
          <w:rFonts w:ascii="Arial" w:cs="Arial" w:eastAsia="Arial" w:hAnsi="Arial"/>
          <w:sz w:val="10"/>
          <w:szCs w:val="10"/>
          <w:color w:val="auto"/>
        </w:rPr>
        <w:t>Tilman J. Fertitta, Fertitta Entertainment, Inc., Hospitality Headquarters, Inc. and Fertitta Entertainment, LLC (collectively, “Fertitta”) reported beneficial ownership of these shares as of March 21, 2025. The shares of common stock reported as beneficially owned in the table includes (i) 161,925 shares that are beneficially owned by Mr. Fertitta; (ii) 10,000 shares that are beneficially owned by Fertitta Entertainment, Inc.; (iii) 8,546,824 shares that are beneficially owned by Hospitality Headquarters, Inc.; and (iv) 3,881,251 shares that are beneficially owned by Fertitta Entertainment, LLC.</w:t>
      </w:r>
    </w:p>
    <w:p>
      <w:pPr>
        <w:spacing w:after="0" w:line="1" w:lineRule="exact"/>
        <w:rPr>
          <w:rFonts w:ascii="Arial" w:cs="Arial" w:eastAsia="Arial" w:hAnsi="Arial"/>
          <w:sz w:val="10"/>
          <w:szCs w:val="10"/>
          <w:color w:val="auto"/>
        </w:rPr>
      </w:pPr>
    </w:p>
    <w:p>
      <w:pPr>
        <w:ind w:left="1260" w:right="199"/>
        <w:spacing w:after="0" w:line="231" w:lineRule="auto"/>
        <w:rPr>
          <w:rFonts w:ascii="Arial" w:cs="Arial" w:eastAsia="Arial" w:hAnsi="Arial"/>
          <w:sz w:val="10"/>
          <w:szCs w:val="10"/>
          <w:color w:val="auto"/>
        </w:rPr>
      </w:pPr>
      <w:r>
        <w:rPr>
          <w:rFonts w:ascii="Arial" w:cs="Arial" w:eastAsia="Arial" w:hAnsi="Arial"/>
          <w:sz w:val="10"/>
          <w:szCs w:val="10"/>
          <w:color w:val="auto"/>
        </w:rPr>
        <w:t>Mr. Fertitta is the sole shareholder of Fertitta Entertainment, Inc., which is the sole shareholder of Hospitality Headquarters, Inc. and the sole indirect owner of Fertitta Entertainment, LLC. As such, Mr. Fertitta may be deemed to share beneficial ownership of the securities beneficially owned by Fertitta Entertainment, Inc., Hospitality Headquarters, Inc. and Fertitta Entertainment, LLC. The information provided is based upon a Schedule 13G/A filed on March 25, 2025 by Fertitta. The shares of common stock beneficially owned by Fertitta may have changed since the filing of Schedule 13G/A.</w:t>
      </w:r>
    </w:p>
    <w:p>
      <w:pPr>
        <w:spacing w:after="0" w:line="62" w:lineRule="exact"/>
        <w:rPr>
          <w:rFonts w:ascii="Arial" w:cs="Arial" w:eastAsia="Arial" w:hAnsi="Arial"/>
          <w:sz w:val="10"/>
          <w:szCs w:val="10"/>
          <w:color w:val="auto"/>
        </w:rPr>
      </w:pPr>
    </w:p>
    <w:p>
      <w:pPr>
        <w:ind w:left="1260" w:right="399" w:firstLine="7"/>
        <w:spacing w:after="0" w:line="260" w:lineRule="auto"/>
        <w:tabs>
          <w:tab w:leader="none" w:pos="1410" w:val="left"/>
        </w:tabs>
        <w:numPr>
          <w:ilvl w:val="0"/>
          <w:numId w:val="51"/>
        </w:numPr>
        <w:rPr>
          <w:rFonts w:ascii="Arial" w:cs="Arial" w:eastAsia="Arial" w:hAnsi="Arial"/>
          <w:sz w:val="10"/>
          <w:szCs w:val="10"/>
          <w:color w:val="auto"/>
        </w:rPr>
      </w:pPr>
      <w:r>
        <w:rPr>
          <w:rFonts w:ascii="Arial" w:cs="Arial" w:eastAsia="Arial" w:hAnsi="Arial"/>
          <w:sz w:val="10"/>
          <w:szCs w:val="10"/>
          <w:color w:val="auto"/>
        </w:rPr>
        <w:t>Includes written call options on 9,003,000 shares of common stock with strike prices ranging from $120.00 to $200.00 and expiry dates ranging from May 15, 2026 to September 25, 2026. If exercised, Fertitta’s beneficial ownership would decrease by 9,003,000 shares, representing 8.65% of the Company’s common stock.</w:t>
      </w:r>
    </w:p>
    <w:p>
      <w:pPr>
        <w:spacing w:after="0" w:line="51" w:lineRule="exact"/>
        <w:rPr>
          <w:rFonts w:ascii="Arial" w:cs="Arial" w:eastAsia="Arial" w:hAnsi="Arial"/>
          <w:sz w:val="10"/>
          <w:szCs w:val="10"/>
          <w:color w:val="auto"/>
        </w:rPr>
      </w:pPr>
    </w:p>
    <w:p>
      <w:pPr>
        <w:ind w:left="1260" w:right="159" w:firstLine="7"/>
        <w:spacing w:after="0" w:line="242" w:lineRule="auto"/>
        <w:tabs>
          <w:tab w:leader="none" w:pos="1410" w:val="left"/>
        </w:tabs>
        <w:numPr>
          <w:ilvl w:val="0"/>
          <w:numId w:val="51"/>
        </w:numPr>
        <w:rPr>
          <w:rFonts w:ascii="Arial" w:cs="Arial" w:eastAsia="Arial" w:hAnsi="Arial"/>
          <w:sz w:val="10"/>
          <w:szCs w:val="10"/>
          <w:color w:val="auto"/>
        </w:rPr>
      </w:pPr>
      <w:r>
        <w:rPr>
          <w:rFonts w:ascii="Arial" w:cs="Arial" w:eastAsia="Arial" w:hAnsi="Arial"/>
          <w:sz w:val="10"/>
          <w:szCs w:val="10"/>
          <w:color w:val="auto"/>
        </w:rPr>
        <w:t>The Vanguard Group (“Vanguard”) reported beneficial ownership of these shares as of December 31, 2023. Vanguard has sole dispositive power as to 10,458,738 shares, shared voting power as to 121,033 shares and shared dispositive power as to 403,286 shares. The information provided is based upon a Schedule 13G/A filed on February 13, 2024 by Vanguard. The shares of common stock beneficially owned by Vanguard may have changed since the filing of the Schedule 13G/A.</w:t>
      </w:r>
    </w:p>
    <w:p>
      <w:pPr>
        <w:spacing w:after="0" w:line="59" w:lineRule="exact"/>
        <w:rPr>
          <w:rFonts w:ascii="Arial" w:cs="Arial" w:eastAsia="Arial" w:hAnsi="Arial"/>
          <w:sz w:val="10"/>
          <w:szCs w:val="10"/>
          <w:color w:val="auto"/>
        </w:rPr>
      </w:pPr>
    </w:p>
    <w:p>
      <w:pPr>
        <w:ind w:left="1260" w:right="199" w:firstLine="7"/>
        <w:spacing w:after="0" w:line="242" w:lineRule="auto"/>
        <w:tabs>
          <w:tab w:leader="none" w:pos="1410" w:val="left"/>
        </w:tabs>
        <w:numPr>
          <w:ilvl w:val="0"/>
          <w:numId w:val="51"/>
        </w:numPr>
        <w:rPr>
          <w:rFonts w:ascii="Arial" w:cs="Arial" w:eastAsia="Arial" w:hAnsi="Arial"/>
          <w:sz w:val="10"/>
          <w:szCs w:val="10"/>
          <w:color w:val="auto"/>
        </w:rPr>
      </w:pPr>
      <w:r>
        <w:rPr>
          <w:rFonts w:ascii="Arial" w:cs="Arial" w:eastAsia="Arial" w:hAnsi="Arial"/>
          <w:sz w:val="10"/>
          <w:szCs w:val="10"/>
          <w:color w:val="auto"/>
        </w:rPr>
        <w:t>Capital World Investors (“CWI”) reported beneficial ownership of these shares as of June 30, 2025. CWI has sole dispositive power as to 9,584,511 shares and sole voting power as to 9,548,104 shares. The information provided is based upon a Schedule 13G/A filed on August 13, 2025 by CWI. The shares of common stock beneficially owned by CWI may have changed since the filing of the Schedule 13G/A.</w:t>
      </w:r>
    </w:p>
    <w:p>
      <w:pPr>
        <w:spacing w:after="0" w:line="59" w:lineRule="exact"/>
        <w:rPr>
          <w:rFonts w:ascii="Arial" w:cs="Arial" w:eastAsia="Arial" w:hAnsi="Arial"/>
          <w:sz w:val="10"/>
          <w:szCs w:val="10"/>
          <w:color w:val="auto"/>
        </w:rPr>
      </w:pPr>
    </w:p>
    <w:p>
      <w:pPr>
        <w:ind w:left="1260" w:right="139" w:firstLine="7"/>
        <w:spacing w:after="0" w:line="234" w:lineRule="auto"/>
        <w:tabs>
          <w:tab w:leader="none" w:pos="1410" w:val="left"/>
        </w:tabs>
        <w:numPr>
          <w:ilvl w:val="0"/>
          <w:numId w:val="51"/>
        </w:numPr>
        <w:rPr>
          <w:rFonts w:ascii="Arial" w:cs="Arial" w:eastAsia="Arial" w:hAnsi="Arial"/>
          <w:sz w:val="10"/>
          <w:szCs w:val="10"/>
          <w:color w:val="auto"/>
        </w:rPr>
      </w:pPr>
      <w:r>
        <w:rPr>
          <w:rFonts w:ascii="Arial" w:cs="Arial" w:eastAsia="Arial" w:hAnsi="Arial"/>
          <w:sz w:val="10"/>
          <w:szCs w:val="10"/>
          <w:color w:val="auto"/>
        </w:rPr>
        <w:t>The information provided is based upon a Schedule 13G, dated May 16, 2025, filed by Kevyn Wynn, Gillian Wynn and Elaine P. Wynn Family Trust - 2016 dtd 5/24/2016, collectively “Elaine Wynn Family Trust.” The shares of common stock reported as beneficially owned in the table includes 9,439,351 shares that are beneficially owned by Elaine P. Wynn Family Trust - 2016 dtd 5/24/2016 and 99,726 shares that are beneficially owned by EPW 2020 Five Year Trust dtd 3/31/2020, for each of which Kevyn Wynn and Gillian Wynn serve as the trustee. The information provided is based upon a Schedule 13G filed on September 2, 2025 by Elaine Wynn Family Trust. The shares of common stock beneficially owned by Elaine Wynn Family Trust may have changed since the filing of the Schedule 13G.</w:t>
      </w:r>
    </w:p>
    <w:p>
      <w:pPr>
        <w:spacing w:after="0" w:line="61" w:lineRule="exact"/>
        <w:rPr>
          <w:rFonts w:ascii="Arial" w:cs="Arial" w:eastAsia="Arial" w:hAnsi="Arial"/>
          <w:sz w:val="10"/>
          <w:szCs w:val="10"/>
          <w:color w:val="auto"/>
        </w:rPr>
      </w:pPr>
    </w:p>
    <w:p>
      <w:pPr>
        <w:ind w:left="1260" w:right="139" w:firstLine="7"/>
        <w:spacing w:after="0" w:line="232" w:lineRule="auto"/>
        <w:tabs>
          <w:tab w:leader="none" w:pos="1410" w:val="left"/>
        </w:tabs>
        <w:numPr>
          <w:ilvl w:val="0"/>
          <w:numId w:val="51"/>
        </w:numPr>
        <w:rPr>
          <w:rFonts w:ascii="Arial" w:cs="Arial" w:eastAsia="Arial" w:hAnsi="Arial"/>
          <w:sz w:val="10"/>
          <w:szCs w:val="10"/>
          <w:color w:val="auto"/>
        </w:rPr>
      </w:pPr>
      <w:r>
        <w:rPr>
          <w:rFonts w:ascii="Arial" w:cs="Arial" w:eastAsia="Arial" w:hAnsi="Arial"/>
          <w:sz w:val="10"/>
          <w:szCs w:val="10"/>
          <w:color w:val="auto"/>
        </w:rPr>
        <w:t>Blossom Fountain Limited (“Blossom”), Herobright Limited (“Herobright”), Galaxy Entertainment Group (“Galaxy”) (collectively, “Galaxy Group”) reported beneficial ownership of these shares as of September 30, 2025. Galaxy Group has shared dispositive and voting power as to 5,200,000 shares. Blossom is a wholly-owned subsidiary of Herobright, which itself is wholly owned by Galaxy. As such, each of Herobright and Galaxy may be deemed to have shared voting and dispositive power over, and thus to indirectly beneficially own, the 5,200,000 shares directly owned by Blossom. Galaxy is a publicly traded company listed on The Stock Exchange of Hong Kong Limited. Voting and dispositive power over the shares held by Blossom is exercised indirectly by a majority vote of the board of directors of Galaxy consisting of nine members, none of whom is individually deemed a beneficial owner of the shares. The information provided is based upon a Schedule 13G filed on October 24, 2025 by Galaxy Group. The shares of common stock beneficially owned by Blossom may have changed since the filing of the Schedule 13G.</w:t>
      </w:r>
    </w:p>
    <w:p>
      <w:pPr>
        <w:spacing w:after="0" w:line="9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0159"/>
          </w:cols>
          <w:pgMar w:left="300" w:top="412"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20" w:hanging="153"/>
        <w:spacing w:after="0"/>
        <w:tabs>
          <w:tab w:leader="none" w:pos="142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(i) 34,195 shares held indirectly through a family trust and (ii) 10,827 shares subject to options to purchase the Company’s common stock that become exercisable on April 30, 2026.</w:t>
      </w:r>
    </w:p>
    <w:p>
      <w:pPr>
        <w:spacing w:after="0" w:line="78" w:lineRule="exact"/>
        <w:rPr>
          <w:rFonts w:ascii="Arial" w:cs="Arial" w:eastAsia="Arial" w:hAnsi="Arial"/>
          <w:sz w:val="10"/>
          <w:szCs w:val="10"/>
          <w:color w:val="auto"/>
        </w:rPr>
      </w:pPr>
    </w:p>
    <w:p>
      <w:pPr>
        <w:ind w:left="1260" w:right="419" w:firstLine="7"/>
        <w:spacing w:after="0" w:line="260" w:lineRule="auto"/>
        <w:tabs>
          <w:tab w:leader="none" w:pos="1466"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(i) 1,533 shares of unvested restricted stock subject to vesting in accordance with restricted stock agreements, and (ii) 5,414 shares subject to options to purchase the Company’s common stock that become exercisable on April 30, 2026.</w:t>
      </w:r>
    </w:p>
    <w:p>
      <w:pPr>
        <w:spacing w:after="0" w:line="51" w:lineRule="exact"/>
        <w:rPr>
          <w:rFonts w:ascii="Arial" w:cs="Arial" w:eastAsia="Arial" w:hAnsi="Arial"/>
          <w:sz w:val="10"/>
          <w:szCs w:val="10"/>
          <w:color w:val="auto"/>
        </w:rPr>
      </w:pPr>
    </w:p>
    <w:p>
      <w:pPr>
        <w:ind w:left="1460" w:hanging="193"/>
        <w:spacing w:after="0"/>
        <w:tabs>
          <w:tab w:leader="none" w:pos="146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3,066 shares of unvested restricted stock subject to vesting in accordance with restricted stock agreements.</w:t>
      </w:r>
    </w:p>
    <w:p>
      <w:pPr>
        <w:spacing w:after="0" w:line="78" w:lineRule="exact"/>
        <w:rPr>
          <w:rFonts w:ascii="Arial" w:cs="Arial" w:eastAsia="Arial" w:hAnsi="Arial"/>
          <w:sz w:val="10"/>
          <w:szCs w:val="10"/>
          <w:color w:val="auto"/>
        </w:rPr>
      </w:pPr>
    </w:p>
    <w:p>
      <w:pPr>
        <w:ind w:left="1480" w:hanging="213"/>
        <w:spacing w:after="0"/>
        <w:tabs>
          <w:tab w:leader="none" w:pos="148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(i) 3,066 shares of unvested restricted stock subject to vesting in accordance with restricted stock agreements, and (ii) 1,600 shares held indirectly through a family trust.</w:t>
      </w:r>
    </w:p>
    <w:p>
      <w:pPr>
        <w:spacing w:after="0" w:line="78" w:lineRule="exact"/>
        <w:rPr>
          <w:rFonts w:ascii="Arial" w:cs="Arial" w:eastAsia="Arial" w:hAnsi="Arial"/>
          <w:sz w:val="10"/>
          <w:szCs w:val="10"/>
          <w:color w:val="auto"/>
        </w:rPr>
      </w:pPr>
    </w:p>
    <w:p>
      <w:pPr>
        <w:ind w:left="1480" w:hanging="213"/>
        <w:spacing w:after="0"/>
        <w:tabs>
          <w:tab w:leader="none" w:pos="148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3,066 shares of unvested restricted stock subject to vesting in accordance with restricted stock agreements.</w:t>
      </w:r>
    </w:p>
    <w:p>
      <w:pPr>
        <w:spacing w:after="0" w:line="78" w:lineRule="exact"/>
        <w:rPr>
          <w:rFonts w:ascii="Arial" w:cs="Arial" w:eastAsia="Arial" w:hAnsi="Arial"/>
          <w:sz w:val="10"/>
          <w:szCs w:val="10"/>
          <w:color w:val="auto"/>
        </w:rPr>
      </w:pPr>
    </w:p>
    <w:p>
      <w:pPr>
        <w:ind w:left="1480" w:hanging="213"/>
        <w:spacing w:after="0"/>
        <w:tabs>
          <w:tab w:leader="none" w:pos="148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(i) 3,066 shares of unvested restricted stock subject to vesting in accordance with restricted stock agreements, and (ii) 8,385 shares held indirectly through a family trust.</w:t>
      </w:r>
    </w:p>
    <w:p>
      <w:pPr>
        <w:spacing w:after="0" w:line="78" w:lineRule="exact"/>
        <w:rPr>
          <w:rFonts w:ascii="Arial" w:cs="Arial" w:eastAsia="Arial" w:hAnsi="Arial"/>
          <w:sz w:val="10"/>
          <w:szCs w:val="10"/>
          <w:color w:val="auto"/>
        </w:rPr>
      </w:pPr>
    </w:p>
    <w:p>
      <w:pPr>
        <w:ind w:left="1480" w:hanging="213"/>
        <w:spacing w:after="0"/>
        <w:tabs>
          <w:tab w:leader="none" w:pos="148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3,066 shares of unvested restricted stock subject to vesting in accordance with restricted stock agreements.</w:t>
      </w:r>
    </w:p>
    <w:p>
      <w:pPr>
        <w:spacing w:after="0" w:line="78" w:lineRule="exact"/>
        <w:rPr>
          <w:rFonts w:ascii="Arial" w:cs="Arial" w:eastAsia="Arial" w:hAnsi="Arial"/>
          <w:sz w:val="10"/>
          <w:szCs w:val="10"/>
          <w:color w:val="auto"/>
        </w:rPr>
      </w:pPr>
    </w:p>
    <w:p>
      <w:pPr>
        <w:ind w:left="1480" w:hanging="213"/>
        <w:spacing w:after="0"/>
        <w:tabs>
          <w:tab w:leader="none" w:pos="148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3,066 shares of unvested restricted stock subject to vesting in accordance with restricted stock agreements.</w:t>
      </w:r>
    </w:p>
    <w:p>
      <w:pPr>
        <w:spacing w:after="0" w:line="78" w:lineRule="exact"/>
        <w:rPr>
          <w:rFonts w:ascii="Arial" w:cs="Arial" w:eastAsia="Arial" w:hAnsi="Arial"/>
          <w:sz w:val="10"/>
          <w:szCs w:val="10"/>
          <w:color w:val="auto"/>
        </w:rPr>
      </w:pPr>
    </w:p>
    <w:p>
      <w:pPr>
        <w:ind w:left="1480" w:hanging="213"/>
        <w:spacing w:after="0"/>
        <w:tabs>
          <w:tab w:leader="none" w:pos="148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(i) 127,622 shares of unvested restricted stock subject to vesting in accordance with restricted stock agreements, and (ii) 156,189 shares held indirectly through a family trust.</w:t>
      </w:r>
    </w:p>
    <w:p>
      <w:pPr>
        <w:spacing w:after="0" w:line="78" w:lineRule="exact"/>
        <w:rPr>
          <w:rFonts w:ascii="Arial" w:cs="Arial" w:eastAsia="Arial" w:hAnsi="Arial"/>
          <w:sz w:val="10"/>
          <w:szCs w:val="10"/>
          <w:color w:val="auto"/>
        </w:rPr>
      </w:pPr>
    </w:p>
    <w:p>
      <w:pPr>
        <w:ind w:left="1480" w:hanging="213"/>
        <w:spacing w:after="0"/>
        <w:tabs>
          <w:tab w:leader="none" w:pos="148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(i) 25,877 shares of unvested restricted stock subject to vesting in accordance with restricted stock agreements, and (ii) 57,078 shares held indirectly through family trust.</w:t>
      </w:r>
    </w:p>
    <w:p>
      <w:pPr>
        <w:spacing w:after="0" w:line="78" w:lineRule="exact"/>
        <w:rPr>
          <w:rFonts w:ascii="Arial" w:cs="Arial" w:eastAsia="Arial" w:hAnsi="Arial"/>
          <w:sz w:val="10"/>
          <w:szCs w:val="10"/>
          <w:color w:val="auto"/>
        </w:rPr>
      </w:pPr>
    </w:p>
    <w:p>
      <w:pPr>
        <w:ind w:left="1480" w:hanging="213"/>
        <w:spacing w:after="0"/>
        <w:tabs>
          <w:tab w:leader="none" w:pos="1480" w:val="left"/>
        </w:tabs>
        <w:numPr>
          <w:ilvl w:val="0"/>
          <w:numId w:val="52"/>
        </w:numPr>
        <w:rPr>
          <w:rFonts w:ascii="Arial" w:cs="Arial" w:eastAsia="Arial" w:hAnsi="Arial"/>
          <w:sz w:val="10"/>
          <w:szCs w:val="10"/>
          <w:color w:val="auto"/>
        </w:rPr>
      </w:pPr>
      <w:r>
        <w:rPr>
          <w:rFonts w:ascii="Arial" w:cs="Arial" w:eastAsia="Arial" w:hAnsi="Arial"/>
          <w:sz w:val="10"/>
          <w:szCs w:val="10"/>
          <w:color w:val="auto"/>
        </w:rPr>
        <w:t>Includes 25,648 shares of unvested restricted stock subject to vesting in accordance with restricted stock agreements.</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DELINQUENT SECTION 16(A) REPORTS</w:t>
      </w:r>
    </w:p>
    <w:p>
      <w:pPr>
        <w:spacing w:after="0" w:line="284" w:lineRule="exact"/>
        <w:rPr>
          <w:sz w:val="20"/>
          <w:szCs w:val="20"/>
          <w:color w:val="auto"/>
        </w:rPr>
      </w:pPr>
    </w:p>
    <w:p>
      <w:pPr>
        <w:ind w:left="1260" w:right="139"/>
        <w:spacing w:after="0" w:line="248" w:lineRule="auto"/>
        <w:rPr>
          <w:sz w:val="20"/>
          <w:szCs w:val="20"/>
          <w:color w:val="auto"/>
        </w:rPr>
      </w:pPr>
      <w:r>
        <w:rPr>
          <w:rFonts w:ascii="Arial" w:cs="Arial" w:eastAsia="Arial" w:hAnsi="Arial"/>
          <w:sz w:val="13"/>
          <w:szCs w:val="13"/>
          <w:color w:val="auto"/>
        </w:rPr>
        <w:t>Section 16(a) of the Exchange Act requires the Company’s executive officers and directors and any persons who own more than 10% of the Company’s Common Stock to file reports of ownership on Forms 3, 4 and 5 with the SEC. Executive officers, directors and any greater than 10% beneficial owners are also required to furnish the Company with copies of all Forms 3, 4 and 5 they file. Based solely on the Company’s review of reports filed with the SEC, or written representations from reporting persons that all reportable transactions were reported, the Company believes that all its executive officers and directors timely filed all reports they were required to file under Section 16(a) of the Exchange Act.</w:t>
      </w:r>
    </w:p>
    <w:p>
      <w:pPr>
        <w:spacing w:after="0" w:line="97"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0159"/>
          </w:cols>
          <w:pgMar w:left="300" w:top="412"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722620" cy="73577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22620" cy="735774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64" w:lineRule="exact"/>
        <w:rPr>
          <w:sz w:val="20"/>
          <w:szCs w:val="20"/>
          <w:color w:val="auto"/>
        </w:rPr>
      </w:pPr>
    </w:p>
    <w:p>
      <w:pPr>
        <w:ind w:left="7540"/>
        <w:spacing w:after="0"/>
        <w:rPr>
          <w:sz w:val="20"/>
          <w:szCs w:val="20"/>
          <w:color w:val="auto"/>
        </w:rPr>
      </w:pP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0</w:t>
      </w:r>
      <w:r>
        <w:rPr>
          <w:rFonts w:ascii="Arial" w:cs="Arial" w:eastAsia="Arial" w:hAnsi="Arial"/>
          <w:sz w:val="7"/>
          <w:szCs w:val="7"/>
          <w:color w:val="B9AFA0"/>
        </w:rPr>
        <w:t xml:space="preserve"> </w:t>
      </w:r>
      <w:r>
        <w:rPr>
          <w:rFonts w:ascii="Arial" w:cs="Arial" w:eastAsia="Arial" w:hAnsi="Arial"/>
          <w:sz w:val="13"/>
          <w:szCs w:val="13"/>
          <w:color w:val="B9AFA0"/>
        </w:rPr>
        <w:t>2</w:t>
      </w:r>
      <w:r>
        <w:rPr>
          <w:rFonts w:ascii="Arial" w:cs="Arial" w:eastAsia="Arial" w:hAnsi="Arial"/>
          <w:sz w:val="7"/>
          <w:szCs w:val="7"/>
          <w:color w:val="B9AFA0"/>
        </w:rPr>
        <w:t xml:space="preserve"> </w:t>
      </w:r>
      <w:r>
        <w:rPr>
          <w:rFonts w:ascii="Arial" w:cs="Arial" w:eastAsia="Arial" w:hAnsi="Arial"/>
          <w:sz w:val="13"/>
          <w:szCs w:val="13"/>
          <w:color w:val="B9AFA0"/>
        </w:rPr>
        <w:t>6 PROXY STATEMENT</w:t>
      </w:r>
    </w:p>
    <w:p>
      <w:pPr>
        <w:spacing w:after="0" w:line="3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Proposal 1:</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ELECTION OF DIRECTORS</w:t>
      </w:r>
    </w:p>
    <w:p>
      <w:pPr>
        <w:spacing w:after="0" w:line="25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At the recommendation of the Nominating and Corporate Governance Committee, the Board has nominated the following individuals for election as</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Class III directors:</w:t>
      </w:r>
    </w:p>
    <w:p>
      <w:pPr>
        <w:spacing w:after="0" w:line="85" w:lineRule="exact"/>
        <w:rPr>
          <w:sz w:val="20"/>
          <w:szCs w:val="20"/>
          <w:color w:val="auto"/>
        </w:rPr>
      </w:pPr>
    </w:p>
    <w:p>
      <w:pPr>
        <w:ind w:left="1440" w:hanging="173"/>
        <w:spacing w:after="0"/>
        <w:tabs>
          <w:tab w:leader="none" w:pos="1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Richard J. Byrne</w:t>
      </w:r>
    </w:p>
    <w:p>
      <w:pPr>
        <w:spacing w:after="0" w:line="12" w:lineRule="exact"/>
        <w:rPr>
          <w:rFonts w:ascii="Arial" w:cs="Arial" w:eastAsia="Arial" w:hAnsi="Arial"/>
          <w:sz w:val="13"/>
          <w:szCs w:val="13"/>
          <w:color w:val="auto"/>
        </w:rPr>
      </w:pPr>
    </w:p>
    <w:p>
      <w:pPr>
        <w:ind w:left="1440" w:hanging="173"/>
        <w:spacing w:after="0"/>
        <w:tabs>
          <w:tab w:leader="none" w:pos="1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Patricia Mulroy</w:t>
      </w:r>
    </w:p>
    <w:p>
      <w:pPr>
        <w:ind w:left="1440" w:hanging="173"/>
        <w:spacing w:after="0"/>
        <w:tabs>
          <w:tab w:leader="none" w:pos="1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Philip G. Satre</w:t>
      </w:r>
    </w:p>
    <w:p>
      <w:pPr>
        <w:spacing w:after="0" w:line="160" w:lineRule="exact"/>
        <w:rPr>
          <w:sz w:val="20"/>
          <w:szCs w:val="20"/>
          <w:color w:val="auto"/>
        </w:rPr>
      </w:pPr>
    </w:p>
    <w:p>
      <w:pPr>
        <w:ind w:left="1260" w:right="159"/>
        <w:spacing w:after="0" w:line="245" w:lineRule="auto"/>
        <w:rPr>
          <w:sz w:val="20"/>
          <w:szCs w:val="20"/>
          <w:color w:val="auto"/>
        </w:rPr>
      </w:pPr>
      <w:r>
        <w:rPr>
          <w:rFonts w:ascii="Arial" w:cs="Arial" w:eastAsia="Arial" w:hAnsi="Arial"/>
          <w:sz w:val="13"/>
          <w:szCs w:val="13"/>
          <w:color w:val="auto"/>
        </w:rPr>
        <w:t>If elected at the 2026 Annual Meeting, each nominee will serve a three-year term expiring at the 2029 Annual Meeting and until his or her successor has been duly elected and qualified, or until his or her earlier death, resignation, removal or retirement. Each director nominee has consented to being named in this Proxy Statement. In the event any nominee for director is unable to serve, or chooses not to serve, the persons designated as proxies will have discretion to cast votes for a substitute nominated by the Board. Alternatively, the Board may let the vacancy stay unfilled until an appropriate candidate is identified, or the Board may choose to reduce the size of the Board. At present, it is not anticipated that any nominee will be unable to serve. If any director nominee is not elected at the Annual Meeting, a majority of the remaining directors may fill the resulting vacancy, or the Board may choose to reduce the size of the Board. Biographical and other information for our director nominees and our continuing directors is provided in the “Director Biographies” section.</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1"/>
          <w:szCs w:val="11"/>
          <w:color w:val="auto"/>
        </w:rPr>
        <w:t>OUR BOARD OF DIRECTORS RECOMMENDS THAT YOU VOTE FOR THE ELECTION OF EACH OF THE NOMINEES LISTED ABOVE.</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Proposal 2:</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RATIFICATION OF APPOINTMENT OF INDEPENDENT AUDITORS</w:t>
      </w:r>
    </w:p>
    <w:p>
      <w:pPr>
        <w:spacing w:after="0" w:line="253" w:lineRule="exact"/>
        <w:rPr>
          <w:sz w:val="20"/>
          <w:szCs w:val="20"/>
          <w:color w:val="auto"/>
        </w:rPr>
      </w:pPr>
    </w:p>
    <w:p>
      <w:pPr>
        <w:jc w:val="both"/>
        <w:ind w:left="1260" w:right="359"/>
        <w:spacing w:after="0" w:line="287" w:lineRule="auto"/>
        <w:rPr>
          <w:sz w:val="20"/>
          <w:szCs w:val="20"/>
          <w:color w:val="auto"/>
        </w:rPr>
      </w:pPr>
      <w:r>
        <w:rPr>
          <w:rFonts w:ascii="Arial" w:cs="Arial" w:eastAsia="Arial" w:hAnsi="Arial"/>
          <w:sz w:val="12"/>
          <w:szCs w:val="12"/>
          <w:color w:val="auto"/>
        </w:rPr>
        <w:t>The Audit Committee of the Board has appointed Ernst &amp; Young LLP, a registered public accounting firm, as our independent auditors to examine and report to our shareholders on the consolidated financial statements of our Company and its subsidiaries for the fiscal year ending December 31, 2026. Representatives of Ernst &amp; Young LLP are expected to be present at the virtual Annual Meeting and will be given an opportunity to make a statement.</w:t>
      </w:r>
    </w:p>
    <w:p>
      <w:pPr>
        <w:spacing w:after="0" w:line="127" w:lineRule="exact"/>
        <w:rPr>
          <w:sz w:val="20"/>
          <w:szCs w:val="20"/>
          <w:color w:val="auto"/>
        </w:rPr>
      </w:pPr>
    </w:p>
    <w:p>
      <w:pPr>
        <w:ind w:left="1260" w:right="139"/>
        <w:spacing w:after="0" w:line="246" w:lineRule="auto"/>
        <w:rPr>
          <w:sz w:val="20"/>
          <w:szCs w:val="20"/>
          <w:color w:val="auto"/>
        </w:rPr>
      </w:pPr>
      <w:r>
        <w:rPr>
          <w:rFonts w:ascii="Arial" w:cs="Arial" w:eastAsia="Arial" w:hAnsi="Arial"/>
          <w:sz w:val="13"/>
          <w:szCs w:val="13"/>
          <w:color w:val="auto"/>
        </w:rPr>
        <w:t>As a matter of good corporate governance, the Audit Committee has determined to seek shareholder ratification of its appointment of Ernst &amp; Young LLP as the Company’s independent auditors, even though this is not required under Nevada law, the Company’s Articles of Incorporation or Bylaws, SEC rules or applicable listing standards. If the shareholders do not ratify the appointment of Ernst &amp; Young LLP as the Company’s independent auditors for the fiscal year 2026, the Audit Committee will evaluate what would be in the best interests of the Company and its shareholders and consider whether to appoint new independent auditors. Even if the shareholders ratify the selection of Ernst &amp; Young LLP, the Audit Committee, in its discretion, may direct the appointment of a different registered public accounting firm as our independent auditors at any time during the year if the Audit Committee determines that such a change would be in the best interests of the Company and its shareholders.</w:t>
      </w:r>
    </w:p>
    <w:p>
      <w:pPr>
        <w:spacing w:after="0" w:line="97"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0159"/>
          </w:cols>
          <w:pgMar w:left="300" w:top="412"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60" w:right="299"/>
        <w:spacing w:after="0" w:line="287" w:lineRule="auto"/>
        <w:rPr>
          <w:sz w:val="20"/>
          <w:szCs w:val="20"/>
          <w:color w:val="auto"/>
        </w:rPr>
      </w:pPr>
      <w:r>
        <w:rPr>
          <w:rFonts w:ascii="Arial" w:cs="Arial" w:eastAsia="Arial" w:hAnsi="Arial"/>
          <w:sz w:val="11"/>
          <w:szCs w:val="11"/>
          <w:color w:val="auto"/>
        </w:rPr>
        <w:t>OUR BOARD OF DIRECTORS RECOMMENDS THAT YOU VOTE FOR THE RATIFICATION OF THE APPOINTMENT OF ERNST &amp; YOUNG LLP AS THE COMPANY’S INDEPENDENT REGISTERED PUBLIC ACCOUNTING FIRM FOR THE FISCAL YEAR 2026.</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AUDIT AND OTHER FEES</w:t>
      </w:r>
    </w:p>
    <w:p>
      <w:pPr>
        <w:spacing w:after="0" w:line="284" w:lineRule="exact"/>
        <w:rPr>
          <w:sz w:val="20"/>
          <w:szCs w:val="20"/>
          <w:color w:val="auto"/>
        </w:rPr>
      </w:pPr>
    </w:p>
    <w:p>
      <w:pPr>
        <w:ind w:left="1260" w:right="299"/>
        <w:spacing w:after="0" w:line="314" w:lineRule="auto"/>
        <w:rPr>
          <w:sz w:val="20"/>
          <w:szCs w:val="20"/>
          <w:color w:val="auto"/>
        </w:rPr>
      </w:pPr>
      <w:r>
        <w:rPr>
          <w:rFonts w:ascii="Arial" w:cs="Arial" w:eastAsia="Arial" w:hAnsi="Arial"/>
          <w:sz w:val="12"/>
          <w:szCs w:val="12"/>
          <w:color w:val="auto"/>
        </w:rPr>
        <w:t>The following table presents the aggregate fees billed (or expected to be billed) to the Company for audit and other services provided by Ernst &amp; Young LLP, the Company’s independent registered public accounting firm, for each of the fiscal years ended December 31,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5318125</wp:posOffset>
            </wp:positionH>
            <wp:positionV relativeFrom="paragraph">
              <wp:posOffset>90805</wp:posOffset>
            </wp:positionV>
            <wp:extent cx="1049020" cy="9537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49020" cy="953770"/>
                    </a:xfrm>
                    <a:prstGeom prst="rect">
                      <a:avLst/>
                    </a:prstGeom>
                    <a:noFill/>
                  </pic:spPr>
                </pic:pic>
              </a:graphicData>
            </a:graphic>
          </wp:anchor>
        </w:drawing>
      </w:r>
    </w:p>
    <w:p>
      <w:pPr>
        <w:spacing w:after="0" w:line="123"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7100" w:type="dxa"/>
            <w:vAlign w:val="bottom"/>
            <w:shd w:val="clear" w:color="auto" w:fill="B9AFA0"/>
          </w:tcPr>
          <w:p>
            <w:pPr>
              <w:spacing w:after="0"/>
              <w:rPr>
                <w:sz w:val="18"/>
                <w:szCs w:val="18"/>
                <w:color w:val="auto"/>
              </w:rPr>
            </w:pPr>
          </w:p>
        </w:tc>
        <w:tc>
          <w:tcPr>
            <w:tcW w:w="160" w:type="dxa"/>
            <w:vAlign w:val="bottom"/>
            <w:shd w:val="clear" w:color="auto" w:fill="B9AFA0"/>
          </w:tcPr>
          <w:p>
            <w:pPr>
              <w:spacing w:after="0"/>
              <w:rPr>
                <w:sz w:val="18"/>
                <w:szCs w:val="18"/>
                <w:color w:val="auto"/>
              </w:rPr>
            </w:pPr>
          </w:p>
        </w:tc>
        <w:tc>
          <w:tcPr>
            <w:tcW w:w="1480" w:type="dxa"/>
            <w:vAlign w:val="bottom"/>
            <w:gridSpan w:val="3"/>
            <w:shd w:val="clear" w:color="auto" w:fill="B9AFA0"/>
          </w:tcPr>
          <w:p>
            <w:pPr>
              <w:jc w:val="right"/>
              <w:ind w:right="176"/>
              <w:spacing w:after="0"/>
              <w:rPr>
                <w:sz w:val="20"/>
                <w:szCs w:val="20"/>
                <w:color w:val="auto"/>
              </w:rPr>
            </w:pPr>
            <w:r>
              <w:rPr>
                <w:rFonts w:ascii="Arial" w:cs="Arial" w:eastAsia="Arial" w:hAnsi="Arial"/>
                <w:sz w:val="13"/>
                <w:szCs w:val="13"/>
                <w:color w:val="FFFFFF"/>
              </w:rPr>
              <w:t>AGGREGATE FEES</w:t>
            </w:r>
          </w:p>
        </w:tc>
      </w:tr>
      <w:tr>
        <w:trPr>
          <w:trHeight w:val="283"/>
        </w:trPr>
        <w:tc>
          <w:tcPr>
            <w:tcW w:w="710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CATEGORY</w:t>
            </w:r>
          </w:p>
        </w:tc>
        <w:tc>
          <w:tcPr>
            <w:tcW w:w="160" w:type="dxa"/>
            <w:vAlign w:val="bottom"/>
            <w:tcBorders>
              <w:bottom w:val="single" w:sz="8" w:color="B9AFA0"/>
            </w:tcBorders>
            <w:shd w:val="clear" w:color="auto" w:fill="B9AFA0"/>
          </w:tcPr>
          <w:p>
            <w:pPr>
              <w:spacing w:after="0"/>
              <w:rPr>
                <w:sz w:val="24"/>
                <w:szCs w:val="24"/>
                <w:color w:val="auto"/>
              </w:rPr>
            </w:pPr>
          </w:p>
        </w:tc>
        <w:tc>
          <w:tcPr>
            <w:tcW w:w="660" w:type="dxa"/>
            <w:vAlign w:val="bottom"/>
            <w:tcBorders>
              <w:bottom w:val="single" w:sz="8" w:color="B9AFA0"/>
            </w:tcBorders>
            <w:shd w:val="clear" w:color="auto" w:fill="B9AFA0"/>
          </w:tcPr>
          <w:p>
            <w:pPr>
              <w:jc w:val="right"/>
              <w:ind w:right="216"/>
              <w:spacing w:after="0"/>
              <w:rPr>
                <w:sz w:val="20"/>
                <w:szCs w:val="20"/>
                <w:color w:val="auto"/>
              </w:rPr>
            </w:pPr>
            <w:r>
              <w:rPr>
                <w:rFonts w:ascii="Arial" w:cs="Arial" w:eastAsia="Arial" w:hAnsi="Arial"/>
                <w:sz w:val="13"/>
                <w:szCs w:val="13"/>
                <w:color w:val="FFFFFF"/>
              </w:rPr>
              <w:t>2025</w:t>
            </w:r>
          </w:p>
        </w:tc>
        <w:tc>
          <w:tcPr>
            <w:tcW w:w="160" w:type="dxa"/>
            <w:vAlign w:val="bottom"/>
            <w:tcBorders>
              <w:bottom w:val="single" w:sz="8" w:color="B9AFA0"/>
            </w:tcBorders>
            <w:shd w:val="clear" w:color="auto" w:fill="B9AFA0"/>
          </w:tcPr>
          <w:p>
            <w:pPr>
              <w:spacing w:after="0"/>
              <w:rPr>
                <w:sz w:val="24"/>
                <w:szCs w:val="24"/>
                <w:color w:val="auto"/>
              </w:rPr>
            </w:pPr>
          </w:p>
        </w:tc>
        <w:tc>
          <w:tcPr>
            <w:tcW w:w="660" w:type="dxa"/>
            <w:vAlign w:val="bottom"/>
            <w:tcBorders>
              <w:bottom w:val="single" w:sz="8" w:color="B9AFA0"/>
            </w:tcBorders>
            <w:shd w:val="clear" w:color="auto" w:fill="B9AFA0"/>
          </w:tcPr>
          <w:p>
            <w:pPr>
              <w:jc w:val="right"/>
              <w:ind w:right="196"/>
              <w:spacing w:after="0"/>
              <w:rPr>
                <w:sz w:val="20"/>
                <w:szCs w:val="20"/>
                <w:color w:val="auto"/>
              </w:rPr>
            </w:pPr>
            <w:r>
              <w:rPr>
                <w:rFonts w:ascii="Arial" w:cs="Arial" w:eastAsia="Arial" w:hAnsi="Arial"/>
                <w:sz w:val="13"/>
                <w:szCs w:val="13"/>
                <w:color w:val="FFFFFF"/>
              </w:rPr>
              <w:t>2024</w:t>
            </w:r>
          </w:p>
        </w:tc>
      </w:tr>
      <w:tr>
        <w:trPr>
          <w:trHeight w:val="227"/>
        </w:trPr>
        <w:tc>
          <w:tcPr>
            <w:tcW w:w="7100" w:type="dxa"/>
            <w:vAlign w:val="bottom"/>
            <w:tcBorders>
              <w:bottom w:val="single" w:sz="8" w:color="F1EFEC"/>
            </w:tcBorders>
            <w:shd w:val="clear" w:color="auto" w:fill="F1EFEC"/>
          </w:tcPr>
          <w:p>
            <w:pPr>
              <w:ind w:left="40"/>
              <w:spacing w:after="0"/>
              <w:rPr>
                <w:sz w:val="20"/>
                <w:szCs w:val="20"/>
                <w:color w:val="auto"/>
              </w:rPr>
            </w:pPr>
            <w:r>
              <w:rPr>
                <w:rFonts w:ascii="Arial" w:cs="Arial" w:eastAsia="Arial" w:hAnsi="Arial"/>
                <w:sz w:val="13"/>
                <w:szCs w:val="13"/>
                <w:color w:val="auto"/>
              </w:rPr>
              <w:t>Audit fees</w:t>
            </w:r>
          </w:p>
        </w:tc>
        <w:tc>
          <w:tcPr>
            <w:tcW w:w="160" w:type="dxa"/>
            <w:vAlign w:val="bottom"/>
            <w:tcBorders>
              <w:bottom w:val="single" w:sz="8" w:color="F1EFEC"/>
            </w:tcBorders>
            <w:shd w:val="clear" w:color="auto" w:fill="F1EFE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1EFEC"/>
            </w:tcBorders>
            <w:shd w:val="clear" w:color="auto" w:fill="F1EFEC"/>
          </w:tcPr>
          <w:p>
            <w:pPr>
              <w:jc w:val="right"/>
              <w:ind w:right="36"/>
              <w:spacing w:after="0"/>
              <w:rPr>
                <w:sz w:val="20"/>
                <w:szCs w:val="20"/>
                <w:color w:val="auto"/>
              </w:rPr>
            </w:pPr>
            <w:r>
              <w:rPr>
                <w:rFonts w:ascii="Arial" w:cs="Arial" w:eastAsia="Arial" w:hAnsi="Arial"/>
                <w:sz w:val="13"/>
                <w:szCs w:val="13"/>
                <w:color w:val="auto"/>
                <w:w w:val="93"/>
              </w:rPr>
              <w:t>3,550,477</w:t>
            </w:r>
          </w:p>
        </w:tc>
        <w:tc>
          <w:tcPr>
            <w:tcW w:w="160" w:type="dxa"/>
            <w:vAlign w:val="bottom"/>
            <w:tcBorders>
              <w:bottom w:val="single" w:sz="8" w:color="F1EFEC"/>
            </w:tcBorders>
            <w:shd w:val="clear" w:color="auto" w:fill="F1EFE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1EFEC"/>
            </w:tcBorders>
            <w:shd w:val="clear" w:color="auto" w:fill="F1EFEC"/>
          </w:tcPr>
          <w:p>
            <w:pPr>
              <w:jc w:val="right"/>
              <w:ind w:right="16"/>
              <w:spacing w:after="0"/>
              <w:rPr>
                <w:sz w:val="20"/>
                <w:szCs w:val="20"/>
                <w:color w:val="auto"/>
              </w:rPr>
            </w:pPr>
            <w:r>
              <w:rPr>
                <w:rFonts w:ascii="Arial" w:cs="Arial" w:eastAsia="Arial" w:hAnsi="Arial"/>
                <w:sz w:val="13"/>
                <w:szCs w:val="13"/>
                <w:color w:val="auto"/>
                <w:w w:val="96"/>
              </w:rPr>
              <w:t>3,373,826</w:t>
            </w:r>
          </w:p>
        </w:tc>
      </w:tr>
      <w:tr>
        <w:trPr>
          <w:trHeight w:val="212"/>
        </w:trPr>
        <w:tc>
          <w:tcPr>
            <w:tcW w:w="7100" w:type="dxa"/>
            <w:vAlign w:val="bottom"/>
          </w:tcPr>
          <w:p>
            <w:pPr>
              <w:ind w:left="40"/>
              <w:spacing w:after="0"/>
              <w:rPr>
                <w:sz w:val="20"/>
                <w:szCs w:val="20"/>
                <w:color w:val="auto"/>
              </w:rPr>
            </w:pPr>
            <w:r>
              <w:rPr>
                <w:rFonts w:ascii="Arial" w:cs="Arial" w:eastAsia="Arial" w:hAnsi="Arial"/>
                <w:sz w:val="13"/>
                <w:szCs w:val="13"/>
                <w:color w:val="auto"/>
              </w:rPr>
              <w:t>Audit-related fees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32,000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45,000</w:t>
            </w:r>
          </w:p>
        </w:tc>
      </w:tr>
      <w:tr>
        <w:trPr>
          <w:trHeight w:val="35"/>
        </w:trPr>
        <w:tc>
          <w:tcPr>
            <w:tcW w:w="7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27"/>
        </w:trPr>
        <w:tc>
          <w:tcPr>
            <w:tcW w:w="7100" w:type="dxa"/>
            <w:vAlign w:val="bottom"/>
            <w:tcBorders>
              <w:bottom w:val="single" w:sz="8" w:color="F1EFEC"/>
            </w:tcBorders>
            <w:shd w:val="clear" w:color="auto" w:fill="F1EFEC"/>
          </w:tcPr>
          <w:p>
            <w:pPr>
              <w:ind w:left="40"/>
              <w:spacing w:after="0"/>
              <w:rPr>
                <w:sz w:val="20"/>
                <w:szCs w:val="20"/>
                <w:color w:val="auto"/>
              </w:rPr>
            </w:pPr>
            <w:r>
              <w:rPr>
                <w:rFonts w:ascii="Arial" w:cs="Arial" w:eastAsia="Arial" w:hAnsi="Arial"/>
                <w:sz w:val="13"/>
                <w:szCs w:val="13"/>
                <w:color w:val="auto"/>
              </w:rPr>
              <w:t>Tax fees</w:t>
            </w:r>
          </w:p>
        </w:tc>
        <w:tc>
          <w:tcPr>
            <w:tcW w:w="160" w:type="dxa"/>
            <w:vAlign w:val="bottom"/>
            <w:tcBorders>
              <w:bottom w:val="single" w:sz="8" w:color="F1EFEC"/>
            </w:tcBorders>
            <w:shd w:val="clear" w:color="auto" w:fill="F1EFE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1EFEC"/>
            </w:tcBorders>
            <w:shd w:val="clear" w:color="auto" w:fill="F1EFEC"/>
          </w:tcPr>
          <w:p>
            <w:pPr>
              <w:jc w:val="right"/>
              <w:ind w:right="36"/>
              <w:spacing w:after="0"/>
              <w:rPr>
                <w:sz w:val="20"/>
                <w:szCs w:val="20"/>
                <w:color w:val="auto"/>
              </w:rPr>
            </w:pPr>
            <w:r>
              <w:rPr>
                <w:rFonts w:ascii="Arial" w:cs="Arial" w:eastAsia="Arial" w:hAnsi="Arial"/>
                <w:sz w:val="13"/>
                <w:szCs w:val="13"/>
                <w:color w:val="auto"/>
              </w:rPr>
              <w:t>82,937</w:t>
            </w:r>
          </w:p>
        </w:tc>
        <w:tc>
          <w:tcPr>
            <w:tcW w:w="160" w:type="dxa"/>
            <w:vAlign w:val="bottom"/>
            <w:tcBorders>
              <w:bottom w:val="single" w:sz="8" w:color="F1EFEC"/>
            </w:tcBorders>
            <w:shd w:val="clear" w:color="auto" w:fill="F1EFE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1EFEC"/>
            </w:tcBorders>
            <w:shd w:val="clear" w:color="auto" w:fill="F1EFEC"/>
          </w:tcPr>
          <w:p>
            <w:pPr>
              <w:jc w:val="right"/>
              <w:ind w:right="16"/>
              <w:spacing w:after="0"/>
              <w:rPr>
                <w:sz w:val="20"/>
                <w:szCs w:val="20"/>
                <w:color w:val="auto"/>
              </w:rPr>
            </w:pPr>
            <w:r>
              <w:rPr>
                <w:rFonts w:ascii="Arial" w:cs="Arial" w:eastAsia="Arial" w:hAnsi="Arial"/>
                <w:sz w:val="13"/>
                <w:szCs w:val="13"/>
                <w:color w:val="auto"/>
              </w:rPr>
              <w:t>212,300</w:t>
            </w:r>
          </w:p>
        </w:tc>
      </w:tr>
      <w:tr>
        <w:trPr>
          <w:trHeight w:val="212"/>
        </w:trPr>
        <w:tc>
          <w:tcPr>
            <w:tcW w:w="7100" w:type="dxa"/>
            <w:vAlign w:val="bottom"/>
          </w:tcPr>
          <w:p>
            <w:pPr>
              <w:ind w:left="40"/>
              <w:spacing w:after="0"/>
              <w:rPr>
                <w:sz w:val="20"/>
                <w:szCs w:val="20"/>
                <w:color w:val="auto"/>
              </w:rPr>
            </w:pPr>
            <w:r>
              <w:rPr>
                <w:rFonts w:ascii="Arial" w:cs="Arial" w:eastAsia="Arial" w:hAnsi="Arial"/>
                <w:sz w:val="13"/>
                <w:szCs w:val="13"/>
                <w:color w:val="auto"/>
              </w:rPr>
              <w:t>All other fees</w:t>
            </w:r>
          </w:p>
        </w:tc>
        <w:tc>
          <w:tcPr>
            <w:tcW w:w="16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r>
    </w:tbl>
    <w:p>
      <w:pPr>
        <w:spacing w:after="0" w:line="196" w:lineRule="exact"/>
        <w:rPr>
          <w:sz w:val="20"/>
          <w:szCs w:val="20"/>
          <w:color w:val="auto"/>
        </w:rPr>
      </w:pPr>
    </w:p>
    <w:p>
      <w:pPr>
        <w:ind w:left="1260" w:right="299"/>
        <w:spacing w:after="0" w:line="247" w:lineRule="auto"/>
        <w:rPr>
          <w:sz w:val="20"/>
          <w:szCs w:val="20"/>
          <w:color w:val="auto"/>
        </w:rPr>
      </w:pPr>
      <w:r>
        <w:rPr>
          <w:rFonts w:ascii="Arial" w:cs="Arial" w:eastAsia="Arial" w:hAnsi="Arial"/>
          <w:sz w:val="13"/>
          <w:szCs w:val="13"/>
          <w:color w:val="auto"/>
        </w:rPr>
        <w:t>“Audit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2025, and 2024, and for the audit of our internal controls over financial reporting as of December 31, 2025, and 2024. “Audit fees” also include fees for services provided in connection with capital market transactions, audit-related accounting consultations and statutory audits of certain subsidiaries of the Company. “Audit-related fees” include the aggregate fees for the audit of the Company’s defined contribution employee benefit plan. “Tax fees” include fees for domestic tax planning and other research.</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PRE-APPROVAL POLICY</w:t>
      </w:r>
    </w:p>
    <w:p>
      <w:pPr>
        <w:spacing w:after="0" w:line="273" w:lineRule="exact"/>
        <w:rPr>
          <w:sz w:val="20"/>
          <w:szCs w:val="20"/>
          <w:color w:val="auto"/>
        </w:rPr>
      </w:pPr>
    </w:p>
    <w:p>
      <w:pPr>
        <w:ind w:left="1260" w:right="159"/>
        <w:spacing w:after="0" w:line="248" w:lineRule="auto"/>
        <w:rPr>
          <w:sz w:val="20"/>
          <w:szCs w:val="20"/>
          <w:color w:val="auto"/>
        </w:rPr>
      </w:pPr>
      <w:r>
        <w:rPr>
          <w:rFonts w:ascii="Arial" w:cs="Arial" w:eastAsia="Arial" w:hAnsi="Arial"/>
          <w:sz w:val="13"/>
          <w:szCs w:val="13"/>
          <w:color w:val="auto"/>
        </w:rPr>
        <w:t>The Audit Committee’s policy is to pre-approve all audit and non-audit services provided by the independent registered public accountants by pre-approving certain types of services at usual and customary rates.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150" w:lineRule="exact"/>
        <w:rPr>
          <w:sz w:val="20"/>
          <w:szCs w:val="20"/>
          <w:color w:val="auto"/>
        </w:rPr>
      </w:pPr>
    </w:p>
    <w:p>
      <w:pPr>
        <w:ind w:left="1260" w:right="179"/>
        <w:spacing w:after="0" w:line="251" w:lineRule="auto"/>
        <w:rPr>
          <w:sz w:val="20"/>
          <w:szCs w:val="20"/>
          <w:color w:val="auto"/>
        </w:rPr>
      </w:pPr>
      <w:r>
        <w:rPr>
          <w:rFonts w:ascii="Arial" w:cs="Arial" w:eastAsia="Arial" w:hAnsi="Arial"/>
          <w:sz w:val="13"/>
          <w:szCs w:val="13"/>
          <w:color w:val="auto"/>
        </w:rPr>
        <w:t>During the year, circumstances may arise when it becomes necessary to engage the independent registered public accountants for additional services not contemplated in the original pre-approval authority. In those instances, management submits a request to the Audit Committee describing a specific project at a specific fee or rate and, if deemed appropriate and necessary, the Audit Committee approves the services before we engage the independent registered public accountants.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Audit Committee pre-approved all fees related to services provided by Ernst &amp; Young LLP in 2025.</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0159"/>
          </w:cols>
          <w:pgMar w:left="300" w:top="412"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REPORT OF THE AUDIT COMMITTEE</w:t>
      </w:r>
    </w:p>
    <w:p>
      <w:pPr>
        <w:spacing w:after="0" w:line="284" w:lineRule="exact"/>
        <w:rPr>
          <w:sz w:val="20"/>
          <w:szCs w:val="20"/>
          <w:color w:val="auto"/>
        </w:rPr>
      </w:pPr>
    </w:p>
    <w:p>
      <w:pPr>
        <w:ind w:left="1260" w:right="259"/>
        <w:spacing w:after="0" w:line="251" w:lineRule="auto"/>
        <w:rPr>
          <w:sz w:val="20"/>
          <w:szCs w:val="20"/>
          <w:color w:val="auto"/>
        </w:rPr>
      </w:pPr>
      <w:r>
        <w:rPr>
          <w:rFonts w:ascii="Arial" w:cs="Arial" w:eastAsia="Arial" w:hAnsi="Arial"/>
          <w:sz w:val="13"/>
          <w:szCs w:val="13"/>
          <w:color w:val="auto"/>
        </w:rPr>
        <w:t>The Audit Committee is currently comprised of the five members named below. As required by our committee charter, each member of the Audit Committee has been determined by the Board, in its business judgment to be an “independent director,” as defined under the NASDAQ listing rules and the rules of SEC. In addition, the Board has determined that three of the five Audit Committee members (Messrs. Byrne and Sanfilippo and Ms. Webb) are audit committee financial experts, as defined by SEC rules.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DURING 2025, WE HELD FIVE AUDIT COMMITTEE MEETINGS.</w:t>
      </w:r>
    </w:p>
    <w:p>
      <w:pPr>
        <w:spacing w:after="0" w:line="172" w:lineRule="exact"/>
        <w:rPr>
          <w:sz w:val="20"/>
          <w:szCs w:val="20"/>
          <w:color w:val="auto"/>
        </w:rPr>
      </w:pPr>
    </w:p>
    <w:p>
      <w:pPr>
        <w:ind w:left="1260" w:right="239"/>
        <w:spacing w:after="0" w:line="271" w:lineRule="auto"/>
        <w:rPr>
          <w:sz w:val="20"/>
          <w:szCs w:val="20"/>
          <w:color w:val="auto"/>
        </w:rPr>
      </w:pPr>
      <w:r>
        <w:rPr>
          <w:rFonts w:ascii="Arial" w:cs="Arial" w:eastAsia="Arial" w:hAnsi="Arial"/>
          <w:sz w:val="13"/>
          <w:szCs w:val="13"/>
          <w:color w:val="auto"/>
        </w:rPr>
        <w:t>Our purpose and responsibilities are set forth in our committee charter, which is reviewed and updated, as appropriate, to address changes in regulatory requirements, authoritative guidance, evolving oversight practices and investor feedback.</w:t>
      </w:r>
    </w:p>
    <w:p>
      <w:pPr>
        <w:spacing w:after="0" w:line="134" w:lineRule="exact"/>
        <w:rPr>
          <w:sz w:val="20"/>
          <w:szCs w:val="20"/>
          <w:color w:val="auto"/>
        </w:rPr>
      </w:pPr>
    </w:p>
    <w:p>
      <w:pPr>
        <w:ind w:left="1260" w:right="139"/>
        <w:spacing w:after="0" w:line="245" w:lineRule="auto"/>
        <w:rPr>
          <w:sz w:val="20"/>
          <w:szCs w:val="20"/>
          <w:color w:val="auto"/>
        </w:rPr>
      </w:pPr>
      <w:r>
        <w:rPr>
          <w:rFonts w:ascii="Arial" w:cs="Arial" w:eastAsia="Arial" w:hAnsi="Arial"/>
          <w:sz w:val="13"/>
          <w:szCs w:val="13"/>
          <w:color w:val="auto"/>
        </w:rPr>
        <w:t>Our role is to oversee, on behalf of the Board, the accounting and financial reporting processes of the Company and the audits of the Company’s financial statements, including review of the Company’s guidelines and policies with respect to risk assessment and risk management related to financial reporting and internal controls, major financial risk exposures of the Company and the steps the Company’s management has taken to monitor and control such exposures.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52" w:lineRule="exact"/>
        <w:rPr>
          <w:sz w:val="20"/>
          <w:szCs w:val="20"/>
          <w:color w:val="auto"/>
        </w:rPr>
      </w:pPr>
    </w:p>
    <w:p>
      <w:pPr>
        <w:ind w:left="1260" w:right="159"/>
        <w:spacing w:after="0" w:line="245" w:lineRule="auto"/>
        <w:rPr>
          <w:sz w:val="20"/>
          <w:szCs w:val="20"/>
          <w:color w:val="auto"/>
        </w:rPr>
      </w:pPr>
      <w:r>
        <w:rPr>
          <w:rFonts w:ascii="Arial" w:cs="Arial" w:eastAsia="Arial" w:hAnsi="Arial"/>
          <w:sz w:val="13"/>
          <w:szCs w:val="13"/>
          <w:color w:val="auto"/>
        </w:rPr>
        <w:t>In fulfilling our oversight duties, periodically throughout the year, we met separately in executive session with Ernst &amp; Young LLP, our independent registered public accountants, as well with each of the Company’s General Counsel, Chief Audit Executive (who heads internal audit), and Chief Financial Officer. During these meetings, we discussed the quality of the Company’s accounting and financial reporting processes and the adequacy and effectiveness of its internal controls and procedures; reviewed significant audit findings prepared by each of the independent registered public accountants and internal audit department, together with management’s responses; reviewed the overall scope and plans for the audits by the internal audit department and the independent registered public accountants; reviewed critical accounting policies and the significant estimates and judgments management used in preparing the financial statements and their appropriateness for the Company’s business and current circumstances; and reviewed each Company press release concerning Company earnings prior to its release.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The Audit Committee and management have robust policies and procedures in place to monitor and confirm Ernst &amp; Young LLP’s independence from the</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Company on an ongoing basis. These policies and procedures include:</w:t>
      </w:r>
    </w:p>
    <w:p>
      <w:pPr>
        <w:spacing w:after="0" w:line="21" w:lineRule="exact"/>
        <w:rPr>
          <w:sz w:val="20"/>
          <w:szCs w:val="20"/>
          <w:color w:val="auto"/>
        </w:rPr>
      </w:pPr>
    </w:p>
    <w:p>
      <w:pPr>
        <w:ind w:left="1780" w:hanging="170"/>
        <w:spacing w:after="0"/>
        <w:tabs>
          <w:tab w:leader="none" w:pos="17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Private sessions between the Audit Committee and Ernst &amp; Young LLP throughout the year;</w:t>
      </w:r>
    </w:p>
    <w:p>
      <w:pPr>
        <w:spacing w:after="0" w:line="32" w:lineRule="exact"/>
        <w:rPr>
          <w:rFonts w:ascii="Arial" w:cs="Arial" w:eastAsia="Arial" w:hAnsi="Arial"/>
          <w:sz w:val="13"/>
          <w:szCs w:val="13"/>
          <w:color w:val="auto"/>
        </w:rPr>
      </w:pPr>
    </w:p>
    <w:p>
      <w:pPr>
        <w:ind w:left="1780" w:hanging="170"/>
        <w:spacing w:after="0"/>
        <w:tabs>
          <w:tab w:leader="none" w:pos="17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Pre-approval by the Audit Committee of audit and non-audit services proposed to be performed by Ernst &amp; Young LLP;</w:t>
      </w:r>
    </w:p>
    <w:p>
      <w:pPr>
        <w:spacing w:after="0" w:line="32" w:lineRule="exact"/>
        <w:rPr>
          <w:rFonts w:ascii="Arial" w:cs="Arial" w:eastAsia="Arial" w:hAnsi="Arial"/>
          <w:sz w:val="13"/>
          <w:szCs w:val="13"/>
          <w:color w:val="auto"/>
        </w:rPr>
      </w:pPr>
    </w:p>
    <w:p>
      <w:pPr>
        <w:ind w:left="1780" w:hanging="170"/>
        <w:spacing w:after="0"/>
        <w:tabs>
          <w:tab w:leader="none" w:pos="17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Lead engagement partner rotation at least every five years; and</w:t>
      </w:r>
    </w:p>
    <w:p>
      <w:pPr>
        <w:spacing w:after="0" w:line="32" w:lineRule="exact"/>
        <w:rPr>
          <w:rFonts w:ascii="Arial" w:cs="Arial" w:eastAsia="Arial" w:hAnsi="Arial"/>
          <w:sz w:val="13"/>
          <w:szCs w:val="13"/>
          <w:color w:val="auto"/>
        </w:rPr>
      </w:pPr>
    </w:p>
    <w:p>
      <w:pPr>
        <w:ind w:left="1780" w:hanging="170"/>
        <w:spacing w:after="0"/>
        <w:tabs>
          <w:tab w:leader="none" w:pos="17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Concurring audit partner rotation at least every five years.</w:t>
      </w:r>
    </w:p>
    <w:p>
      <w:pPr>
        <w:spacing w:after="0" w:line="172" w:lineRule="exact"/>
        <w:rPr>
          <w:sz w:val="20"/>
          <w:szCs w:val="20"/>
          <w:color w:val="auto"/>
        </w:rPr>
      </w:pPr>
    </w:p>
    <w:p>
      <w:pPr>
        <w:ind w:left="1260" w:right="299"/>
        <w:spacing w:after="0" w:line="271" w:lineRule="auto"/>
        <w:rPr>
          <w:sz w:val="20"/>
          <w:szCs w:val="20"/>
          <w:color w:val="auto"/>
        </w:rPr>
      </w:pPr>
      <w:r>
        <w:rPr>
          <w:rFonts w:ascii="Arial" w:cs="Arial" w:eastAsia="Arial" w:hAnsi="Arial"/>
          <w:sz w:val="13"/>
          <w:szCs w:val="13"/>
          <w:color w:val="auto"/>
        </w:rPr>
        <w:t>Ernst &amp; Young LLP has served as the Company’s independent registered public accounting firm since 2006. In evaluating and selecting the Company’s independent registered public accounting firm, we consider, among other things, the historical and recent performance of our</w:t>
      </w:r>
    </w:p>
    <w:p>
      <w:pPr>
        <w:spacing w:after="0" w:line="81"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0159"/>
          </w:cols>
          <w:pgMar w:left="300" w:top="412"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339"/>
        <w:spacing w:after="0" w:line="251" w:lineRule="auto"/>
        <w:rPr>
          <w:sz w:val="20"/>
          <w:szCs w:val="20"/>
          <w:color w:val="auto"/>
        </w:rPr>
      </w:pPr>
      <w:r>
        <w:rPr>
          <w:rFonts w:ascii="Arial" w:cs="Arial" w:eastAsia="Arial" w:hAnsi="Arial"/>
          <w:sz w:val="13"/>
          <w:szCs w:val="13"/>
          <w:color w:val="auto"/>
        </w:rPr>
        <w:t>current firm, the firm’s global reach, external data on audit quality and performance, including Public Company Accounting Oversight Board (“PCAOB”) reports, industry experience, audit fee revenues, firm capabilities and audit approach, and the independence and tenure of the accounting firm. As discussed above, the Audit Committee has appointed Ernst &amp; Young LLP to serve as our independent registered public accountants for the fiscal year ending December 31, 2026.</w:t>
      </w:r>
    </w:p>
    <w:p>
      <w:pPr>
        <w:spacing w:after="0" w:line="147" w:lineRule="exact"/>
        <w:rPr>
          <w:sz w:val="20"/>
          <w:szCs w:val="20"/>
          <w:color w:val="auto"/>
        </w:rPr>
      </w:pPr>
    </w:p>
    <w:p>
      <w:pPr>
        <w:ind w:left="1260" w:right="159"/>
        <w:spacing w:after="0" w:line="244" w:lineRule="auto"/>
        <w:rPr>
          <w:sz w:val="20"/>
          <w:szCs w:val="20"/>
          <w:color w:val="auto"/>
        </w:rPr>
      </w:pPr>
      <w:r>
        <w:rPr>
          <w:rFonts w:ascii="Arial" w:cs="Arial" w:eastAsia="Arial" w:hAnsi="Arial"/>
          <w:sz w:val="13"/>
          <w:szCs w:val="13"/>
          <w:color w:val="auto"/>
        </w:rPr>
        <w:t>In addition to the activities discussed above, prior to the Company’s filing of its Annual Report on Form 10-K for the fiscal year ended December 31, 2025, with the SEC, we reviewed and discussed with management the Company’s audited financial statements for the fiscal year ended December 31, 2025, including the Company’s disclosures under “Management’s Discussion and Analysis of Financial Condition and Results of Operations.” We discussed with the independent registered public accounting firm the matters required to be discussed by the applicable standards of the PCAOB and the SEC, including the quality, not just the acceptability, of the accounting principles, the reasonableness of significant judgments and the clarity of the disclosures in the financial statements. We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discussions described in this report, we recommended to the Board that the audited financial statements referred to above be included in the Company’s Annual Report on Form 10-K for the fiscal year ended December 31, 2025, filed with the SEC.</w:t>
      </w:r>
    </w:p>
    <w:p>
      <w:pPr>
        <w:spacing w:after="0" w:line="150"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AUDIT COMMITTEE</w:t>
      </w:r>
    </w:p>
    <w:p>
      <w:pPr>
        <w:spacing w:after="0" w:line="172"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Winifred M. Webb, Chair</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Richard J. Byrne</w:t>
      </w:r>
    </w:p>
    <w:p>
      <w:pPr>
        <w:ind w:left="6000"/>
        <w:spacing w:after="0"/>
        <w:rPr>
          <w:sz w:val="20"/>
          <w:szCs w:val="20"/>
          <w:color w:val="auto"/>
        </w:rPr>
      </w:pPr>
      <w:r>
        <w:rPr>
          <w:rFonts w:ascii="Arial" w:cs="Arial" w:eastAsia="Arial" w:hAnsi="Arial"/>
          <w:sz w:val="14"/>
          <w:szCs w:val="14"/>
          <w:color w:val="auto"/>
        </w:rPr>
        <w:t>Paul Liu</w:t>
      </w:r>
    </w:p>
    <w:p>
      <w:pPr>
        <w:ind w:left="6000"/>
        <w:spacing w:after="0"/>
        <w:rPr>
          <w:sz w:val="20"/>
          <w:szCs w:val="20"/>
          <w:color w:val="auto"/>
        </w:rPr>
      </w:pPr>
      <w:r>
        <w:rPr>
          <w:rFonts w:ascii="Arial" w:cs="Arial" w:eastAsia="Arial" w:hAnsi="Arial"/>
          <w:sz w:val="14"/>
          <w:szCs w:val="14"/>
          <w:color w:val="auto"/>
        </w:rPr>
        <w:t>Patricia Mulroy</w:t>
      </w:r>
    </w:p>
    <w:p>
      <w:pPr>
        <w:ind w:left="6000"/>
        <w:spacing w:after="0"/>
        <w:rPr>
          <w:sz w:val="20"/>
          <w:szCs w:val="20"/>
          <w:color w:val="auto"/>
        </w:rPr>
      </w:pPr>
      <w:r>
        <w:rPr>
          <w:rFonts w:ascii="Arial" w:cs="Arial" w:eastAsia="Arial" w:hAnsi="Arial"/>
          <w:sz w:val="14"/>
          <w:szCs w:val="14"/>
          <w:color w:val="auto"/>
        </w:rPr>
        <w:t>Anthony Sanfilippo</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0159"/>
          </w:cols>
          <w:pgMar w:left="300" w:top="412"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Proposal 3:</w:t>
      </w:r>
    </w:p>
    <w:p>
      <w:pPr>
        <w:spacing w:after="0" w:line="29" w:lineRule="exact"/>
        <w:rPr>
          <w:sz w:val="20"/>
          <w:szCs w:val="20"/>
          <w:color w:val="auto"/>
        </w:rPr>
      </w:pPr>
    </w:p>
    <w:p>
      <w:pPr>
        <w:ind w:left="1260" w:right="959"/>
        <w:spacing w:after="0" w:line="265" w:lineRule="auto"/>
        <w:rPr>
          <w:sz w:val="20"/>
          <w:szCs w:val="20"/>
          <w:color w:val="auto"/>
        </w:rPr>
      </w:pPr>
      <w:r>
        <w:rPr>
          <w:rFonts w:ascii="Arial" w:cs="Arial" w:eastAsia="Arial" w:hAnsi="Arial"/>
          <w:sz w:val="21"/>
          <w:szCs w:val="21"/>
          <w:color w:val="auto"/>
        </w:rPr>
        <w:t>ADVISORY VOTE TO APPROVE THE COMPENSATION OF NAMED EXECUTIVE OFFICERS</w:t>
      </w:r>
    </w:p>
    <w:p>
      <w:pPr>
        <w:spacing w:after="0" w:line="123" w:lineRule="exact"/>
        <w:rPr>
          <w:sz w:val="20"/>
          <w:szCs w:val="20"/>
          <w:color w:val="auto"/>
        </w:rPr>
      </w:pPr>
    </w:p>
    <w:p>
      <w:pPr>
        <w:ind w:left="1260" w:right="139"/>
        <w:spacing w:after="0" w:line="248" w:lineRule="auto"/>
        <w:rPr>
          <w:sz w:val="20"/>
          <w:szCs w:val="20"/>
          <w:color w:val="auto"/>
        </w:rPr>
      </w:pPr>
      <w:r>
        <w:rPr>
          <w:rFonts w:ascii="Arial" w:cs="Arial" w:eastAsia="Arial" w:hAnsi="Arial"/>
          <w:sz w:val="13"/>
          <w:szCs w:val="13"/>
          <w:color w:val="auto"/>
        </w:rPr>
        <w:t>In accordance with Section 14A of the Exchange Act (which was added by the Dodd-Frank Wall Street Reform and Consumer Protection Act (the “Dodd Frank Act”)) and the related rules of the SEC, and consistent with the frequency selected by shareholders, on an advisory basis, at the 2023 Annual Meeting of Shareholders, the Company presents its shareholders with the opportunity each year to vote to approve, on an advisory and non-binding basis, the compensation of our NEOs as disclosed in the Compensation Discussion and Analysis, the accompanying compensation tables and the related narrative disclosure in this Proxy Statement.</w:t>
      </w:r>
    </w:p>
    <w:p>
      <w:pPr>
        <w:spacing w:after="0" w:line="150" w:lineRule="exact"/>
        <w:rPr>
          <w:sz w:val="20"/>
          <w:szCs w:val="20"/>
          <w:color w:val="auto"/>
        </w:rPr>
      </w:pPr>
    </w:p>
    <w:p>
      <w:pPr>
        <w:ind w:left="1260" w:right="179"/>
        <w:spacing w:after="0" w:line="247" w:lineRule="auto"/>
        <w:rPr>
          <w:sz w:val="20"/>
          <w:szCs w:val="20"/>
          <w:color w:val="auto"/>
        </w:rPr>
      </w:pPr>
      <w:r>
        <w:rPr>
          <w:rFonts w:ascii="Arial" w:cs="Arial" w:eastAsia="Arial" w:hAnsi="Arial"/>
          <w:sz w:val="13"/>
          <w:szCs w:val="13"/>
          <w:color w:val="auto"/>
        </w:rPr>
        <w:t>This proposal, commonly known as a “Say-on-Pay” proposal, allows our shareholders the opportunity to express their views on our NEOs’ compensation. At our 2023 Annual Meeting of Shareholders, shareholders voted, on an advisory and non-binding basis, that Say-on-Pay proposals be presented to our shareholders every year, and on the basis of that recommendation, the Board determined that future Say-on-Pay proposals would be conducted every year. Accordingly, Say-on-Pay proposals will continue to be presented to our shareholders annually unless our shareholders vote at our 2029 Annual Meeting of Shareholders, as required under the Dodd Frank Act and the related rules of the SEC rules, to approve a different say-on-pay proposal frequency.</w:t>
      </w:r>
    </w:p>
    <w:p>
      <w:pPr>
        <w:spacing w:after="0" w:line="150" w:lineRule="exact"/>
        <w:rPr>
          <w:sz w:val="20"/>
          <w:szCs w:val="20"/>
          <w:color w:val="auto"/>
        </w:rPr>
      </w:pPr>
    </w:p>
    <w:p>
      <w:pPr>
        <w:jc w:val="both"/>
        <w:ind w:left="1260" w:right="279"/>
        <w:spacing w:after="0" w:line="256" w:lineRule="auto"/>
        <w:rPr>
          <w:sz w:val="20"/>
          <w:szCs w:val="20"/>
          <w:color w:val="auto"/>
        </w:rPr>
      </w:pPr>
      <w:r>
        <w:rPr>
          <w:rFonts w:ascii="Arial" w:cs="Arial" w:eastAsia="Arial" w:hAnsi="Arial"/>
          <w:sz w:val="13"/>
          <w:szCs w:val="13"/>
          <w:color w:val="auto"/>
        </w:rPr>
        <w:t>In considering this proposal, we urge shareholders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w:t>
      </w:r>
    </w:p>
    <w:p>
      <w:pPr>
        <w:spacing w:after="0" w:line="144" w:lineRule="exact"/>
        <w:rPr>
          <w:sz w:val="20"/>
          <w:szCs w:val="20"/>
          <w:color w:val="auto"/>
        </w:rPr>
      </w:pPr>
    </w:p>
    <w:p>
      <w:pPr>
        <w:ind w:left="1260" w:right="199"/>
        <w:spacing w:after="0" w:line="251" w:lineRule="auto"/>
        <w:rPr>
          <w:sz w:val="20"/>
          <w:szCs w:val="20"/>
          <w:color w:val="auto"/>
        </w:rPr>
      </w:pPr>
      <w:r>
        <w:rPr>
          <w:rFonts w:ascii="Arial" w:cs="Arial" w:eastAsia="Arial" w:hAnsi="Arial"/>
          <w:sz w:val="13"/>
          <w:szCs w:val="13"/>
          <w:color w:val="auto"/>
        </w:rPr>
        <w:t>As described in detail in the Compensation Discussion and Analysis, the majority of our executives’ total compensation is at-risk, tied to achieving annual and long-term goals that enhance the value of our reputation and brand, sustain the performance and attractiveness of our resorts and drive long-term shareholder value. The design of our long-term incentives coupled with robust stock ownership guidelines ensure that our executives’ interests are aligned with those of long-term shareholders.</w:t>
      </w:r>
    </w:p>
    <w:p>
      <w:pPr>
        <w:spacing w:after="0" w:line="147" w:lineRule="exact"/>
        <w:rPr>
          <w:sz w:val="20"/>
          <w:szCs w:val="20"/>
          <w:color w:val="auto"/>
        </w:rPr>
      </w:pPr>
    </w:p>
    <w:p>
      <w:pPr>
        <w:ind w:left="1260" w:right="299"/>
        <w:spacing w:after="0" w:line="271" w:lineRule="auto"/>
        <w:rPr>
          <w:sz w:val="20"/>
          <w:szCs w:val="20"/>
          <w:color w:val="auto"/>
        </w:rPr>
      </w:pPr>
      <w:r>
        <w:rPr>
          <w:rFonts w:ascii="Arial" w:cs="Arial" w:eastAsia="Arial" w:hAnsi="Arial"/>
          <w:sz w:val="13"/>
          <w:szCs w:val="13"/>
          <w:color w:val="auto"/>
        </w:rPr>
        <w:t>Therefore, in accordance with Section 14A of the Exchange Act and as a matter of good corporate governance, we are asking shareholders to approve the following advisory resolution at the 2026 Annual Meeting:</w:t>
      </w:r>
    </w:p>
    <w:p>
      <w:pPr>
        <w:spacing w:after="0" w:line="134" w:lineRule="exact"/>
        <w:rPr>
          <w:sz w:val="20"/>
          <w:szCs w:val="20"/>
          <w:color w:val="auto"/>
        </w:rPr>
      </w:pPr>
    </w:p>
    <w:p>
      <w:pPr>
        <w:ind w:left="1260" w:right="179"/>
        <w:spacing w:after="0" w:line="251" w:lineRule="auto"/>
        <w:rPr>
          <w:sz w:val="20"/>
          <w:szCs w:val="20"/>
          <w:color w:val="auto"/>
        </w:rPr>
      </w:pPr>
      <w:r>
        <w:rPr>
          <w:rFonts w:ascii="Arial" w:cs="Arial" w:eastAsia="Arial" w:hAnsi="Arial"/>
          <w:sz w:val="13"/>
          <w:szCs w:val="13"/>
          <w:color w:val="auto"/>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as disclosed pursuant to Item 402 of Regulation S-K, for the 2026 Annual Meeting of Shareholders.”</w:t>
      </w:r>
    </w:p>
    <w:p>
      <w:pPr>
        <w:spacing w:after="0" w:line="136"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7"/>
          <w:szCs w:val="17"/>
          <w:color w:val="auto"/>
        </w:rPr>
        <w:t>OUR BOARD OF DIRECTORS RECOMMENDS THAT YOU VOTE FOR THE APPROVAL OF THE ADVISORY RESOLUTION ON OUR NAMED EXECUTIVE OFFICER COMPENSATION, AS DISCLOSED IN THIS PROXY STATEMENT.</w:t>
      </w:r>
    </w:p>
    <w:p>
      <w:pPr>
        <w:spacing w:after="0" w:line="85"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0159"/>
          </w:cols>
          <w:pgMar w:left="300" w:top="412"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Proposal 4:</w:t>
      </w:r>
    </w:p>
    <w:p>
      <w:pPr>
        <w:spacing w:after="0" w:line="29" w:lineRule="exact"/>
        <w:rPr>
          <w:sz w:val="20"/>
          <w:szCs w:val="20"/>
          <w:color w:val="auto"/>
        </w:rPr>
      </w:pPr>
    </w:p>
    <w:p>
      <w:pPr>
        <w:ind w:left="1260" w:right="159"/>
        <w:spacing w:after="0" w:line="255" w:lineRule="auto"/>
        <w:rPr>
          <w:sz w:val="20"/>
          <w:szCs w:val="20"/>
          <w:color w:val="auto"/>
        </w:rPr>
      </w:pPr>
      <w:r>
        <w:rPr>
          <w:rFonts w:ascii="Arial" w:cs="Arial" w:eastAsia="Arial" w:hAnsi="Arial"/>
          <w:sz w:val="21"/>
          <w:szCs w:val="21"/>
          <w:color w:val="auto"/>
        </w:rPr>
        <w:t>APPROVAL OF AN AMENDMENT AND RESTATEMENT OF THE 2014 AMENDED AND RESTATED OMNIBUS INCENTIVE PLAN TO INCREASE THE AUTHORIZED SHARES BY 3,000,000 SHARES</w:t>
      </w:r>
    </w:p>
    <w:p>
      <w:pPr>
        <w:spacing w:after="0" w:line="219" w:lineRule="exact"/>
        <w:rPr>
          <w:sz w:val="20"/>
          <w:szCs w:val="20"/>
          <w:color w:val="auto"/>
        </w:rPr>
      </w:pPr>
    </w:p>
    <w:p>
      <w:pPr>
        <w:ind w:left="1260" w:right="139"/>
        <w:spacing w:after="0" w:line="251" w:lineRule="auto"/>
        <w:rPr>
          <w:sz w:val="20"/>
          <w:szCs w:val="20"/>
          <w:color w:val="auto"/>
        </w:rPr>
      </w:pPr>
      <w:r>
        <w:rPr>
          <w:rFonts w:ascii="Arial" w:cs="Arial" w:eastAsia="Arial" w:hAnsi="Arial"/>
          <w:sz w:val="13"/>
          <w:szCs w:val="13"/>
          <w:color w:val="auto"/>
        </w:rPr>
        <w:t>The Board has approved, subject to shareholder approval, the amendment and restatement (the “Plan Amendment”) of the Wynn Resorts, Limited Amended and Restated 2014 Omnibus Incentive Plan, as previously amended in 2020 (the “2014 Plan”) to increase the share reserve of the 2014 Plan by an additional 3,000,000 shares of Common Stock and extend the term of the 2014 Plan to May 6, 2036, the 10-year anniversary of the date of the Plan Amendment’s adoption by the Board. The Plan Amendment will bring the total number of shares authorized under the 2014 Plan to 4,353,847.</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At the Annual Meeting, our shareholders are being asked to vote on the proposal to approve the Plan Amendment.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WHY YOU SHOULD VOTE FOR PROPOSAL 4</w:t>
      </w:r>
    </w:p>
    <w:p>
      <w:pPr>
        <w:spacing w:after="0" w:line="13" w:lineRule="exact"/>
        <w:rPr>
          <w:sz w:val="20"/>
          <w:szCs w:val="20"/>
          <w:color w:val="auto"/>
        </w:rPr>
      </w:pPr>
    </w:p>
    <w:p>
      <w:pPr>
        <w:ind w:left="1440" w:hanging="173"/>
        <w:spacing w:after="0"/>
        <w:tabs>
          <w:tab w:leader="none" w:pos="14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Long-term equity awards are a critical design element of our compensation program for key employees.</w:t>
      </w:r>
    </w:p>
    <w:p>
      <w:pPr>
        <w:ind w:left="1440" w:right="179" w:hanging="173"/>
        <w:spacing w:after="0" w:line="241" w:lineRule="auto"/>
        <w:tabs>
          <w:tab w:leader="none" w:pos="14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Equity incentives have the dual benefit of allowing the Company to align the interests of our employees with those of long-term stockholders as well as deploy cash into creating incremental shareholder value.</w:t>
      </w:r>
    </w:p>
    <w:p>
      <w:pPr>
        <w:ind w:left="1440" w:right="419" w:hanging="173"/>
        <w:spacing w:after="0" w:line="241" w:lineRule="auto"/>
        <w:tabs>
          <w:tab w:leader="none" w:pos="14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If the Plan Amendment is not approved, our ability to attract and retain employees who are critical to the creation of incremental shareholder value could be significantly impacted.</w:t>
      </w:r>
    </w:p>
    <w:p>
      <w:pPr>
        <w:ind w:left="1440" w:hanging="173"/>
        <w:spacing w:after="0"/>
        <w:tabs>
          <w:tab w:leader="none" w:pos="14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We therefore request that shareholders support the Plan Amendment, the key features of which are highlighted below:</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Reasonable Plan Cost Allows Continued Alignment of Employee and Shareholder Interests</w:t>
      </w:r>
    </w:p>
    <w:p>
      <w:pPr>
        <w:spacing w:after="0" w:line="13" w:lineRule="exact"/>
        <w:rPr>
          <w:sz w:val="20"/>
          <w:szCs w:val="20"/>
          <w:color w:val="auto"/>
        </w:rPr>
      </w:pPr>
    </w:p>
    <w:p>
      <w:pPr>
        <w:ind w:left="1780" w:hanging="170"/>
        <w:spacing w:after="0"/>
        <w:tabs>
          <w:tab w:leader="none" w:pos="17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Permits continued alignment of interests through use of equity compensation</w:t>
      </w:r>
    </w:p>
    <w:p>
      <w:pPr>
        <w:ind w:left="1780" w:right="459" w:hanging="170"/>
        <w:spacing w:after="0" w:line="241" w:lineRule="auto"/>
        <w:tabs>
          <w:tab w:leader="none" w:pos="17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Reasonable number of additional shares requested—an additional 3,000,000 shares of Common Stock, which represents a potential equity dilution of approximately 2.88%</w:t>
      </w:r>
    </w:p>
    <w:p>
      <w:pPr>
        <w:ind w:left="1780" w:right="299" w:hanging="170"/>
        <w:spacing w:after="0" w:line="252" w:lineRule="auto"/>
        <w:tabs>
          <w:tab w:leader="none" w:pos="17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increase requested is based on the historical number of equity awards granted under the 2014 Plan, as well as the Company’s three-year average burn rate (2023-2025) of approximately 0.83%</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Responsible Grant Practices Enables Continued Focus on Pay-For-Performance Philosophy</w:t>
      </w:r>
    </w:p>
    <w:p>
      <w:pPr>
        <w:spacing w:after="0" w:line="13" w:lineRule="exact"/>
        <w:rPr>
          <w:sz w:val="20"/>
          <w:szCs w:val="20"/>
          <w:color w:val="auto"/>
        </w:rPr>
      </w:pPr>
    </w:p>
    <w:p>
      <w:pPr>
        <w:ind w:left="1780" w:hanging="170"/>
        <w:spacing w:after="0"/>
        <w:tabs>
          <w:tab w:leader="none" w:pos="17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Equity awards granted to our NEOs have a vesting period of at least three years</w:t>
      </w:r>
    </w:p>
    <w:p>
      <w:pPr>
        <w:ind w:left="1780" w:right="499" w:hanging="170"/>
        <w:spacing w:after="0" w:line="241" w:lineRule="auto"/>
        <w:tabs>
          <w:tab w:leader="none" w:pos="17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Our Compensation Committee maintains a policy requiring that at least 55% of NEO equity grants are subject to performance conditions to better align executives’ interests with those of long-term shareholders</w:t>
      </w:r>
    </w:p>
    <w:p>
      <w:pPr>
        <w:ind w:left="1780" w:right="419" w:hanging="170"/>
        <w:spacing w:after="0" w:line="241" w:lineRule="auto"/>
        <w:tabs>
          <w:tab w:leader="none" w:pos="17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Broad-based equity grants made under the 2014 Plan beyond our NEOs include over 450 employees who are currently eligible for recurring awards and approximately 11,000 additional employees who are currently eligible for non-recurring awards</w:t>
      </w:r>
    </w:p>
    <w:p>
      <w:pPr>
        <w:ind w:left="1780" w:hanging="170"/>
        <w:spacing w:after="0"/>
        <w:tabs>
          <w:tab w:leader="none" w:pos="17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Our clawback policy applies to equity awards and protects against undeserved earnings</w:t>
      </w:r>
    </w:p>
    <w:p>
      <w:pPr>
        <w:ind w:left="1780" w:hanging="170"/>
        <w:spacing w:after="0"/>
        <w:tabs>
          <w:tab w:leader="none" w:pos="17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Robust performance-based hurdles for equity awards granted under the 2014 Plan ensure earned vesting only for superior performance</w:t>
      </w:r>
    </w:p>
    <w:p>
      <w:pPr>
        <w:ind w:left="1780" w:hanging="170"/>
        <w:spacing w:after="0"/>
        <w:tabs>
          <w:tab w:leader="none" w:pos="17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Robust stock ownership guidelines ensure employees think and act like owners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2014 Plan Features Protect Shareholder Interests</w:t>
      </w:r>
    </w:p>
    <w:p>
      <w:pPr>
        <w:spacing w:after="0" w:line="13" w:lineRule="exact"/>
        <w:rPr>
          <w:sz w:val="20"/>
          <w:szCs w:val="20"/>
          <w:color w:val="auto"/>
        </w:rPr>
      </w:pPr>
    </w:p>
    <w:p>
      <w:pPr>
        <w:ind w:left="1600"/>
        <w:spacing w:after="0"/>
        <w:tabs>
          <w:tab w:leader="none" w:pos="17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No repricing or cash buyout permitted without shareholder approval</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0159"/>
          </w:cols>
          <w:pgMar w:left="300" w:top="412"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80" w:hanging="170"/>
        <w:spacing w:after="0"/>
        <w:tabs>
          <w:tab w:leader="none" w:pos="17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No liberal change in control vesting risks</w:t>
      </w:r>
    </w:p>
    <w:p>
      <w:pPr>
        <w:spacing w:after="0" w:line="12" w:lineRule="exact"/>
        <w:rPr>
          <w:rFonts w:ascii="Arial" w:cs="Arial" w:eastAsia="Arial" w:hAnsi="Arial"/>
          <w:sz w:val="13"/>
          <w:szCs w:val="13"/>
          <w:color w:val="auto"/>
        </w:rPr>
      </w:pPr>
    </w:p>
    <w:p>
      <w:pPr>
        <w:ind w:left="1780" w:hanging="170"/>
        <w:spacing w:after="0"/>
        <w:tabs>
          <w:tab w:leader="none" w:pos="17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No share reserve evergreen feature</w:t>
      </w:r>
    </w:p>
    <w:p>
      <w:pPr>
        <w:ind w:left="1780" w:hanging="170"/>
        <w:spacing w:after="0"/>
        <w:tabs>
          <w:tab w:leader="none" w:pos="17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No dividends or distributions paid on unvested performance-based equity awards</w:t>
      </w:r>
    </w:p>
    <w:p>
      <w:pPr>
        <w:ind w:left="1780" w:hanging="170"/>
        <w:spacing w:after="0"/>
        <w:tabs>
          <w:tab w:leader="none" w:pos="17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No liberal share recycling</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BOARD OF DIRECTORS RECOMMENDS A VOTE “FOR” THE APPROVAL OF THE PLAN AMENDMENT.</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BACKGROUND</w:t>
      </w:r>
    </w:p>
    <w:p>
      <w:pPr>
        <w:spacing w:after="0" w:line="284" w:lineRule="exact"/>
        <w:rPr>
          <w:sz w:val="20"/>
          <w:szCs w:val="20"/>
          <w:color w:val="auto"/>
        </w:rPr>
      </w:pPr>
    </w:p>
    <w:p>
      <w:pPr>
        <w:ind w:left="1260" w:right="239"/>
        <w:spacing w:after="0" w:line="256" w:lineRule="auto"/>
        <w:rPr>
          <w:sz w:val="20"/>
          <w:szCs w:val="20"/>
          <w:color w:val="auto"/>
        </w:rPr>
      </w:pPr>
      <w:r>
        <w:rPr>
          <w:rFonts w:ascii="Arial" w:cs="Arial" w:eastAsia="Arial" w:hAnsi="Arial"/>
          <w:sz w:val="13"/>
          <w:szCs w:val="13"/>
          <w:color w:val="auto"/>
        </w:rPr>
        <w:t>The Plan Amendment would increase the number of shares available for issuance under the 2014 Plan by an additional 3,000,000 shares of Common Stock. If the Plan Amendment is approved by shareholders, the number of shares available for future issuance under the 2014 Plan will be 4,353,847 as of March 12, 2026.</w:t>
      </w:r>
    </w:p>
    <w:p>
      <w:pPr>
        <w:spacing w:after="0" w:line="144" w:lineRule="exact"/>
        <w:rPr>
          <w:sz w:val="20"/>
          <w:szCs w:val="20"/>
          <w:color w:val="auto"/>
        </w:rPr>
      </w:pPr>
    </w:p>
    <w:p>
      <w:pPr>
        <w:ind w:left="1260" w:right="319"/>
        <w:spacing w:after="0" w:line="246" w:lineRule="auto"/>
        <w:rPr>
          <w:sz w:val="20"/>
          <w:szCs w:val="20"/>
          <w:color w:val="auto"/>
        </w:rPr>
      </w:pPr>
      <w:r>
        <w:rPr>
          <w:rFonts w:ascii="Arial" w:cs="Arial" w:eastAsia="Arial" w:hAnsi="Arial"/>
          <w:sz w:val="13"/>
          <w:szCs w:val="13"/>
          <w:color w:val="auto"/>
        </w:rPr>
        <w:t>The 2014 Plan. The Existing 2014 Plan (a) provides the ability of the Compensation Committee to grant stock options (both incentive stock options and non-qualified stock options), restricted stock, SARs, performance awards, dividend equivalents, stock payments, deferred stock, deferred stock units, restricted stock units (“RSUs”) and performance-based awards to eligible participants; (b) includes performance targets other than Adjusted Property EBITDAR, including, among others net income, cash flow, stock price and achievement of construction or development milestones; and (c) limits the maximum amount of cash payable under an award to a single participant to $20 million in a calendar year. The 2014 Plan allows us to make a greater percentage of total compensation subject to the achievement of relevant performance targets. We may use previously unissued Common Stock or Common Stock held in treasury for awards under the 2014 Plan.</w:t>
      </w:r>
    </w:p>
    <w:p>
      <w:pPr>
        <w:spacing w:after="0" w:line="151" w:lineRule="exact"/>
        <w:rPr>
          <w:sz w:val="20"/>
          <w:szCs w:val="20"/>
          <w:color w:val="auto"/>
        </w:rPr>
      </w:pPr>
    </w:p>
    <w:p>
      <w:pPr>
        <w:ind w:left="1260" w:right="239"/>
        <w:spacing w:after="0" w:line="247" w:lineRule="auto"/>
        <w:rPr>
          <w:sz w:val="20"/>
          <w:szCs w:val="20"/>
          <w:color w:val="auto"/>
        </w:rPr>
      </w:pPr>
      <w:r>
        <w:rPr>
          <w:rFonts w:ascii="Arial" w:cs="Arial" w:eastAsia="Arial" w:hAnsi="Arial"/>
          <w:sz w:val="13"/>
          <w:szCs w:val="13"/>
          <w:color w:val="auto"/>
        </w:rPr>
        <w:t>At its inception in 2014, the share reserve of the 2014 Plan was 4,409,390 shares of Common Stock. In 2020, the 2014 Plan was amended to increase the authorized share pool by an additional 1,500,000 shares of Common Stock, and in 2024, the 2014 Plan was amended again to increase the authorized share pool by an additional 2,000,000 shares of Common Stock. As of March 12, 2026, approximately 1,353,847 shares of Common Stock remained available for issuance under the 2014 Plan. As of March 12, 2026, options to purchase an aggregate of 16,241 shares of Common Stock were outstanding, with a weighted-average remaining term of 4.1 years and a weighted-average exercise price of $81.55 per share, and 542,754 full-value awards were outstanding.</w:t>
      </w:r>
    </w:p>
    <w:p>
      <w:pPr>
        <w:spacing w:after="0" w:line="150" w:lineRule="exact"/>
        <w:rPr>
          <w:sz w:val="20"/>
          <w:szCs w:val="20"/>
          <w:color w:val="auto"/>
        </w:rPr>
      </w:pPr>
    </w:p>
    <w:p>
      <w:pPr>
        <w:ind w:left="1260" w:right="179"/>
        <w:spacing w:after="0" w:line="245" w:lineRule="auto"/>
        <w:rPr>
          <w:sz w:val="20"/>
          <w:szCs w:val="20"/>
          <w:color w:val="auto"/>
        </w:rPr>
      </w:pPr>
      <w:r>
        <w:rPr>
          <w:rFonts w:ascii="Arial" w:cs="Arial" w:eastAsia="Arial" w:hAnsi="Arial"/>
          <w:sz w:val="13"/>
          <w:szCs w:val="13"/>
          <w:color w:val="auto"/>
        </w:rPr>
        <w:t>The Board believes that the number of shares that currently remain available for future issuance under the 2014 Plan will be insufficient to achieve the purposes of the 2014 Plan beyond one year (and perhaps a shorter period), unless the additional shares contemplated by the Plan Amendment are authorized and approved by shareholders. The Plan Amendment authorizes an additional 3,000,000 shares of Common Stock for awards under the 2014 Plan (representing approximately 2.88% of all currently outstanding shares of Common Stock). In setting and recommending to shareholders the number of additional shares to authorize pursuant to the Plan Amendment, the Compensation Committee and the Board considered the historical number of equity awards granted under the 2014 Plan, the recent expansion of the pool of employees eligible under the 2014 Plan, as well as the Company’s three-year average burn rate (2023-2025) of approximately 0.83%. The new 3,000,000 shares of Common Stock available for issuance under the 2014 Plan pursuant to the Plan Amendment would represent an additional potential equity dilution of approximately 2.88%.</w:t>
      </w:r>
    </w:p>
    <w:p>
      <w:pPr>
        <w:spacing w:after="0" w:line="152" w:lineRule="exact"/>
        <w:rPr>
          <w:sz w:val="20"/>
          <w:szCs w:val="20"/>
          <w:color w:val="auto"/>
        </w:rPr>
      </w:pPr>
    </w:p>
    <w:p>
      <w:pPr>
        <w:ind w:left="1260" w:right="459"/>
        <w:spacing w:after="0" w:line="271" w:lineRule="auto"/>
        <w:rPr>
          <w:sz w:val="20"/>
          <w:szCs w:val="20"/>
          <w:color w:val="auto"/>
        </w:rPr>
      </w:pPr>
      <w:r>
        <w:rPr>
          <w:rFonts w:ascii="Arial" w:cs="Arial" w:eastAsia="Arial" w:hAnsi="Arial"/>
          <w:sz w:val="13"/>
          <w:szCs w:val="13"/>
          <w:color w:val="auto"/>
        </w:rPr>
        <w:t>On March 12, 2026, the last trading day prior to the Record Date, the closing price per share of our Common Stock reported on the NASDAQ Global Select Market was $98.79 per share.</w:t>
      </w:r>
    </w:p>
    <w:p>
      <w:pPr>
        <w:spacing w:after="0" w:line="81"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0159"/>
          </w:cols>
          <w:pgMar w:left="300" w:top="412"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KEY FEATURES OF THE 2014 PLAN</w:t>
      </w:r>
    </w:p>
    <w:p>
      <w:pPr>
        <w:spacing w:after="0" w:line="284" w:lineRule="exact"/>
        <w:rPr>
          <w:sz w:val="20"/>
          <w:szCs w:val="20"/>
          <w:color w:val="auto"/>
        </w:rPr>
      </w:pPr>
    </w:p>
    <w:p>
      <w:pPr>
        <w:ind w:left="1260" w:right="279"/>
        <w:spacing w:after="0" w:line="266" w:lineRule="auto"/>
        <w:rPr>
          <w:sz w:val="20"/>
          <w:szCs w:val="20"/>
          <w:color w:val="auto"/>
        </w:rPr>
      </w:pPr>
      <w:r>
        <w:rPr>
          <w:rFonts w:ascii="Arial" w:cs="Arial" w:eastAsia="Arial" w:hAnsi="Arial"/>
          <w:sz w:val="13"/>
          <w:szCs w:val="13"/>
          <w:color w:val="auto"/>
        </w:rPr>
        <w:t>The 2014 Plan is in the best interests of the Company and its shareholders and contains features that are consistent with sound and effective corporate governance and compensation practices, including the following:</w:t>
      </w:r>
    </w:p>
    <w:p>
      <w:pPr>
        <w:spacing w:after="0" w:line="1" w:lineRule="exact"/>
        <w:rPr>
          <w:sz w:val="20"/>
          <w:szCs w:val="20"/>
          <w:color w:val="auto"/>
        </w:rPr>
      </w:pPr>
    </w:p>
    <w:p>
      <w:pPr>
        <w:ind w:left="1780" w:right="359" w:hanging="170"/>
        <w:spacing w:after="0" w:line="289" w:lineRule="auto"/>
        <w:tabs>
          <w:tab w:leader="none" w:pos="17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Flexibility for Performance-Based Awards. The 2014 Plan is designed to allow the Company to grant cash and equity incentive compensation awards that are intended to provide flexibility to the Compensation Committee in designing awards as performance-based compensation.</w:t>
      </w:r>
    </w:p>
    <w:p>
      <w:pPr>
        <w:ind w:left="1780" w:right="219" w:hanging="170"/>
        <w:spacing w:after="0" w:line="266" w:lineRule="auto"/>
        <w:tabs>
          <w:tab w:leader="none" w:pos="17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No Liberal Share Recycling Provisions. The 2014 Plan does not permit shares tendered or withheld to satisfy the exercise price of stock options or tax withholding obligations with respect to any awards to be recycled back into the share reserve.</w:t>
      </w:r>
    </w:p>
    <w:p>
      <w:pPr>
        <w:spacing w:after="0" w:line="1" w:lineRule="exact"/>
        <w:rPr>
          <w:rFonts w:ascii="Arial" w:cs="Arial" w:eastAsia="Arial" w:hAnsi="Arial"/>
          <w:sz w:val="13"/>
          <w:szCs w:val="13"/>
          <w:color w:val="auto"/>
        </w:rPr>
      </w:pPr>
    </w:p>
    <w:p>
      <w:pPr>
        <w:ind w:left="1780" w:right="239" w:hanging="170"/>
        <w:spacing w:after="0" w:line="247" w:lineRule="auto"/>
        <w:tabs>
          <w:tab w:leader="none" w:pos="17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Limitation On Grants. The 2014 Plan limits the maximum aggregate number of shares with respect to awards that may be granted to any one person during any calendar year of 1.5 million shares of Common Stock (subject to adjustment for certain equity restructurings and other corporate transactions). This limit allows us to structure our CEO’s compensation so that a higher proportion of his or her compensation is attributable to variable, at-risk components that drive shareholder value while substantially reducing his or her base cash salary. In addition, the 2014 Plan includes a limit on the maximum aggregate number of shares with respect to awards that may be granted to any non-employee director during any calendar year to 50,000.</w:t>
      </w:r>
    </w:p>
    <w:p>
      <w:pPr>
        <w:spacing w:after="0" w:line="10" w:lineRule="exact"/>
        <w:rPr>
          <w:rFonts w:ascii="Arial" w:cs="Arial" w:eastAsia="Arial" w:hAnsi="Arial"/>
          <w:sz w:val="13"/>
          <w:szCs w:val="13"/>
          <w:color w:val="auto"/>
        </w:rPr>
      </w:pPr>
    </w:p>
    <w:p>
      <w:pPr>
        <w:jc w:val="both"/>
        <w:ind w:left="1780" w:right="299" w:hanging="170"/>
        <w:spacing w:after="0" w:line="256" w:lineRule="auto"/>
        <w:tabs>
          <w:tab w:leader="none" w:pos="17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Does Not Permit Payment of Dividends or Dividend Equivalents on Performance-Based Awards until Vesting. Under the 2014 Plan, dividends and dividend equivalents payable in connection with performance-based awards will only be paid out to the extent that the performance-based vesting conditions are satisfied and the shares underlying such awards are earned and vested.</w:t>
      </w:r>
    </w:p>
    <w:p>
      <w:pPr>
        <w:spacing w:after="0" w:line="4" w:lineRule="exact"/>
        <w:rPr>
          <w:rFonts w:ascii="Arial" w:cs="Arial" w:eastAsia="Arial" w:hAnsi="Arial"/>
          <w:sz w:val="13"/>
          <w:szCs w:val="13"/>
          <w:color w:val="auto"/>
        </w:rPr>
      </w:pPr>
    </w:p>
    <w:p>
      <w:pPr>
        <w:jc w:val="both"/>
        <w:ind w:left="1780" w:right="299" w:hanging="170"/>
        <w:spacing w:after="0" w:line="256" w:lineRule="auto"/>
        <w:tabs>
          <w:tab w:leader="none" w:pos="17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Stock Option Exercise Prices and SAR Grant Prices Will Not be lower Than the Fair Market Value on the Grant Date. The 2014 Plan prohibits granting stock options with exercise prices and SARs with exercise prices lower than the fair market value of a share of Common Stock on the grant date.</w:t>
      </w:r>
    </w:p>
    <w:p>
      <w:pPr>
        <w:spacing w:after="0" w:line="4" w:lineRule="exact"/>
        <w:rPr>
          <w:rFonts w:ascii="Arial" w:cs="Arial" w:eastAsia="Arial" w:hAnsi="Arial"/>
          <w:sz w:val="13"/>
          <w:szCs w:val="13"/>
          <w:color w:val="auto"/>
        </w:rPr>
      </w:pPr>
    </w:p>
    <w:p>
      <w:pPr>
        <w:ind w:left="1780" w:right="219" w:hanging="170"/>
        <w:spacing w:after="0" w:line="256" w:lineRule="auto"/>
        <w:tabs>
          <w:tab w:leader="none" w:pos="17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Does Not Permit Repricing without Shareholder Approval. Under the 2014 Plan, without shareholder approval, we may not amend any option or stock appreciation right to reduce the exercise price or replace any stock option or SAR with cash or any other award when the price per share of the stock option or SAR exceeds the fair market value of the underlying shares.</w:t>
      </w:r>
    </w:p>
    <w:p>
      <w:pPr>
        <w:spacing w:after="0" w:line="4" w:lineRule="exact"/>
        <w:rPr>
          <w:rFonts w:ascii="Arial" w:cs="Arial" w:eastAsia="Arial" w:hAnsi="Arial"/>
          <w:sz w:val="13"/>
          <w:szCs w:val="13"/>
          <w:color w:val="auto"/>
        </w:rPr>
      </w:pPr>
    </w:p>
    <w:p>
      <w:pPr>
        <w:ind w:left="1780" w:right="279" w:hanging="170"/>
        <w:spacing w:after="0" w:line="271" w:lineRule="auto"/>
        <w:tabs>
          <w:tab w:leader="none" w:pos="17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Provides for Independent Administration. The Compensation Committee of our Board, which consists of only independent directors, or another committee of our Board, administers the 2014 Plan.</w:t>
      </w:r>
    </w:p>
    <w:p>
      <w:pPr>
        <w:spacing w:after="0" w:line="134" w:lineRule="exact"/>
        <w:rPr>
          <w:sz w:val="20"/>
          <w:szCs w:val="20"/>
          <w:color w:val="auto"/>
        </w:rPr>
      </w:pPr>
    </w:p>
    <w:p>
      <w:pPr>
        <w:ind w:left="1260" w:right="399"/>
        <w:spacing w:after="0" w:line="271" w:lineRule="auto"/>
        <w:rPr>
          <w:sz w:val="20"/>
          <w:szCs w:val="20"/>
          <w:color w:val="auto"/>
        </w:rPr>
      </w:pPr>
      <w:r>
        <w:rPr>
          <w:rFonts w:ascii="Arial" w:cs="Arial" w:eastAsia="Arial" w:hAnsi="Arial"/>
          <w:sz w:val="13"/>
          <w:szCs w:val="13"/>
          <w:color w:val="auto"/>
        </w:rPr>
        <w:t>The following is a general description of the material terms of the 2014 Plan. This summary is qualified in its entirety by reference to the full text of the 2014 Plan, which is attached as Appendix A to this Proxy Statement.</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2014 OMNIBUS INCENTIVE PLAN</w:t>
      </w:r>
    </w:p>
    <w:p>
      <w:pPr>
        <w:spacing w:after="0" w:line="273" w:lineRule="exact"/>
        <w:rPr>
          <w:sz w:val="20"/>
          <w:szCs w:val="20"/>
          <w:color w:val="auto"/>
        </w:rPr>
      </w:pPr>
    </w:p>
    <w:p>
      <w:pPr>
        <w:ind w:left="1260" w:right="219"/>
        <w:spacing w:after="0" w:line="256" w:lineRule="auto"/>
        <w:rPr>
          <w:sz w:val="20"/>
          <w:szCs w:val="20"/>
          <w:color w:val="auto"/>
        </w:rPr>
      </w:pPr>
      <w:r>
        <w:rPr>
          <w:rFonts w:ascii="Arial" w:cs="Arial" w:eastAsia="Arial" w:hAnsi="Arial"/>
          <w:sz w:val="13"/>
          <w:szCs w:val="13"/>
          <w:color w:val="auto"/>
        </w:rPr>
        <w:t>The 2014 Plan provides for the grant of stock options (both incentive stock options and non-qualified stock options), restricted stock, SARs, performance awards, dividend equivalents, stock payments, deferred stock, deferred stock units, restricted stock units (“RSUs”) and performance-based awards to eligible participants.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0159"/>
          </w:cols>
          <w:pgMar w:left="300" w:top="412"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ADMINISTRATION</w:t>
      </w:r>
    </w:p>
    <w:p>
      <w:pPr>
        <w:spacing w:after="0" w:line="284" w:lineRule="exact"/>
        <w:rPr>
          <w:sz w:val="20"/>
          <w:szCs w:val="20"/>
          <w:color w:val="auto"/>
        </w:rPr>
      </w:pPr>
    </w:p>
    <w:p>
      <w:pPr>
        <w:ind w:left="1260" w:right="259"/>
        <w:spacing w:after="0" w:line="248" w:lineRule="auto"/>
        <w:rPr>
          <w:sz w:val="20"/>
          <w:szCs w:val="20"/>
          <w:color w:val="auto"/>
        </w:rPr>
      </w:pPr>
      <w:r>
        <w:rPr>
          <w:rFonts w:ascii="Arial" w:cs="Arial" w:eastAsia="Arial" w:hAnsi="Arial"/>
          <w:sz w:val="13"/>
          <w:szCs w:val="13"/>
          <w:color w:val="auto"/>
        </w:rPr>
        <w:t>Unless otherwise determined by the Board, the 2014 Plan will continue to be administered by the Compensation Committee (collectively with Board, the “Administrator”), except that with respect to awards granted to independent directors, the Board will administer the 2014 Plan. The Administrator may delegate to a committee of one or more directors or one or more Company officers the authority to grant or amend awards under the 2014 Plan to participants other than (i) senior Company executives who are subject to Section 16 of the Exchange Act and (ii) Company officers or directors to whom the authority to grant or amend awards under the 2014 Plan has been delegated.</w:t>
      </w:r>
    </w:p>
    <w:p>
      <w:pPr>
        <w:spacing w:after="0" w:line="150" w:lineRule="exact"/>
        <w:rPr>
          <w:sz w:val="20"/>
          <w:szCs w:val="20"/>
          <w:color w:val="auto"/>
        </w:rPr>
      </w:pPr>
    </w:p>
    <w:p>
      <w:pPr>
        <w:ind w:left="1260" w:right="219"/>
        <w:spacing w:after="0" w:line="246" w:lineRule="auto"/>
        <w:rPr>
          <w:sz w:val="20"/>
          <w:szCs w:val="20"/>
          <w:color w:val="auto"/>
        </w:rPr>
      </w:pPr>
      <w:r>
        <w:rPr>
          <w:rFonts w:ascii="Arial" w:cs="Arial" w:eastAsia="Arial" w:hAnsi="Arial"/>
          <w:sz w:val="13"/>
          <w:szCs w:val="13"/>
          <w:color w:val="auto"/>
        </w:rPr>
        <w:t>Unless otherwise determined by the Board, the Administrator will have the authority to administer the 2014 Plan, including the power to (i) designate participants under the 2014 Plan, (ii) determine the types of awards granted to participants under the 2014 Plan, the number of such awards, and the number of shares of Common Stock subject to such awards, (iii) determine and interpret the terms and conditions of any awards under the 2014 Plan, including the vesting schedule, exercise price, whether to settle or accept the payment of any exercise price, in cash, Common Stock, other awards or other property, and whether an award may be cancelled, forfeited or surrendered, (iv) accelerate the vesting or lapse of restrictions of any award at any time after the grant of an award, (v) prescribe the form of each award agreement and (vi) adopt rules for the administration, interpretation and application of the 2014 Plan.</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ELIGIBILITY</w:t>
      </w:r>
    </w:p>
    <w:p>
      <w:pPr>
        <w:spacing w:after="0" w:line="273" w:lineRule="exact"/>
        <w:rPr>
          <w:sz w:val="20"/>
          <w:szCs w:val="20"/>
          <w:color w:val="auto"/>
        </w:rPr>
      </w:pPr>
    </w:p>
    <w:p>
      <w:pPr>
        <w:ind w:left="1260" w:right="159"/>
        <w:spacing w:after="0" w:line="256" w:lineRule="auto"/>
        <w:rPr>
          <w:sz w:val="20"/>
          <w:szCs w:val="20"/>
          <w:color w:val="auto"/>
        </w:rPr>
      </w:pPr>
      <w:r>
        <w:rPr>
          <w:rFonts w:ascii="Arial" w:cs="Arial" w:eastAsia="Arial" w:hAnsi="Arial"/>
          <w:sz w:val="13"/>
          <w:szCs w:val="13"/>
          <w:color w:val="auto"/>
        </w:rPr>
        <w:t>Persons eligible to participate in the 2014 Plan include all employees (including officers of the Company) and consultants of the Company and its affiliates and directors, as determined by the Administrator. As of the date of this Proxy Statement, approximately eight non-employee directors, approximately 28,500 employees, and four consultants, were eligible to participate in the 2014 Plan.</w:t>
      </w:r>
    </w:p>
    <w:p>
      <w:pPr>
        <w:spacing w:after="0" w:line="144" w:lineRule="exact"/>
        <w:rPr>
          <w:sz w:val="20"/>
          <w:szCs w:val="20"/>
          <w:color w:val="auto"/>
        </w:rPr>
      </w:pPr>
    </w:p>
    <w:p>
      <w:pPr>
        <w:ind w:left="1260" w:right="239"/>
        <w:spacing w:after="0" w:line="250" w:lineRule="auto"/>
        <w:rPr>
          <w:sz w:val="20"/>
          <w:szCs w:val="20"/>
          <w:color w:val="auto"/>
        </w:rPr>
      </w:pPr>
      <w:r>
        <w:rPr>
          <w:rFonts w:ascii="Arial" w:cs="Arial" w:eastAsia="Arial" w:hAnsi="Arial"/>
          <w:sz w:val="12"/>
          <w:szCs w:val="12"/>
          <w:color w:val="auto"/>
        </w:rPr>
        <w:t>Although the 2014 Plan contains broad eligibility standards, through 2018, the Company limited the pool of employees to whom equity awards were granted and occasionally made one-time awards to selected employees in the position of manager or above. In early 2019, in connection with certain other compensation plan changes, the Company expanded the pool of personnel eligible to receive annual recurring awards to those in positions of director and above (currently approximately 450 of our employees). In 2025, to honor the 20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anniversary of the opening of Wynn Las Vegas, the Company made a one-time grant to approximately 11,000 additional domestic employees. In the future, we may choose to expand eligibility for annual recurring awards to even more of our U.S. employees, and from time to time, make additional one-time non-recurring grants. Further, although the number of consultants retained by the Company fluctuates and at times can be significant, the Company has historically granted very few equity awards to consultants, typically only where such consultant has made a significant contribution to the Company. The Company expects to continue this practice.</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LIMITATION ON AWARDS AND SHARES AVAILABLE</w:t>
      </w:r>
    </w:p>
    <w:p>
      <w:pPr>
        <w:spacing w:after="0" w:line="284" w:lineRule="exact"/>
        <w:rPr>
          <w:sz w:val="20"/>
          <w:szCs w:val="20"/>
          <w:color w:val="auto"/>
        </w:rPr>
      </w:pPr>
    </w:p>
    <w:p>
      <w:pPr>
        <w:ind w:left="1260" w:right="139"/>
        <w:spacing w:after="0" w:line="314" w:lineRule="auto"/>
        <w:rPr>
          <w:sz w:val="20"/>
          <w:szCs w:val="20"/>
          <w:color w:val="auto"/>
        </w:rPr>
      </w:pPr>
      <w:r>
        <w:rPr>
          <w:rFonts w:ascii="Arial" w:cs="Arial" w:eastAsia="Arial" w:hAnsi="Arial"/>
          <w:sz w:val="12"/>
          <w:szCs w:val="12"/>
          <w:color w:val="auto"/>
        </w:rPr>
        <w:t>We are seeking approval to authorize an additional 3,000,000 shares of Common Stock for issuance pursuant to the Plan Amendment. If the Plan Amendment is approved by shareholders, the number of shares available for future issuance under the 2014 Plan will be 4,353,847 as of March 12, 2026.</w:t>
      </w:r>
    </w:p>
    <w:p>
      <w:pPr>
        <w:spacing w:after="0" w:line="111" w:lineRule="exact"/>
        <w:rPr>
          <w:sz w:val="20"/>
          <w:szCs w:val="20"/>
          <w:color w:val="auto"/>
        </w:rPr>
      </w:pPr>
    </w:p>
    <w:p>
      <w:pPr>
        <w:ind w:left="1260" w:right="199"/>
        <w:spacing w:after="0" w:line="271" w:lineRule="auto"/>
        <w:rPr>
          <w:sz w:val="20"/>
          <w:szCs w:val="20"/>
          <w:color w:val="auto"/>
        </w:rPr>
      </w:pPr>
      <w:r>
        <w:rPr>
          <w:rFonts w:ascii="Arial" w:cs="Arial" w:eastAsia="Arial" w:hAnsi="Arial"/>
          <w:sz w:val="13"/>
          <w:szCs w:val="13"/>
          <w:color w:val="auto"/>
        </w:rPr>
        <w:t>As of March 12, 2026, the aggregate number of shares of Common Stock that may be issued under the 2014 Plan was equal to approximately 1,912,842 Shares (which includes Shares subject to previously granted and outstanding under the 2014 Plan). If the</w:t>
      </w:r>
    </w:p>
    <w:p>
      <w:pPr>
        <w:spacing w:after="0" w:line="81"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0159"/>
          </w:cols>
          <w:pgMar w:left="300" w:top="413"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60" w:right="239"/>
        <w:spacing w:after="0" w:line="256" w:lineRule="auto"/>
        <w:rPr>
          <w:sz w:val="20"/>
          <w:szCs w:val="20"/>
          <w:color w:val="auto"/>
        </w:rPr>
      </w:pPr>
      <w:r>
        <w:rPr>
          <w:rFonts w:ascii="Arial" w:cs="Arial" w:eastAsia="Arial" w:hAnsi="Arial"/>
          <w:sz w:val="13"/>
          <w:szCs w:val="13"/>
          <w:color w:val="auto"/>
        </w:rPr>
        <w:t>Plan Amendment is approved by shareholders, the aggregate number of shares of Common Stock that may be issued under the 2014 Plan will be equal to 4,912,842 Shares (which includes Shares subject to previously granted and outstanding under the 2014 Plan). The shares of Common Stock covered by the 2014 Plan may be authorized but unissued shares, treasury shares or shares purchased in the open market.</w:t>
      </w:r>
    </w:p>
    <w:p>
      <w:pPr>
        <w:spacing w:after="0" w:line="144" w:lineRule="exact"/>
        <w:rPr>
          <w:sz w:val="20"/>
          <w:szCs w:val="20"/>
          <w:color w:val="auto"/>
        </w:rPr>
      </w:pPr>
    </w:p>
    <w:p>
      <w:pPr>
        <w:ind w:left="1260" w:right="139"/>
        <w:spacing w:after="0" w:line="244" w:lineRule="auto"/>
        <w:rPr>
          <w:sz w:val="20"/>
          <w:szCs w:val="20"/>
          <w:color w:val="auto"/>
        </w:rPr>
      </w:pPr>
      <w:r>
        <w:rPr>
          <w:rFonts w:ascii="Arial" w:cs="Arial" w:eastAsia="Arial" w:hAnsi="Arial"/>
          <w:sz w:val="13"/>
          <w:szCs w:val="13"/>
          <w:color w:val="auto"/>
        </w:rPr>
        <w:t>Generally, shares of Common Stock subject to an award under the 2014 Plan that terminate, expire or lapse for any reason are made available for issuance again under the 2014 Plan. Shares of Common Stock tendered or withheld to satisfy the grant or exercise price pursuant to any stock option, shares of Common Stock tendered or withheld to satisfy the tax withholding obligation pursuant to an award, shares of Common Stock that were subject to a stock-settled SAR that are not issued upon exercise of the SAR and shares of Common Stock purchased on the open market with the cash proceeds from the exercise of options will not be available for issuance again under the 2014 Plan. The payment of dividend equivalents in cash in conjunction with outstanding awards will not be counted against the shares available for issuance under the 2014 Plan. Furthermore, shares of Common Stock may not be optioned, granted or awarded again if it would prevent any stock option that is intended to qualify as an incentive stock option under Section 422 of the Code from so qualifying. In addition, shares issued in assumption of, or in substitution for, any outstanding awards previously granted by an entity plan in connection with a corporate transaction will not be counted against the shares available for issuance under the 2014 Plan.</w:t>
      </w:r>
    </w:p>
    <w:p>
      <w:pPr>
        <w:spacing w:after="0" w:line="156" w:lineRule="exact"/>
        <w:rPr>
          <w:sz w:val="20"/>
          <w:szCs w:val="20"/>
          <w:color w:val="auto"/>
        </w:rPr>
      </w:pPr>
    </w:p>
    <w:p>
      <w:pPr>
        <w:ind w:left="1260" w:right="219"/>
        <w:spacing w:after="0" w:line="256" w:lineRule="auto"/>
        <w:rPr>
          <w:sz w:val="20"/>
          <w:szCs w:val="20"/>
          <w:color w:val="auto"/>
        </w:rPr>
      </w:pPr>
      <w:r>
        <w:rPr>
          <w:rFonts w:ascii="Arial" w:cs="Arial" w:eastAsia="Arial" w:hAnsi="Arial"/>
          <w:sz w:val="13"/>
          <w:szCs w:val="13"/>
          <w:color w:val="auto"/>
        </w:rPr>
        <w:t>The maximum number of shares of Common Stock that may be subject to one or more awards granted to any person pursuant to the 2014 Plan during any calendar year is 1.5 million. In addition, the maximum aggregate number of shares with respect to awards that may be granted to any non-employee director pursuant to the 2014 Plan during any calendar year is 50,000.</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AWARDS</w:t>
      </w:r>
    </w:p>
    <w:p>
      <w:pPr>
        <w:spacing w:after="0" w:line="284" w:lineRule="exact"/>
        <w:rPr>
          <w:sz w:val="20"/>
          <w:szCs w:val="20"/>
          <w:color w:val="auto"/>
        </w:rPr>
      </w:pPr>
    </w:p>
    <w:p>
      <w:pPr>
        <w:ind w:left="1260" w:right="179"/>
        <w:spacing w:after="0" w:line="244" w:lineRule="auto"/>
        <w:rPr>
          <w:sz w:val="20"/>
          <w:szCs w:val="20"/>
          <w:color w:val="auto"/>
        </w:rPr>
      </w:pPr>
      <w:r>
        <w:rPr>
          <w:rFonts w:ascii="Arial" w:cs="Arial" w:eastAsia="Arial" w:hAnsi="Arial"/>
          <w:sz w:val="13"/>
          <w:szCs w:val="13"/>
          <w:color w:val="auto"/>
        </w:rPr>
        <w:t xml:space="preserve">The 2014 Plan provides for grants of stock options (both incentive stock options and non-qualified stock options), restricted stock, SARs, performance awards, dividend equivalents, stock payments, deferred stock, deferred stock units, RSUs and performance-based awards. Each award must be evidenced by a written award agreement with terms and conditions consistent with the 2014 Plan. Upon the exercise or vesting of an award, the exercise or purchase price must be paid in full by: cash or check; tendering shares of Common Stock with a fair market value at the time of exercise or vesting equal to the aggregate exercise or purchase price of the award or the exercised portion thereof, if applicable;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payment of such proceeds is then made to the Company upon settlement of such sale; or by tendering other property acceptable to the Administrator. Any withholding obligations may be satisfied in the Administrator’s sole discretion by allowing a holder to elect to have the Company withhold shares otherwise issuable under an award which are equal to the fair market value on the date of withholding or repurchase equal to aggregate amount of such liabilities.</w:t>
      </w:r>
    </w:p>
    <w:p>
      <w:pPr>
        <w:spacing w:after="0" w:line="152" w:lineRule="exact"/>
        <w:rPr>
          <w:sz w:val="20"/>
          <w:szCs w:val="20"/>
          <w:color w:val="auto"/>
        </w:rPr>
      </w:pPr>
    </w:p>
    <w:p>
      <w:pPr>
        <w:ind w:left="1260" w:right="139"/>
        <w:spacing w:after="0" w:line="248" w:lineRule="auto"/>
        <w:rPr>
          <w:sz w:val="20"/>
          <w:szCs w:val="20"/>
          <w:color w:val="auto"/>
        </w:rPr>
      </w:pPr>
      <w:r>
        <w:rPr>
          <w:rFonts w:ascii="Arial" w:cs="Arial" w:eastAsia="Arial" w:hAnsi="Arial"/>
          <w:sz w:val="13"/>
          <w:szCs w:val="13"/>
          <w:color w:val="auto"/>
        </w:rPr>
        <w:t>Stock Options. Stock options, including incentive stock options (as defined under Section 422 of the Code) and non-qualified stock options may be granted pursuant to the 2014 Plan. The exercise price of incentive stock options and non-qualified stock options granted pursuant to the 2014 Plan will not be less than 100% of the fair market value of the Common Stock on the date of grant, unless incentive stock options are granted to any individual who owns, as of the date of grant, stock possessing more than 10% of the total combined voting power of all classes of Company stock (a “Ten Percent Owner”), in which case the exercise price of such incentive stock options will not be less than</w:t>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0159"/>
          </w:cols>
          <w:pgMar w:left="300" w:top="412"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99"/>
        <w:spacing w:after="0" w:line="251" w:lineRule="auto"/>
        <w:rPr>
          <w:sz w:val="20"/>
          <w:szCs w:val="20"/>
          <w:color w:val="auto"/>
        </w:rPr>
      </w:pPr>
      <w:r>
        <w:rPr>
          <w:rFonts w:ascii="Arial" w:cs="Arial" w:eastAsia="Arial" w:hAnsi="Arial"/>
          <w:sz w:val="13"/>
          <w:szCs w:val="13"/>
          <w:color w:val="auto"/>
        </w:rPr>
        <w:t>110% of the fair market value of the Common Stock on the date of grant. Incentive stock options and non-qualified stock options may be exercised as determined by the Administrator, but in no event after (i) the fifth anniversary of the date of grant with respect to incentive stock options granted to a Ten Percent Owner or (ii) the tenth anniversary of the date of grant with respect to incentive stock options granted to other employees and non-qualified stock options.</w:t>
      </w:r>
    </w:p>
    <w:p>
      <w:pPr>
        <w:spacing w:after="0" w:line="147" w:lineRule="exact"/>
        <w:rPr>
          <w:sz w:val="20"/>
          <w:szCs w:val="20"/>
          <w:color w:val="auto"/>
        </w:rPr>
      </w:pPr>
    </w:p>
    <w:p>
      <w:pPr>
        <w:ind w:left="1260" w:right="199"/>
        <w:spacing w:after="0" w:line="246" w:lineRule="auto"/>
        <w:rPr>
          <w:sz w:val="20"/>
          <w:szCs w:val="20"/>
          <w:color w:val="auto"/>
        </w:rPr>
      </w:pPr>
      <w:r>
        <w:rPr>
          <w:rFonts w:ascii="Arial" w:cs="Arial" w:eastAsia="Arial" w:hAnsi="Arial"/>
          <w:sz w:val="13"/>
          <w:szCs w:val="13"/>
          <w:color w:val="auto"/>
        </w:rPr>
        <w:t>Restricted Stock. Restricted stock awards may be granted pursuant to the 2014 Plan. A restricted stock award is the grant of shares of Common Stock at a price determined by the Administrator (including zero), that is subject to sale, transfer and pledge restrictions and may be subject to substantial risk of forfeiture until specific conditions are met. Conditions may be based on continuing employment or achieving performance goals. During the period of restriction, participants holding shares of restricted stock may have full voting rights with respect to such shares.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 The restrictions will lapse in accordance with a schedule or other conditions determined by the Administrator.</w:t>
      </w:r>
    </w:p>
    <w:p>
      <w:pPr>
        <w:spacing w:after="0" w:line="151" w:lineRule="exact"/>
        <w:rPr>
          <w:sz w:val="20"/>
          <w:szCs w:val="20"/>
          <w:color w:val="auto"/>
        </w:rPr>
      </w:pPr>
    </w:p>
    <w:p>
      <w:pPr>
        <w:ind w:left="1260" w:right="219"/>
        <w:spacing w:after="0" w:line="247" w:lineRule="auto"/>
        <w:rPr>
          <w:sz w:val="20"/>
          <w:szCs w:val="20"/>
          <w:color w:val="auto"/>
        </w:rPr>
      </w:pPr>
      <w:r>
        <w:rPr>
          <w:rFonts w:ascii="Arial" w:cs="Arial" w:eastAsia="Arial" w:hAnsi="Arial"/>
          <w:sz w:val="13"/>
          <w:szCs w:val="13"/>
          <w:color w:val="auto"/>
        </w:rPr>
        <w:t>Stock Appreciation Rights. A SAR is the right to receive payment of an amount equal to (i) the excess of (A) the fair market value of a share of Common Stock on the date of exercise of the SAR over (B) the fair market value of a share of Common Stock on the date of grant of the SAR, multiplied by (ii) the aggregate number of shares of Common Stock subject to the SAR. Such payment will be in the form of cash, Common Stock or a combination of cash and Common Stock, as determined by the Administrator, and SARs settled in Common Stock will satisfy all of the restrictions imposed by the 2014 Plan upon stock option grants. The Administrator will determine the time or times at which a SAR may be exercised in whole or in part, provided that the term of any SAR will not exceed ten years.</w:t>
      </w:r>
    </w:p>
    <w:p>
      <w:pPr>
        <w:spacing w:after="0" w:line="150" w:lineRule="exact"/>
        <w:rPr>
          <w:sz w:val="20"/>
          <w:szCs w:val="20"/>
          <w:color w:val="auto"/>
        </w:rPr>
      </w:pPr>
    </w:p>
    <w:p>
      <w:pPr>
        <w:ind w:left="1260" w:right="219"/>
        <w:spacing w:after="0" w:line="248" w:lineRule="auto"/>
        <w:rPr>
          <w:sz w:val="20"/>
          <w:szCs w:val="20"/>
          <w:color w:val="auto"/>
        </w:rPr>
      </w:pPr>
      <w:r>
        <w:rPr>
          <w:rFonts w:ascii="Arial" w:cs="Arial" w:eastAsia="Arial" w:hAnsi="Arial"/>
          <w:sz w:val="13"/>
          <w:szCs w:val="13"/>
          <w:color w:val="auto"/>
        </w:rPr>
        <w:t>Restricted Stock Units. RSUs may be granted pursuant to the 2014 Plan, typically without consideration from the participant. RSUs may be subject to vesting conditions including continued employment or achievement of performance criteria established by the Administrator. Like restricted stock, RSUs may not be sold or otherwise transferred or hypothecated until vesting conditions are removed or expire. Unlike restricted stock, the Common Stock underlying RSUs will not be issued until the RSUs have vested, and recipients of RSUs generally will have no voting rights prior to the time when vesting conditions are satisfied.</w:t>
      </w:r>
    </w:p>
    <w:p>
      <w:pPr>
        <w:spacing w:after="0" w:line="150" w:lineRule="exact"/>
        <w:rPr>
          <w:sz w:val="20"/>
          <w:szCs w:val="20"/>
          <w:color w:val="auto"/>
        </w:rPr>
      </w:pPr>
    </w:p>
    <w:p>
      <w:pPr>
        <w:ind w:left="1260" w:right="179"/>
        <w:spacing w:after="0" w:line="247" w:lineRule="auto"/>
        <w:rPr>
          <w:sz w:val="20"/>
          <w:szCs w:val="20"/>
          <w:color w:val="auto"/>
        </w:rPr>
      </w:pPr>
      <w:r>
        <w:rPr>
          <w:rFonts w:ascii="Arial" w:cs="Arial" w:eastAsia="Arial" w:hAnsi="Arial"/>
          <w:sz w:val="13"/>
          <w:szCs w:val="13"/>
          <w:color w:val="auto"/>
        </w:rPr>
        <w:t>Performance Awards. Awards of performance awards which may be a cash bonus award, stock bonus award, performance award or incentive award that is paid in cash, shares or a combination of both, and may be linked to any one or more performance criteria determined appropriate by the Administrator, in each case on a specified date or dates or over any period or periods determined by the Administrator. Any participant selected by the Administrator may be granted a cash bonus payable upon the attainment of performance goals that are established by the administrator and relate to any one or more performance criteria determined appropriate by the Administrator on a specified date or dates or over any period or periods determined by the Administrator.</w:t>
      </w:r>
    </w:p>
    <w:p>
      <w:pPr>
        <w:spacing w:after="0" w:line="150" w:lineRule="exact"/>
        <w:rPr>
          <w:sz w:val="20"/>
          <w:szCs w:val="20"/>
          <w:color w:val="auto"/>
        </w:rPr>
      </w:pPr>
    </w:p>
    <w:p>
      <w:pPr>
        <w:ind w:left="1260" w:right="279"/>
        <w:spacing w:after="0" w:line="271" w:lineRule="auto"/>
        <w:rPr>
          <w:sz w:val="20"/>
          <w:szCs w:val="20"/>
          <w:color w:val="auto"/>
        </w:rPr>
      </w:pPr>
      <w:r>
        <w:rPr>
          <w:rFonts w:ascii="Arial" w:cs="Arial" w:eastAsia="Arial" w:hAnsi="Arial"/>
          <w:sz w:val="12"/>
          <w:szCs w:val="12"/>
          <w:color w:val="auto"/>
        </w:rPr>
        <w:t>Dividend Equivalents. Dividend equivalents are rights to receive the equivalent value (in cash or Common Stock) of dividends paid on Common Stock. Dividend equivalents represent the value of the 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In addition, with respect to an award with performance-based vesting, dividend equivalents which are paid prior to vesting shall only be paid out to the holder to the extent that the performance-based vesting conditions are subsequently satisfied and the award vests. Dividend equivalents cannot be granted with respect to options or SARs.</w:t>
      </w:r>
    </w:p>
    <w:p>
      <w:pPr>
        <w:spacing w:after="0" w:line="84"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0159"/>
          </w:cols>
          <w:pgMar w:left="300" w:top="412"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219"/>
        <w:spacing w:after="0" w:line="247" w:lineRule="auto"/>
        <w:rPr>
          <w:sz w:val="20"/>
          <w:szCs w:val="20"/>
          <w:color w:val="auto"/>
        </w:rPr>
      </w:pPr>
      <w:r>
        <w:rPr>
          <w:rFonts w:ascii="Arial" w:cs="Arial" w:eastAsia="Arial" w:hAnsi="Arial"/>
          <w:sz w:val="13"/>
          <w:szCs w:val="13"/>
          <w:color w:val="auto"/>
        </w:rPr>
        <w:t>Stock Payments. Stock payments include payments in the form of Common Stock, options or other rights to purchase Common Stock which may be made in lieu of all or any portion of the compensation that would otherwise be paid to the participant. The number of shares will be determined by the Administrator and may be based upon performance criteria determined appropriate by the Administrator, determined on the date such stock payment is made or on any date thereafter. Unless otherwise provided by the Administrator, a holder of a stock payment shall have no rights as a Company shareholder with respect to such stock payment until such time as the stock payment has vested and the shares underlying the Award have been issued to the Holder.</w:t>
      </w:r>
    </w:p>
    <w:p>
      <w:pPr>
        <w:spacing w:after="0" w:line="150" w:lineRule="exact"/>
        <w:rPr>
          <w:sz w:val="20"/>
          <w:szCs w:val="20"/>
          <w:color w:val="auto"/>
        </w:rPr>
      </w:pPr>
    </w:p>
    <w:p>
      <w:pPr>
        <w:ind w:left="1260" w:right="299"/>
        <w:spacing w:after="0" w:line="248" w:lineRule="auto"/>
        <w:rPr>
          <w:sz w:val="20"/>
          <w:szCs w:val="20"/>
          <w:color w:val="auto"/>
        </w:rPr>
      </w:pPr>
      <w:r>
        <w:rPr>
          <w:rFonts w:ascii="Arial" w:cs="Arial" w:eastAsia="Arial" w:hAnsi="Arial"/>
          <w:sz w:val="13"/>
          <w:szCs w:val="13"/>
          <w:color w:val="auto"/>
        </w:rPr>
        <w:t>Deferred Stock. Deferred stock may be awarded to participants and may be linked to any performance criteria determined to be appropriate by the Administrator. Common Stock underlying a deferred stock award will not be issued until the deferred stock award has vested, pursuant to a vesting schedule or performance criteria set by the Administrator, and unless otherwise provided by the Administrator, recipients of deferred stock generally will have no rights as a shareholder with respect to such deferred stock until the time the vesting conditions are satisfied and the stock underlying the deferred stock award has been issued.</w:t>
      </w:r>
    </w:p>
    <w:p>
      <w:pPr>
        <w:spacing w:after="0" w:line="150" w:lineRule="exact"/>
        <w:rPr>
          <w:sz w:val="20"/>
          <w:szCs w:val="20"/>
          <w:color w:val="auto"/>
        </w:rPr>
      </w:pPr>
    </w:p>
    <w:p>
      <w:pPr>
        <w:ind w:left="1260" w:right="319"/>
        <w:spacing w:after="0" w:line="287" w:lineRule="auto"/>
        <w:rPr>
          <w:sz w:val="20"/>
          <w:szCs w:val="20"/>
          <w:color w:val="auto"/>
        </w:rPr>
      </w:pPr>
      <w:r>
        <w:rPr>
          <w:rFonts w:ascii="Arial" w:cs="Arial" w:eastAsia="Arial" w:hAnsi="Arial"/>
          <w:sz w:val="12"/>
          <w:szCs w:val="12"/>
          <w:color w:val="auto"/>
        </w:rPr>
        <w:t>Deferred Stock Units. Awards of deferred stock units are denominated in unit equivalent of shares of Common Stock and vest pursuant to a vesting schedule or performance criteria set by the Administrator. The Common Stock underlying deferred stock units will not be issued until the deferred stock units have vested, and recipients of deferred stock units generally will have no voting rights prior to the time when vesting conditions are satisfied.</w:t>
      </w:r>
    </w:p>
    <w:p>
      <w:pPr>
        <w:spacing w:after="0" w:line="127" w:lineRule="exact"/>
        <w:rPr>
          <w:sz w:val="20"/>
          <w:szCs w:val="20"/>
          <w:color w:val="auto"/>
        </w:rPr>
      </w:pPr>
    </w:p>
    <w:p>
      <w:pPr>
        <w:ind w:left="1260" w:right="299"/>
        <w:spacing w:after="0" w:line="247" w:lineRule="auto"/>
        <w:rPr>
          <w:sz w:val="20"/>
          <w:szCs w:val="20"/>
          <w:color w:val="auto"/>
        </w:rPr>
      </w:pPr>
      <w:r>
        <w:rPr>
          <w:rFonts w:ascii="Arial" w:cs="Arial" w:eastAsia="Arial" w:hAnsi="Arial"/>
          <w:sz w:val="13"/>
          <w:szCs w:val="13"/>
          <w:color w:val="auto"/>
        </w:rPr>
        <w:t>Performance-based Awards. Participants are only entitled to receive payment for a performance-based award for any given performance period to the extent that pre-established performance goals set by the Administrator for the period are satisfied. With regard to a particular performance period, the Administrator will have the discretion to select the length of the performance period, the type of performance-based awards to be granted and the goals that will be used to measure the performance for the period. In determining the actual size of an individual performance-based award for a performance period, the Administrator may reduce or eliminate (but not increase) the award. Generally, a participant will have to be employed by the Company or an affiliate throughout the applicable performance period to be eligible for a performance-based award.</w:t>
      </w:r>
    </w:p>
    <w:p>
      <w:pPr>
        <w:spacing w:after="0" w:line="150" w:lineRule="exact"/>
        <w:rPr>
          <w:sz w:val="20"/>
          <w:szCs w:val="20"/>
          <w:color w:val="auto"/>
        </w:rPr>
      </w:pPr>
    </w:p>
    <w:p>
      <w:pPr>
        <w:ind w:left="1260" w:right="159"/>
        <w:spacing w:after="0" w:line="263" w:lineRule="auto"/>
        <w:rPr>
          <w:sz w:val="20"/>
          <w:szCs w:val="20"/>
          <w:color w:val="auto"/>
        </w:rPr>
      </w:pPr>
      <w:r>
        <w:rPr>
          <w:rFonts w:ascii="Arial" w:cs="Arial" w:eastAsia="Arial" w:hAnsi="Arial"/>
          <w:sz w:val="12"/>
          <w:szCs w:val="12"/>
          <w:color w:val="auto"/>
        </w:rPr>
        <w:t>Under the 2014 Plan, pre-established performance goals for awards must be based on one or more of the following performance criteria: (i) operating income (either before or after one or more of the following (a) depreciation, (b) amortization, (c) pre-opening costs, (d) property charges and other corporate expenses, (e) intercompany golf course and water rights leases, (f) stock-based compensation, and (g) triple-net operating lease rent expense related to Encore Boston Harbor, and (h) other non-operating income), (ii) adjusted property EBITDAR defined as earnings before interest, taxes, depreciation, amortization, pre-opening costs, property charges and other, corporate expenses, intercompany golf course and water rights leases, stock-based compensation, triple-net operating lease rent expense related to Encore Boston Harbor, and other non-operating income and expenses, and includes equity in income from unconsolidated affiliates, (iii) normalized adjusted property EBITDAR,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shareholders’ equity and total shareholder return, return on sales,</w:t>
      </w:r>
    </w:p>
    <w:p>
      <w:pPr>
        <w:spacing w:after="0" w:line="2" w:lineRule="exact"/>
        <w:rPr>
          <w:sz w:val="20"/>
          <w:szCs w:val="20"/>
          <w:color w:val="auto"/>
        </w:rPr>
      </w:pPr>
    </w:p>
    <w:p>
      <w:pPr>
        <w:ind w:left="1260" w:right="179" w:firstLine="7"/>
        <w:spacing w:after="0" w:line="261" w:lineRule="auto"/>
        <w:tabs>
          <w:tab w:leader="none" w:pos="1446" w:val="left"/>
        </w:tabs>
        <w:numPr>
          <w:ilvl w:val="0"/>
          <w:numId w:val="60"/>
        </w:numPr>
        <w:rPr>
          <w:rFonts w:ascii="Arial" w:cs="Arial" w:eastAsia="Arial" w:hAnsi="Arial"/>
          <w:sz w:val="12"/>
          <w:szCs w:val="12"/>
          <w:color w:val="auto"/>
        </w:rPr>
      </w:pPr>
      <w:r>
        <w:rPr>
          <w:rFonts w:ascii="Arial" w:cs="Arial" w:eastAsia="Arial" w:hAnsi="Arial"/>
          <w:sz w:val="12"/>
          <w:szCs w:val="12"/>
          <w:color w:val="auto"/>
        </w:rPr>
        <w:t>operating margins or adjusted property EBITDAR margins, (xi) departmental profit contributions (xii) costs and expenses management, (xiii) working capital management, (xiv) cash conversion cycle, (xv) weighted average cost of capital, (xvi) maintenance of leverage targets, (xvii) dividend payout ratio,</w:t>
      </w:r>
    </w:p>
    <w:p>
      <w:pPr>
        <w:ind w:left="1260" w:right="239" w:firstLine="7"/>
        <w:spacing w:after="0" w:line="252" w:lineRule="auto"/>
        <w:tabs>
          <w:tab w:leader="none" w:pos="1596" w:val="left"/>
        </w:tabs>
        <w:numPr>
          <w:ilvl w:val="0"/>
          <w:numId w:val="61"/>
        </w:numPr>
        <w:rPr>
          <w:rFonts w:ascii="Arial" w:cs="Arial" w:eastAsia="Arial" w:hAnsi="Arial"/>
          <w:sz w:val="13"/>
          <w:szCs w:val="13"/>
          <w:color w:val="auto"/>
        </w:rPr>
      </w:pPr>
      <w:r>
        <w:rPr>
          <w:rFonts w:ascii="Arial" w:cs="Arial" w:eastAsia="Arial" w:hAnsi="Arial"/>
          <w:sz w:val="13"/>
          <w:szCs w:val="13"/>
          <w:color w:val="auto"/>
        </w:rPr>
        <w:t>dividend growth, (xix) price per share of Common Stock, (xx) economic value, (xxi) productivity ratios, (xxii) market share, (xxiii) objective measure of customer satisfaction, (xxiv) implementation or completion of critical projects, (xxv) achievement of construction</w:t>
      </w:r>
    </w:p>
    <w:p>
      <w:pPr>
        <w:spacing w:after="0" w:line="9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0159"/>
          </w:cols>
          <w:pgMar w:left="300" w:top="412"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or development milestones, (xxvi) achievement of strategic objectives (including development activity), (xxvii) completion of capital markets transactions,</w:t>
      </w:r>
    </w:p>
    <w:p>
      <w:pPr>
        <w:spacing w:after="0" w:line="13" w:lineRule="exact"/>
        <w:rPr>
          <w:sz w:val="20"/>
          <w:szCs w:val="20"/>
          <w:color w:val="auto"/>
        </w:rPr>
      </w:pPr>
    </w:p>
    <w:p>
      <w:pPr>
        <w:ind w:left="1260" w:right="239" w:firstLine="7"/>
        <w:spacing w:after="0" w:line="243" w:lineRule="auto"/>
        <w:tabs>
          <w:tab w:leader="none" w:pos="16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maintenance or achievement of corporate rating targets and (xxix) third party recognition of quality of service and/or product (e.g. Forbes star awards or similar). The performance criteria may be measured either in absolute terms or as compared to any incremental increase or decrease or as compared to results of a peer group or to market performance indicators or indices. In addition, the administrator may, in its sole discretion, provide that one or more objectively determinable adjustments shall be made to one or more performance goals established under any of these performance criteria, such as adjustments related to a change in accounting principle or tax laws, related to acquisitions, to asset impairment charges or to gains or losses for litigation, arbitration and contractual settlements.</w:t>
      </w:r>
    </w:p>
    <w:p>
      <w:pPr>
        <w:spacing w:after="0" w:line="153" w:lineRule="exact"/>
        <w:rPr>
          <w:sz w:val="20"/>
          <w:szCs w:val="20"/>
          <w:color w:val="auto"/>
        </w:rPr>
      </w:pPr>
    </w:p>
    <w:p>
      <w:pPr>
        <w:ind w:left="1260" w:right="159"/>
        <w:spacing w:after="0" w:line="246" w:lineRule="auto"/>
        <w:rPr>
          <w:sz w:val="20"/>
          <w:szCs w:val="20"/>
          <w:color w:val="auto"/>
        </w:rPr>
      </w:pPr>
      <w:r>
        <w:rPr>
          <w:rFonts w:ascii="Arial" w:cs="Arial" w:eastAsia="Arial" w:hAnsi="Arial"/>
          <w:sz w:val="13"/>
          <w:szCs w:val="13"/>
          <w:color w:val="auto"/>
        </w:rPr>
        <w:t>Transferability of Awards. Awards cannot be assigned, transferred or otherwise disposed of by a participant other than by will or the laws of descent and distribution, pursuant to a domestic relations order subject to the consent of the Administrator or pursuant to beneficiary designation procedures approved from time to time by the Administrator. The Administrator may provide in any award agreement that an award (other than an incentive stock option) may be transferred to certain persons or entities related to a participant in the 2014 Plan,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permitted by the Administrator. Such permitted assignees will be bound by and subject to such terms and conditions as determined by the Administrator.</w:t>
      </w:r>
    </w:p>
    <w:p>
      <w:pPr>
        <w:spacing w:after="0" w:line="151" w:lineRule="exact"/>
        <w:rPr>
          <w:sz w:val="20"/>
          <w:szCs w:val="20"/>
          <w:color w:val="auto"/>
        </w:rPr>
      </w:pPr>
    </w:p>
    <w:p>
      <w:pPr>
        <w:ind w:left="1260" w:right="279"/>
        <w:spacing w:after="0" w:line="274" w:lineRule="auto"/>
        <w:rPr>
          <w:sz w:val="20"/>
          <w:szCs w:val="20"/>
          <w:color w:val="auto"/>
        </w:rPr>
      </w:pPr>
      <w:r>
        <w:rPr>
          <w:rFonts w:ascii="Arial" w:cs="Arial" w:eastAsia="Arial" w:hAnsi="Arial"/>
          <w:sz w:val="12"/>
          <w:szCs w:val="12"/>
          <w:color w:val="auto"/>
        </w:rPr>
        <w:t>Repricing. The Administrator cannot, without the approval of the shareholders of the Company, authorize the amendment of any outstanding option or SAR to reduce its price per share, or cancel any option or SAR in exchange for cash or another award when the option or SAR price per share exceeds the fair market value of the underlying shares of Common Stock. Subject to adjustment of awards as described below, the Administrator does have the authority, without the approval of the shareholders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ADJUSTMENTS TO AWARDS</w:t>
      </w:r>
    </w:p>
    <w:p>
      <w:pPr>
        <w:spacing w:after="0" w:line="284" w:lineRule="exact"/>
        <w:rPr>
          <w:sz w:val="20"/>
          <w:szCs w:val="20"/>
          <w:color w:val="auto"/>
        </w:rPr>
      </w:pPr>
    </w:p>
    <w:p>
      <w:pPr>
        <w:ind w:left="1260" w:right="139"/>
        <w:spacing w:after="0" w:line="247" w:lineRule="auto"/>
        <w:rPr>
          <w:sz w:val="20"/>
          <w:szCs w:val="20"/>
          <w:color w:val="auto"/>
        </w:rPr>
      </w:pPr>
      <w:r>
        <w:rPr>
          <w:rFonts w:ascii="Arial" w:cs="Arial" w:eastAsia="Arial" w:hAnsi="Arial"/>
          <w:sz w:val="13"/>
          <w:szCs w:val="13"/>
          <w:color w:val="auto"/>
        </w:rPr>
        <w:t>If there is a stock dividend, stock split, combination or exchange of shares, merger, consolidation or other distribution (other than cash dividends), that affects the shares of Common Stock (or other securities of the Company) or the stock price of Common Stock (or other securities), then the Administrator may make equitable adjustments to the aggregate number and kind of shares that may be issued under the 2014 Plan, (including adjustments to award limits), the number and kind of shares subject to each outstanding award under the 2014 Plan, the exercise price or grant price of such outstanding award (if applicable), and the terms and conditions of any outstanding awards (including any applicable performance targets or criteria). The Company may refuse to permit the exercise of any award during a period of 30 days prior to the consummation of any such transaction.</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If there is any stock dividend, stock split, combination or exchange of shares, merger, consolidation or other distribution (other than cash dividends) of</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Company assets to shareholders, or other unusual or nonrecurring transactions or events, the Administrator may, in its discretion:</w:t>
      </w:r>
    </w:p>
    <w:p>
      <w:pPr>
        <w:spacing w:after="0" w:line="21" w:lineRule="exact"/>
        <w:rPr>
          <w:sz w:val="20"/>
          <w:szCs w:val="20"/>
          <w:color w:val="auto"/>
        </w:rPr>
      </w:pPr>
    </w:p>
    <w:p>
      <w:pPr>
        <w:ind w:left="1780" w:right="319" w:hanging="170"/>
        <w:spacing w:after="0" w:line="271" w:lineRule="auto"/>
        <w:tabs>
          <w:tab w:leader="none" w:pos="17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provide for the termination of any award in exchange for an amount of cash (if any) and/or other property equal to the amount that would have been attained upon the exercise of such award or realization of the participant’s rights;</w:t>
      </w:r>
    </w:p>
    <w:p>
      <w:pPr>
        <w:spacing w:after="0" w:line="81"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0159"/>
          </w:cols>
          <w:pgMar w:left="300" w:top="412"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80" w:right="379" w:hanging="170"/>
        <w:spacing w:after="0" w:line="289" w:lineRule="auto"/>
        <w:tabs>
          <w:tab w:leader="none" w:pos="17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provide for the replacement of any award with other rights or property selected by the Administrator in its sole discretion having an aggregate value not exceeding the amount that could have been attained upon exercise of such award or realization or the participant’s rights;</w:t>
      </w:r>
    </w:p>
    <w:p>
      <w:pPr>
        <w:ind w:left="1780" w:hanging="170"/>
        <w:spacing w:after="0"/>
        <w:tabs>
          <w:tab w:leader="none" w:pos="17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provide that any outstanding award cannot vest, be exercised or become payable after such event;</w:t>
      </w:r>
    </w:p>
    <w:p>
      <w:pPr>
        <w:spacing w:after="0" w:line="32" w:lineRule="exact"/>
        <w:rPr>
          <w:rFonts w:ascii="Arial" w:cs="Arial" w:eastAsia="Arial" w:hAnsi="Arial"/>
          <w:sz w:val="13"/>
          <w:szCs w:val="13"/>
          <w:color w:val="auto"/>
        </w:rPr>
      </w:pPr>
    </w:p>
    <w:p>
      <w:pPr>
        <w:ind w:left="1780" w:hanging="170"/>
        <w:spacing w:after="0"/>
        <w:tabs>
          <w:tab w:leader="none" w:pos="17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provide that awards may be exercisable, payable or fully vested as to shares of Common Stock covered thereby;</w:t>
      </w:r>
    </w:p>
    <w:p>
      <w:pPr>
        <w:spacing w:after="0" w:line="32" w:lineRule="exact"/>
        <w:rPr>
          <w:rFonts w:ascii="Arial" w:cs="Arial" w:eastAsia="Arial" w:hAnsi="Arial"/>
          <w:sz w:val="13"/>
          <w:szCs w:val="13"/>
          <w:color w:val="auto"/>
        </w:rPr>
      </w:pPr>
    </w:p>
    <w:p>
      <w:pPr>
        <w:ind w:left="1780" w:right="179" w:hanging="170"/>
        <w:spacing w:after="0" w:line="256" w:lineRule="auto"/>
        <w:tabs>
          <w:tab w:leader="none" w:pos="17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provide that any surviving corporation (or its parent or subsidiary) will assume awards outstanding under the 2014 Plan or will substitute similar awards for those outstanding under the 2014 Plan, with appropriate adjustment of the number and kind of shares and the prices of such awards; or</w:t>
      </w:r>
    </w:p>
    <w:p>
      <w:pPr>
        <w:spacing w:after="0" w:line="4" w:lineRule="exact"/>
        <w:rPr>
          <w:rFonts w:ascii="Arial" w:cs="Arial" w:eastAsia="Arial" w:hAnsi="Arial"/>
          <w:sz w:val="13"/>
          <w:szCs w:val="13"/>
          <w:color w:val="auto"/>
        </w:rPr>
      </w:pPr>
    </w:p>
    <w:p>
      <w:pPr>
        <w:ind w:left="1780" w:right="159" w:hanging="170"/>
        <w:spacing w:after="0" w:line="256" w:lineRule="auto"/>
        <w:tabs>
          <w:tab w:leader="none" w:pos="17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make adjustments (i) in the number and type of shares of Common Stock (or other securities or property) subject to outstanding awards or in the number and type of shares of restricted stock or deferred stock or (ii) to the terms and conditions of (including the grant or exercise price) and the criteria included in, outstanding or future awards.</w:t>
      </w:r>
    </w:p>
    <w:p>
      <w:pPr>
        <w:spacing w:after="0" w:line="144" w:lineRule="exact"/>
        <w:rPr>
          <w:sz w:val="20"/>
          <w:szCs w:val="20"/>
          <w:color w:val="auto"/>
        </w:rPr>
      </w:pPr>
    </w:p>
    <w:p>
      <w:pPr>
        <w:ind w:left="1260" w:right="159"/>
        <w:spacing w:after="0" w:line="246" w:lineRule="auto"/>
        <w:rPr>
          <w:sz w:val="20"/>
          <w:szCs w:val="20"/>
          <w:color w:val="auto"/>
        </w:rPr>
      </w:pPr>
      <w:r>
        <w:rPr>
          <w:rFonts w:ascii="Arial" w:cs="Arial" w:eastAsia="Arial" w:hAnsi="Arial"/>
          <w:sz w:val="13"/>
          <w:szCs w:val="13"/>
          <w:color w:val="auto"/>
        </w:rPr>
        <w:t>If there is a nonreciprocal transaction between the Company and its shareholders, such as a stock dividend, stock split, spin-off, rights offering or recapitalization, that affects the shares of Common Stock (or other securities of the Company) or the stock price of Common Stock (or other securities) and causes a change in the per share value of the Common Stock underlying outstanding awards, then the Administrator will make equitable adjustments to the number and type of securities subject to each outstanding award under the 2014 Plan, and the exercise price or grant price of such outstanding award (if applicable). The Administrator will make other equitable adjustments it determines are appropriate to reflect such an event with respect to the aggregate number and kind of shares that may be issued under the 2014 Plan. The Company may refuse to permit the exercise of any award during a period of 30 days prior to the consummation of any such transaction.</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EFFECT OF A CHANGE IN CONTROL</w:t>
      </w:r>
    </w:p>
    <w:p>
      <w:pPr>
        <w:spacing w:after="0" w:line="284" w:lineRule="exact"/>
        <w:rPr>
          <w:sz w:val="20"/>
          <w:szCs w:val="20"/>
          <w:color w:val="auto"/>
        </w:rPr>
      </w:pPr>
    </w:p>
    <w:p>
      <w:pPr>
        <w:jc w:val="both"/>
        <w:ind w:left="1260" w:right="419"/>
        <w:spacing w:after="0" w:line="278" w:lineRule="auto"/>
        <w:rPr>
          <w:sz w:val="20"/>
          <w:szCs w:val="20"/>
          <w:color w:val="auto"/>
        </w:rPr>
      </w:pPr>
      <w:r>
        <w:rPr>
          <w:rFonts w:ascii="Arial" w:cs="Arial" w:eastAsia="Arial" w:hAnsi="Arial"/>
          <w:sz w:val="12"/>
          <w:szCs w:val="12"/>
          <w:color w:val="auto"/>
        </w:rPr>
        <w:t>In the event of a change in control of the Company, the Administrator may, in its sole discretion, take one or more of the following actions: shorten the period during which options or SARs are exercisable (provided they remain exercisable for at least 30 days after the date notice of such shortening is given to the holders of the options or SARs); accelerate the vesting of any Award; arrange to have the successor corporation assume the Awards; or cancel Awards upon payment to the holders of the Awards in cash, with respect to each Award to the extent then exercisable or vested.</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AMENDMENT AND TERMINATION</w:t>
      </w:r>
    </w:p>
    <w:p>
      <w:pPr>
        <w:spacing w:after="0" w:line="273" w:lineRule="exact"/>
        <w:rPr>
          <w:sz w:val="20"/>
          <w:szCs w:val="20"/>
          <w:color w:val="auto"/>
        </w:rPr>
      </w:pPr>
    </w:p>
    <w:p>
      <w:pPr>
        <w:ind w:left="1260" w:right="179"/>
        <w:spacing w:after="0" w:line="247" w:lineRule="auto"/>
        <w:rPr>
          <w:sz w:val="20"/>
          <w:szCs w:val="20"/>
          <w:color w:val="auto"/>
        </w:rPr>
      </w:pPr>
      <w:r>
        <w:rPr>
          <w:rFonts w:ascii="Arial" w:cs="Arial" w:eastAsia="Arial" w:hAnsi="Arial"/>
          <w:sz w:val="13"/>
          <w:szCs w:val="13"/>
          <w:color w:val="auto"/>
        </w:rPr>
        <w:t xml:space="preserve">The Administrator, subject to approval of the Board, may terminate, amend or modify the 2014 Plan at any time; </w:t>
      </w:r>
      <w:r>
        <w:rPr>
          <w:rFonts w:ascii="Arial" w:cs="Arial" w:eastAsia="Arial" w:hAnsi="Arial"/>
          <w:sz w:val="13"/>
          <w:szCs w:val="13"/>
          <w:i w:val="1"/>
          <w:iCs w:val="1"/>
          <w:color w:val="auto"/>
        </w:rPr>
        <w:t>provided, however</w:t>
      </w:r>
      <w:r>
        <w:rPr>
          <w:rFonts w:ascii="Arial" w:cs="Arial" w:eastAsia="Arial" w:hAnsi="Arial"/>
          <w:sz w:val="13"/>
          <w:szCs w:val="13"/>
          <w:color w:val="auto"/>
        </w:rPr>
        <w:t>, that shareholder approval will be obtained (i) to increase the number of shares of Common Stock available under the 2014 Plan (such as with respect to the Plan Amendment), (ii) to reduce the per share exercise price of any outstanding option or SAR and (iii) to cancel any option or SAR in exchange for cash or another award when the option or SAR price per share exceeds the fair market value of the underlying shares of Common Stock. Generally, no amendment, suspension or termination of the 2014 Plan shall, without the consent of the holder, impair any rights or obligations under any awards unless the award itself expressly provides.</w:t>
      </w:r>
    </w:p>
    <w:p>
      <w:pPr>
        <w:spacing w:after="0" w:line="150" w:lineRule="exact"/>
        <w:rPr>
          <w:sz w:val="20"/>
          <w:szCs w:val="20"/>
          <w:color w:val="auto"/>
        </w:rPr>
      </w:pPr>
    </w:p>
    <w:p>
      <w:pPr>
        <w:ind w:left="1260" w:right="359"/>
        <w:spacing w:after="0" w:line="271" w:lineRule="auto"/>
        <w:rPr>
          <w:sz w:val="20"/>
          <w:szCs w:val="20"/>
          <w:color w:val="auto"/>
        </w:rPr>
      </w:pPr>
      <w:r>
        <w:rPr>
          <w:rFonts w:ascii="Arial" w:cs="Arial" w:eastAsia="Arial" w:hAnsi="Arial"/>
          <w:sz w:val="13"/>
          <w:szCs w:val="13"/>
          <w:color w:val="auto"/>
        </w:rPr>
        <w:t>In no event may an award be granted pursuant to the 2014 Plan on or after the tenth anniversary of the date the Plan Amendment was adopted by the Board.</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0159"/>
          </w:cols>
          <w:pgMar w:left="300" w:top="412"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FEDERAL INCOME TAX CONSEQUENCES</w:t>
      </w:r>
    </w:p>
    <w:p>
      <w:pPr>
        <w:spacing w:after="0" w:line="284" w:lineRule="exact"/>
        <w:rPr>
          <w:sz w:val="20"/>
          <w:szCs w:val="20"/>
          <w:color w:val="auto"/>
        </w:rPr>
      </w:pPr>
    </w:p>
    <w:p>
      <w:pPr>
        <w:ind w:left="1260" w:right="419"/>
        <w:spacing w:after="0" w:line="251" w:lineRule="auto"/>
        <w:rPr>
          <w:sz w:val="20"/>
          <w:szCs w:val="20"/>
          <w:color w:val="auto"/>
        </w:rPr>
      </w:pPr>
      <w:r>
        <w:rPr>
          <w:rFonts w:ascii="Arial" w:cs="Arial" w:eastAsia="Arial" w:hAnsi="Arial"/>
          <w:sz w:val="13"/>
          <w:szCs w:val="13"/>
          <w:color w:val="auto"/>
        </w:rPr>
        <w:t>The U.S. federal income tax consequences of the 2014 Plan under current federal law, which is subject to change, are summarized in the following discussion of the general tax principles applicable to the 2014 Plan. This summary is not intended to be exhaustive and, among other considerations, does not describe state, local, or foreign tax consequences. Tax considerations may vary from locality to locality and depending upon individual circumstances.</w:t>
      </w:r>
    </w:p>
    <w:p>
      <w:pPr>
        <w:spacing w:after="0" w:line="147" w:lineRule="exact"/>
        <w:rPr>
          <w:sz w:val="20"/>
          <w:szCs w:val="20"/>
          <w:color w:val="auto"/>
        </w:rPr>
      </w:pPr>
    </w:p>
    <w:p>
      <w:pPr>
        <w:ind w:left="1260" w:right="179"/>
        <w:spacing w:after="0" w:line="243" w:lineRule="auto"/>
        <w:rPr>
          <w:sz w:val="20"/>
          <w:szCs w:val="20"/>
          <w:color w:val="auto"/>
        </w:rPr>
      </w:pPr>
      <w:r>
        <w:rPr>
          <w:rFonts w:ascii="Arial" w:cs="Arial" w:eastAsia="Arial" w:hAnsi="Arial"/>
          <w:sz w:val="13"/>
          <w:szCs w:val="13"/>
          <w:color w:val="auto"/>
        </w:rPr>
        <w:t>Section 409A of the Code. Certain types of awards under the 2014 Plan, including deferred stock and RSUs, may constitute, or provide for, a deferral of compensation subject to Section 409A of the Code. Unless certain requirements set forth in Section 409A are complied with, holders of such awards may be taxed earlier than would otherwise be the case (e.g., at the time of vesting instead of the time of payment) and may be subject to an additional 20% penalty tax (and, potentially, certain interest penalties). To the extent applicable, the 2014 Plan and awards granted under the plan will be structured and interpreted to comply with, or be exempt from, Section 409A of the Code and the Department of Treasury regulations and other interpretive guidance that may be issued under Section 409A. To the extent determined necessary or appropriate by the Administrator, the 2014 Plan and applicable award agreements may be amended without award holder consent to exempt the applicable awards from Section 409A of the Code or to comply with Section 409A.</w:t>
      </w:r>
    </w:p>
    <w:p>
      <w:pPr>
        <w:spacing w:after="0" w:line="3" w:lineRule="exact"/>
        <w:rPr>
          <w:sz w:val="20"/>
          <w:szCs w:val="20"/>
          <w:color w:val="auto"/>
        </w:rPr>
      </w:pPr>
    </w:p>
    <w:p>
      <w:pPr>
        <w:ind w:left="1260" w:right="179"/>
        <w:spacing w:after="0" w:line="243" w:lineRule="auto"/>
        <w:rPr>
          <w:sz w:val="20"/>
          <w:szCs w:val="20"/>
          <w:color w:val="auto"/>
        </w:rPr>
      </w:pPr>
      <w:r>
        <w:rPr>
          <w:rFonts w:ascii="Arial" w:cs="Arial" w:eastAsia="Arial" w:hAnsi="Arial"/>
          <w:sz w:val="13"/>
          <w:szCs w:val="13"/>
          <w:color w:val="auto"/>
        </w:rPr>
        <w:t>Non-Qualified Stock Options. For federal income tax purposes, if participants are granted non-qualified stock options under the 2014 Plan, participants generally will not have taxable income on the grant of the option, nor will we be entitled to any deduction. Generally, on exercise of non-qualified stock options, participants will recognize ordinary income, and the Company will be entitled to a deduction in an amount equal to the difference between the option exercise price and the fair market value of the Common Stock on the date of exercise. The basis that participants have in shares of Common Stock, for purposes of determining their gain or loss on subsequent disposition of such shares of Common Stock generally, will be the fair market value of the shares of Common Stock on the date the participants exercise their options. Any subsequent gain or loss will be generally taxable as capital gains or losses.</w:t>
      </w:r>
    </w:p>
    <w:p>
      <w:pPr>
        <w:spacing w:after="0" w:line="152" w:lineRule="exact"/>
        <w:rPr>
          <w:sz w:val="20"/>
          <w:szCs w:val="20"/>
          <w:color w:val="auto"/>
        </w:rPr>
      </w:pPr>
    </w:p>
    <w:p>
      <w:pPr>
        <w:ind w:left="1260" w:right="239"/>
        <w:spacing w:after="0" w:line="267" w:lineRule="auto"/>
        <w:rPr>
          <w:sz w:val="20"/>
          <w:szCs w:val="20"/>
          <w:color w:val="auto"/>
        </w:rPr>
      </w:pPr>
      <w:r>
        <w:rPr>
          <w:rFonts w:ascii="Arial" w:cs="Arial" w:eastAsia="Arial" w:hAnsi="Arial"/>
          <w:sz w:val="12"/>
          <w:szCs w:val="12"/>
          <w:color w:val="auto"/>
        </w:rPr>
        <w:t>Incentive Stock Options. There is no taxable income to participants when participants are granted an incentive stock option under Section 422 of the Code or when that option is exercised. However, the amount by which the fair market value of the shares of Common Stock at the time of exercise exceeds the option price will be an “item of adjustment” for participants for purposes of the alternative minimum tax. Gain realized by participants on the sale of an incentive stock option is taxable at capital gains rates, and no tax deduction is available to the Company, unless participants dispose of the shares of Common Stock within (i) two years after the date of grant of the option or (ii) within one year of the date the shares of Common Stock were transferred to the participant. If the shares of Common Stock are sold or otherwise disposed of before the end of the one-year and two-year periods specified above, the difference between the option exercise price and the fair market value of the shares of Common Stock on the date of the option’s exercise (or the date of sale, if less) will be taxed at ordinary income rates, and the Company will be entitled to a deduction to the extent that participants must recognize ordinary income. If such a sale or disposition takes place in the year in which participants exercise their options, the income such participants recognize upon sale or disposition of the shares of Common Stock will not be considered income for alternative minimum tax purposes.</w:t>
      </w:r>
    </w:p>
    <w:p>
      <w:pPr>
        <w:spacing w:after="0" w:line="139" w:lineRule="exact"/>
        <w:rPr>
          <w:sz w:val="20"/>
          <w:szCs w:val="20"/>
          <w:color w:val="auto"/>
        </w:rPr>
      </w:pPr>
    </w:p>
    <w:p>
      <w:pPr>
        <w:ind w:left="1260" w:right="339"/>
        <w:spacing w:after="0" w:line="256" w:lineRule="auto"/>
        <w:rPr>
          <w:sz w:val="20"/>
          <w:szCs w:val="20"/>
          <w:color w:val="auto"/>
        </w:rPr>
      </w:pPr>
      <w:r>
        <w:rPr>
          <w:rFonts w:ascii="Arial" w:cs="Arial" w:eastAsia="Arial" w:hAnsi="Arial"/>
          <w:sz w:val="13"/>
          <w:szCs w:val="13"/>
          <w:color w:val="auto"/>
        </w:rPr>
        <w:t>Incentive stock options exercised more than three months after a participant terminates employment, other than by reason of death or disability, will be taxed as a non-qualified stock option, and the participant will have been deemed to have received income on the exercise taxable at ordinary income rates. The Company will be entitled to a tax deduction equal to the ordinary income, if any, realized by the participant.</w:t>
      </w:r>
    </w:p>
    <w:p>
      <w:pPr>
        <w:spacing w:after="0" w:line="90"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0159"/>
          </w:cols>
          <w:pgMar w:left="300" w:top="412"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99"/>
        <w:spacing w:after="0" w:line="244" w:lineRule="auto"/>
        <w:rPr>
          <w:sz w:val="20"/>
          <w:szCs w:val="20"/>
          <w:color w:val="auto"/>
        </w:rPr>
      </w:pPr>
      <w:r>
        <w:rPr>
          <w:rFonts w:ascii="Arial" w:cs="Arial" w:eastAsia="Arial" w:hAnsi="Arial"/>
          <w:sz w:val="13"/>
          <w:szCs w:val="13"/>
          <w:color w:val="auto"/>
        </w:rPr>
        <w:t>Restricted Stock. For federal income tax purposes, the grantee generally will not have taxable income on the grant of restricted stock, nor will the Company then be entitled to any deduction, unless the grantee makes a valid election under Section 83(b) of the Code. However, when restrictions on shares of restricted stock lapse such that the shares are no longer subject to a substantial risk of forfeiture, the grantee generally will recognize ordinary income, and the Company will be entitled to a corresponding deduction for an amount equal to the difference between the fair market value of the shares at the date such restrictions lapse over the purchase price for the restricted stock. As previously noted, the grantee may elect, pursuant to Section 83(b) of the Code, to accelerate the ordinary income tax event to the date of acquisition by filing a valid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generally taxable as capital gains or losses.</w:t>
      </w:r>
    </w:p>
    <w:p>
      <w:pPr>
        <w:spacing w:after="0" w:line="156" w:lineRule="exact"/>
        <w:rPr>
          <w:sz w:val="20"/>
          <w:szCs w:val="20"/>
          <w:color w:val="auto"/>
        </w:rPr>
      </w:pPr>
    </w:p>
    <w:p>
      <w:pPr>
        <w:ind w:left="1260" w:right="219"/>
        <w:spacing w:after="0" w:line="251" w:lineRule="auto"/>
        <w:rPr>
          <w:sz w:val="20"/>
          <w:szCs w:val="20"/>
          <w:color w:val="auto"/>
        </w:rPr>
      </w:pPr>
      <w:r>
        <w:rPr>
          <w:rFonts w:ascii="Arial" w:cs="Arial" w:eastAsia="Arial" w:hAnsi="Arial"/>
          <w:sz w:val="13"/>
          <w:szCs w:val="13"/>
          <w:color w:val="auto"/>
        </w:rPr>
        <w:t>Stock Appreciation Rights. No taxable income is realized upon the receipt of a SAR, but upon exercise of the SAR, the fair market value of the shares of Common Stock received, determined on the date of exercise of the SAR, or the amount of cash received in lieu of shares, must be treated as compensation taxable as ordinary income to the grantee in the year of such exercise. The Company will be entitled to a deduction for compensation paid in the same amount which the grantee realized as ordinary income.</w:t>
      </w:r>
    </w:p>
    <w:p>
      <w:pPr>
        <w:spacing w:after="0" w:line="147" w:lineRule="exact"/>
        <w:rPr>
          <w:sz w:val="20"/>
          <w:szCs w:val="20"/>
          <w:color w:val="auto"/>
        </w:rPr>
      </w:pPr>
    </w:p>
    <w:p>
      <w:pPr>
        <w:ind w:left="1260" w:right="279"/>
        <w:spacing w:after="0" w:line="256" w:lineRule="auto"/>
        <w:rPr>
          <w:sz w:val="20"/>
          <w:szCs w:val="20"/>
          <w:color w:val="auto"/>
        </w:rPr>
      </w:pPr>
      <w:r>
        <w:rPr>
          <w:rFonts w:ascii="Arial" w:cs="Arial" w:eastAsia="Arial" w:hAnsi="Arial"/>
          <w:sz w:val="13"/>
          <w:szCs w:val="13"/>
          <w:color w:val="auto"/>
        </w:rPr>
        <w:t>Performance Awards. The grantee generally will not realize taxable income at the time of the grant of the performance award, and the Company will not be entitled to a deduction at that time. When the award is paid, whether in cash or Common Stock, the grantee will have ordinary income, and the Company will be entitled to a corresponding deduction.</w:t>
      </w:r>
    </w:p>
    <w:p>
      <w:pPr>
        <w:spacing w:after="0" w:line="144" w:lineRule="exact"/>
        <w:rPr>
          <w:sz w:val="20"/>
          <w:szCs w:val="20"/>
          <w:color w:val="auto"/>
        </w:rPr>
      </w:pPr>
    </w:p>
    <w:p>
      <w:pPr>
        <w:ind w:left="1260" w:right="399"/>
        <w:spacing w:after="0" w:line="271" w:lineRule="auto"/>
        <w:rPr>
          <w:sz w:val="20"/>
          <w:szCs w:val="20"/>
          <w:color w:val="auto"/>
        </w:rPr>
      </w:pPr>
      <w:r>
        <w:rPr>
          <w:rFonts w:ascii="Arial" w:cs="Arial" w:eastAsia="Arial" w:hAnsi="Arial"/>
          <w:sz w:val="13"/>
          <w:szCs w:val="13"/>
          <w:color w:val="auto"/>
        </w:rPr>
        <w:t>The grantee will generally recognize ordinary income at the time a performance cash-based bonus award is paid to the grantee. The Company will be entitled to a tax deduction equal to the ordinary income, if any, realized by the participant.</w:t>
      </w:r>
    </w:p>
    <w:p>
      <w:pPr>
        <w:spacing w:after="0" w:line="134" w:lineRule="exact"/>
        <w:rPr>
          <w:sz w:val="20"/>
          <w:szCs w:val="20"/>
          <w:color w:val="auto"/>
        </w:rPr>
      </w:pPr>
    </w:p>
    <w:p>
      <w:pPr>
        <w:jc w:val="both"/>
        <w:ind w:left="1260" w:right="159"/>
        <w:spacing w:after="0" w:line="256" w:lineRule="auto"/>
        <w:rPr>
          <w:sz w:val="20"/>
          <w:szCs w:val="20"/>
          <w:color w:val="auto"/>
        </w:rPr>
      </w:pPr>
      <w:r>
        <w:rPr>
          <w:rFonts w:ascii="Arial" w:cs="Arial" w:eastAsia="Arial" w:hAnsi="Arial"/>
          <w:sz w:val="13"/>
          <w:szCs w:val="13"/>
          <w:color w:val="auto"/>
        </w:rPr>
        <w:t>Dividend Equivalents. The grantee generally will not realize taxable income at the time of the grant of the dividend equivalents, and the Company will not be entitled to a deduction at that time. When a dividend equivalent is paid, the grantee will recognize ordinary income, and the Company will be entitled to a corresponding deduction.</w:t>
      </w:r>
    </w:p>
    <w:p>
      <w:pPr>
        <w:spacing w:after="0" w:line="144" w:lineRule="exact"/>
        <w:rPr>
          <w:sz w:val="20"/>
          <w:szCs w:val="20"/>
          <w:color w:val="auto"/>
        </w:rPr>
      </w:pPr>
    </w:p>
    <w:p>
      <w:pPr>
        <w:ind w:left="1260" w:right="419"/>
        <w:spacing w:after="0" w:line="271" w:lineRule="auto"/>
        <w:rPr>
          <w:sz w:val="20"/>
          <w:szCs w:val="20"/>
          <w:color w:val="auto"/>
        </w:rPr>
      </w:pPr>
      <w:r>
        <w:rPr>
          <w:rFonts w:ascii="Arial" w:cs="Arial" w:eastAsia="Arial" w:hAnsi="Arial"/>
          <w:sz w:val="13"/>
          <w:szCs w:val="13"/>
          <w:color w:val="auto"/>
        </w:rPr>
        <w:t>Stock Payments. If the grantee receives a stock payment in lieu of a cash payment that would otherwise have been made, he or she generally will be taxed as if the cash payment has been received, and the Company will have a deduction in the same amount.</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Deferred Stock. The grantee generally will not have taxable income upon the issuance of the deferred stock and the Company will not then be entitled to</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a deduction. However, when deferred stock vests and is issued to the grantee, he or she will realize ordinary income and the Company will be entitled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a deduction in an amount equal to the difference between the fair market value of the shares at the date of issuance over the purchase price, if any, for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deferred stock. Deferred stock may be subject to Section 409A of the Code, and the failure of any award of deferred stock that is subject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Section 409A to comply with Section 409A may result in taxable income to the grantee upon the grant or vesting of the award. Furthermore, an additional</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20% penalty tax may be imposed on the grantee pursuant to Section 409A of the Code, and certain interest penalties may apply.</w:t>
      </w:r>
    </w:p>
    <w:p>
      <w:pPr>
        <w:spacing w:after="0" w:line="160" w:lineRule="exact"/>
        <w:rPr>
          <w:sz w:val="20"/>
          <w:szCs w:val="20"/>
          <w:color w:val="auto"/>
        </w:rPr>
      </w:pPr>
    </w:p>
    <w:p>
      <w:pPr>
        <w:ind w:left="1260" w:right="239"/>
        <w:spacing w:after="0" w:line="251" w:lineRule="auto"/>
        <w:rPr>
          <w:sz w:val="20"/>
          <w:szCs w:val="20"/>
          <w:color w:val="auto"/>
        </w:rPr>
      </w:pPr>
      <w:r>
        <w:rPr>
          <w:rFonts w:ascii="Arial" w:cs="Arial" w:eastAsia="Arial" w:hAnsi="Arial"/>
          <w:sz w:val="13"/>
          <w:szCs w:val="13"/>
          <w:color w:val="auto"/>
        </w:rPr>
        <w:t>Deferred Stock Units. The grantee generally will not realize taxable income at the time of the grant of the deferred stock units, and the Company will not be entitled to a deduction at that time. When the award is paid, whether in cash or Common Stock, the grantee will have ordinary income, and the Company will be entitled to a corresponding deduction. Deferred stock units may be subject to Section 409A of the Code, and the failure of any award of deferred stock units that is subject to Section 409A to comply with Section 409A may result in</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0159"/>
          </w:cols>
          <w:pgMar w:left="300" w:top="412"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619"/>
        <w:spacing w:after="0" w:line="271" w:lineRule="auto"/>
        <w:rPr>
          <w:sz w:val="20"/>
          <w:szCs w:val="20"/>
          <w:color w:val="auto"/>
        </w:rPr>
      </w:pPr>
      <w:r>
        <w:rPr>
          <w:rFonts w:ascii="Arial" w:cs="Arial" w:eastAsia="Arial" w:hAnsi="Arial"/>
          <w:sz w:val="13"/>
          <w:szCs w:val="13"/>
          <w:color w:val="auto"/>
        </w:rPr>
        <w:t>taxable income to the grantee upon the grant or vesting of the award. Furthermore, an additional 20% penalty tax may be imposed on the grantee pursuant to Section 409A of the Code, and certain interest penalties may apply.</w:t>
      </w:r>
    </w:p>
    <w:p>
      <w:pPr>
        <w:spacing w:after="0" w:line="134" w:lineRule="exact"/>
        <w:rPr>
          <w:sz w:val="20"/>
          <w:szCs w:val="20"/>
          <w:color w:val="auto"/>
        </w:rPr>
      </w:pPr>
    </w:p>
    <w:p>
      <w:pPr>
        <w:ind w:left="1260" w:right="219"/>
        <w:spacing w:after="0" w:line="248" w:lineRule="auto"/>
        <w:rPr>
          <w:sz w:val="20"/>
          <w:szCs w:val="20"/>
          <w:color w:val="auto"/>
        </w:rPr>
      </w:pPr>
      <w:r>
        <w:rPr>
          <w:rFonts w:ascii="Arial" w:cs="Arial" w:eastAsia="Arial" w:hAnsi="Arial"/>
          <w:sz w:val="13"/>
          <w:szCs w:val="13"/>
          <w:color w:val="auto"/>
        </w:rPr>
        <w:t>Restricted Stock Units. The grantee generally will not realize taxable income at the time of the grant of the RSUs, and the Company will not be entitled to a deduction at that time. When an award is paid, whether in cash or Common Stock, the grantee will have ordinary income, and the Company will be entitled to a corresponding deduction. RSUs may be subject to Section 409A of the Code, and the failure of any RSU that is subject to Section 409A to comply with Section 409A may result in taxable income to the grantee upon vesting (rather than at such time as the award is paid). Furthermore, an additional 20% penalty tax may be imposed on the grantee under Section 409A of the Code, and certain interest penalties may apply.</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Section 162(m). Under Code Section 162(m) of the Code, no deduction is allowed in any taxable year of the Company for compensation in excess of</w:t>
      </w:r>
    </w:p>
    <w:p>
      <w:pPr>
        <w:spacing w:after="0" w:line="13" w:lineRule="exact"/>
        <w:rPr>
          <w:sz w:val="20"/>
          <w:szCs w:val="20"/>
          <w:color w:val="auto"/>
        </w:rPr>
      </w:pPr>
    </w:p>
    <w:p>
      <w:pPr>
        <w:ind w:left="1260" w:right="139"/>
        <w:spacing w:after="0" w:line="243" w:lineRule="auto"/>
        <w:rPr>
          <w:sz w:val="20"/>
          <w:szCs w:val="20"/>
          <w:color w:val="auto"/>
        </w:rPr>
      </w:pPr>
      <w:r>
        <w:rPr>
          <w:rFonts w:ascii="Arial" w:cs="Arial" w:eastAsia="Arial" w:hAnsi="Arial"/>
          <w:sz w:val="13"/>
          <w:szCs w:val="13"/>
          <w:color w:val="auto"/>
        </w:rPr>
        <w:t>$1 million paid to the Company’s covered employees, which includes our chief executive officer, chief financial officer and the other “covered employees” as determined under Section 162(m) of the Code and applicable guidance. Under Section 162(m) of the Code, the annual compensation paid to any of these covered employees, including awards that the Company grants pursuant to the 2014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2014 Plan may not be deductible by the Company, to the extent that the annual deduction limitation is exceeded.</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2014 PLAN BENEFITS</w:t>
      </w:r>
    </w:p>
    <w:p>
      <w:pPr>
        <w:spacing w:after="0" w:line="284" w:lineRule="exact"/>
        <w:rPr>
          <w:sz w:val="20"/>
          <w:szCs w:val="20"/>
          <w:color w:val="auto"/>
        </w:rPr>
      </w:pPr>
    </w:p>
    <w:p>
      <w:pPr>
        <w:jc w:val="both"/>
        <w:ind w:left="1260" w:right="239"/>
        <w:spacing w:after="0" w:line="256" w:lineRule="auto"/>
        <w:rPr>
          <w:sz w:val="20"/>
          <w:szCs w:val="20"/>
          <w:color w:val="auto"/>
        </w:rPr>
      </w:pPr>
      <w:r>
        <w:rPr>
          <w:rFonts w:ascii="Arial" w:cs="Arial" w:eastAsia="Arial" w:hAnsi="Arial"/>
          <w:sz w:val="13"/>
          <w:szCs w:val="13"/>
          <w:color w:val="auto"/>
        </w:rPr>
        <w:t>No determination has yet been made as to the awards, if any, that any eligible individuals will be granted in the future and no awards have been granted that are contingent on the approval of the Plan Amendment and, therefore, the benefits to be awarded under the 2014 Plan, which are determined in the Administrator’s sole discretion, are not determinable at this time.</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SECURITIES AUTHORIZED FOR ISSUANCE UNDER EQUITY COMPENSATION PLANS</w:t>
      </w:r>
    </w:p>
    <w:p>
      <w:pPr>
        <w:spacing w:after="0" w:line="273" w:lineRule="exact"/>
        <w:rPr>
          <w:sz w:val="20"/>
          <w:szCs w:val="20"/>
          <w:color w:val="auto"/>
        </w:rPr>
      </w:pPr>
    </w:p>
    <w:p>
      <w:pPr>
        <w:ind w:left="1260" w:right="179"/>
        <w:spacing w:after="0" w:line="251" w:lineRule="auto"/>
        <w:rPr>
          <w:sz w:val="20"/>
          <w:szCs w:val="20"/>
          <w:color w:val="auto"/>
        </w:rPr>
      </w:pPr>
      <w:r>
        <w:rPr>
          <w:rFonts w:ascii="Arial" w:cs="Arial" w:eastAsia="Arial" w:hAnsi="Arial"/>
          <w:sz w:val="13"/>
          <w:szCs w:val="13"/>
          <w:color w:val="auto"/>
        </w:rPr>
        <w:t>The following table summarizes, as of December 31, 2025, compensation plans under which our equity securities are authorized for issuance, aggregated as to: (i) all compensation plans previously approved by shareholders, and (ii) all compensation plans not previously approved by shareholders. These plans are described in Item 8 (Financial Statements and Supplementary Data) of Part II of our Form 10-K filed on March 2, 2026. As of March 12, 2026, approximately 1,353,847 of these previously approved shares remained available for new awards under the 2014 Plan.</w:t>
      </w:r>
    </w:p>
    <w:p>
      <w:pPr>
        <w:spacing w:after="0" w:line="93"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0159"/>
          </w:cols>
          <w:pgMar w:left="300" w:top="412"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239"/>
        <w:spacing w:after="0" w:line="256" w:lineRule="auto"/>
        <w:rPr>
          <w:sz w:val="20"/>
          <w:szCs w:val="20"/>
          <w:color w:val="auto"/>
        </w:rPr>
      </w:pPr>
      <w:r>
        <w:rPr>
          <w:rFonts w:ascii="Arial" w:cs="Arial" w:eastAsia="Arial" w:hAnsi="Arial"/>
          <w:sz w:val="13"/>
          <w:szCs w:val="13"/>
          <w:color w:val="auto"/>
        </w:rPr>
        <w:t>As of March 12, 2026, options to purchase an aggregate of 16,241 shares of Common Stock were outstanding, with a weighted-average remaining term of 4.1 years and a weighted-average exercise price of $81.55 per share, and 542,754 full-value awards were outstanding, which includes 461,110 of unvested restricted stock units and 81,644 performance share units at target.</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5610860</wp:posOffset>
            </wp:positionH>
            <wp:positionV relativeFrom="paragraph">
              <wp:posOffset>125730</wp:posOffset>
            </wp:positionV>
            <wp:extent cx="6985" cy="19824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85" cy="1982470"/>
                    </a:xfrm>
                    <a:prstGeom prst="rect">
                      <a:avLst/>
                    </a:prstGeom>
                    <a:noFill/>
                  </pic:spPr>
                </pic:pic>
              </a:graphicData>
            </a:graphic>
          </wp:anchor>
        </w:drawing>
        <w:drawing>
          <wp:anchor simplePos="0" relativeHeight="251657728" behindDoc="1" locked="0" layoutInCell="0" allowOverlap="1">
            <wp:simplePos x="0" y="0"/>
            <wp:positionH relativeFrom="column">
              <wp:posOffset>4922520</wp:posOffset>
            </wp:positionH>
            <wp:positionV relativeFrom="paragraph">
              <wp:posOffset>125730</wp:posOffset>
            </wp:positionV>
            <wp:extent cx="6985" cy="19824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85" cy="198247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125730</wp:posOffset>
            </wp:positionV>
            <wp:extent cx="6985" cy="19824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85" cy="1982470"/>
                    </a:xfrm>
                    <a:prstGeom prst="rect">
                      <a:avLst/>
                    </a:prstGeom>
                    <a:noFill/>
                  </pic:spPr>
                </pic:pic>
              </a:graphicData>
            </a:graphic>
          </wp:anchor>
        </w:drawing>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5380" w:type="dxa"/>
            <w:vAlign w:val="bottom"/>
            <w:shd w:val="clear" w:color="auto" w:fill="B9AFA0"/>
          </w:tcPr>
          <w:p>
            <w:pPr>
              <w:spacing w:after="0"/>
              <w:rPr>
                <w:sz w:val="16"/>
                <w:szCs w:val="16"/>
                <w:color w:val="auto"/>
              </w:rPr>
            </w:pPr>
          </w:p>
        </w:tc>
        <w:tc>
          <w:tcPr>
            <w:tcW w:w="1120" w:type="dxa"/>
            <w:vAlign w:val="bottom"/>
            <w:shd w:val="clear" w:color="auto" w:fill="B9AFA0"/>
          </w:tcPr>
          <w:p>
            <w:pPr>
              <w:spacing w:after="0"/>
              <w:rPr>
                <w:sz w:val="16"/>
                <w:szCs w:val="16"/>
                <w:color w:val="auto"/>
              </w:rPr>
            </w:pPr>
          </w:p>
        </w:tc>
        <w:tc>
          <w:tcPr>
            <w:tcW w:w="1060" w:type="dxa"/>
            <w:vAlign w:val="bottom"/>
            <w:shd w:val="clear" w:color="auto" w:fill="B9AFA0"/>
          </w:tcPr>
          <w:p>
            <w:pPr>
              <w:spacing w:after="0"/>
              <w:rPr>
                <w:sz w:val="16"/>
                <w:szCs w:val="16"/>
                <w:color w:val="auto"/>
              </w:rPr>
            </w:pP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NUMBER OF</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spacing w:after="0"/>
              <w:rPr>
                <w:sz w:val="13"/>
                <w:szCs w:val="13"/>
                <w:color w:val="auto"/>
              </w:rPr>
            </w:pPr>
          </w:p>
        </w:tc>
        <w:tc>
          <w:tcPr>
            <w:tcW w:w="1060" w:type="dxa"/>
            <w:vAlign w:val="bottom"/>
            <w:shd w:val="clear" w:color="auto" w:fill="B9AFA0"/>
          </w:tcPr>
          <w:p>
            <w:pPr>
              <w:spacing w:after="0"/>
              <w:rPr>
                <w:sz w:val="13"/>
                <w:szCs w:val="13"/>
                <w:color w:val="auto"/>
              </w:rPr>
            </w:pP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SECURITIES</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spacing w:after="0"/>
              <w:rPr>
                <w:sz w:val="13"/>
                <w:szCs w:val="13"/>
                <w:color w:val="auto"/>
              </w:rPr>
            </w:pPr>
          </w:p>
        </w:tc>
        <w:tc>
          <w:tcPr>
            <w:tcW w:w="1060" w:type="dxa"/>
            <w:vAlign w:val="bottom"/>
            <w:shd w:val="clear" w:color="auto" w:fill="B9AFA0"/>
          </w:tcPr>
          <w:p>
            <w:pPr>
              <w:spacing w:after="0"/>
              <w:rPr>
                <w:sz w:val="13"/>
                <w:szCs w:val="13"/>
                <w:color w:val="auto"/>
              </w:rPr>
            </w:pP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REMAINING</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spacing w:after="0"/>
              <w:rPr>
                <w:sz w:val="13"/>
                <w:szCs w:val="13"/>
                <w:color w:val="auto"/>
              </w:rPr>
            </w:pPr>
          </w:p>
        </w:tc>
        <w:tc>
          <w:tcPr>
            <w:tcW w:w="1060" w:type="dxa"/>
            <w:vAlign w:val="bottom"/>
            <w:shd w:val="clear" w:color="auto" w:fill="B9AFA0"/>
          </w:tcPr>
          <w:p>
            <w:pPr>
              <w:spacing w:after="0"/>
              <w:rPr>
                <w:sz w:val="13"/>
                <w:szCs w:val="13"/>
                <w:color w:val="auto"/>
              </w:rPr>
            </w:pP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6"/>
              </w:rPr>
              <w:t>AVAILABLE FOR</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NUMBER OF</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rPr>
              <w:t xml:space="preserve">WEIGHTED- </w:t>
            </w: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FUTURE</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SECURITIES</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5"/>
              </w:rPr>
              <w:t>AVERAGE</w:t>
            </w: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ISSUANCE</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TO BE ISSUED</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EXERCISE</w:t>
            </w: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UNDER EQUITY</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5"/>
              </w:rPr>
              <w:t>UPON</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PRICE OF</w:t>
            </w: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COMPENSATION</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EXERCISE OF</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OUTSTANDING</w:t>
            </w: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8"/>
              </w:rPr>
              <w:t>PLANS</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OUTSTANDING</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6"/>
              </w:rPr>
              <w:t>OPTIONS,</w:t>
            </w: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(EXCLUDING</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OPTIONS,</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6"/>
              </w:rPr>
              <w:t>WARRANTS</w:t>
            </w: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SECURITIES</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WARRANTS</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rPr>
              <w:t>AND</w:t>
            </w: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REFLECTED IN</w:t>
            </w:r>
          </w:p>
        </w:tc>
      </w:tr>
      <w:tr>
        <w:trPr>
          <w:trHeight w:val="150"/>
        </w:trPr>
        <w:tc>
          <w:tcPr>
            <w:tcW w:w="5380" w:type="dxa"/>
            <w:vAlign w:val="bottom"/>
            <w:shd w:val="clear" w:color="auto" w:fill="B9AFA0"/>
          </w:tcPr>
          <w:p>
            <w:pPr>
              <w:spacing w:after="0"/>
              <w:rPr>
                <w:sz w:val="13"/>
                <w:szCs w:val="13"/>
                <w:color w:val="auto"/>
              </w:rPr>
            </w:pPr>
          </w:p>
        </w:tc>
        <w:tc>
          <w:tcPr>
            <w:tcW w:w="112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9"/>
              </w:rPr>
              <w:t>AND RIGHTS</w:t>
            </w:r>
          </w:p>
        </w:tc>
        <w:tc>
          <w:tcPr>
            <w:tcW w:w="106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RIGHTS</w:t>
            </w:r>
          </w:p>
        </w:tc>
        <w:tc>
          <w:tcPr>
            <w:tcW w:w="1180" w:type="dxa"/>
            <w:vAlign w:val="bottom"/>
            <w:shd w:val="clear" w:color="auto" w:fill="B9AFA0"/>
          </w:tcPr>
          <w:p>
            <w:pPr>
              <w:jc w:val="center"/>
              <w:spacing w:after="0"/>
              <w:rPr>
                <w:sz w:val="20"/>
                <w:szCs w:val="20"/>
                <w:color w:val="auto"/>
              </w:rPr>
            </w:pPr>
            <w:r>
              <w:rPr>
                <w:rFonts w:ascii="Arial" w:cs="Arial" w:eastAsia="Arial" w:hAnsi="Arial"/>
                <w:sz w:val="13"/>
                <w:szCs w:val="13"/>
                <w:color w:val="FFFFFF"/>
                <w:w w:val="97"/>
              </w:rPr>
              <w:t>COLUMN (A))</w:t>
            </w:r>
          </w:p>
        </w:tc>
      </w:tr>
      <w:tr>
        <w:trPr>
          <w:trHeight w:val="205"/>
        </w:trPr>
        <w:tc>
          <w:tcPr>
            <w:tcW w:w="538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PLAN CATEGORY</w:t>
            </w:r>
          </w:p>
        </w:tc>
        <w:tc>
          <w:tcPr>
            <w:tcW w:w="112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(A)</w:t>
            </w:r>
            <w:r>
              <w:rPr>
                <w:rFonts w:ascii="Arial" w:cs="Arial" w:eastAsia="Arial" w:hAnsi="Arial"/>
                <w:sz w:val="13"/>
                <w:szCs w:val="13"/>
                <w:color w:val="FFFFFF"/>
                <w:vertAlign w:val="superscript"/>
              </w:rPr>
              <w:t>(1)</w:t>
            </w:r>
            <w:r>
              <w:rPr>
                <w:rFonts w:ascii="Arial" w:cs="Arial" w:eastAsia="Arial" w:hAnsi="Arial"/>
                <w:sz w:val="13"/>
                <w:szCs w:val="13"/>
                <w:color w:val="FFFFFF"/>
              </w:rPr>
              <w:t xml:space="preserve"> </w:t>
            </w:r>
          </w:p>
        </w:tc>
        <w:tc>
          <w:tcPr>
            <w:tcW w:w="106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rPr>
              <w:t>(B)</w:t>
            </w:r>
            <w:r>
              <w:rPr>
                <w:rFonts w:ascii="Arial" w:cs="Arial" w:eastAsia="Arial" w:hAnsi="Arial"/>
                <w:sz w:val="13"/>
                <w:szCs w:val="13"/>
                <w:color w:val="FFFFFF"/>
                <w:vertAlign w:val="superscript"/>
              </w:rPr>
              <w:t>(2)</w:t>
            </w:r>
            <w:r>
              <w:rPr>
                <w:rFonts w:ascii="Arial" w:cs="Arial" w:eastAsia="Arial" w:hAnsi="Arial"/>
                <w:sz w:val="13"/>
                <w:szCs w:val="13"/>
                <w:color w:val="FFFFFF"/>
              </w:rPr>
              <w:t xml:space="preserve"> </w:t>
            </w:r>
          </w:p>
        </w:tc>
        <w:tc>
          <w:tcPr>
            <w:tcW w:w="1180" w:type="dxa"/>
            <w:vAlign w:val="bottom"/>
            <w:tcBorders>
              <w:bottom w:val="single" w:sz="8" w:color="B9AFA0"/>
            </w:tcBorders>
            <w:shd w:val="clear" w:color="auto" w:fill="B9AFA0"/>
          </w:tcPr>
          <w:p>
            <w:pPr>
              <w:jc w:val="center"/>
              <w:spacing w:after="0"/>
              <w:rPr>
                <w:sz w:val="20"/>
                <w:szCs w:val="20"/>
                <w:color w:val="auto"/>
              </w:rPr>
            </w:pPr>
            <w:r>
              <w:rPr>
                <w:rFonts w:ascii="Arial" w:cs="Arial" w:eastAsia="Arial" w:hAnsi="Arial"/>
                <w:sz w:val="13"/>
                <w:szCs w:val="13"/>
                <w:color w:val="FFFFFF"/>
                <w:w w:val="99"/>
              </w:rPr>
              <w:t>(C)</w:t>
            </w:r>
          </w:p>
        </w:tc>
      </w:tr>
      <w:tr>
        <w:trPr>
          <w:trHeight w:val="233"/>
        </w:trPr>
        <w:tc>
          <w:tcPr>
            <w:tcW w:w="5380" w:type="dxa"/>
            <w:vAlign w:val="bottom"/>
            <w:shd w:val="clear" w:color="auto" w:fill="F1EFEC"/>
          </w:tcPr>
          <w:p>
            <w:pPr>
              <w:ind w:left="40"/>
              <w:spacing w:after="0"/>
              <w:rPr>
                <w:sz w:val="20"/>
                <w:szCs w:val="20"/>
                <w:color w:val="auto"/>
              </w:rPr>
            </w:pPr>
            <w:r>
              <w:rPr>
                <w:rFonts w:ascii="Arial" w:cs="Arial" w:eastAsia="Arial" w:hAnsi="Arial"/>
                <w:sz w:val="13"/>
                <w:szCs w:val="13"/>
                <w:color w:val="auto"/>
              </w:rPr>
              <w:t>Equity compensation plans approved by security holders</w:t>
            </w:r>
          </w:p>
        </w:tc>
        <w:tc>
          <w:tcPr>
            <w:tcW w:w="1120" w:type="dxa"/>
            <w:vAlign w:val="bottom"/>
            <w:shd w:val="clear" w:color="auto" w:fill="F1EFEC"/>
          </w:tcPr>
          <w:p>
            <w:pPr>
              <w:jc w:val="right"/>
              <w:spacing w:after="0"/>
              <w:rPr>
                <w:sz w:val="20"/>
                <w:szCs w:val="20"/>
                <w:color w:val="auto"/>
              </w:rPr>
            </w:pPr>
            <w:r>
              <w:rPr>
                <w:rFonts w:ascii="Arial" w:cs="Arial" w:eastAsia="Arial" w:hAnsi="Arial"/>
                <w:sz w:val="13"/>
                <w:szCs w:val="13"/>
                <w:color w:val="auto"/>
              </w:rPr>
              <w:t>558,995 </w:t>
            </w:r>
          </w:p>
        </w:tc>
        <w:tc>
          <w:tcPr>
            <w:tcW w:w="1060" w:type="dxa"/>
            <w:vAlign w:val="bottom"/>
            <w:shd w:val="clear" w:color="auto" w:fill="F1EFEC"/>
          </w:tcPr>
          <w:p>
            <w:pPr>
              <w:jc w:val="right"/>
              <w:ind w:right="36"/>
              <w:spacing w:after="0"/>
              <w:rPr>
                <w:sz w:val="20"/>
                <w:szCs w:val="20"/>
                <w:color w:val="auto"/>
              </w:rPr>
            </w:pPr>
            <w:r>
              <w:rPr>
                <w:rFonts w:ascii="Arial" w:cs="Arial" w:eastAsia="Arial" w:hAnsi="Arial"/>
                <w:sz w:val="13"/>
                <w:szCs w:val="13"/>
                <w:color w:val="auto"/>
              </w:rPr>
              <w:t>$ 81.55 </w:t>
            </w:r>
          </w:p>
        </w:tc>
        <w:tc>
          <w:tcPr>
            <w:tcW w:w="1180" w:type="dxa"/>
            <w:vAlign w:val="bottom"/>
            <w:shd w:val="clear" w:color="auto" w:fill="F1EFEC"/>
          </w:tcPr>
          <w:p>
            <w:pPr>
              <w:jc w:val="right"/>
              <w:spacing w:after="0"/>
              <w:rPr>
                <w:sz w:val="20"/>
                <w:szCs w:val="20"/>
                <w:color w:val="auto"/>
              </w:rPr>
            </w:pPr>
            <w:r>
              <w:rPr>
                <w:rFonts w:ascii="Arial" w:cs="Arial" w:eastAsia="Arial" w:hAnsi="Arial"/>
                <w:sz w:val="13"/>
                <w:szCs w:val="13"/>
                <w:color w:val="auto"/>
              </w:rPr>
              <w:t>1,353,847</w:t>
            </w:r>
          </w:p>
        </w:tc>
      </w:tr>
      <w:tr>
        <w:trPr>
          <w:trHeight w:val="67"/>
        </w:trPr>
        <w:tc>
          <w:tcPr>
            <w:tcW w:w="5380" w:type="dxa"/>
            <w:vAlign w:val="bottom"/>
            <w:shd w:val="clear" w:color="auto" w:fill="F1EFEC"/>
          </w:tcPr>
          <w:p>
            <w:pPr>
              <w:spacing w:after="0"/>
              <w:rPr>
                <w:sz w:val="5"/>
                <w:szCs w:val="5"/>
                <w:color w:val="auto"/>
              </w:rPr>
            </w:pPr>
          </w:p>
        </w:tc>
        <w:tc>
          <w:tcPr>
            <w:tcW w:w="1120" w:type="dxa"/>
            <w:vAlign w:val="bottom"/>
            <w:shd w:val="clear" w:color="auto" w:fill="F1EFEC"/>
          </w:tcPr>
          <w:p>
            <w:pPr>
              <w:spacing w:after="0"/>
              <w:rPr>
                <w:sz w:val="5"/>
                <w:szCs w:val="5"/>
                <w:color w:val="auto"/>
              </w:rPr>
            </w:pPr>
          </w:p>
        </w:tc>
        <w:tc>
          <w:tcPr>
            <w:tcW w:w="1060" w:type="dxa"/>
            <w:vAlign w:val="bottom"/>
            <w:shd w:val="clear" w:color="auto" w:fill="F1EFEC"/>
          </w:tcPr>
          <w:p>
            <w:pPr>
              <w:spacing w:after="0"/>
              <w:rPr>
                <w:sz w:val="5"/>
                <w:szCs w:val="5"/>
                <w:color w:val="auto"/>
              </w:rPr>
            </w:pPr>
          </w:p>
        </w:tc>
        <w:tc>
          <w:tcPr>
            <w:tcW w:w="1180" w:type="dxa"/>
            <w:vAlign w:val="bottom"/>
            <w:shd w:val="clear" w:color="auto" w:fill="F1EFEC"/>
          </w:tcPr>
          <w:p>
            <w:pPr>
              <w:spacing w:after="0"/>
              <w:rPr>
                <w:sz w:val="5"/>
                <w:szCs w:val="5"/>
                <w:color w:val="auto"/>
              </w:rPr>
            </w:pPr>
          </w:p>
        </w:tc>
      </w:tr>
      <w:tr>
        <w:trPr>
          <w:trHeight w:val="233"/>
        </w:trPr>
        <w:tc>
          <w:tcPr>
            <w:tcW w:w="5380" w:type="dxa"/>
            <w:vAlign w:val="bottom"/>
          </w:tcPr>
          <w:p>
            <w:pPr>
              <w:ind w:left="40"/>
              <w:spacing w:after="0"/>
              <w:rPr>
                <w:sz w:val="20"/>
                <w:szCs w:val="20"/>
                <w:color w:val="auto"/>
              </w:rPr>
            </w:pPr>
            <w:r>
              <w:rPr>
                <w:rFonts w:ascii="Arial" w:cs="Arial" w:eastAsia="Arial" w:hAnsi="Arial"/>
                <w:sz w:val="13"/>
                <w:szCs w:val="13"/>
                <w:color w:val="auto"/>
              </w:rPr>
              <w:t>Equity compensation plans not approved by security holders</w:t>
            </w:r>
          </w:p>
        </w:tc>
        <w:tc>
          <w:tcPr>
            <w:tcW w:w="112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 xml:space="preserve">- </w:t>
            </w:r>
          </w:p>
        </w:tc>
        <w:tc>
          <w:tcPr>
            <w:tcW w:w="1180" w:type="dxa"/>
            <w:vAlign w:val="bottom"/>
          </w:tcPr>
          <w:p>
            <w:pPr>
              <w:jc w:val="right"/>
              <w:spacing w:after="0"/>
              <w:rPr>
                <w:sz w:val="20"/>
                <w:szCs w:val="20"/>
                <w:color w:val="auto"/>
              </w:rPr>
            </w:pPr>
            <w:r>
              <w:rPr>
                <w:rFonts w:ascii="Arial" w:cs="Arial" w:eastAsia="Arial" w:hAnsi="Arial"/>
                <w:sz w:val="13"/>
                <w:szCs w:val="13"/>
                <w:color w:val="auto"/>
              </w:rPr>
              <w:t xml:space="preserve">- </w:t>
            </w:r>
          </w:p>
        </w:tc>
      </w:tr>
      <w:tr>
        <w:trPr>
          <w:trHeight w:val="67"/>
        </w:trPr>
        <w:tc>
          <w:tcPr>
            <w:tcW w:w="5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33"/>
        </w:trPr>
        <w:tc>
          <w:tcPr>
            <w:tcW w:w="5380" w:type="dxa"/>
            <w:vAlign w:val="bottom"/>
            <w:shd w:val="clear" w:color="auto" w:fill="F1EFEC"/>
          </w:tcPr>
          <w:p>
            <w:pPr>
              <w:ind w:left="40"/>
              <w:spacing w:after="0"/>
              <w:rPr>
                <w:sz w:val="20"/>
                <w:szCs w:val="20"/>
                <w:color w:val="auto"/>
              </w:rPr>
            </w:pPr>
            <w:r>
              <w:rPr>
                <w:rFonts w:ascii="Arial" w:cs="Arial" w:eastAsia="Arial" w:hAnsi="Arial"/>
                <w:sz w:val="13"/>
                <w:szCs w:val="13"/>
                <w:color w:val="auto"/>
              </w:rPr>
              <w:t>Total</w:t>
            </w:r>
          </w:p>
        </w:tc>
        <w:tc>
          <w:tcPr>
            <w:tcW w:w="1120" w:type="dxa"/>
            <w:vAlign w:val="bottom"/>
            <w:shd w:val="clear" w:color="auto" w:fill="F1EFEC"/>
          </w:tcPr>
          <w:p>
            <w:pPr>
              <w:jc w:val="right"/>
              <w:spacing w:after="0"/>
              <w:rPr>
                <w:sz w:val="20"/>
                <w:szCs w:val="20"/>
                <w:color w:val="auto"/>
              </w:rPr>
            </w:pPr>
            <w:r>
              <w:rPr>
                <w:rFonts w:ascii="Arial" w:cs="Arial" w:eastAsia="Arial" w:hAnsi="Arial"/>
                <w:sz w:val="13"/>
                <w:szCs w:val="13"/>
                <w:color w:val="auto"/>
              </w:rPr>
              <w:t>558,995 </w:t>
            </w:r>
          </w:p>
        </w:tc>
        <w:tc>
          <w:tcPr>
            <w:tcW w:w="1060" w:type="dxa"/>
            <w:vAlign w:val="bottom"/>
            <w:shd w:val="clear" w:color="auto" w:fill="F1EFEC"/>
          </w:tcPr>
          <w:p>
            <w:pPr>
              <w:jc w:val="right"/>
              <w:ind w:right="36"/>
              <w:spacing w:after="0"/>
              <w:rPr>
                <w:sz w:val="20"/>
                <w:szCs w:val="20"/>
                <w:color w:val="auto"/>
              </w:rPr>
            </w:pPr>
            <w:r>
              <w:rPr>
                <w:rFonts w:ascii="Arial" w:cs="Arial" w:eastAsia="Arial" w:hAnsi="Arial"/>
                <w:sz w:val="13"/>
                <w:szCs w:val="13"/>
                <w:color w:val="auto"/>
              </w:rPr>
              <w:t>$ 81.55 </w:t>
            </w:r>
          </w:p>
        </w:tc>
        <w:tc>
          <w:tcPr>
            <w:tcW w:w="1180" w:type="dxa"/>
            <w:vAlign w:val="bottom"/>
            <w:shd w:val="clear" w:color="auto" w:fill="F1EFEC"/>
          </w:tcPr>
          <w:p>
            <w:pPr>
              <w:jc w:val="right"/>
              <w:spacing w:after="0"/>
              <w:rPr>
                <w:sz w:val="20"/>
                <w:szCs w:val="20"/>
                <w:color w:val="auto"/>
              </w:rPr>
            </w:pPr>
            <w:r>
              <w:rPr>
                <w:rFonts w:ascii="Arial" w:cs="Arial" w:eastAsia="Arial" w:hAnsi="Arial"/>
                <w:sz w:val="13"/>
                <w:szCs w:val="13"/>
                <w:color w:val="auto"/>
              </w:rPr>
              <w:t>1,353,847</w:t>
            </w:r>
          </w:p>
        </w:tc>
      </w:tr>
      <w:tr>
        <w:trPr>
          <w:trHeight w:val="67"/>
        </w:trPr>
        <w:tc>
          <w:tcPr>
            <w:tcW w:w="5380" w:type="dxa"/>
            <w:vAlign w:val="bottom"/>
            <w:shd w:val="clear" w:color="auto" w:fill="F1EFEC"/>
          </w:tcPr>
          <w:p>
            <w:pPr>
              <w:spacing w:after="0"/>
              <w:rPr>
                <w:sz w:val="5"/>
                <w:szCs w:val="5"/>
                <w:color w:val="auto"/>
              </w:rPr>
            </w:pPr>
          </w:p>
        </w:tc>
        <w:tc>
          <w:tcPr>
            <w:tcW w:w="1120" w:type="dxa"/>
            <w:vAlign w:val="bottom"/>
            <w:shd w:val="clear" w:color="auto" w:fill="F1EFEC"/>
          </w:tcPr>
          <w:p>
            <w:pPr>
              <w:spacing w:after="0"/>
              <w:rPr>
                <w:sz w:val="5"/>
                <w:szCs w:val="5"/>
                <w:color w:val="auto"/>
              </w:rPr>
            </w:pPr>
          </w:p>
        </w:tc>
        <w:tc>
          <w:tcPr>
            <w:tcW w:w="1060" w:type="dxa"/>
            <w:vAlign w:val="bottom"/>
            <w:shd w:val="clear" w:color="auto" w:fill="F1EFEC"/>
          </w:tcPr>
          <w:p>
            <w:pPr>
              <w:spacing w:after="0"/>
              <w:rPr>
                <w:sz w:val="5"/>
                <w:szCs w:val="5"/>
                <w:color w:val="auto"/>
              </w:rPr>
            </w:pPr>
          </w:p>
        </w:tc>
        <w:tc>
          <w:tcPr>
            <w:tcW w:w="1180" w:type="dxa"/>
            <w:vAlign w:val="bottom"/>
            <w:shd w:val="clear" w:color="auto" w:fill="F1EFEC"/>
          </w:tcPr>
          <w:p>
            <w:pPr>
              <w:spacing w:after="0"/>
              <w:rPr>
                <w:sz w:val="5"/>
                <w:szCs w:val="5"/>
                <w:color w:val="auto"/>
              </w:rPr>
            </w:pPr>
          </w:p>
        </w:tc>
      </w:tr>
    </w:tbl>
    <w:p>
      <w:pPr>
        <w:spacing w:after="0" w:line="71" w:lineRule="exact"/>
        <w:rPr>
          <w:sz w:val="20"/>
          <w:szCs w:val="20"/>
          <w:color w:val="auto"/>
        </w:rPr>
      </w:pPr>
    </w:p>
    <w:p>
      <w:pPr>
        <w:ind w:left="1260" w:right="199" w:firstLine="7"/>
        <w:spacing w:after="0" w:line="260" w:lineRule="auto"/>
        <w:tabs>
          <w:tab w:leader="none" w:pos="1410" w:val="left"/>
        </w:tabs>
        <w:numPr>
          <w:ilvl w:val="0"/>
          <w:numId w:val="65"/>
        </w:numPr>
        <w:rPr>
          <w:rFonts w:ascii="Arial" w:cs="Arial" w:eastAsia="Arial" w:hAnsi="Arial"/>
          <w:sz w:val="10"/>
          <w:szCs w:val="10"/>
          <w:color w:val="auto"/>
        </w:rPr>
      </w:pPr>
      <w:r>
        <w:rPr>
          <w:rFonts w:ascii="Arial" w:cs="Arial" w:eastAsia="Arial" w:hAnsi="Arial"/>
          <w:sz w:val="10"/>
          <w:szCs w:val="10"/>
          <w:color w:val="auto"/>
        </w:rPr>
        <w:t>Includes 16,241 outstanding options, 461,110 restricted share units and 81,644 performance share units at target and excludes 1,026,840 shares of unvested restricted stock, which are included in common shares outstanding.</w:t>
      </w:r>
    </w:p>
    <w:p>
      <w:pPr>
        <w:spacing w:after="0" w:line="51" w:lineRule="exact"/>
        <w:rPr>
          <w:rFonts w:ascii="Arial" w:cs="Arial" w:eastAsia="Arial" w:hAnsi="Arial"/>
          <w:sz w:val="10"/>
          <w:szCs w:val="10"/>
          <w:color w:val="auto"/>
        </w:rPr>
      </w:pPr>
    </w:p>
    <w:p>
      <w:pPr>
        <w:ind w:left="1420" w:hanging="153"/>
        <w:spacing w:after="0"/>
        <w:tabs>
          <w:tab w:leader="none" w:pos="1420" w:val="left"/>
        </w:tabs>
        <w:numPr>
          <w:ilvl w:val="0"/>
          <w:numId w:val="65"/>
        </w:numPr>
        <w:rPr>
          <w:rFonts w:ascii="Arial" w:cs="Arial" w:eastAsia="Arial" w:hAnsi="Arial"/>
          <w:sz w:val="10"/>
          <w:szCs w:val="10"/>
          <w:color w:val="auto"/>
        </w:rPr>
      </w:pPr>
      <w:r>
        <w:rPr>
          <w:rFonts w:ascii="Arial" w:cs="Arial" w:eastAsia="Arial" w:hAnsi="Arial"/>
          <w:sz w:val="10"/>
          <w:szCs w:val="10"/>
          <w:color w:val="auto"/>
        </w:rPr>
        <w:t>Weighted average exercise price for outstanding options only.</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VOTE REQUIRED</w:t>
      </w:r>
    </w:p>
    <w:p>
      <w:pPr>
        <w:spacing w:after="0" w:line="284" w:lineRule="exact"/>
        <w:rPr>
          <w:sz w:val="20"/>
          <w:szCs w:val="20"/>
          <w:color w:val="auto"/>
        </w:rPr>
      </w:pPr>
    </w:p>
    <w:p>
      <w:pPr>
        <w:ind w:left="1260" w:right="719"/>
        <w:spacing w:after="0" w:line="271" w:lineRule="auto"/>
        <w:rPr>
          <w:sz w:val="20"/>
          <w:szCs w:val="20"/>
          <w:color w:val="auto"/>
        </w:rPr>
      </w:pPr>
      <w:r>
        <w:rPr>
          <w:rFonts w:ascii="Arial" w:cs="Arial" w:eastAsia="Arial" w:hAnsi="Arial"/>
          <w:sz w:val="13"/>
          <w:szCs w:val="13"/>
          <w:color w:val="auto"/>
        </w:rPr>
        <w:t>Assuming a quorum is present, approval of the Plan Amendment by our shareholders requires that the number of votes cast in favor of the Plan Amendment exceeds the number of votes cast in opposition</w:t>
      </w:r>
    </w:p>
    <w:p>
      <w:pPr>
        <w:spacing w:after="0" w:line="160" w:lineRule="exact"/>
        <w:rPr>
          <w:sz w:val="20"/>
          <w:szCs w:val="20"/>
          <w:color w:val="auto"/>
        </w:rPr>
      </w:pPr>
    </w:p>
    <w:p>
      <w:pPr>
        <w:ind w:left="1260" w:right="679"/>
        <w:spacing w:after="0" w:line="287" w:lineRule="auto"/>
        <w:rPr>
          <w:sz w:val="20"/>
          <w:szCs w:val="20"/>
          <w:color w:val="auto"/>
        </w:rPr>
      </w:pPr>
      <w:r>
        <w:rPr>
          <w:rFonts w:ascii="Arial" w:cs="Arial" w:eastAsia="Arial" w:hAnsi="Arial"/>
          <w:sz w:val="11"/>
          <w:szCs w:val="11"/>
          <w:color w:val="auto"/>
        </w:rPr>
        <w:t>THE BOARD OF DIRECTORS RECOMMENDS THAT YOU VOTE FOR APPROVAL OF THE ADOPTION OF THE PLAN AMENDMENT TO THE 2014 OMNIBUS INCENTIVE PLAN.</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0159"/>
          </w:cols>
          <w:pgMar w:left="300" w:top="413"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6"/>
          <w:szCs w:val="36"/>
          <w:color w:val="auto"/>
        </w:rPr>
        <w:t>General Information</w:t>
      </w:r>
    </w:p>
    <w:p>
      <w:pPr>
        <w:spacing w:after="0" w:line="35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OUR 2026 ANNUAL MEETING OF SHAREHOLDERS</w:t>
      </w:r>
    </w:p>
    <w:p>
      <w:pPr>
        <w:spacing w:after="0" w:line="284" w:lineRule="exact"/>
        <w:rPr>
          <w:sz w:val="20"/>
          <w:szCs w:val="20"/>
          <w:color w:val="auto"/>
        </w:rPr>
      </w:pPr>
    </w:p>
    <w:p>
      <w:pPr>
        <w:ind w:left="1260" w:right="419"/>
        <w:spacing w:after="0" w:line="251" w:lineRule="auto"/>
        <w:rPr>
          <w:sz w:val="20"/>
          <w:szCs w:val="20"/>
          <w:color w:val="auto"/>
        </w:rPr>
      </w:pPr>
      <w:r>
        <w:rPr>
          <w:rFonts w:ascii="Arial" w:cs="Arial" w:eastAsia="Arial" w:hAnsi="Arial"/>
          <w:sz w:val="13"/>
          <w:szCs w:val="13"/>
          <w:color w:val="auto"/>
        </w:rPr>
        <w:t>This Proxy Statement is furnished to the shareholders of Wynn Resorts in connection with the solicitation by the Board of proxies for the 2026 Annual Meeting of Shareholders (the “Annual Meeting”). Our 2026 Annual Meeting will be held virtually on May 6, 2026, via live webcast accessed at this website: http://www.virtualshareholdermeeting.com/WYNN2026, at 8:00 am (pacific time). Matters to be considered and acted upon at the Annual Meeting are set forth in the Notice of Annual Meeting accompanying this Proxy Statement and are more fully described herein.</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THE BOARD RECOMMENDS A VOTE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125730</wp:posOffset>
            </wp:positionV>
            <wp:extent cx="4448810" cy="13011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48810" cy="130111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p>
      <w:pPr>
        <w:spacing w:after="0" w:line="241" w:lineRule="exact"/>
        <w:rPr>
          <w:sz w:val="20"/>
          <w:szCs w:val="20"/>
          <w:color w:val="auto"/>
        </w:rPr>
      </w:pPr>
    </w:p>
    <w:p>
      <w:pPr>
        <w:ind w:left="1320"/>
        <w:spacing w:after="0"/>
        <w:rPr>
          <w:sz w:val="20"/>
          <w:szCs w:val="20"/>
          <w:color w:val="auto"/>
        </w:rPr>
      </w:pPr>
      <w:r>
        <w:rPr>
          <w:rFonts w:ascii="Arial" w:cs="Arial" w:eastAsia="Arial" w:hAnsi="Arial"/>
          <w:sz w:val="12"/>
          <w:szCs w:val="12"/>
          <w:color w:val="FFFFFF"/>
        </w:rPr>
        <w:t>PROPOSAL  </w:t>
      </w:r>
    </w:p>
    <w:p>
      <w:pPr>
        <w:spacing w:after="0" w:line="24" w:lineRule="exact"/>
        <w:rPr>
          <w:sz w:val="20"/>
          <w:szCs w:val="20"/>
          <w:color w:val="auto"/>
        </w:rPr>
      </w:pPr>
    </w:p>
    <w:p>
      <w:pPr>
        <w:ind w:left="1320"/>
        <w:spacing w:after="0"/>
        <w:rPr>
          <w:sz w:val="20"/>
          <w:szCs w:val="20"/>
          <w:color w:val="auto"/>
        </w:rPr>
      </w:pPr>
      <w:r>
        <w:rPr>
          <w:rFonts w:ascii="Arial" w:cs="Arial" w:eastAsia="Arial" w:hAnsi="Arial"/>
          <w:sz w:val="13"/>
          <w:szCs w:val="13"/>
          <w:color w:val="FFFFFF"/>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40640</wp:posOffset>
            </wp:positionV>
            <wp:extent cx="551815" cy="2590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1815" cy="259080"/>
                    </a:xfrm>
                    <a:prstGeom prst="rect">
                      <a:avLst/>
                    </a:prstGeom>
                    <a:noFill/>
                  </pic:spPr>
                </pic:pic>
              </a:graphicData>
            </a:graphic>
          </wp:anchor>
        </w:drawing>
      </w:r>
    </w:p>
    <w:p>
      <w:pPr>
        <w:spacing w:after="0" w:line="162"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1</w:t>
      </w:r>
    </w:p>
    <w:p>
      <w:pPr>
        <w:spacing w:after="0" w:line="258"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88900</wp:posOffset>
            </wp:positionV>
            <wp:extent cx="551815" cy="2590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1815" cy="259080"/>
                    </a:xfrm>
                    <a:prstGeom prst="rect">
                      <a:avLst/>
                    </a:prstGeom>
                    <a:noFill/>
                  </pic:spPr>
                </pic:pic>
              </a:graphicData>
            </a:graphic>
          </wp:anchor>
        </w:drawing>
      </w:r>
    </w:p>
    <w:p>
      <w:pPr>
        <w:spacing w:after="0" w:line="238"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3</w:t>
      </w:r>
    </w:p>
    <w:p>
      <w:pPr>
        <w:spacing w:after="0" w:line="258"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6200" w:type="dxa"/>
            <w:vAlign w:val="bottom"/>
            <w:shd w:val="clear" w:color="auto" w:fill="B9AFA0"/>
          </w:tcPr>
          <w:p>
            <w:pPr>
              <w:spacing w:after="0"/>
              <w:rPr>
                <w:sz w:val="16"/>
                <w:szCs w:val="16"/>
                <w:color w:val="auto"/>
              </w:rPr>
            </w:pPr>
          </w:p>
        </w:tc>
        <w:tc>
          <w:tcPr>
            <w:tcW w:w="1680" w:type="dxa"/>
            <w:vAlign w:val="bottom"/>
            <w:shd w:val="clear" w:color="auto" w:fill="B9AFA0"/>
          </w:tcPr>
          <w:p>
            <w:pPr>
              <w:ind w:left="660"/>
              <w:spacing w:after="0"/>
              <w:rPr>
                <w:sz w:val="20"/>
                <w:szCs w:val="20"/>
                <w:color w:val="auto"/>
              </w:rPr>
            </w:pPr>
            <w:r>
              <w:rPr>
                <w:rFonts w:ascii="Arial" w:cs="Arial" w:eastAsia="Arial" w:hAnsi="Arial"/>
                <w:sz w:val="13"/>
                <w:szCs w:val="13"/>
                <w:color w:val="FFFFFF"/>
              </w:rPr>
              <w:t>BOARD</w:t>
            </w:r>
          </w:p>
        </w:tc>
        <w:tc>
          <w:tcPr>
            <w:tcW w:w="0" w:type="dxa"/>
            <w:vAlign w:val="bottom"/>
          </w:tcPr>
          <w:p>
            <w:pPr>
              <w:spacing w:after="0"/>
              <w:rPr>
                <w:sz w:val="1"/>
                <w:szCs w:val="1"/>
                <w:color w:val="auto"/>
              </w:rPr>
            </w:pPr>
          </w:p>
        </w:tc>
      </w:tr>
      <w:tr>
        <w:trPr>
          <w:trHeight w:val="205"/>
        </w:trPr>
        <w:tc>
          <w:tcPr>
            <w:tcW w:w="6200" w:type="dxa"/>
            <w:vAlign w:val="bottom"/>
            <w:tcBorders>
              <w:bottom w:val="single" w:sz="8" w:color="B9AFA0"/>
            </w:tcBorders>
            <w:shd w:val="clear" w:color="auto" w:fill="B9AFA0"/>
          </w:tcPr>
          <w:p>
            <w:pPr>
              <w:ind w:left="2740"/>
              <w:spacing w:after="0"/>
              <w:rPr>
                <w:sz w:val="20"/>
                <w:szCs w:val="20"/>
                <w:color w:val="auto"/>
              </w:rPr>
            </w:pPr>
            <w:r>
              <w:rPr>
                <w:rFonts w:ascii="Arial" w:cs="Arial" w:eastAsia="Arial" w:hAnsi="Arial"/>
                <w:sz w:val="13"/>
                <w:szCs w:val="13"/>
                <w:color w:val="FFFFFF"/>
              </w:rPr>
              <w:t>PROPOSAL</w:t>
            </w:r>
          </w:p>
        </w:tc>
        <w:tc>
          <w:tcPr>
            <w:tcW w:w="1680" w:type="dxa"/>
            <w:vAlign w:val="bottom"/>
            <w:tcBorders>
              <w:bottom w:val="single" w:sz="8" w:color="B9AFA0"/>
            </w:tcBorders>
            <w:shd w:val="clear" w:color="auto" w:fill="B9AFA0"/>
          </w:tcPr>
          <w:p>
            <w:pPr>
              <w:ind w:left="260"/>
              <w:spacing w:after="0"/>
              <w:rPr>
                <w:sz w:val="20"/>
                <w:szCs w:val="20"/>
                <w:color w:val="auto"/>
              </w:rPr>
            </w:pPr>
            <w:r>
              <w:rPr>
                <w:rFonts w:ascii="Arial" w:cs="Arial" w:eastAsia="Arial" w:hAnsi="Arial"/>
                <w:sz w:val="13"/>
                <w:szCs w:val="13"/>
                <w:color w:val="FFFFFF"/>
              </w:rPr>
              <w:t>RECOMMENDATION</w:t>
            </w:r>
          </w:p>
        </w:tc>
        <w:tc>
          <w:tcPr>
            <w:tcW w:w="0" w:type="dxa"/>
            <w:vAlign w:val="bottom"/>
          </w:tcPr>
          <w:p>
            <w:pPr>
              <w:spacing w:after="0"/>
              <w:rPr>
                <w:sz w:val="1"/>
                <w:szCs w:val="1"/>
                <w:color w:val="auto"/>
              </w:rPr>
            </w:pPr>
          </w:p>
        </w:tc>
      </w:tr>
      <w:tr>
        <w:trPr>
          <w:trHeight w:val="193"/>
        </w:trPr>
        <w:tc>
          <w:tcPr>
            <w:tcW w:w="6200" w:type="dxa"/>
            <w:vAlign w:val="bottom"/>
            <w:shd w:val="clear" w:color="auto" w:fill="F1EFEC"/>
          </w:tcPr>
          <w:p>
            <w:pPr>
              <w:ind w:left="80"/>
              <w:spacing w:after="0"/>
              <w:rPr>
                <w:sz w:val="20"/>
                <w:szCs w:val="20"/>
                <w:color w:val="auto"/>
              </w:rPr>
            </w:pPr>
            <w:r>
              <w:rPr>
                <w:rFonts w:ascii="Arial" w:cs="Arial" w:eastAsia="Arial" w:hAnsi="Arial"/>
                <w:sz w:val="13"/>
                <w:szCs w:val="13"/>
                <w:color w:val="auto"/>
              </w:rPr>
              <w:t>Election of the three Class III director nominees named in this Proxy Statement to serve until the 2029</w:t>
            </w:r>
          </w:p>
        </w:tc>
        <w:tc>
          <w:tcPr>
            <w:tcW w:w="1680" w:type="dxa"/>
            <w:vAlign w:val="bottom"/>
            <w:vMerge w:val="restart"/>
            <w:shd w:val="clear" w:color="auto" w:fill="F1EFEC"/>
          </w:tcPr>
          <w:p>
            <w:pPr>
              <w:ind w:left="100"/>
              <w:spacing w:after="0"/>
              <w:rPr>
                <w:sz w:val="20"/>
                <w:szCs w:val="20"/>
                <w:color w:val="auto"/>
              </w:rPr>
            </w:pPr>
            <w:r>
              <w:rPr>
                <w:rFonts w:ascii="Arial" w:cs="Arial" w:eastAsia="Arial" w:hAnsi="Arial"/>
                <w:sz w:val="13"/>
                <w:szCs w:val="13"/>
                <w:color w:val="auto"/>
              </w:rPr>
              <w:t>“FOR” each nominee</w:t>
            </w:r>
          </w:p>
        </w:tc>
        <w:tc>
          <w:tcPr>
            <w:tcW w:w="0" w:type="dxa"/>
            <w:vAlign w:val="bottom"/>
          </w:tcPr>
          <w:p>
            <w:pPr>
              <w:spacing w:after="0"/>
              <w:rPr>
                <w:sz w:val="1"/>
                <w:szCs w:val="1"/>
                <w:color w:val="auto"/>
              </w:rPr>
            </w:pPr>
          </w:p>
        </w:tc>
      </w:tr>
      <w:tr>
        <w:trPr>
          <w:trHeight w:val="194"/>
        </w:trPr>
        <w:tc>
          <w:tcPr>
            <w:tcW w:w="6200" w:type="dxa"/>
            <w:vAlign w:val="bottom"/>
            <w:tcBorders>
              <w:bottom w:val="single" w:sz="8" w:color="F1EFEC"/>
            </w:tcBorders>
            <w:shd w:val="clear" w:color="auto" w:fill="F1EFEC"/>
          </w:tcPr>
          <w:p>
            <w:pPr>
              <w:ind w:left="80"/>
              <w:spacing w:after="0"/>
              <w:rPr>
                <w:sz w:val="20"/>
                <w:szCs w:val="20"/>
                <w:color w:val="auto"/>
              </w:rPr>
            </w:pPr>
            <w:r>
              <w:rPr>
                <w:rFonts w:ascii="Arial" w:cs="Arial" w:eastAsia="Arial" w:hAnsi="Arial"/>
                <w:sz w:val="13"/>
                <w:szCs w:val="13"/>
                <w:color w:val="auto"/>
              </w:rPr>
              <w:t>Annual Meeting of Shareholders</w:t>
            </w:r>
          </w:p>
        </w:tc>
        <w:tc>
          <w:tcPr>
            <w:tcW w:w="1680" w:type="dxa"/>
            <w:vAlign w:val="bottom"/>
            <w:tcBorders>
              <w:bottom w:val="single" w:sz="8" w:color="F1EFEC"/>
            </w:tcBorders>
            <w:vMerge w:val="continue"/>
            <w:shd w:val="clear" w:color="auto" w:fill="F1EFE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80"/>
              <w:spacing w:after="0"/>
              <w:rPr>
                <w:sz w:val="20"/>
                <w:szCs w:val="20"/>
                <w:color w:val="auto"/>
              </w:rPr>
            </w:pPr>
            <w:r>
              <w:rPr>
                <w:rFonts w:ascii="Arial" w:cs="Arial" w:eastAsia="Arial" w:hAnsi="Arial"/>
                <w:sz w:val="13"/>
                <w:szCs w:val="13"/>
                <w:color w:val="auto"/>
              </w:rPr>
              <w:t>Ratification of the appointment of Ernst &amp; Young LLP as our independent registered public accounting firm</w:t>
            </w:r>
          </w:p>
        </w:tc>
        <w:tc>
          <w:tcPr>
            <w:tcW w:w="1680" w:type="dxa"/>
            <w:vAlign w:val="bottom"/>
            <w:vMerge w:val="restart"/>
          </w:tcPr>
          <w:p>
            <w:pPr>
              <w:ind w:left="100"/>
              <w:spacing w:after="0"/>
              <w:rPr>
                <w:sz w:val="20"/>
                <w:szCs w:val="20"/>
                <w:color w:val="auto"/>
              </w:rPr>
            </w:pPr>
            <w:r>
              <w:rPr>
                <w:rFonts w:ascii="Arial" w:cs="Arial" w:eastAsia="Arial" w:hAnsi="Arial"/>
                <w:sz w:val="13"/>
                <w:szCs w:val="13"/>
                <w:color w:val="auto"/>
              </w:rPr>
              <w:t>“FOR”</w:t>
            </w:r>
          </w:p>
        </w:tc>
        <w:tc>
          <w:tcPr>
            <w:tcW w:w="0" w:type="dxa"/>
            <w:vAlign w:val="bottom"/>
          </w:tcPr>
          <w:p>
            <w:pPr>
              <w:spacing w:after="0"/>
              <w:rPr>
                <w:sz w:val="1"/>
                <w:szCs w:val="1"/>
                <w:color w:val="auto"/>
              </w:rPr>
            </w:pPr>
          </w:p>
        </w:tc>
      </w:tr>
      <w:tr>
        <w:trPr>
          <w:trHeight w:val="169"/>
        </w:trPr>
        <w:tc>
          <w:tcPr>
            <w:tcW w:w="6200" w:type="dxa"/>
            <w:vAlign w:val="bottom"/>
          </w:tcPr>
          <w:p>
            <w:pPr>
              <w:ind w:left="80"/>
              <w:spacing w:after="0"/>
              <w:rPr>
                <w:sz w:val="20"/>
                <w:szCs w:val="20"/>
                <w:color w:val="auto"/>
              </w:rPr>
            </w:pPr>
            <w:r>
              <w:rPr>
                <w:rFonts w:ascii="Arial" w:cs="Arial" w:eastAsia="Arial" w:hAnsi="Arial"/>
                <w:sz w:val="13"/>
                <w:szCs w:val="13"/>
                <w:color w:val="auto"/>
              </w:rPr>
              <w:t>for the fiscal year ending December 31, 2026</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2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6200" w:type="dxa"/>
            <w:vAlign w:val="bottom"/>
            <w:shd w:val="clear" w:color="auto" w:fill="F1EFEC"/>
          </w:tcPr>
          <w:p>
            <w:pPr>
              <w:ind w:left="80"/>
              <w:spacing w:after="0"/>
              <w:rPr>
                <w:sz w:val="20"/>
                <w:szCs w:val="20"/>
                <w:color w:val="auto"/>
              </w:rPr>
            </w:pPr>
            <w:r>
              <w:rPr>
                <w:rFonts w:ascii="Arial" w:cs="Arial" w:eastAsia="Arial" w:hAnsi="Arial"/>
                <w:sz w:val="13"/>
                <w:szCs w:val="13"/>
                <w:color w:val="auto"/>
              </w:rPr>
              <w:t>Approval, on a non-binding advisory basis, of the compensation of our named executive officers as</w:t>
            </w:r>
          </w:p>
        </w:tc>
        <w:tc>
          <w:tcPr>
            <w:tcW w:w="1680" w:type="dxa"/>
            <w:vAlign w:val="bottom"/>
            <w:vMerge w:val="restart"/>
            <w:shd w:val="clear" w:color="auto" w:fill="F1EFEC"/>
          </w:tcPr>
          <w:p>
            <w:pPr>
              <w:ind w:left="100"/>
              <w:spacing w:after="0"/>
              <w:rPr>
                <w:sz w:val="20"/>
                <w:szCs w:val="20"/>
                <w:color w:val="auto"/>
              </w:rPr>
            </w:pPr>
            <w:r>
              <w:rPr>
                <w:rFonts w:ascii="Arial" w:cs="Arial" w:eastAsia="Arial" w:hAnsi="Arial"/>
                <w:sz w:val="13"/>
                <w:szCs w:val="13"/>
                <w:color w:val="auto"/>
              </w:rPr>
              <w:t>“FOR”</w:t>
            </w:r>
          </w:p>
        </w:tc>
        <w:tc>
          <w:tcPr>
            <w:tcW w:w="0" w:type="dxa"/>
            <w:vAlign w:val="bottom"/>
          </w:tcPr>
          <w:p>
            <w:pPr>
              <w:spacing w:after="0"/>
              <w:rPr>
                <w:sz w:val="1"/>
                <w:szCs w:val="1"/>
                <w:color w:val="auto"/>
              </w:rPr>
            </w:pPr>
          </w:p>
        </w:tc>
      </w:tr>
      <w:tr>
        <w:trPr>
          <w:trHeight w:val="194"/>
        </w:trPr>
        <w:tc>
          <w:tcPr>
            <w:tcW w:w="6200" w:type="dxa"/>
            <w:vAlign w:val="bottom"/>
            <w:tcBorders>
              <w:bottom w:val="single" w:sz="8" w:color="F1EFEC"/>
            </w:tcBorders>
            <w:shd w:val="clear" w:color="auto" w:fill="F1EFEC"/>
          </w:tcPr>
          <w:p>
            <w:pPr>
              <w:ind w:left="80"/>
              <w:spacing w:after="0"/>
              <w:rPr>
                <w:sz w:val="20"/>
                <w:szCs w:val="20"/>
                <w:color w:val="auto"/>
              </w:rPr>
            </w:pPr>
            <w:r>
              <w:rPr>
                <w:rFonts w:ascii="Arial" w:cs="Arial" w:eastAsia="Arial" w:hAnsi="Arial"/>
                <w:sz w:val="13"/>
                <w:szCs w:val="13"/>
                <w:color w:val="auto"/>
              </w:rPr>
              <w:t>described in this Proxy Statement</w:t>
            </w:r>
          </w:p>
        </w:tc>
        <w:tc>
          <w:tcPr>
            <w:tcW w:w="1680" w:type="dxa"/>
            <w:vAlign w:val="bottom"/>
            <w:tcBorders>
              <w:bottom w:val="single" w:sz="8" w:color="F1EFEC"/>
            </w:tcBorders>
            <w:vMerge w:val="continue"/>
            <w:shd w:val="clear" w:color="auto" w:fill="F1EFE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80"/>
              <w:spacing w:after="0"/>
              <w:rPr>
                <w:sz w:val="20"/>
                <w:szCs w:val="20"/>
                <w:color w:val="auto"/>
              </w:rPr>
            </w:pPr>
            <w:r>
              <w:rPr>
                <w:rFonts w:ascii="Arial" w:cs="Arial" w:eastAsia="Arial" w:hAnsi="Arial"/>
                <w:sz w:val="13"/>
                <w:szCs w:val="13"/>
                <w:color w:val="auto"/>
              </w:rPr>
              <w:t>Approval of an amendment to the 2014 Omnibus Incentive Plan to increase the authorized shares by</w:t>
            </w:r>
          </w:p>
        </w:tc>
        <w:tc>
          <w:tcPr>
            <w:tcW w:w="1680" w:type="dxa"/>
            <w:vAlign w:val="bottom"/>
            <w:vMerge w:val="restart"/>
          </w:tcPr>
          <w:p>
            <w:pPr>
              <w:ind w:left="100"/>
              <w:spacing w:after="0"/>
              <w:rPr>
                <w:sz w:val="20"/>
                <w:szCs w:val="20"/>
                <w:color w:val="auto"/>
              </w:rPr>
            </w:pPr>
            <w:r>
              <w:rPr>
                <w:rFonts w:ascii="Arial" w:cs="Arial" w:eastAsia="Arial" w:hAnsi="Arial"/>
                <w:sz w:val="13"/>
                <w:szCs w:val="13"/>
                <w:color w:val="auto"/>
              </w:rPr>
              <w:t>“FOR”</w:t>
            </w:r>
          </w:p>
        </w:tc>
        <w:tc>
          <w:tcPr>
            <w:tcW w:w="0" w:type="dxa"/>
            <w:vAlign w:val="bottom"/>
          </w:tcPr>
          <w:p>
            <w:pPr>
              <w:spacing w:after="0"/>
              <w:rPr>
                <w:sz w:val="1"/>
                <w:szCs w:val="1"/>
                <w:color w:val="auto"/>
              </w:rPr>
            </w:pPr>
          </w:p>
        </w:tc>
      </w:tr>
      <w:tr>
        <w:trPr>
          <w:trHeight w:val="169"/>
        </w:trPr>
        <w:tc>
          <w:tcPr>
            <w:tcW w:w="6200" w:type="dxa"/>
            <w:vAlign w:val="bottom"/>
          </w:tcPr>
          <w:p>
            <w:pPr>
              <w:ind w:left="80"/>
              <w:spacing w:after="0"/>
              <w:rPr>
                <w:sz w:val="20"/>
                <w:szCs w:val="20"/>
                <w:color w:val="auto"/>
              </w:rPr>
            </w:pPr>
            <w:r>
              <w:rPr>
                <w:rFonts w:ascii="Arial" w:cs="Arial" w:eastAsia="Arial" w:hAnsi="Arial"/>
                <w:sz w:val="13"/>
                <w:szCs w:val="13"/>
                <w:color w:val="auto"/>
              </w:rPr>
              <w:t>3,000,000 shares</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080" w:space="60"/>
            <w:col w:w="8019"/>
          </w:cols>
          <w:pgMar w:left="300" w:top="412" w:right="1440" w:bottom="1440" w:gutter="0" w:footer="0" w:header="0"/>
          <w:type w:val="continuous"/>
        </w:sectPr>
      </w:pPr>
    </w:p>
    <w:p>
      <w:pPr>
        <w:spacing w:after="0" w:line="86"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VOTING AND SOLICITATION</w:t>
      </w:r>
    </w:p>
    <w:p>
      <w:pPr>
        <w:spacing w:after="0" w:line="273" w:lineRule="exact"/>
        <w:rPr>
          <w:sz w:val="20"/>
          <w:szCs w:val="20"/>
          <w:color w:val="auto"/>
        </w:rPr>
      </w:pPr>
    </w:p>
    <w:p>
      <w:pPr>
        <w:ind w:left="1260" w:right="159"/>
        <w:spacing w:after="0" w:line="251" w:lineRule="auto"/>
        <w:rPr>
          <w:sz w:val="20"/>
          <w:szCs w:val="20"/>
          <w:color w:val="auto"/>
        </w:rPr>
      </w:pPr>
      <w:r>
        <w:rPr>
          <w:rFonts w:ascii="Arial" w:cs="Arial" w:eastAsia="Arial" w:hAnsi="Arial"/>
          <w:sz w:val="13"/>
          <w:szCs w:val="13"/>
          <w:color w:val="auto"/>
        </w:rPr>
        <w:t>Only holders of record of shares of the Common Stock, as of the close of business on March 12, 2026, the record date fixed by the Board (the “Record Date”), are entitled to notice of, and to vote at, the Annual Meeting and at any adjournments or postponements thereof. As of the Record Date, there were 104,043,396 shares of Common Stock outstanding. Each shareholder is entitled to one vote for each share of Common Stock held as of the Record Date on all matters presented at the Annual Meeting.</w:t>
      </w:r>
    </w:p>
    <w:p>
      <w:pPr>
        <w:spacing w:after="0" w:line="147" w:lineRule="exact"/>
        <w:rPr>
          <w:sz w:val="20"/>
          <w:szCs w:val="20"/>
          <w:color w:val="auto"/>
        </w:rPr>
      </w:pPr>
    </w:p>
    <w:p>
      <w:pPr>
        <w:jc w:val="both"/>
        <w:ind w:left="1260" w:right="199"/>
        <w:spacing w:after="0" w:line="256" w:lineRule="auto"/>
        <w:rPr>
          <w:sz w:val="20"/>
          <w:szCs w:val="20"/>
          <w:color w:val="auto"/>
        </w:rPr>
      </w:pPr>
      <w:r>
        <w:rPr>
          <w:rFonts w:ascii="Arial" w:cs="Arial" w:eastAsia="Arial" w:hAnsi="Arial"/>
          <w:sz w:val="13"/>
          <w:szCs w:val="13"/>
          <w:color w:val="auto"/>
        </w:rPr>
        <w:t>At least a majority of the outstanding shares of Common Stock must be represented at the Annual Meeting, either present virtually at the Annual Meeting or represented by proxy, to constitute a quorum and to transact business at the Annual Meeting. Abstentions and broker non-votes, as discussed further below, are counted for purposes of determining whether there is a quorum.</w:t>
      </w:r>
    </w:p>
    <w:p>
      <w:pPr>
        <w:spacing w:after="0" w:line="144" w:lineRule="exact"/>
        <w:rPr>
          <w:sz w:val="20"/>
          <w:szCs w:val="20"/>
          <w:color w:val="auto"/>
        </w:rPr>
      </w:pPr>
    </w:p>
    <w:p>
      <w:pPr>
        <w:ind w:left="1260" w:right="179"/>
        <w:spacing w:after="0" w:line="248" w:lineRule="auto"/>
        <w:rPr>
          <w:sz w:val="20"/>
          <w:szCs w:val="20"/>
          <w:color w:val="auto"/>
        </w:rPr>
      </w:pPr>
      <w:r>
        <w:rPr>
          <w:rFonts w:ascii="Arial" w:cs="Arial" w:eastAsia="Arial" w:hAnsi="Arial"/>
          <w:sz w:val="13"/>
          <w:szCs w:val="13"/>
          <w:color w:val="auto"/>
        </w:rPr>
        <w:t>For each item to be acted upon at the Annual Meeting, the item will be approved if the number of votes cast in favor of the item by the shareholders entitled to vote exceeds the number of votes cast in opposition to the item. You may vote “for,” “against” or abstain from voting on these proposals, and in the case of Proposal 1, you may vote “for,” “against” or abstain from voting on each director nominee. Abstentions will not be counted as votes cast on an item and, therefore, will not affect the outcome of these proposals. Broker non-votes will not be counted as votes cast on Proposals 1, 3 and 4, and therefore, will not affect the outcome of these proposals. Shares represented</w:t>
      </w:r>
    </w:p>
    <w:p>
      <w:pPr>
        <w:spacing w:after="0" w:line="97"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0159"/>
          </w:cols>
          <w:pgMar w:left="300" w:top="412" w:right="1440"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59"/>
        <w:spacing w:after="0" w:line="251" w:lineRule="auto"/>
        <w:rPr>
          <w:sz w:val="20"/>
          <w:szCs w:val="20"/>
          <w:color w:val="auto"/>
        </w:rPr>
      </w:pPr>
      <w:r>
        <w:rPr>
          <w:rFonts w:ascii="Arial" w:cs="Arial" w:eastAsia="Arial" w:hAnsi="Arial"/>
          <w:sz w:val="13"/>
          <w:szCs w:val="13"/>
          <w:color w:val="auto"/>
        </w:rPr>
        <w:t>by properly executed and unrevoked proxies will be voted at the Annual Meeting in accordance with the directions of shareholders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47" w:lineRule="exact"/>
        <w:rPr>
          <w:sz w:val="20"/>
          <w:szCs w:val="20"/>
          <w:color w:val="auto"/>
        </w:rPr>
      </w:pPr>
    </w:p>
    <w:p>
      <w:pPr>
        <w:ind w:left="1260" w:right="159"/>
        <w:spacing w:after="0" w:line="247" w:lineRule="auto"/>
        <w:rPr>
          <w:sz w:val="20"/>
          <w:szCs w:val="20"/>
          <w:color w:val="auto"/>
        </w:rPr>
      </w:pPr>
      <w:r>
        <w:rPr>
          <w:rFonts w:ascii="Arial" w:cs="Arial" w:eastAsia="Arial" w:hAnsi="Arial"/>
          <w:sz w:val="13"/>
          <w:szCs w:val="13"/>
          <w:color w:val="auto"/>
        </w:rPr>
        <w:t>For a shareholder who holds his or her shares through an intermediary, such as a broker, bank or other nominee (referred to as “beneficial owners”), such intermediary will not be permitted to vote on Proposal 1 (the election of directors), Proposal 3 (approval of the compensation of our named executive officers (known as a “Say-on-Pay” vote), or Proposal 4 (approval of an amendment to our 2014 Omnibus Incentive Plan) (this situation is called a “broker non-vote”). ACCORDINGLY, WE ENCOURAGE YOU TO VOTE YOUR SHARES ON ALL MATTERS BEING CONSIDERED AT THE ANNUAL MEETING. Notwithstanding the occurrence of a broker non-vote, the intermediary may still vote the shareholder’s shares on Proposal 2 (ratification of the appointment of Ernst &amp; Young LLP as our independent auditor).</w:t>
      </w:r>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The following table summarizes the voting requirements to elect directors and to approve each of the proposals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4916170</wp:posOffset>
            </wp:positionH>
            <wp:positionV relativeFrom="paragraph">
              <wp:posOffset>129540</wp:posOffset>
            </wp:positionV>
            <wp:extent cx="6985" cy="19488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85" cy="194881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129540</wp:posOffset>
            </wp:positionV>
            <wp:extent cx="6985" cy="19488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85" cy="194881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129540</wp:posOffset>
            </wp:positionV>
            <wp:extent cx="6985" cy="19488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85" cy="1948815"/>
                    </a:xfrm>
                    <a:prstGeom prst="rect">
                      <a:avLst/>
                    </a:prstGeom>
                    <a:noFill/>
                  </pic:spPr>
                </pic:pic>
              </a:graphicData>
            </a:graphic>
          </wp:anchor>
        </w:drawing>
      </w:r>
    </w:p>
    <w:p>
      <w:pPr>
        <w:spacing w:after="0" w:line="184" w:lineRule="exact"/>
        <w:rPr>
          <w:sz w:val="20"/>
          <w:szCs w:val="20"/>
          <w:color w:val="auto"/>
        </w:rPr>
      </w:pPr>
    </w:p>
    <w:tbl>
      <w:tblPr>
        <w:tblLayout w:type="fixed"/>
        <w:tblInd w:w="1280" w:type="dxa"/>
        <w:tblCellMar>
          <w:top w:w="0" w:type="dxa"/>
          <w:left w:w="0" w:type="dxa"/>
          <w:bottom w:w="0" w:type="dxa"/>
          <w:right w:w="0" w:type="dxa"/>
        </w:tblCellMar>
      </w:tblPr>
      <w:tr>
        <w:trPr>
          <w:trHeight w:val="193"/>
        </w:trPr>
        <w:tc>
          <w:tcPr>
            <w:tcW w:w="1160" w:type="dxa"/>
            <w:vAlign w:val="bottom"/>
            <w:shd w:val="clear" w:color="auto" w:fill="B9AFA0"/>
          </w:tcPr>
          <w:p>
            <w:pPr>
              <w:ind w:left="40"/>
              <w:spacing w:after="0"/>
              <w:rPr>
                <w:sz w:val="20"/>
                <w:szCs w:val="20"/>
                <w:color w:val="auto"/>
              </w:rPr>
            </w:pPr>
            <w:r>
              <w:rPr>
                <w:rFonts w:ascii="Arial" w:cs="Arial" w:eastAsia="Arial" w:hAnsi="Arial"/>
                <w:sz w:val="13"/>
                <w:szCs w:val="13"/>
                <w:color w:val="FFFFFF"/>
              </w:rPr>
              <w:t>PROPOSAL</w:t>
            </w:r>
          </w:p>
        </w:tc>
        <w:tc>
          <w:tcPr>
            <w:tcW w:w="2800" w:type="dxa"/>
            <w:vAlign w:val="bottom"/>
            <w:shd w:val="clear" w:color="auto" w:fill="B9AFA0"/>
          </w:tcPr>
          <w:p>
            <w:pPr>
              <w:spacing w:after="0"/>
              <w:rPr>
                <w:sz w:val="16"/>
                <w:szCs w:val="16"/>
                <w:color w:val="auto"/>
              </w:rPr>
            </w:pPr>
          </w:p>
        </w:tc>
        <w:tc>
          <w:tcPr>
            <w:tcW w:w="2620" w:type="dxa"/>
            <w:vAlign w:val="bottom"/>
            <w:shd w:val="clear" w:color="auto" w:fill="B9AFA0"/>
          </w:tcPr>
          <w:p>
            <w:pPr>
              <w:spacing w:after="0"/>
              <w:rPr>
                <w:sz w:val="16"/>
                <w:szCs w:val="16"/>
                <w:color w:val="auto"/>
              </w:rPr>
            </w:pPr>
          </w:p>
        </w:tc>
        <w:tc>
          <w:tcPr>
            <w:tcW w:w="2160" w:type="dxa"/>
            <w:vAlign w:val="bottom"/>
            <w:gridSpan w:val="3"/>
            <w:shd w:val="clear" w:color="auto" w:fill="B9AFA0"/>
          </w:tcPr>
          <w:p>
            <w:pPr>
              <w:ind w:left="200"/>
              <w:spacing w:after="0"/>
              <w:rPr>
                <w:sz w:val="20"/>
                <w:szCs w:val="20"/>
                <w:color w:val="auto"/>
              </w:rPr>
            </w:pPr>
            <w:r>
              <w:rPr>
                <w:rFonts w:ascii="Arial" w:cs="Arial" w:eastAsia="Arial" w:hAnsi="Arial"/>
                <w:sz w:val="13"/>
                <w:szCs w:val="13"/>
                <w:color w:val="FFFFFF"/>
              </w:rPr>
              <w:t xml:space="preserve">BROKER DISCRETIONARY       </w:t>
            </w:r>
          </w:p>
        </w:tc>
        <w:tc>
          <w:tcPr>
            <w:tcW w:w="0" w:type="dxa"/>
            <w:vAlign w:val="bottom"/>
          </w:tcPr>
          <w:p>
            <w:pPr>
              <w:spacing w:after="0"/>
              <w:rPr>
                <w:sz w:val="1"/>
                <w:szCs w:val="1"/>
                <w:color w:val="auto"/>
              </w:rPr>
            </w:pPr>
          </w:p>
        </w:tc>
      </w:tr>
      <w:tr>
        <w:trPr>
          <w:trHeight w:val="205"/>
        </w:trPr>
        <w:tc>
          <w:tcPr>
            <w:tcW w:w="1160" w:type="dxa"/>
            <w:vAlign w:val="bottom"/>
            <w:tcBorders>
              <w:bottom w:val="single" w:sz="8" w:color="B9AFA0"/>
            </w:tcBorders>
            <w:shd w:val="clear" w:color="auto" w:fill="B9AFA0"/>
          </w:tcPr>
          <w:p>
            <w:pPr>
              <w:ind w:left="40"/>
              <w:spacing w:after="0"/>
              <w:rPr>
                <w:sz w:val="20"/>
                <w:szCs w:val="20"/>
                <w:color w:val="auto"/>
              </w:rPr>
            </w:pPr>
            <w:r>
              <w:rPr>
                <w:rFonts w:ascii="Arial" w:cs="Arial" w:eastAsia="Arial" w:hAnsi="Arial"/>
                <w:sz w:val="13"/>
                <w:szCs w:val="13"/>
                <w:color w:val="FFFFFF"/>
              </w:rPr>
              <w:t>NUMBER</w:t>
            </w:r>
          </w:p>
        </w:tc>
        <w:tc>
          <w:tcPr>
            <w:tcW w:w="2800" w:type="dxa"/>
            <w:vAlign w:val="bottom"/>
            <w:tcBorders>
              <w:bottom w:val="single" w:sz="8" w:color="B9AFA0"/>
            </w:tcBorders>
            <w:shd w:val="clear" w:color="auto" w:fill="B9AFA0"/>
          </w:tcPr>
          <w:p>
            <w:pPr>
              <w:ind w:left="1120"/>
              <w:spacing w:after="0"/>
              <w:rPr>
                <w:sz w:val="20"/>
                <w:szCs w:val="20"/>
                <w:color w:val="auto"/>
              </w:rPr>
            </w:pPr>
            <w:r>
              <w:rPr>
                <w:rFonts w:ascii="Arial" w:cs="Arial" w:eastAsia="Arial" w:hAnsi="Arial"/>
                <w:sz w:val="13"/>
                <w:szCs w:val="13"/>
                <w:color w:val="FFFFFF"/>
              </w:rPr>
              <w:t>PROPOSAL</w:t>
            </w:r>
          </w:p>
        </w:tc>
        <w:tc>
          <w:tcPr>
            <w:tcW w:w="2620" w:type="dxa"/>
            <w:vAlign w:val="bottom"/>
            <w:tcBorders>
              <w:bottom w:val="single" w:sz="8" w:color="B9AFA0"/>
            </w:tcBorders>
            <w:shd w:val="clear" w:color="auto" w:fill="B9AFA0"/>
          </w:tcPr>
          <w:p>
            <w:pPr>
              <w:ind w:left="820"/>
              <w:spacing w:after="0"/>
              <w:rPr>
                <w:sz w:val="20"/>
                <w:szCs w:val="20"/>
                <w:color w:val="auto"/>
              </w:rPr>
            </w:pPr>
            <w:r>
              <w:rPr>
                <w:rFonts w:ascii="Arial" w:cs="Arial" w:eastAsia="Arial" w:hAnsi="Arial"/>
                <w:sz w:val="13"/>
                <w:szCs w:val="13"/>
                <w:color w:val="FFFFFF"/>
              </w:rPr>
              <w:t>VOTE REQUIRED</w:t>
            </w:r>
          </w:p>
        </w:tc>
        <w:tc>
          <w:tcPr>
            <w:tcW w:w="2160" w:type="dxa"/>
            <w:vAlign w:val="bottom"/>
            <w:tcBorders>
              <w:bottom w:val="single" w:sz="8" w:color="B9AFA0"/>
            </w:tcBorders>
            <w:gridSpan w:val="3"/>
            <w:shd w:val="clear" w:color="auto" w:fill="B9AFA0"/>
          </w:tcPr>
          <w:p>
            <w:pPr>
              <w:ind w:left="440"/>
              <w:spacing w:after="0"/>
              <w:rPr>
                <w:sz w:val="20"/>
                <w:szCs w:val="20"/>
                <w:color w:val="auto"/>
              </w:rPr>
            </w:pPr>
            <w:r>
              <w:rPr>
                <w:rFonts w:ascii="Arial" w:cs="Arial" w:eastAsia="Arial" w:hAnsi="Arial"/>
                <w:sz w:val="13"/>
                <w:szCs w:val="13"/>
                <w:color w:val="FFFFFF"/>
              </w:rPr>
              <w:t xml:space="preserve">VOTING ALLOWED       </w:t>
            </w:r>
          </w:p>
        </w:tc>
        <w:tc>
          <w:tcPr>
            <w:tcW w:w="0" w:type="dxa"/>
            <w:vAlign w:val="bottom"/>
          </w:tcPr>
          <w:p>
            <w:pPr>
              <w:spacing w:after="0"/>
              <w:rPr>
                <w:sz w:val="1"/>
                <w:szCs w:val="1"/>
                <w:color w:val="auto"/>
              </w:rPr>
            </w:pPr>
          </w:p>
        </w:tc>
      </w:tr>
      <w:tr>
        <w:trPr>
          <w:trHeight w:val="287"/>
        </w:trPr>
        <w:tc>
          <w:tcPr>
            <w:tcW w:w="1160" w:type="dxa"/>
            <w:vAlign w:val="bottom"/>
            <w:vMerge w:val="restart"/>
            <w:shd w:val="clear" w:color="auto" w:fill="F1EFEC"/>
          </w:tcPr>
          <w:p>
            <w:pPr>
              <w:ind w:left="40"/>
              <w:spacing w:after="0"/>
              <w:rPr>
                <w:sz w:val="20"/>
                <w:szCs w:val="20"/>
                <w:color w:val="auto"/>
              </w:rPr>
            </w:pPr>
            <w:r>
              <w:rPr>
                <w:rFonts w:ascii="Arial" w:cs="Arial" w:eastAsia="Arial" w:hAnsi="Arial"/>
                <w:sz w:val="13"/>
                <w:szCs w:val="13"/>
                <w:color w:val="auto"/>
              </w:rPr>
              <w:t>1</w:t>
            </w:r>
          </w:p>
        </w:tc>
        <w:tc>
          <w:tcPr>
            <w:tcW w:w="2800" w:type="dxa"/>
            <w:vAlign w:val="bottom"/>
            <w:vMerge w:val="restart"/>
            <w:shd w:val="clear" w:color="auto" w:fill="F1EFEC"/>
          </w:tcPr>
          <w:p>
            <w:pPr>
              <w:ind w:left="240"/>
              <w:spacing w:after="0"/>
              <w:rPr>
                <w:sz w:val="20"/>
                <w:szCs w:val="20"/>
                <w:color w:val="auto"/>
              </w:rPr>
            </w:pPr>
            <w:r>
              <w:rPr>
                <w:rFonts w:ascii="Arial" w:cs="Arial" w:eastAsia="Arial" w:hAnsi="Arial"/>
                <w:sz w:val="13"/>
                <w:szCs w:val="13"/>
                <w:color w:val="auto"/>
              </w:rPr>
              <w:t>Election of Three Class III Directors</w:t>
            </w:r>
          </w:p>
        </w:tc>
        <w:tc>
          <w:tcPr>
            <w:tcW w:w="2620" w:type="dxa"/>
            <w:vAlign w:val="bottom"/>
            <w:shd w:val="clear" w:color="auto" w:fill="F1EFEC"/>
          </w:tcPr>
          <w:p>
            <w:pPr>
              <w:ind w:left="220"/>
              <w:spacing w:after="0"/>
              <w:rPr>
                <w:sz w:val="20"/>
                <w:szCs w:val="20"/>
                <w:color w:val="auto"/>
              </w:rPr>
            </w:pPr>
            <w:r>
              <w:rPr>
                <w:rFonts w:ascii="Arial" w:cs="Arial" w:eastAsia="Arial" w:hAnsi="Arial"/>
                <w:sz w:val="13"/>
                <w:szCs w:val="13"/>
                <w:color w:val="auto"/>
              </w:rPr>
              <w:t>Number of votes cast in favor exceeds</w:t>
            </w:r>
          </w:p>
        </w:tc>
        <w:tc>
          <w:tcPr>
            <w:tcW w:w="1220" w:type="dxa"/>
            <w:vAlign w:val="bottom"/>
            <w:vMerge w:val="restart"/>
            <w:shd w:val="clear" w:color="auto" w:fill="F1EFEC"/>
          </w:tcPr>
          <w:p>
            <w:pPr>
              <w:ind w:left="900"/>
              <w:spacing w:after="0"/>
              <w:rPr>
                <w:sz w:val="20"/>
                <w:szCs w:val="20"/>
                <w:color w:val="auto"/>
              </w:rPr>
            </w:pPr>
            <w:r>
              <w:rPr>
                <w:rFonts w:ascii="Arial" w:cs="Arial" w:eastAsia="Arial" w:hAnsi="Arial"/>
                <w:sz w:val="13"/>
                <w:szCs w:val="13"/>
                <w:color w:val="auto"/>
                <w:w w:val="74"/>
              </w:rPr>
              <w:t>  No </w:t>
            </w:r>
          </w:p>
        </w:tc>
        <w:tc>
          <w:tcPr>
            <w:tcW w:w="120" w:type="dxa"/>
            <w:vAlign w:val="bottom"/>
            <w:vMerge w:val="restart"/>
            <w:shd w:val="clear" w:color="auto" w:fill="F1EFEC"/>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vMerge w:val="restart"/>
            <w:shd w:val="clear" w:color="auto" w:fill="F1EFEC"/>
          </w:tcPr>
          <w:p>
            <w:pPr>
              <w:ind w:left="6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07"/>
        </w:trPr>
        <w:tc>
          <w:tcPr>
            <w:tcW w:w="1160" w:type="dxa"/>
            <w:vAlign w:val="bottom"/>
            <w:vMerge w:val="continue"/>
            <w:shd w:val="clear" w:color="auto" w:fill="F1EFEC"/>
          </w:tcPr>
          <w:p>
            <w:pPr>
              <w:spacing w:after="0"/>
              <w:rPr>
                <w:sz w:val="9"/>
                <w:szCs w:val="9"/>
                <w:color w:val="auto"/>
              </w:rPr>
            </w:pPr>
          </w:p>
        </w:tc>
        <w:tc>
          <w:tcPr>
            <w:tcW w:w="2800" w:type="dxa"/>
            <w:vAlign w:val="bottom"/>
            <w:vMerge w:val="continue"/>
            <w:shd w:val="clear" w:color="auto" w:fill="F1EFEC"/>
          </w:tcPr>
          <w:p>
            <w:pPr>
              <w:spacing w:after="0"/>
              <w:rPr>
                <w:sz w:val="9"/>
                <w:szCs w:val="9"/>
                <w:color w:val="auto"/>
              </w:rPr>
            </w:pPr>
          </w:p>
        </w:tc>
        <w:tc>
          <w:tcPr>
            <w:tcW w:w="2620" w:type="dxa"/>
            <w:vAlign w:val="bottom"/>
            <w:vMerge w:val="restart"/>
            <w:shd w:val="clear" w:color="auto" w:fill="F1EFEC"/>
          </w:tcPr>
          <w:p>
            <w:pPr>
              <w:ind w:left="220"/>
              <w:spacing w:after="0"/>
              <w:rPr>
                <w:sz w:val="20"/>
                <w:szCs w:val="20"/>
                <w:color w:val="auto"/>
              </w:rPr>
            </w:pPr>
            <w:r>
              <w:rPr>
                <w:rFonts w:ascii="Arial" w:cs="Arial" w:eastAsia="Arial" w:hAnsi="Arial"/>
                <w:sz w:val="13"/>
                <w:szCs w:val="13"/>
                <w:color w:val="auto"/>
              </w:rPr>
              <w:t>number of votes cast in opposition</w:t>
            </w:r>
          </w:p>
        </w:tc>
        <w:tc>
          <w:tcPr>
            <w:tcW w:w="1220" w:type="dxa"/>
            <w:vAlign w:val="bottom"/>
            <w:vMerge w:val="continue"/>
            <w:shd w:val="clear" w:color="auto" w:fill="F1EFEC"/>
          </w:tcPr>
          <w:p>
            <w:pPr>
              <w:spacing w:after="0"/>
              <w:rPr>
                <w:sz w:val="9"/>
                <w:szCs w:val="9"/>
                <w:color w:val="auto"/>
              </w:rPr>
            </w:pPr>
          </w:p>
        </w:tc>
        <w:tc>
          <w:tcPr>
            <w:tcW w:w="120" w:type="dxa"/>
            <w:vAlign w:val="bottom"/>
            <w:vMerge w:val="continue"/>
            <w:shd w:val="clear" w:color="auto" w:fill="F1EFEC"/>
          </w:tcPr>
          <w:p>
            <w:pPr>
              <w:spacing w:after="0"/>
              <w:rPr>
                <w:sz w:val="9"/>
                <w:szCs w:val="9"/>
                <w:color w:val="auto"/>
              </w:rPr>
            </w:pPr>
          </w:p>
        </w:tc>
        <w:tc>
          <w:tcPr>
            <w:tcW w:w="820" w:type="dxa"/>
            <w:vAlign w:val="bottom"/>
            <w:vMerge w:val="continue"/>
            <w:shd w:val="clear" w:color="auto" w:fill="F1EFEC"/>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60" w:type="dxa"/>
            <w:vAlign w:val="bottom"/>
            <w:shd w:val="clear" w:color="auto" w:fill="F1EFEC"/>
          </w:tcPr>
          <w:p>
            <w:pPr>
              <w:spacing w:after="0"/>
              <w:rPr>
                <w:sz w:val="8"/>
                <w:szCs w:val="8"/>
                <w:color w:val="auto"/>
              </w:rPr>
            </w:pPr>
          </w:p>
        </w:tc>
        <w:tc>
          <w:tcPr>
            <w:tcW w:w="2800" w:type="dxa"/>
            <w:vAlign w:val="bottom"/>
            <w:shd w:val="clear" w:color="auto" w:fill="F1EFEC"/>
          </w:tcPr>
          <w:p>
            <w:pPr>
              <w:spacing w:after="0"/>
              <w:rPr>
                <w:sz w:val="8"/>
                <w:szCs w:val="8"/>
                <w:color w:val="auto"/>
              </w:rPr>
            </w:pPr>
          </w:p>
        </w:tc>
        <w:tc>
          <w:tcPr>
            <w:tcW w:w="2620" w:type="dxa"/>
            <w:vAlign w:val="bottom"/>
            <w:vMerge w:val="continue"/>
            <w:shd w:val="clear" w:color="auto" w:fill="F1EFEC"/>
          </w:tcPr>
          <w:p>
            <w:pPr>
              <w:spacing w:after="0"/>
              <w:rPr>
                <w:sz w:val="8"/>
                <w:szCs w:val="8"/>
                <w:color w:val="auto"/>
              </w:rPr>
            </w:pPr>
          </w:p>
        </w:tc>
        <w:tc>
          <w:tcPr>
            <w:tcW w:w="1220" w:type="dxa"/>
            <w:vAlign w:val="bottom"/>
            <w:shd w:val="clear" w:color="auto" w:fill="F1EFEC"/>
          </w:tcPr>
          <w:p>
            <w:pPr>
              <w:spacing w:after="0"/>
              <w:rPr>
                <w:sz w:val="8"/>
                <w:szCs w:val="8"/>
                <w:color w:val="auto"/>
              </w:rPr>
            </w:pPr>
          </w:p>
        </w:tc>
        <w:tc>
          <w:tcPr>
            <w:tcW w:w="120" w:type="dxa"/>
            <w:vAlign w:val="bottom"/>
            <w:shd w:val="clear" w:color="auto" w:fill="F1EFEC"/>
          </w:tcPr>
          <w:p>
            <w:pPr>
              <w:spacing w:after="0"/>
              <w:rPr>
                <w:sz w:val="8"/>
                <w:szCs w:val="8"/>
                <w:color w:val="auto"/>
              </w:rPr>
            </w:pPr>
          </w:p>
        </w:tc>
        <w:tc>
          <w:tcPr>
            <w:tcW w:w="820" w:type="dxa"/>
            <w:vAlign w:val="bottom"/>
            <w:shd w:val="clear" w:color="auto" w:fill="F1EFEC"/>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F1EFEC"/>
          </w:tcPr>
          <w:p>
            <w:pPr>
              <w:spacing w:after="0"/>
              <w:rPr>
                <w:sz w:val="7"/>
                <w:szCs w:val="7"/>
                <w:color w:val="auto"/>
              </w:rPr>
            </w:pPr>
          </w:p>
        </w:tc>
        <w:tc>
          <w:tcPr>
            <w:tcW w:w="2800" w:type="dxa"/>
            <w:vAlign w:val="bottom"/>
            <w:shd w:val="clear" w:color="auto" w:fill="F1EFEC"/>
          </w:tcPr>
          <w:p>
            <w:pPr>
              <w:spacing w:after="0"/>
              <w:rPr>
                <w:sz w:val="7"/>
                <w:szCs w:val="7"/>
                <w:color w:val="auto"/>
              </w:rPr>
            </w:pPr>
          </w:p>
        </w:tc>
        <w:tc>
          <w:tcPr>
            <w:tcW w:w="2620" w:type="dxa"/>
            <w:vAlign w:val="bottom"/>
            <w:shd w:val="clear" w:color="auto" w:fill="F1EFEC"/>
          </w:tcPr>
          <w:p>
            <w:pPr>
              <w:spacing w:after="0"/>
              <w:rPr>
                <w:sz w:val="7"/>
                <w:szCs w:val="7"/>
                <w:color w:val="auto"/>
              </w:rPr>
            </w:pPr>
          </w:p>
        </w:tc>
        <w:tc>
          <w:tcPr>
            <w:tcW w:w="1220" w:type="dxa"/>
            <w:vAlign w:val="bottom"/>
            <w:shd w:val="clear" w:color="auto" w:fill="F1EFEC"/>
          </w:tcPr>
          <w:p>
            <w:pPr>
              <w:spacing w:after="0"/>
              <w:rPr>
                <w:sz w:val="7"/>
                <w:szCs w:val="7"/>
                <w:color w:val="auto"/>
              </w:rPr>
            </w:pPr>
          </w:p>
        </w:tc>
        <w:tc>
          <w:tcPr>
            <w:tcW w:w="120" w:type="dxa"/>
            <w:vAlign w:val="bottom"/>
            <w:shd w:val="clear" w:color="auto" w:fill="F1EFEC"/>
          </w:tcPr>
          <w:p>
            <w:pPr>
              <w:spacing w:after="0"/>
              <w:rPr>
                <w:sz w:val="7"/>
                <w:szCs w:val="7"/>
                <w:color w:val="auto"/>
              </w:rPr>
            </w:pPr>
          </w:p>
        </w:tc>
        <w:tc>
          <w:tcPr>
            <w:tcW w:w="820" w:type="dxa"/>
            <w:vAlign w:val="bottom"/>
            <w:shd w:val="clear" w:color="auto" w:fill="F1EFEC"/>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2</w:t>
            </w:r>
          </w:p>
        </w:tc>
        <w:tc>
          <w:tcPr>
            <w:tcW w:w="2800" w:type="dxa"/>
            <w:vAlign w:val="bottom"/>
          </w:tcPr>
          <w:p>
            <w:pPr>
              <w:ind w:left="240"/>
              <w:spacing w:after="0"/>
              <w:rPr>
                <w:sz w:val="20"/>
                <w:szCs w:val="20"/>
                <w:color w:val="auto"/>
              </w:rPr>
            </w:pPr>
            <w:r>
              <w:rPr>
                <w:rFonts w:ascii="Arial" w:cs="Arial" w:eastAsia="Arial" w:hAnsi="Arial"/>
                <w:sz w:val="13"/>
                <w:szCs w:val="13"/>
                <w:color w:val="auto"/>
              </w:rPr>
              <w:t>Ratification of the Appointment of Ernst &amp;</w:t>
            </w:r>
          </w:p>
        </w:tc>
        <w:tc>
          <w:tcPr>
            <w:tcW w:w="2620" w:type="dxa"/>
            <w:vAlign w:val="bottom"/>
          </w:tcPr>
          <w:p>
            <w:pPr>
              <w:ind w:left="220"/>
              <w:spacing w:after="0"/>
              <w:rPr>
                <w:sz w:val="20"/>
                <w:szCs w:val="20"/>
                <w:color w:val="auto"/>
              </w:rPr>
            </w:pPr>
            <w:r>
              <w:rPr>
                <w:rFonts w:ascii="Arial" w:cs="Arial" w:eastAsia="Arial" w:hAnsi="Arial"/>
                <w:sz w:val="13"/>
                <w:szCs w:val="13"/>
                <w:color w:val="auto"/>
              </w:rPr>
              <w:t>Number of votes cast in favor exceeds</w:t>
            </w:r>
          </w:p>
        </w:tc>
        <w:tc>
          <w:tcPr>
            <w:tcW w:w="1220" w:type="dxa"/>
            <w:vAlign w:val="bottom"/>
            <w:vMerge w:val="restart"/>
          </w:tcPr>
          <w:p>
            <w:pPr>
              <w:ind w:left="920"/>
              <w:spacing w:after="0"/>
              <w:rPr>
                <w:sz w:val="20"/>
                <w:szCs w:val="20"/>
                <w:color w:val="auto"/>
              </w:rPr>
            </w:pPr>
            <w:r>
              <w:rPr>
                <w:rFonts w:ascii="Arial" w:cs="Arial" w:eastAsia="Arial" w:hAnsi="Arial"/>
                <w:sz w:val="13"/>
                <w:szCs w:val="13"/>
                <w:color w:val="auto"/>
                <w:w w:val="78"/>
              </w:rPr>
              <w:t>Yes </w:t>
            </w:r>
          </w:p>
        </w:tc>
        <w:tc>
          <w:tcPr>
            <w:tcW w:w="120" w:type="dxa"/>
            <w:vAlign w:val="bottom"/>
            <w:vMerge w:val="restart"/>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07"/>
        </w:trPr>
        <w:tc>
          <w:tcPr>
            <w:tcW w:w="1160" w:type="dxa"/>
            <w:vAlign w:val="bottom"/>
            <w:vMerge w:val="continue"/>
          </w:tcPr>
          <w:p>
            <w:pPr>
              <w:spacing w:after="0"/>
              <w:rPr>
                <w:sz w:val="9"/>
                <w:szCs w:val="9"/>
                <w:color w:val="auto"/>
              </w:rPr>
            </w:pPr>
          </w:p>
        </w:tc>
        <w:tc>
          <w:tcPr>
            <w:tcW w:w="2800" w:type="dxa"/>
            <w:vAlign w:val="bottom"/>
            <w:vMerge w:val="restart"/>
          </w:tcPr>
          <w:p>
            <w:pPr>
              <w:ind w:left="240"/>
              <w:spacing w:after="0"/>
              <w:rPr>
                <w:sz w:val="20"/>
                <w:szCs w:val="20"/>
                <w:color w:val="auto"/>
              </w:rPr>
            </w:pPr>
            <w:r>
              <w:rPr>
                <w:rFonts w:ascii="Arial" w:cs="Arial" w:eastAsia="Arial" w:hAnsi="Arial"/>
                <w:sz w:val="13"/>
                <w:szCs w:val="13"/>
                <w:color w:val="auto"/>
              </w:rPr>
              <w:t>Young LLP</w:t>
            </w:r>
          </w:p>
        </w:tc>
        <w:tc>
          <w:tcPr>
            <w:tcW w:w="2620" w:type="dxa"/>
            <w:vAlign w:val="bottom"/>
            <w:vMerge w:val="restart"/>
          </w:tcPr>
          <w:p>
            <w:pPr>
              <w:ind w:left="220"/>
              <w:spacing w:after="0"/>
              <w:rPr>
                <w:sz w:val="20"/>
                <w:szCs w:val="20"/>
                <w:color w:val="auto"/>
              </w:rPr>
            </w:pPr>
            <w:r>
              <w:rPr>
                <w:rFonts w:ascii="Arial" w:cs="Arial" w:eastAsia="Arial" w:hAnsi="Arial"/>
                <w:sz w:val="13"/>
                <w:szCs w:val="13"/>
                <w:color w:val="auto"/>
              </w:rPr>
              <w:t>number of votes cast in opposition</w:t>
            </w:r>
          </w:p>
        </w:tc>
        <w:tc>
          <w:tcPr>
            <w:tcW w:w="12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1160" w:type="dxa"/>
            <w:vAlign w:val="bottom"/>
            <w:shd w:val="clear" w:color="auto" w:fill="F1EFEC"/>
          </w:tcPr>
          <w:p>
            <w:pPr>
              <w:spacing w:after="0"/>
              <w:rPr>
                <w:sz w:val="24"/>
                <w:szCs w:val="24"/>
                <w:color w:val="auto"/>
              </w:rPr>
            </w:pPr>
          </w:p>
        </w:tc>
        <w:tc>
          <w:tcPr>
            <w:tcW w:w="2800" w:type="dxa"/>
            <w:vAlign w:val="bottom"/>
            <w:shd w:val="clear" w:color="auto" w:fill="F1EFEC"/>
          </w:tcPr>
          <w:p>
            <w:pPr>
              <w:ind w:left="240"/>
              <w:spacing w:after="0"/>
              <w:rPr>
                <w:sz w:val="20"/>
                <w:szCs w:val="20"/>
                <w:color w:val="auto"/>
              </w:rPr>
            </w:pPr>
            <w:r>
              <w:rPr>
                <w:rFonts w:ascii="Arial" w:cs="Arial" w:eastAsia="Arial" w:hAnsi="Arial"/>
                <w:sz w:val="13"/>
                <w:szCs w:val="13"/>
                <w:color w:val="auto"/>
              </w:rPr>
              <w:t>Advisory Vote to Approve the</w:t>
            </w:r>
          </w:p>
        </w:tc>
        <w:tc>
          <w:tcPr>
            <w:tcW w:w="2620" w:type="dxa"/>
            <w:vAlign w:val="bottom"/>
            <w:vMerge w:val="restart"/>
            <w:shd w:val="clear" w:color="auto" w:fill="F1EFEC"/>
          </w:tcPr>
          <w:p>
            <w:pPr>
              <w:ind w:left="220"/>
              <w:spacing w:after="0"/>
              <w:rPr>
                <w:sz w:val="20"/>
                <w:szCs w:val="20"/>
                <w:color w:val="auto"/>
              </w:rPr>
            </w:pPr>
            <w:r>
              <w:rPr>
                <w:rFonts w:ascii="Arial" w:cs="Arial" w:eastAsia="Arial" w:hAnsi="Arial"/>
                <w:sz w:val="13"/>
                <w:szCs w:val="13"/>
                <w:color w:val="auto"/>
              </w:rPr>
              <w:t>Number of votes cast in favor exceeds</w:t>
            </w:r>
          </w:p>
        </w:tc>
        <w:tc>
          <w:tcPr>
            <w:tcW w:w="1220" w:type="dxa"/>
            <w:vAlign w:val="bottom"/>
            <w:shd w:val="clear" w:color="auto" w:fill="F1EFEC"/>
          </w:tcPr>
          <w:p>
            <w:pPr>
              <w:spacing w:after="0"/>
              <w:rPr>
                <w:sz w:val="24"/>
                <w:szCs w:val="24"/>
                <w:color w:val="auto"/>
              </w:rPr>
            </w:pPr>
          </w:p>
        </w:tc>
        <w:tc>
          <w:tcPr>
            <w:tcW w:w="120" w:type="dxa"/>
            <w:vAlign w:val="bottom"/>
            <w:shd w:val="clear" w:color="auto" w:fill="F1EFEC"/>
          </w:tcPr>
          <w:p>
            <w:pPr>
              <w:spacing w:after="0"/>
              <w:rPr>
                <w:sz w:val="24"/>
                <w:szCs w:val="24"/>
                <w:color w:val="auto"/>
              </w:rPr>
            </w:pPr>
          </w:p>
        </w:tc>
        <w:tc>
          <w:tcPr>
            <w:tcW w:w="820" w:type="dxa"/>
            <w:vAlign w:val="bottom"/>
            <w:shd w:val="clear" w:color="auto" w:fill="F1EFEC"/>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vMerge w:val="restart"/>
            <w:shd w:val="clear" w:color="auto" w:fill="F1EFEC"/>
          </w:tcPr>
          <w:p>
            <w:pPr>
              <w:ind w:left="40"/>
              <w:spacing w:after="0"/>
              <w:rPr>
                <w:sz w:val="20"/>
                <w:szCs w:val="20"/>
                <w:color w:val="auto"/>
              </w:rPr>
            </w:pPr>
            <w:r>
              <w:rPr>
                <w:rFonts w:ascii="Arial" w:cs="Arial" w:eastAsia="Arial" w:hAnsi="Arial"/>
                <w:sz w:val="13"/>
                <w:szCs w:val="13"/>
                <w:color w:val="auto"/>
              </w:rPr>
              <w:t>3</w:t>
            </w:r>
          </w:p>
        </w:tc>
        <w:tc>
          <w:tcPr>
            <w:tcW w:w="2800" w:type="dxa"/>
            <w:vAlign w:val="bottom"/>
            <w:vMerge w:val="restart"/>
            <w:shd w:val="clear" w:color="auto" w:fill="F1EFEC"/>
          </w:tcPr>
          <w:p>
            <w:pPr>
              <w:ind w:left="240"/>
              <w:spacing w:after="0"/>
              <w:rPr>
                <w:sz w:val="20"/>
                <w:szCs w:val="20"/>
                <w:color w:val="auto"/>
              </w:rPr>
            </w:pPr>
            <w:r>
              <w:rPr>
                <w:rFonts w:ascii="Arial" w:cs="Arial" w:eastAsia="Arial" w:hAnsi="Arial"/>
                <w:sz w:val="13"/>
                <w:szCs w:val="13"/>
                <w:color w:val="auto"/>
              </w:rPr>
              <w:t>Compensation of Named Executive</w:t>
            </w:r>
          </w:p>
        </w:tc>
        <w:tc>
          <w:tcPr>
            <w:tcW w:w="2620" w:type="dxa"/>
            <w:vAlign w:val="bottom"/>
            <w:vMerge w:val="continue"/>
            <w:shd w:val="clear" w:color="auto" w:fill="F1EFEC"/>
          </w:tcPr>
          <w:p>
            <w:pPr>
              <w:spacing w:after="0"/>
              <w:rPr>
                <w:sz w:val="8"/>
                <w:szCs w:val="8"/>
                <w:color w:val="auto"/>
              </w:rPr>
            </w:pPr>
          </w:p>
        </w:tc>
        <w:tc>
          <w:tcPr>
            <w:tcW w:w="1220" w:type="dxa"/>
            <w:vAlign w:val="bottom"/>
            <w:vMerge w:val="restart"/>
            <w:shd w:val="clear" w:color="auto" w:fill="F1EFEC"/>
          </w:tcPr>
          <w:p>
            <w:pPr>
              <w:ind w:left="900"/>
              <w:spacing w:after="0"/>
              <w:rPr>
                <w:sz w:val="20"/>
                <w:szCs w:val="20"/>
                <w:color w:val="auto"/>
              </w:rPr>
            </w:pPr>
            <w:r>
              <w:rPr>
                <w:rFonts w:ascii="Arial" w:cs="Arial" w:eastAsia="Arial" w:hAnsi="Arial"/>
                <w:sz w:val="13"/>
                <w:szCs w:val="13"/>
                <w:color w:val="auto"/>
                <w:w w:val="74"/>
              </w:rPr>
              <w:t>  No </w:t>
            </w:r>
          </w:p>
        </w:tc>
        <w:tc>
          <w:tcPr>
            <w:tcW w:w="120" w:type="dxa"/>
            <w:vAlign w:val="bottom"/>
            <w:vMerge w:val="restart"/>
            <w:shd w:val="clear" w:color="auto" w:fill="F1EFEC"/>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vMerge w:val="restart"/>
            <w:shd w:val="clear" w:color="auto" w:fill="F1EFEC"/>
          </w:tcPr>
          <w:p>
            <w:pPr>
              <w:ind w:left="6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07"/>
        </w:trPr>
        <w:tc>
          <w:tcPr>
            <w:tcW w:w="1160" w:type="dxa"/>
            <w:vAlign w:val="bottom"/>
            <w:vMerge w:val="continue"/>
            <w:shd w:val="clear" w:color="auto" w:fill="F1EFEC"/>
          </w:tcPr>
          <w:p>
            <w:pPr>
              <w:spacing w:after="0"/>
              <w:rPr>
                <w:sz w:val="9"/>
                <w:szCs w:val="9"/>
                <w:color w:val="auto"/>
              </w:rPr>
            </w:pPr>
          </w:p>
        </w:tc>
        <w:tc>
          <w:tcPr>
            <w:tcW w:w="2800" w:type="dxa"/>
            <w:vAlign w:val="bottom"/>
            <w:vMerge w:val="continue"/>
            <w:shd w:val="clear" w:color="auto" w:fill="F1EFEC"/>
          </w:tcPr>
          <w:p>
            <w:pPr>
              <w:spacing w:after="0"/>
              <w:rPr>
                <w:sz w:val="9"/>
                <w:szCs w:val="9"/>
                <w:color w:val="auto"/>
              </w:rPr>
            </w:pPr>
          </w:p>
        </w:tc>
        <w:tc>
          <w:tcPr>
            <w:tcW w:w="2620" w:type="dxa"/>
            <w:vAlign w:val="bottom"/>
            <w:vMerge w:val="restart"/>
            <w:shd w:val="clear" w:color="auto" w:fill="F1EFEC"/>
          </w:tcPr>
          <w:p>
            <w:pPr>
              <w:ind w:left="220"/>
              <w:spacing w:after="0"/>
              <w:rPr>
                <w:sz w:val="20"/>
                <w:szCs w:val="20"/>
                <w:color w:val="auto"/>
              </w:rPr>
            </w:pPr>
            <w:r>
              <w:rPr>
                <w:rFonts w:ascii="Arial" w:cs="Arial" w:eastAsia="Arial" w:hAnsi="Arial"/>
                <w:sz w:val="13"/>
                <w:szCs w:val="13"/>
                <w:color w:val="auto"/>
              </w:rPr>
              <w:t>number of votes cast in opposition</w:t>
            </w:r>
          </w:p>
        </w:tc>
        <w:tc>
          <w:tcPr>
            <w:tcW w:w="1220" w:type="dxa"/>
            <w:vAlign w:val="bottom"/>
            <w:vMerge w:val="continue"/>
            <w:shd w:val="clear" w:color="auto" w:fill="F1EFEC"/>
          </w:tcPr>
          <w:p>
            <w:pPr>
              <w:spacing w:after="0"/>
              <w:rPr>
                <w:sz w:val="9"/>
                <w:szCs w:val="9"/>
                <w:color w:val="auto"/>
              </w:rPr>
            </w:pPr>
          </w:p>
        </w:tc>
        <w:tc>
          <w:tcPr>
            <w:tcW w:w="120" w:type="dxa"/>
            <w:vAlign w:val="bottom"/>
            <w:vMerge w:val="continue"/>
            <w:shd w:val="clear" w:color="auto" w:fill="F1EFEC"/>
          </w:tcPr>
          <w:p>
            <w:pPr>
              <w:spacing w:after="0"/>
              <w:rPr>
                <w:sz w:val="9"/>
                <w:szCs w:val="9"/>
                <w:color w:val="auto"/>
              </w:rPr>
            </w:pPr>
          </w:p>
        </w:tc>
        <w:tc>
          <w:tcPr>
            <w:tcW w:w="820" w:type="dxa"/>
            <w:vAlign w:val="bottom"/>
            <w:vMerge w:val="continue"/>
            <w:shd w:val="clear" w:color="auto" w:fill="F1EFEC"/>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60" w:type="dxa"/>
            <w:vAlign w:val="bottom"/>
            <w:shd w:val="clear" w:color="auto" w:fill="F1EFEC"/>
          </w:tcPr>
          <w:p>
            <w:pPr>
              <w:spacing w:after="0"/>
              <w:rPr>
                <w:sz w:val="8"/>
                <w:szCs w:val="8"/>
                <w:color w:val="auto"/>
              </w:rPr>
            </w:pPr>
          </w:p>
        </w:tc>
        <w:tc>
          <w:tcPr>
            <w:tcW w:w="2800" w:type="dxa"/>
            <w:vAlign w:val="bottom"/>
            <w:vMerge w:val="restart"/>
            <w:shd w:val="clear" w:color="auto" w:fill="F1EFEC"/>
          </w:tcPr>
          <w:p>
            <w:pPr>
              <w:ind w:left="240"/>
              <w:spacing w:after="0"/>
              <w:rPr>
                <w:sz w:val="20"/>
                <w:szCs w:val="20"/>
                <w:color w:val="auto"/>
              </w:rPr>
            </w:pPr>
            <w:r>
              <w:rPr>
                <w:rFonts w:ascii="Arial" w:cs="Arial" w:eastAsia="Arial" w:hAnsi="Arial"/>
                <w:sz w:val="13"/>
                <w:szCs w:val="13"/>
                <w:color w:val="auto"/>
              </w:rPr>
              <w:t>Officers</w:t>
            </w:r>
          </w:p>
        </w:tc>
        <w:tc>
          <w:tcPr>
            <w:tcW w:w="2620" w:type="dxa"/>
            <w:vAlign w:val="bottom"/>
            <w:vMerge w:val="continue"/>
            <w:shd w:val="clear" w:color="auto" w:fill="F1EFEC"/>
          </w:tcPr>
          <w:p>
            <w:pPr>
              <w:spacing w:after="0"/>
              <w:rPr>
                <w:sz w:val="8"/>
                <w:szCs w:val="8"/>
                <w:color w:val="auto"/>
              </w:rPr>
            </w:pPr>
          </w:p>
        </w:tc>
        <w:tc>
          <w:tcPr>
            <w:tcW w:w="1220" w:type="dxa"/>
            <w:vAlign w:val="bottom"/>
            <w:shd w:val="clear" w:color="auto" w:fill="F1EFEC"/>
          </w:tcPr>
          <w:p>
            <w:pPr>
              <w:spacing w:after="0"/>
              <w:rPr>
                <w:sz w:val="8"/>
                <w:szCs w:val="8"/>
                <w:color w:val="auto"/>
              </w:rPr>
            </w:pPr>
          </w:p>
        </w:tc>
        <w:tc>
          <w:tcPr>
            <w:tcW w:w="120" w:type="dxa"/>
            <w:vAlign w:val="bottom"/>
            <w:shd w:val="clear" w:color="auto" w:fill="F1EFEC"/>
          </w:tcPr>
          <w:p>
            <w:pPr>
              <w:spacing w:after="0"/>
              <w:rPr>
                <w:sz w:val="8"/>
                <w:szCs w:val="8"/>
                <w:color w:val="auto"/>
              </w:rPr>
            </w:pPr>
          </w:p>
        </w:tc>
        <w:tc>
          <w:tcPr>
            <w:tcW w:w="820" w:type="dxa"/>
            <w:vAlign w:val="bottom"/>
            <w:shd w:val="clear" w:color="auto" w:fill="F1EFEC"/>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F1EFEC"/>
            </w:tcBorders>
            <w:shd w:val="clear" w:color="auto" w:fill="F1EFEC"/>
          </w:tcPr>
          <w:p>
            <w:pPr>
              <w:spacing w:after="0"/>
              <w:rPr>
                <w:sz w:val="9"/>
                <w:szCs w:val="9"/>
                <w:color w:val="auto"/>
              </w:rPr>
            </w:pPr>
          </w:p>
        </w:tc>
        <w:tc>
          <w:tcPr>
            <w:tcW w:w="2800" w:type="dxa"/>
            <w:vAlign w:val="bottom"/>
            <w:tcBorders>
              <w:bottom w:val="single" w:sz="8" w:color="F1EFEC"/>
            </w:tcBorders>
            <w:vMerge w:val="continue"/>
            <w:shd w:val="clear" w:color="auto" w:fill="F1EFEC"/>
          </w:tcPr>
          <w:p>
            <w:pPr>
              <w:spacing w:after="0"/>
              <w:rPr>
                <w:sz w:val="9"/>
                <w:szCs w:val="9"/>
                <w:color w:val="auto"/>
              </w:rPr>
            </w:pPr>
          </w:p>
        </w:tc>
        <w:tc>
          <w:tcPr>
            <w:tcW w:w="2620" w:type="dxa"/>
            <w:vAlign w:val="bottom"/>
            <w:tcBorders>
              <w:bottom w:val="single" w:sz="8" w:color="F1EFEC"/>
            </w:tcBorders>
            <w:shd w:val="clear" w:color="auto" w:fill="F1EFEC"/>
          </w:tcPr>
          <w:p>
            <w:pPr>
              <w:spacing w:after="0"/>
              <w:rPr>
                <w:sz w:val="9"/>
                <w:szCs w:val="9"/>
                <w:color w:val="auto"/>
              </w:rPr>
            </w:pPr>
          </w:p>
        </w:tc>
        <w:tc>
          <w:tcPr>
            <w:tcW w:w="1220" w:type="dxa"/>
            <w:vAlign w:val="bottom"/>
            <w:tcBorders>
              <w:bottom w:val="single" w:sz="8" w:color="F1EFEC"/>
            </w:tcBorders>
            <w:shd w:val="clear" w:color="auto" w:fill="F1EFEC"/>
          </w:tcPr>
          <w:p>
            <w:pPr>
              <w:spacing w:after="0"/>
              <w:rPr>
                <w:sz w:val="9"/>
                <w:szCs w:val="9"/>
                <w:color w:val="auto"/>
              </w:rPr>
            </w:pPr>
          </w:p>
        </w:tc>
        <w:tc>
          <w:tcPr>
            <w:tcW w:w="120" w:type="dxa"/>
            <w:vAlign w:val="bottom"/>
            <w:tcBorders>
              <w:bottom w:val="single" w:sz="8" w:color="F1EFEC"/>
            </w:tcBorders>
            <w:shd w:val="clear" w:color="auto" w:fill="F1EFEC"/>
          </w:tcPr>
          <w:p>
            <w:pPr>
              <w:spacing w:after="0"/>
              <w:rPr>
                <w:sz w:val="9"/>
                <w:szCs w:val="9"/>
                <w:color w:val="auto"/>
              </w:rPr>
            </w:pPr>
          </w:p>
        </w:tc>
        <w:tc>
          <w:tcPr>
            <w:tcW w:w="820" w:type="dxa"/>
            <w:vAlign w:val="bottom"/>
            <w:tcBorders>
              <w:bottom w:val="single" w:sz="8" w:color="F1EFEC"/>
            </w:tcBorders>
            <w:shd w:val="clear" w:color="auto" w:fill="F1EFEC"/>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160" w:type="dxa"/>
            <w:vAlign w:val="bottom"/>
          </w:tcPr>
          <w:p>
            <w:pPr>
              <w:spacing w:after="0"/>
              <w:rPr>
                <w:sz w:val="24"/>
                <w:szCs w:val="24"/>
                <w:color w:val="auto"/>
              </w:rPr>
            </w:pPr>
          </w:p>
        </w:tc>
        <w:tc>
          <w:tcPr>
            <w:tcW w:w="2800" w:type="dxa"/>
            <w:vAlign w:val="bottom"/>
          </w:tcPr>
          <w:p>
            <w:pPr>
              <w:ind w:left="240"/>
              <w:spacing w:after="0"/>
              <w:rPr>
                <w:sz w:val="20"/>
                <w:szCs w:val="20"/>
                <w:color w:val="auto"/>
              </w:rPr>
            </w:pPr>
            <w:r>
              <w:rPr>
                <w:rFonts w:ascii="Arial" w:cs="Arial" w:eastAsia="Arial" w:hAnsi="Arial"/>
                <w:sz w:val="13"/>
                <w:szCs w:val="13"/>
                <w:color w:val="auto"/>
              </w:rPr>
              <w:t>Approval of an amendment to the 2014</w:t>
            </w:r>
          </w:p>
        </w:tc>
        <w:tc>
          <w:tcPr>
            <w:tcW w:w="2620" w:type="dxa"/>
            <w:vAlign w:val="bottom"/>
            <w:vMerge w:val="restart"/>
          </w:tcPr>
          <w:p>
            <w:pPr>
              <w:ind w:left="220"/>
              <w:spacing w:after="0"/>
              <w:rPr>
                <w:sz w:val="20"/>
                <w:szCs w:val="20"/>
                <w:color w:val="auto"/>
              </w:rPr>
            </w:pPr>
            <w:r>
              <w:rPr>
                <w:rFonts w:ascii="Arial" w:cs="Arial" w:eastAsia="Arial" w:hAnsi="Arial"/>
                <w:sz w:val="13"/>
                <w:szCs w:val="13"/>
                <w:color w:val="auto"/>
              </w:rPr>
              <w:t>Number of votes cast in favor exceeds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4</w:t>
            </w:r>
          </w:p>
        </w:tc>
        <w:tc>
          <w:tcPr>
            <w:tcW w:w="2800" w:type="dxa"/>
            <w:vAlign w:val="bottom"/>
            <w:vMerge w:val="restart"/>
          </w:tcPr>
          <w:p>
            <w:pPr>
              <w:ind w:left="240"/>
              <w:spacing w:after="0"/>
              <w:rPr>
                <w:sz w:val="20"/>
                <w:szCs w:val="20"/>
                <w:color w:val="auto"/>
              </w:rPr>
            </w:pPr>
            <w:r>
              <w:rPr>
                <w:rFonts w:ascii="Arial" w:cs="Arial" w:eastAsia="Arial" w:hAnsi="Arial"/>
                <w:sz w:val="13"/>
                <w:szCs w:val="13"/>
                <w:color w:val="auto"/>
              </w:rPr>
              <w:t>Omnibus Incentive Plan to increase the</w:t>
            </w:r>
          </w:p>
        </w:tc>
        <w:tc>
          <w:tcPr>
            <w:tcW w:w="2620" w:type="dxa"/>
            <w:vAlign w:val="bottom"/>
            <w:vMerge w:val="continue"/>
          </w:tcPr>
          <w:p>
            <w:pPr>
              <w:spacing w:after="0"/>
              <w:rPr>
                <w:sz w:val="10"/>
                <w:szCs w:val="10"/>
                <w:color w:val="auto"/>
              </w:rPr>
            </w:pPr>
          </w:p>
        </w:tc>
        <w:tc>
          <w:tcPr>
            <w:tcW w:w="1220" w:type="dxa"/>
            <w:vAlign w:val="bottom"/>
            <w:vMerge w:val="restart"/>
          </w:tcPr>
          <w:p>
            <w:pPr>
              <w:ind w:left="900"/>
              <w:spacing w:after="0"/>
              <w:rPr>
                <w:sz w:val="20"/>
                <w:szCs w:val="20"/>
                <w:color w:val="auto"/>
              </w:rPr>
            </w:pPr>
            <w:r>
              <w:rPr>
                <w:rFonts w:ascii="Arial" w:cs="Arial" w:eastAsia="Arial" w:hAnsi="Arial"/>
                <w:sz w:val="13"/>
                <w:szCs w:val="13"/>
                <w:color w:val="auto"/>
                <w:w w:val="74"/>
              </w:rPr>
              <w:t>  No </w:t>
            </w:r>
          </w:p>
        </w:tc>
        <w:tc>
          <w:tcPr>
            <w:tcW w:w="120" w:type="dxa"/>
            <w:vAlign w:val="bottom"/>
            <w:vMerge w:val="restart"/>
          </w:tcPr>
          <w:p>
            <w:pPr>
              <w:ind w:left="40"/>
              <w:spacing w:after="0"/>
              <w:rPr>
                <w:sz w:val="20"/>
                <w:szCs w:val="20"/>
                <w:color w:val="auto"/>
              </w:rPr>
            </w:pPr>
            <w:r>
              <w:rPr>
                <w:rFonts w:ascii="Arial" w:cs="Arial" w:eastAsia="Arial" w:hAnsi="Arial"/>
                <w:sz w:val="8"/>
                <w:szCs w:val="8"/>
                <w:color w:val="auto"/>
                <w:w w:val="74"/>
              </w:rPr>
              <w:t> </w:t>
            </w:r>
          </w:p>
        </w:tc>
        <w:tc>
          <w:tcPr>
            <w:tcW w:w="820" w:type="dxa"/>
            <w:vAlign w:val="bottom"/>
            <w:vMerge w:val="restart"/>
          </w:tcPr>
          <w:p>
            <w:pPr>
              <w:ind w:left="6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07"/>
        </w:trPr>
        <w:tc>
          <w:tcPr>
            <w:tcW w:w="116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2620" w:type="dxa"/>
            <w:vAlign w:val="bottom"/>
            <w:vMerge w:val="restart"/>
          </w:tcPr>
          <w:p>
            <w:pPr>
              <w:ind w:left="220"/>
              <w:spacing w:after="0"/>
              <w:rPr>
                <w:sz w:val="20"/>
                <w:szCs w:val="20"/>
                <w:color w:val="auto"/>
              </w:rPr>
            </w:pPr>
            <w:r>
              <w:rPr>
                <w:rFonts w:ascii="Arial" w:cs="Arial" w:eastAsia="Arial" w:hAnsi="Arial"/>
                <w:sz w:val="13"/>
                <w:szCs w:val="13"/>
                <w:color w:val="auto"/>
              </w:rPr>
              <w:t>number of votes cast in opposition</w:t>
            </w:r>
          </w:p>
        </w:tc>
        <w:tc>
          <w:tcPr>
            <w:tcW w:w="12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800" w:type="dxa"/>
            <w:vAlign w:val="bottom"/>
            <w:vMerge w:val="restart"/>
          </w:tcPr>
          <w:p>
            <w:pPr>
              <w:ind w:left="240"/>
              <w:spacing w:after="0"/>
              <w:rPr>
                <w:sz w:val="20"/>
                <w:szCs w:val="20"/>
                <w:color w:val="auto"/>
              </w:rPr>
            </w:pPr>
            <w:r>
              <w:rPr>
                <w:rFonts w:ascii="Arial" w:cs="Arial" w:eastAsia="Arial" w:hAnsi="Arial"/>
                <w:sz w:val="13"/>
                <w:szCs w:val="13"/>
                <w:color w:val="auto"/>
              </w:rPr>
              <w:t>authorized shares by 3,000,000 shares</w:t>
            </w:r>
          </w:p>
        </w:tc>
        <w:tc>
          <w:tcPr>
            <w:tcW w:w="26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160" w:type="dxa"/>
            <w:vAlign w:val="bottom"/>
          </w:tcPr>
          <w:p>
            <w:pPr>
              <w:spacing w:after="0"/>
              <w:rPr>
                <w:sz w:val="6"/>
                <w:szCs w:val="6"/>
                <w:color w:val="auto"/>
              </w:rPr>
            </w:pPr>
          </w:p>
        </w:tc>
        <w:tc>
          <w:tcPr>
            <w:tcW w:w="28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HOW YOU CAN VOTE</w:t>
      </w: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SHAREHOLDERS OF RECORD. For shareholders of record, there are four different ways you can vote:</w:t>
      </w:r>
    </w:p>
    <w:p>
      <w:pPr>
        <w:spacing w:after="0" w:line="33" w:lineRule="exact"/>
        <w:rPr>
          <w:sz w:val="20"/>
          <w:szCs w:val="20"/>
          <w:color w:val="auto"/>
        </w:rPr>
      </w:pPr>
    </w:p>
    <w:p>
      <w:pPr>
        <w:ind w:left="1780" w:hanging="170"/>
        <w:spacing w:after="0"/>
        <w:tabs>
          <w:tab w:leader="none" w:pos="17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By Internet. To vote via the Internet, use the website on the enclosed proxy card.</w:t>
      </w:r>
    </w:p>
    <w:p>
      <w:pPr>
        <w:spacing w:after="0" w:line="32" w:lineRule="exact"/>
        <w:rPr>
          <w:rFonts w:ascii="Arial" w:cs="Arial" w:eastAsia="Arial" w:hAnsi="Arial"/>
          <w:sz w:val="13"/>
          <w:szCs w:val="13"/>
          <w:color w:val="auto"/>
        </w:rPr>
      </w:pPr>
    </w:p>
    <w:p>
      <w:pPr>
        <w:ind w:left="1780" w:hanging="170"/>
        <w:spacing w:after="0"/>
        <w:tabs>
          <w:tab w:leader="none" w:pos="17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By Telephone. To vote by telephone, call the toll-free number on the enclosed proxy card.</w:t>
      </w:r>
    </w:p>
    <w:p>
      <w:pPr>
        <w:spacing w:after="0" w:line="32" w:lineRule="exact"/>
        <w:rPr>
          <w:rFonts w:ascii="Arial" w:cs="Arial" w:eastAsia="Arial" w:hAnsi="Arial"/>
          <w:sz w:val="13"/>
          <w:szCs w:val="13"/>
          <w:color w:val="auto"/>
        </w:rPr>
      </w:pPr>
    </w:p>
    <w:p>
      <w:pPr>
        <w:ind w:left="1780" w:hanging="170"/>
        <w:spacing w:after="0"/>
        <w:tabs>
          <w:tab w:leader="none" w:pos="17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By Mail. To vote by mail, follow the instructions on the enclosed proxy card.</w:t>
      </w:r>
    </w:p>
    <w:p>
      <w:pPr>
        <w:spacing w:after="0" w:line="32" w:lineRule="exact"/>
        <w:rPr>
          <w:rFonts w:ascii="Arial" w:cs="Arial" w:eastAsia="Arial" w:hAnsi="Arial"/>
          <w:sz w:val="13"/>
          <w:szCs w:val="13"/>
          <w:color w:val="auto"/>
        </w:rPr>
      </w:pPr>
    </w:p>
    <w:p>
      <w:pPr>
        <w:ind w:left="1780" w:right="279" w:hanging="170"/>
        <w:spacing w:after="0" w:line="256" w:lineRule="auto"/>
        <w:tabs>
          <w:tab w:leader="none" w:pos="17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By Participating in the Virtual Annual Meeting. To vote electronically during the virtual Annual Meeting, visit http://www.virtualshareholdermeeting.com/WYNN2026, log in using the 16-digit control number printed in the box marked by the arrow on your Notice of Internet Availability or proxy card, click on the vote button on the screen and follow the instructions provided.</w:t>
      </w:r>
    </w:p>
    <w:p>
      <w:pPr>
        <w:spacing w:after="0" w:line="144" w:lineRule="exact"/>
        <w:rPr>
          <w:sz w:val="20"/>
          <w:szCs w:val="20"/>
          <w:color w:val="auto"/>
        </w:rPr>
      </w:pPr>
    </w:p>
    <w:p>
      <w:pPr>
        <w:ind w:left="1260" w:right="259"/>
        <w:spacing w:after="0" w:line="251" w:lineRule="auto"/>
        <w:rPr>
          <w:sz w:val="20"/>
          <w:szCs w:val="20"/>
          <w:color w:val="auto"/>
        </w:rPr>
      </w:pPr>
      <w:r>
        <w:rPr>
          <w:rFonts w:ascii="Arial" w:cs="Arial" w:eastAsia="Arial" w:hAnsi="Arial"/>
          <w:sz w:val="13"/>
          <w:szCs w:val="13"/>
          <w:color w:val="auto"/>
        </w:rPr>
        <w:t>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11:59 p.m. Pacific Time on May 5, 2026. Regardless of the method you choose, your vote is important. Please vote by following the specific instructions on your proxy card.</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0159"/>
          </w:cols>
          <w:pgMar w:left="300" w:top="412"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39"/>
        <w:spacing w:after="0" w:line="256" w:lineRule="auto"/>
        <w:rPr>
          <w:sz w:val="20"/>
          <w:szCs w:val="20"/>
          <w:color w:val="auto"/>
        </w:rPr>
      </w:pPr>
      <w:r>
        <w:rPr>
          <w:rFonts w:ascii="Arial" w:cs="Arial" w:eastAsia="Arial" w:hAnsi="Arial"/>
          <w:sz w:val="13"/>
          <w:szCs w:val="13"/>
          <w:color w:val="auto"/>
        </w:rPr>
        <w:t>BENEFICIAL SHAREHOLDERS. For shareholders who own shares of the Common Stock through an intermediary, such as a broker, bank or other nominee, the ultimate intermediary is the shareholder of record but will vote your shares in accordance with your instructions. In order to have your shares voted, you will need to follow the instructions for voting provided by your broker, bank or other nominee.</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REVOCABILITY OF PROXIES</w:t>
      </w:r>
    </w:p>
    <w:p>
      <w:pPr>
        <w:spacing w:after="0" w:line="284" w:lineRule="exact"/>
        <w:rPr>
          <w:sz w:val="20"/>
          <w:szCs w:val="20"/>
          <w:color w:val="auto"/>
        </w:rPr>
      </w:pPr>
    </w:p>
    <w:p>
      <w:pPr>
        <w:ind w:left="1260" w:right="159"/>
        <w:spacing w:after="0" w:line="250" w:lineRule="auto"/>
        <w:rPr>
          <w:sz w:val="20"/>
          <w:szCs w:val="20"/>
          <w:color w:val="auto"/>
        </w:rPr>
      </w:pPr>
      <w:r>
        <w:rPr>
          <w:rFonts w:ascii="Arial" w:cs="Arial" w:eastAsia="Arial" w:hAnsi="Arial"/>
          <w:sz w:val="13"/>
          <w:szCs w:val="13"/>
          <w:color w:val="auto"/>
        </w:rPr>
        <w:t>SHAREHOLDERS OF RECORD. If you are a shareholder of record and you deliver a proxy pursuant to this solicitation, you may revoke that proxy at any time before it is voted by (a) giving written notice to our Secretary at the address set forth below, (b) delivering to our Secretary a later dated proxy,</w:t>
      </w:r>
    </w:p>
    <w:p>
      <w:pPr>
        <w:spacing w:after="0" w:line="1" w:lineRule="exact"/>
        <w:rPr>
          <w:sz w:val="20"/>
          <w:szCs w:val="20"/>
          <w:color w:val="auto"/>
        </w:rPr>
      </w:pPr>
    </w:p>
    <w:p>
      <w:pPr>
        <w:ind w:left="1260" w:right="899" w:firstLine="7"/>
        <w:spacing w:after="0" w:line="252" w:lineRule="auto"/>
        <w:tabs>
          <w:tab w:leader="none" w:pos="1446" w:val="left"/>
        </w:tabs>
        <w:numPr>
          <w:ilvl w:val="0"/>
          <w:numId w:val="67"/>
        </w:numPr>
        <w:rPr>
          <w:rFonts w:ascii="Arial" w:cs="Arial" w:eastAsia="Arial" w:hAnsi="Arial"/>
          <w:sz w:val="13"/>
          <w:szCs w:val="13"/>
          <w:color w:val="auto"/>
        </w:rPr>
      </w:pPr>
      <w:r>
        <w:rPr>
          <w:rFonts w:ascii="Arial" w:cs="Arial" w:eastAsia="Arial" w:hAnsi="Arial"/>
          <w:sz w:val="13"/>
          <w:szCs w:val="13"/>
          <w:color w:val="auto"/>
        </w:rPr>
        <w:t>submitting another proxy by telephone or over the Internet (your latest telephone or Internet voting instructions are followed), or (d) voting electronically during the Annual Meeting. Written notice of revocation or subsequent proxy should be sent to:</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Wynn Resorts, Limited</w:t>
      </w:r>
    </w:p>
    <w:p>
      <w:pPr>
        <w:spacing w:after="0" w:line="1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c/o Secretary</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3131 Las Vegas Boulevard South</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Las Vegas, Nevada 89109</w:t>
      </w:r>
    </w:p>
    <w:p>
      <w:pPr>
        <w:spacing w:after="0" w:line="160" w:lineRule="exact"/>
        <w:rPr>
          <w:sz w:val="20"/>
          <w:szCs w:val="20"/>
          <w:color w:val="auto"/>
        </w:rPr>
      </w:pPr>
    </w:p>
    <w:p>
      <w:pPr>
        <w:ind w:left="1260" w:right="199"/>
        <w:spacing w:after="0" w:line="314" w:lineRule="auto"/>
        <w:rPr>
          <w:sz w:val="20"/>
          <w:szCs w:val="20"/>
          <w:color w:val="auto"/>
        </w:rPr>
      </w:pPr>
      <w:r>
        <w:rPr>
          <w:rFonts w:ascii="Arial" w:cs="Arial" w:eastAsia="Arial" w:hAnsi="Arial"/>
          <w:sz w:val="12"/>
          <w:szCs w:val="12"/>
          <w:color w:val="auto"/>
        </w:rPr>
        <w:t>BENEFICIAL SHAREHOLDERS. If your shares are held through an intermediary, such as a bank, broker or other nominee, you must contact that person if you wish to revoke previously given voting instructions. In this case, attendance at the Annual Meeting, in and of itself, does not revoke a prior proxy.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PARTICIPATING IN THE ANNUAL MEETING</w:t>
      </w:r>
    </w:p>
    <w:p>
      <w:pPr>
        <w:spacing w:after="0" w:line="273" w:lineRule="exact"/>
        <w:rPr>
          <w:sz w:val="20"/>
          <w:szCs w:val="20"/>
          <w:color w:val="auto"/>
        </w:rPr>
      </w:pPr>
    </w:p>
    <w:p>
      <w:pPr>
        <w:ind w:left="1260" w:right="159"/>
        <w:spacing w:after="0" w:line="271" w:lineRule="auto"/>
        <w:rPr>
          <w:sz w:val="20"/>
          <w:szCs w:val="20"/>
          <w:color w:val="auto"/>
        </w:rPr>
      </w:pPr>
      <w:r>
        <w:rPr>
          <w:rFonts w:ascii="Arial" w:cs="Arial" w:eastAsia="Arial" w:hAnsi="Arial"/>
          <w:sz w:val="13"/>
          <w:szCs w:val="13"/>
          <w:color w:val="auto"/>
        </w:rPr>
        <w:t>CONTROL NUMBER. You will need the 16-digit control number that is printed in the box marked by the arrow on your Notice of Internet Availability, proxy card or voter instruction form to attend the virtual Annual Meeting and vote.</w:t>
      </w:r>
    </w:p>
    <w:p>
      <w:pPr>
        <w:spacing w:after="0" w:line="134" w:lineRule="exact"/>
        <w:rPr>
          <w:sz w:val="20"/>
          <w:szCs w:val="20"/>
          <w:color w:val="auto"/>
        </w:rPr>
      </w:pPr>
    </w:p>
    <w:p>
      <w:pPr>
        <w:ind w:left="1260" w:right="219"/>
        <w:spacing w:after="0" w:line="248" w:lineRule="auto"/>
        <w:rPr>
          <w:sz w:val="20"/>
          <w:szCs w:val="20"/>
          <w:color w:val="auto"/>
        </w:rPr>
      </w:pPr>
      <w:r>
        <w:rPr>
          <w:rFonts w:ascii="Arial" w:cs="Arial" w:eastAsia="Arial" w:hAnsi="Arial"/>
          <w:sz w:val="13"/>
          <w:szCs w:val="13"/>
          <w:color w:val="auto"/>
        </w:rPr>
        <w:t>NOTICE OF INTERNET AVAILABILITY OF PROXY MATERIALS. Under rules adopted by the SEC, we are furnishing proxy materials to some shareholders via the Internet, instead of mailing printed copies of those materials to each shareholder. Beginning on or about March 25, 2026, we sent to shareholders either a printed copy of our proxy materials or a Notice of Internet Availability containing instructions on how to access our proxy materials electronically. The proxy materials include this Proxy Statement and our Annual Report for the fiscal year ended December 31, 2025. The Notice of Internet Availability also explains how to vote through the Internet, by telephone or electronically at the Annual Meeting.</w:t>
      </w:r>
    </w:p>
    <w:p>
      <w:pPr>
        <w:spacing w:after="0" w:line="150" w:lineRule="exact"/>
        <w:rPr>
          <w:sz w:val="20"/>
          <w:szCs w:val="20"/>
          <w:color w:val="auto"/>
        </w:rPr>
      </w:pPr>
    </w:p>
    <w:p>
      <w:pPr>
        <w:ind w:left="1260" w:right="359"/>
        <w:spacing w:after="0" w:line="251" w:lineRule="auto"/>
        <w:rPr>
          <w:sz w:val="20"/>
          <w:szCs w:val="20"/>
          <w:color w:val="auto"/>
        </w:rPr>
      </w:pPr>
      <w:r>
        <w:rPr>
          <w:rFonts w:ascii="Arial" w:cs="Arial" w:eastAsia="Arial" w:hAnsi="Arial"/>
          <w:sz w:val="13"/>
          <w:szCs w:val="13"/>
          <w:color w:val="auto"/>
        </w:rPr>
        <w:t>This electronic access process expedites shareholders’ receipt of our proxy materials, lowers the cost of our Annual Meeting and conserves natural resources. However, if you would prefer to receive a printed copy of our proxy materials, a proxy card or voting instruction form, please follow the instructions included in the Notice of Internet Availability. If you have previously elected to receive our proxy materials electronically or by mail, you will continue to receive the proxy materials in that format unless you elect otherwise.</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PROXY PROCEDURE AND EXPENSES OF SOLICITATION</w:t>
      </w:r>
    </w:p>
    <w:p>
      <w:pPr>
        <w:spacing w:after="0" w:line="284" w:lineRule="exact"/>
        <w:rPr>
          <w:sz w:val="20"/>
          <w:szCs w:val="20"/>
          <w:color w:val="auto"/>
        </w:rPr>
      </w:pPr>
    </w:p>
    <w:p>
      <w:pPr>
        <w:ind w:left="1260" w:right="159"/>
        <w:spacing w:after="0" w:line="256" w:lineRule="auto"/>
        <w:rPr>
          <w:sz w:val="20"/>
          <w:szCs w:val="20"/>
          <w:color w:val="auto"/>
        </w:rPr>
      </w:pPr>
      <w:r>
        <w:rPr>
          <w:rFonts w:ascii="Arial" w:cs="Arial" w:eastAsia="Arial" w:hAnsi="Arial"/>
          <w:sz w:val="13"/>
          <w:szCs w:val="13"/>
          <w:color w:val="auto"/>
        </w:rPr>
        <w:t>We have retained Broadridge Financial Solutions, an independent tabulator, to receive and tabulate the proxies, to serve as an inspector of elections, and to certify the results. In addition, we have engaged Innisfree M&amp;A Incorporated (“Innisfree”), a professional proxy solicitation firm, to assist in the solicitation of proxies for the Annual Meeting. The Company has agreed to pay Innisfree a fee of $17,500, plus</w:t>
      </w:r>
    </w:p>
    <w:p>
      <w:pPr>
        <w:spacing w:after="0" w:line="90"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0159"/>
          </w:cols>
          <w:pgMar w:left="300" w:top="412"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659"/>
        <w:spacing w:after="0" w:line="314" w:lineRule="auto"/>
        <w:rPr>
          <w:sz w:val="20"/>
          <w:szCs w:val="20"/>
          <w:color w:val="auto"/>
        </w:rPr>
      </w:pPr>
      <w:r>
        <w:rPr>
          <w:rFonts w:ascii="Arial" w:cs="Arial" w:eastAsia="Arial" w:hAnsi="Arial"/>
          <w:sz w:val="12"/>
          <w:szCs w:val="12"/>
          <w:color w:val="auto"/>
        </w:rPr>
        <w:t>reimbursement for out-of-pocket expenses. The address of Innisfree is 501 Madison Avenue, 20th Floor, New York, New York 10022. If you need assistance in completing your proxy card or have questions regarding the Annual Meeting, please contact Innisfree toll-free at (888) 750-5834.</w:t>
      </w:r>
    </w:p>
    <w:p>
      <w:pPr>
        <w:spacing w:after="0" w:line="111" w:lineRule="exact"/>
        <w:rPr>
          <w:sz w:val="20"/>
          <w:szCs w:val="20"/>
          <w:color w:val="auto"/>
        </w:rPr>
      </w:pPr>
    </w:p>
    <w:p>
      <w:pPr>
        <w:ind w:left="1260" w:right="179"/>
        <w:spacing w:after="0" w:line="271" w:lineRule="auto"/>
        <w:rPr>
          <w:sz w:val="20"/>
          <w:szCs w:val="20"/>
          <w:color w:val="auto"/>
        </w:rPr>
      </w:pPr>
      <w:r>
        <w:rPr>
          <w:rFonts w:ascii="Arial" w:cs="Arial" w:eastAsia="Arial" w:hAnsi="Arial"/>
          <w:sz w:val="13"/>
          <w:szCs w:val="13"/>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34" w:lineRule="exact"/>
        <w:rPr>
          <w:sz w:val="20"/>
          <w:szCs w:val="20"/>
          <w:color w:val="auto"/>
        </w:rPr>
      </w:pPr>
    </w:p>
    <w:p>
      <w:pPr>
        <w:ind w:left="1260" w:right="599"/>
        <w:spacing w:after="0" w:line="271" w:lineRule="auto"/>
        <w:rPr>
          <w:sz w:val="20"/>
          <w:szCs w:val="20"/>
          <w:color w:val="auto"/>
        </w:rPr>
      </w:pPr>
      <w:r>
        <w:rPr>
          <w:rFonts w:ascii="Arial" w:cs="Arial" w:eastAsia="Arial" w:hAnsi="Arial"/>
          <w:sz w:val="13"/>
          <w:szCs w:val="13"/>
          <w:color w:val="auto"/>
        </w:rPr>
        <w:t>Solicitation may be undertaken by mail, telephone, personal contact or other similar means by directors, officers and employees without additional compensation.</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SHAREHOLDER NOMINATIONS AND PROPOSALS</w:t>
      </w:r>
    </w:p>
    <w:p>
      <w:pPr>
        <w:spacing w:after="0" w:line="284" w:lineRule="exact"/>
        <w:rPr>
          <w:sz w:val="20"/>
          <w:szCs w:val="20"/>
          <w:color w:val="auto"/>
        </w:rPr>
      </w:pPr>
    </w:p>
    <w:p>
      <w:pPr>
        <w:ind w:left="1260" w:right="219"/>
        <w:spacing w:after="0" w:line="251" w:lineRule="auto"/>
        <w:rPr>
          <w:sz w:val="20"/>
          <w:szCs w:val="20"/>
          <w:color w:val="auto"/>
        </w:rPr>
      </w:pPr>
      <w:r>
        <w:rPr>
          <w:rFonts w:ascii="Arial" w:cs="Arial" w:eastAsia="Arial" w:hAnsi="Arial"/>
          <w:sz w:val="13"/>
          <w:szCs w:val="13"/>
          <w:color w:val="auto"/>
        </w:rPr>
        <w:t>Shareholders intending to present a proposal at the 2027 Annual Meeting of Shareholders for inclusion in our proxy statement and form of proxy for that meeting pursuant to Rule 14a-8 of the Exchange Act must submit the proposal in writing to Wynn Resorts, Limited, Attention: Secretary, 3131 Las Vegas Boulevard South, Las Vegas, Nevada 89109. Such proposals must comply with the requirements of Rule 14a-8 of the Exchange Act and must be received by the Company no later than the close of business on November 25, 2026.</w:t>
      </w:r>
    </w:p>
    <w:p>
      <w:pPr>
        <w:spacing w:after="0" w:line="147" w:lineRule="exact"/>
        <w:rPr>
          <w:sz w:val="20"/>
          <w:szCs w:val="20"/>
          <w:color w:val="auto"/>
        </w:rPr>
      </w:pPr>
    </w:p>
    <w:p>
      <w:pPr>
        <w:ind w:left="1260" w:right="139"/>
        <w:spacing w:after="0" w:line="246" w:lineRule="auto"/>
        <w:rPr>
          <w:sz w:val="20"/>
          <w:szCs w:val="20"/>
          <w:color w:val="auto"/>
        </w:rPr>
      </w:pPr>
      <w:r>
        <w:rPr>
          <w:rFonts w:ascii="Arial" w:cs="Arial" w:eastAsia="Arial" w:hAnsi="Arial"/>
          <w:sz w:val="13"/>
          <w:szCs w:val="13"/>
          <w:color w:val="auto"/>
        </w:rPr>
        <w:t>In addition, our Bylaws provide notice procedures for shareholders to nominate a person as a director and to propose business to be considered by shareholders at a meeting (but not for inclusion in the Company’s proxy materials). To be timely, written notice of such a nomination or proposal submitted pursuant to our Bylaws must be delivered to our Secretary at our principal executive offices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51" w:lineRule="exact"/>
        <w:rPr>
          <w:sz w:val="20"/>
          <w:szCs w:val="20"/>
          <w:color w:val="auto"/>
        </w:rPr>
      </w:pPr>
    </w:p>
    <w:p>
      <w:pPr>
        <w:ind w:left="1260" w:right="139"/>
        <w:spacing w:after="0" w:line="246" w:lineRule="auto"/>
        <w:rPr>
          <w:sz w:val="20"/>
          <w:szCs w:val="20"/>
          <w:color w:val="auto"/>
        </w:rPr>
      </w:pPr>
      <w:r>
        <w:rPr>
          <w:rFonts w:ascii="Arial" w:cs="Arial" w:eastAsia="Arial" w:hAnsi="Arial"/>
          <w:sz w:val="13"/>
          <w:szCs w:val="13"/>
          <w:color w:val="auto"/>
        </w:rPr>
        <w:t>Accordingly, for our 2027 Annual Meeting, notice of a nomination or proposal must be delivered to us no later than February 5, 2027 and no earlier than January 6, 2027. Nominations and proposals also must satisfy other requirements set forth in the Bylaws and be submitted in writing and sent to the Company’s principal executive offices at Wynn Resorts, Limited, c/o Secretary, 3131 Las Vegas Boulevard South, Las Vegas, Nevada 89109. If a shareholder complies with the foregoing notice provisions and with certain additional procedural requirements in the Bylaws and SEC rules, as applicable, the Company will have authority to vote shares under proxies we solicit when and if the nomination or proposal is raised at the Annual Meeting. The Chair of the Board may refuse to acknowledge the introduction of any shareholder nomination or proposal not made in compliance with the foregoing procedures.</w:t>
      </w:r>
    </w:p>
    <w:p>
      <w:pPr>
        <w:spacing w:after="0" w:line="151" w:lineRule="exact"/>
        <w:rPr>
          <w:sz w:val="20"/>
          <w:szCs w:val="20"/>
          <w:color w:val="auto"/>
        </w:rPr>
      </w:pPr>
    </w:p>
    <w:p>
      <w:pPr>
        <w:ind w:left="1260" w:right="239"/>
        <w:spacing w:after="0" w:line="230" w:lineRule="auto"/>
        <w:rPr>
          <w:sz w:val="20"/>
          <w:szCs w:val="20"/>
          <w:color w:val="auto"/>
        </w:rPr>
      </w:pPr>
      <w:r>
        <w:rPr>
          <w:rFonts w:ascii="Arial" w:cs="Arial" w:eastAsia="Arial" w:hAnsi="Arial"/>
          <w:sz w:val="13"/>
          <w:szCs w:val="13"/>
          <w:color w:val="auto"/>
        </w:rPr>
        <w:t>In addition to satisfying the requirements under the Company’s Bylaws, including the notice deadlines set forth above and therein, to comply with the universal proxy rules, shareholders who intend to solicit proxies in support of director nominees, other than the Company’s nominees, must also comply with the additional requirements of Rule 14a-19 under the Exchange Act, which written notice must be postmarked or transmitted electronically to the Secretary at our principal executive offices at 3131 Las Vegas Boulevard South, Las Vegas, Nevada 89109, no later than March 7, 2027. However, if the date of the 2027 Annual Meeting is changed by more than 30 days from May 6, 2027, then written notice must be provided by the later of the 60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prior to the date of the 2026 Annual Meeting and the 10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following the day on which public announcement of the date of the 2027 Annual Meeting is first made by us.</w:t>
      </w:r>
    </w:p>
    <w:p>
      <w:pPr>
        <w:spacing w:after="0" w:line="10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0159"/>
          </w:cols>
          <w:pgMar w:left="300" w:top="412"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ANNUAL REPORT</w:t>
      </w:r>
    </w:p>
    <w:p>
      <w:pPr>
        <w:spacing w:after="0" w:line="284" w:lineRule="exact"/>
        <w:rPr>
          <w:sz w:val="20"/>
          <w:szCs w:val="20"/>
          <w:color w:val="auto"/>
        </w:rPr>
      </w:pPr>
    </w:p>
    <w:p>
      <w:pPr>
        <w:ind w:left="1260" w:right="159"/>
        <w:spacing w:after="0" w:line="248" w:lineRule="auto"/>
        <w:rPr>
          <w:sz w:val="20"/>
          <w:szCs w:val="20"/>
          <w:color w:val="auto"/>
        </w:rPr>
      </w:pPr>
      <w:r>
        <w:rPr>
          <w:rFonts w:ascii="Arial" w:cs="Arial" w:eastAsia="Arial" w:hAnsi="Arial"/>
          <w:sz w:val="13"/>
          <w:szCs w:val="13"/>
          <w:color w:val="auto"/>
        </w:rPr>
        <w:t>Our consolidated financial statements for the fiscal year ended December 31, 2025, are included in our 2025 Annual Report to Shareholders, which we are providing to our shareholders at the same time as this Proxy Statement. Our Annual Report and this Proxy Statement are also posted on the Internet at http://www.wynnresorts.com on the Company Information page under the “Annual Meeting” heading.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HOUSEHOLDING</w:t>
      </w:r>
    </w:p>
    <w:p>
      <w:pPr>
        <w:spacing w:after="0" w:line="273" w:lineRule="exact"/>
        <w:rPr>
          <w:sz w:val="20"/>
          <w:szCs w:val="20"/>
          <w:color w:val="auto"/>
        </w:rPr>
      </w:pPr>
    </w:p>
    <w:p>
      <w:pPr>
        <w:ind w:left="1260" w:right="159"/>
        <w:spacing w:after="0" w:line="245" w:lineRule="auto"/>
        <w:rPr>
          <w:sz w:val="20"/>
          <w:szCs w:val="20"/>
          <w:color w:val="auto"/>
        </w:rPr>
      </w:pPr>
      <w:r>
        <w:rPr>
          <w:rFonts w:ascii="Arial" w:cs="Arial" w:eastAsia="Arial" w:hAnsi="Arial"/>
          <w:sz w:val="13"/>
          <w:szCs w:val="13"/>
          <w:color w:val="auto"/>
        </w:rPr>
        <w:t>Shareholders who are beneficial owners, but not the record holders, of the Company’s securities and share a single address may receive only one copy of the Company’s proxy materials, unless the broker, bank or other nominee delivering the materials has received contrary instructions from one or more of the shareholders. The Company will deliver promptly, upon written or oral request, a separate copy of the proxy materials to a shareholder at a shared address to which a single copy of the document was delivered. A shareholder who wishes to receive a separate copy of the proxy materials, now or in the future, should submit his or her request to the Company by telephone at (702) 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shareholders at the shared address in the future.</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6"/>
          <w:szCs w:val="16"/>
          <w:color w:val="B9AFA0"/>
        </w:rPr>
        <w:t>OTHER BUSINESS</w:t>
      </w:r>
    </w:p>
    <w:p>
      <w:pPr>
        <w:spacing w:after="0" w:line="284" w:lineRule="exact"/>
        <w:rPr>
          <w:sz w:val="20"/>
          <w:szCs w:val="20"/>
          <w:color w:val="auto"/>
        </w:rPr>
      </w:pPr>
    </w:p>
    <w:p>
      <w:pPr>
        <w:jc w:val="both"/>
        <w:ind w:left="1260" w:right="459"/>
        <w:spacing w:after="0" w:line="256" w:lineRule="auto"/>
        <w:rPr>
          <w:sz w:val="20"/>
          <w:szCs w:val="20"/>
          <w:color w:val="auto"/>
        </w:rPr>
      </w:pPr>
      <w:r>
        <w:rPr>
          <w:rFonts w:ascii="Arial" w:cs="Arial" w:eastAsia="Arial" w:hAnsi="Arial"/>
          <w:sz w:val="13"/>
          <w:szCs w:val="13"/>
          <w:color w:val="auto"/>
        </w:rPr>
        <w:t>The Company is not aware of any other matters to be presented at the Annual Meeting. If any other matters should properly come before the Annual Meeting, the persons named in the proxy will vote the shares represented by the executed proxies on such matters as they determine appropriate in their discretion.</w:t>
      </w:r>
    </w:p>
    <w:p>
      <w:pPr>
        <w:spacing w:after="0" w:line="90"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0159"/>
          </w:cols>
          <w:pgMar w:left="300" w:top="41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139"/>
        <w:spacing w:after="0"/>
        <w:rPr>
          <w:sz w:val="20"/>
          <w:szCs w:val="20"/>
          <w:color w:val="auto"/>
        </w:rPr>
      </w:pPr>
      <w:r>
        <w:rPr>
          <w:rFonts w:ascii="Arial" w:cs="Arial" w:eastAsia="Arial" w:hAnsi="Arial"/>
          <w:sz w:val="13"/>
          <w:szCs w:val="13"/>
          <w:color w:val="auto"/>
        </w:rPr>
        <w:t>Appendix A</w:t>
      </w:r>
    </w:p>
    <w:p>
      <w:pPr>
        <w:spacing w:after="0" w:line="17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WYNN RESORTS, LIMITED</w:t>
      </w:r>
    </w:p>
    <w:p>
      <w:pPr>
        <w:spacing w:after="0" w:line="17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THIRD AMENDED AND RESTATED 2014 OMNIBUS INCENTIVE PLAN</w:t>
      </w:r>
    </w:p>
    <w:p>
      <w:pPr>
        <w:spacing w:after="0" w:line="17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ARTICLE 1.</w:t>
      </w:r>
    </w:p>
    <w:p>
      <w:pPr>
        <w:spacing w:after="0" w:line="17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PURPOSE</w:t>
      </w:r>
    </w:p>
    <w:p>
      <w:pPr>
        <w:spacing w:after="0" w:line="172" w:lineRule="exact"/>
        <w:rPr>
          <w:sz w:val="20"/>
          <w:szCs w:val="20"/>
          <w:color w:val="auto"/>
        </w:rPr>
      </w:pPr>
    </w:p>
    <w:p>
      <w:pPr>
        <w:ind w:left="1260" w:right="159" w:firstLine="350"/>
        <w:spacing w:after="0" w:line="247" w:lineRule="auto"/>
        <w:rPr>
          <w:sz w:val="20"/>
          <w:szCs w:val="20"/>
          <w:color w:val="auto"/>
        </w:rPr>
      </w:pPr>
      <w:r>
        <w:rPr>
          <w:rFonts w:ascii="Arial" w:cs="Arial" w:eastAsia="Arial" w:hAnsi="Arial"/>
          <w:sz w:val="13"/>
          <w:szCs w:val="13"/>
          <w:color w:val="auto"/>
        </w:rPr>
        <w:t>The purpose of the Wynn Resorts, Limited Third Amended and Restated 2014 Omnibus Incentive Plan (as it may be amended or restated from time to time, the “</w:t>
      </w:r>
      <w:r>
        <w:rPr>
          <w:rFonts w:ascii="Arial" w:cs="Arial" w:eastAsia="Arial" w:hAnsi="Arial"/>
          <w:sz w:val="13"/>
          <w:szCs w:val="13"/>
          <w:u w:val="single" w:color="auto"/>
          <w:color w:val="auto"/>
        </w:rPr>
        <w:t>Plan</w:t>
      </w:r>
      <w:r>
        <w:rPr>
          <w:rFonts w:ascii="Arial" w:cs="Arial" w:eastAsia="Arial" w:hAnsi="Arial"/>
          <w:sz w:val="13"/>
          <w:szCs w:val="13"/>
          <w:color w:val="auto"/>
        </w:rPr>
        <w:t>”) is to promote the success and enhance the value of Wynn Resorts, Limited, a Nevada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21"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ARTICLE 2.</w:t>
      </w:r>
    </w:p>
    <w:p>
      <w:pPr>
        <w:spacing w:after="0" w:line="172"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DEFINITIONS AND CONSTRUCTION</w:t>
      </w:r>
    </w:p>
    <w:p>
      <w:pPr>
        <w:spacing w:after="0" w:line="172" w:lineRule="exact"/>
        <w:rPr>
          <w:sz w:val="20"/>
          <w:szCs w:val="20"/>
          <w:color w:val="auto"/>
        </w:rPr>
      </w:pPr>
    </w:p>
    <w:p>
      <w:pPr>
        <w:ind w:left="1260" w:right="139" w:firstLine="350"/>
        <w:spacing w:after="0" w:line="271" w:lineRule="auto"/>
        <w:rPr>
          <w:sz w:val="20"/>
          <w:szCs w:val="20"/>
          <w:color w:val="auto"/>
        </w:rPr>
      </w:pPr>
      <w:r>
        <w:rPr>
          <w:rFonts w:ascii="Arial" w:cs="Arial" w:eastAsia="Arial" w:hAnsi="Arial"/>
          <w:sz w:val="13"/>
          <w:szCs w:val="13"/>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34" w:lineRule="exact"/>
        <w:rPr>
          <w:sz w:val="20"/>
          <w:szCs w:val="20"/>
          <w:color w:val="auto"/>
        </w:rPr>
      </w:pPr>
    </w:p>
    <w:p>
      <w:pPr>
        <w:ind w:left="1260" w:right="139" w:firstLine="350"/>
        <w:spacing w:after="0" w:line="251" w:lineRule="auto"/>
        <w:rPr>
          <w:sz w:val="20"/>
          <w:szCs w:val="20"/>
          <w:color w:val="auto"/>
        </w:rPr>
      </w:pPr>
      <w:r>
        <w:rPr>
          <w:rFonts w:ascii="Arial" w:cs="Arial" w:eastAsia="Arial" w:hAnsi="Arial"/>
          <w:sz w:val="13"/>
          <w:szCs w:val="13"/>
          <w:color w:val="auto"/>
        </w:rPr>
        <w:t>2.1  “</w:t>
      </w:r>
      <w:r>
        <w:rPr>
          <w:rFonts w:ascii="Arial" w:cs="Arial" w:eastAsia="Arial" w:hAnsi="Arial"/>
          <w:sz w:val="13"/>
          <w:szCs w:val="13"/>
          <w:u w:val="single" w:color="auto"/>
          <w:color w:val="auto"/>
        </w:rPr>
        <w:t>Administrator</w:t>
      </w:r>
      <w:r>
        <w:rPr>
          <w:rFonts w:ascii="Arial" w:cs="Arial" w:eastAsia="Arial" w:hAnsi="Arial"/>
          <w:sz w:val="13"/>
          <w:szCs w:val="13"/>
          <w:color w:val="auto"/>
        </w:rPr>
        <w:t>”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spacing w:after="0" w:line="147"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2.2   “</w:t>
      </w:r>
      <w:r>
        <w:rPr>
          <w:rFonts w:ascii="Arial" w:cs="Arial" w:eastAsia="Arial" w:hAnsi="Arial"/>
          <w:sz w:val="13"/>
          <w:szCs w:val="13"/>
          <w:u w:val="single" w:color="auto"/>
          <w:color w:val="auto"/>
        </w:rPr>
        <w:t>Affiliate</w:t>
      </w:r>
      <w:r>
        <w:rPr>
          <w:rFonts w:ascii="Arial" w:cs="Arial" w:eastAsia="Arial" w:hAnsi="Arial"/>
          <w:sz w:val="13"/>
          <w:szCs w:val="13"/>
          <w:color w:val="auto"/>
        </w:rPr>
        <w:t>” shall mean any Parent or Subsidiary.</w:t>
      </w:r>
    </w:p>
    <w:p>
      <w:pPr>
        <w:spacing w:after="0" w:line="172" w:lineRule="exact"/>
        <w:rPr>
          <w:sz w:val="20"/>
          <w:szCs w:val="20"/>
          <w:color w:val="auto"/>
        </w:rPr>
      </w:pPr>
    </w:p>
    <w:p>
      <w:pPr>
        <w:ind w:left="1260" w:right="319" w:firstLine="350"/>
        <w:spacing w:after="0" w:line="256" w:lineRule="auto"/>
        <w:rPr>
          <w:sz w:val="20"/>
          <w:szCs w:val="20"/>
          <w:color w:val="auto"/>
        </w:rPr>
      </w:pPr>
      <w:r>
        <w:rPr>
          <w:rFonts w:ascii="Arial" w:cs="Arial" w:eastAsia="Arial" w:hAnsi="Arial"/>
          <w:sz w:val="13"/>
          <w:szCs w:val="13"/>
          <w:color w:val="auto"/>
        </w:rPr>
        <w:t>2.3  “</w:t>
      </w:r>
      <w:r>
        <w:rPr>
          <w:rFonts w:ascii="Arial" w:cs="Arial" w:eastAsia="Arial" w:hAnsi="Arial"/>
          <w:sz w:val="13"/>
          <w:szCs w:val="13"/>
          <w:u w:val="single" w:color="auto"/>
          <w:color w:val="auto"/>
        </w:rPr>
        <w:t>Applicable Accounting Standards</w:t>
      </w:r>
      <w:r>
        <w:rPr>
          <w:rFonts w:ascii="Arial" w:cs="Arial" w:eastAsia="Arial" w:hAnsi="Arial"/>
          <w:sz w:val="13"/>
          <w:szCs w:val="13"/>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44" w:lineRule="exact"/>
        <w:rPr>
          <w:sz w:val="20"/>
          <w:szCs w:val="20"/>
          <w:color w:val="auto"/>
        </w:rPr>
      </w:pPr>
    </w:p>
    <w:p>
      <w:pPr>
        <w:ind w:left="1260" w:right="219" w:firstLine="350"/>
        <w:spacing w:after="0" w:line="287" w:lineRule="auto"/>
        <w:rPr>
          <w:sz w:val="20"/>
          <w:szCs w:val="20"/>
          <w:color w:val="auto"/>
        </w:rPr>
      </w:pPr>
      <w:r>
        <w:rPr>
          <w:rFonts w:ascii="Arial" w:cs="Arial" w:eastAsia="Arial" w:hAnsi="Arial"/>
          <w:sz w:val="12"/>
          <w:szCs w:val="12"/>
          <w:color w:val="auto"/>
        </w:rPr>
        <w:t>2.4  “</w:t>
      </w:r>
      <w:r>
        <w:rPr>
          <w:rFonts w:ascii="Arial" w:cs="Arial" w:eastAsia="Arial" w:hAnsi="Arial"/>
          <w:sz w:val="12"/>
          <w:szCs w:val="12"/>
          <w:u w:val="single" w:color="auto"/>
          <w:color w:val="auto"/>
        </w:rPr>
        <w:t>Applicable Law</w:t>
      </w:r>
      <w:r>
        <w:rPr>
          <w:rFonts w:ascii="Arial" w:cs="Arial" w:eastAsia="Arial" w:hAnsi="Arial"/>
          <w:sz w:val="12"/>
          <w:szCs w:val="12"/>
          <w:color w:val="auto"/>
        </w:rPr>
        <w:t>” 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w:t>
      </w:r>
    </w:p>
    <w:p>
      <w:pPr>
        <w:spacing w:after="0" w:line="127" w:lineRule="exact"/>
        <w:rPr>
          <w:sz w:val="20"/>
          <w:szCs w:val="20"/>
          <w:color w:val="auto"/>
        </w:rPr>
      </w:pPr>
    </w:p>
    <w:p>
      <w:pPr>
        <w:ind w:left="1260" w:right="139" w:firstLine="350"/>
        <w:spacing w:after="0" w:line="256" w:lineRule="auto"/>
        <w:rPr>
          <w:sz w:val="20"/>
          <w:szCs w:val="20"/>
          <w:color w:val="auto"/>
        </w:rPr>
      </w:pPr>
      <w:r>
        <w:rPr>
          <w:rFonts w:ascii="Arial" w:cs="Arial" w:eastAsia="Arial" w:hAnsi="Arial"/>
          <w:sz w:val="13"/>
          <w:szCs w:val="13"/>
          <w:color w:val="auto"/>
        </w:rPr>
        <w:t>2.5  “</w:t>
      </w:r>
      <w:r>
        <w:rPr>
          <w:rFonts w:ascii="Arial" w:cs="Arial" w:eastAsia="Arial" w:hAnsi="Arial"/>
          <w:sz w:val="13"/>
          <w:szCs w:val="13"/>
          <w:u w:val="single" w:color="auto"/>
          <w:color w:val="auto"/>
        </w:rPr>
        <w:t>Award</w:t>
      </w:r>
      <w:r>
        <w:rPr>
          <w:rFonts w:ascii="Arial" w:cs="Arial" w:eastAsia="Arial" w:hAnsi="Arial"/>
          <w:sz w:val="13"/>
          <w:szCs w:val="13"/>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Arial" w:cs="Arial" w:eastAsia="Arial" w:hAnsi="Arial"/>
          <w:sz w:val="13"/>
          <w:szCs w:val="13"/>
          <w:u w:val="single" w:color="auto"/>
          <w:color w:val="auto"/>
        </w:rPr>
        <w:t>Awards</w:t>
      </w:r>
      <w:r>
        <w:rPr>
          <w:rFonts w:ascii="Arial" w:cs="Arial" w:eastAsia="Arial" w:hAnsi="Arial"/>
          <w:sz w:val="13"/>
          <w:szCs w:val="13"/>
          <w:color w:val="auto"/>
        </w:rPr>
        <w:t>”).</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w:t>
      </w:r>
    </w:p>
    <w:p>
      <w:pPr>
        <w:sectPr>
          <w:pgSz w:w="11900" w:h="16838" w:orient="portrait"/>
          <w:cols w:equalWidth="0" w:num="1">
            <w:col w:w="10159"/>
          </w:cols>
          <w:pgMar w:left="300" w:top="412"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79" w:firstLine="350"/>
        <w:spacing w:after="0" w:line="256" w:lineRule="auto"/>
        <w:rPr>
          <w:sz w:val="20"/>
          <w:szCs w:val="20"/>
          <w:color w:val="auto"/>
        </w:rPr>
      </w:pPr>
      <w:r>
        <w:rPr>
          <w:rFonts w:ascii="Arial" w:cs="Arial" w:eastAsia="Arial" w:hAnsi="Arial"/>
          <w:sz w:val="13"/>
          <w:szCs w:val="13"/>
          <w:color w:val="auto"/>
        </w:rPr>
        <w:t>2.6  “</w:t>
      </w:r>
      <w:r>
        <w:rPr>
          <w:rFonts w:ascii="Arial" w:cs="Arial" w:eastAsia="Arial" w:hAnsi="Arial"/>
          <w:sz w:val="13"/>
          <w:szCs w:val="13"/>
          <w:u w:val="single" w:color="auto"/>
          <w:color w:val="auto"/>
        </w:rPr>
        <w:t>Award Agreement</w:t>
      </w:r>
      <w:r>
        <w:rPr>
          <w:rFonts w:ascii="Arial" w:cs="Arial" w:eastAsia="Arial" w:hAnsi="Arial"/>
          <w:sz w:val="13"/>
          <w:szCs w:val="13"/>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44" w:lineRule="exact"/>
        <w:rPr>
          <w:sz w:val="20"/>
          <w:szCs w:val="20"/>
          <w:color w:val="auto"/>
        </w:rPr>
      </w:pPr>
    </w:p>
    <w:p>
      <w:pPr>
        <w:ind w:left="1260" w:right="139" w:firstLine="350"/>
        <w:spacing w:after="0" w:line="271" w:lineRule="auto"/>
        <w:rPr>
          <w:sz w:val="20"/>
          <w:szCs w:val="20"/>
          <w:color w:val="auto"/>
        </w:rPr>
      </w:pPr>
      <w:r>
        <w:rPr>
          <w:rFonts w:ascii="Arial" w:cs="Arial" w:eastAsia="Arial" w:hAnsi="Arial"/>
          <w:sz w:val="13"/>
          <w:szCs w:val="13"/>
          <w:color w:val="auto"/>
        </w:rPr>
        <w:t>2.7  “</w:t>
      </w:r>
      <w:r>
        <w:rPr>
          <w:rFonts w:ascii="Arial" w:cs="Arial" w:eastAsia="Arial" w:hAnsi="Arial"/>
          <w:sz w:val="13"/>
          <w:szCs w:val="13"/>
          <w:u w:val="single" w:color="auto"/>
          <w:color w:val="auto"/>
        </w:rPr>
        <w:t>Award Limit</w:t>
      </w:r>
      <w:r>
        <w:rPr>
          <w:rFonts w:ascii="Arial" w:cs="Arial" w:eastAsia="Arial" w:hAnsi="Arial"/>
          <w:sz w:val="13"/>
          <w:szCs w:val="13"/>
          <w:color w:val="auto"/>
        </w:rPr>
        <w:t>” shall mean with respect to Awards that shall be payable in Shares or in cash, as the case may be, the respective limit set forth in Section 3.3.</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2.8   “</w:t>
      </w:r>
      <w:r>
        <w:rPr>
          <w:rFonts w:ascii="Arial" w:cs="Arial" w:eastAsia="Arial" w:hAnsi="Arial"/>
          <w:sz w:val="13"/>
          <w:szCs w:val="13"/>
          <w:u w:val="single" w:color="auto"/>
          <w:color w:val="auto"/>
        </w:rPr>
        <w:t>Board</w:t>
      </w:r>
      <w:r>
        <w:rPr>
          <w:rFonts w:ascii="Arial" w:cs="Arial" w:eastAsia="Arial" w:hAnsi="Arial"/>
          <w:sz w:val="13"/>
          <w:szCs w:val="13"/>
          <w:color w:val="auto"/>
        </w:rPr>
        <w:t>” shall mean the Board of Directors of the Company.</w:t>
      </w:r>
    </w:p>
    <w:p>
      <w:pPr>
        <w:spacing w:after="0" w:line="172" w:lineRule="exact"/>
        <w:rPr>
          <w:sz w:val="20"/>
          <w:szCs w:val="20"/>
          <w:color w:val="auto"/>
        </w:rPr>
      </w:pPr>
    </w:p>
    <w:p>
      <w:pPr>
        <w:ind w:left="1260" w:right="239" w:firstLine="350"/>
        <w:spacing w:after="0" w:line="244" w:lineRule="auto"/>
        <w:rPr>
          <w:sz w:val="20"/>
          <w:szCs w:val="20"/>
          <w:color w:val="auto"/>
        </w:rPr>
      </w:pPr>
      <w:r>
        <w:rPr>
          <w:rFonts w:ascii="Arial" w:cs="Arial" w:eastAsia="Arial" w:hAnsi="Arial"/>
          <w:sz w:val="13"/>
          <w:szCs w:val="13"/>
          <w:color w:val="auto"/>
        </w:rPr>
        <w:t>2.9  “</w:t>
      </w:r>
      <w:r>
        <w:rPr>
          <w:rFonts w:ascii="Arial" w:cs="Arial" w:eastAsia="Arial" w:hAnsi="Arial"/>
          <w:sz w:val="13"/>
          <w:szCs w:val="13"/>
          <w:u w:val="single" w:color="auto"/>
          <w:color w:val="auto"/>
        </w:rPr>
        <w:t>Change in Control</w:t>
      </w:r>
      <w:r>
        <w:rPr>
          <w:rFonts w:ascii="Arial" w:cs="Arial" w:eastAsia="Arial" w:hAnsi="Arial"/>
          <w:sz w:val="13"/>
          <w:szCs w:val="13"/>
          <w:color w:val="auto"/>
        </w:rPr>
        <w:t>” 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 (c) 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 (d) 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Arial" w:cs="Arial" w:eastAsia="Arial" w:hAnsi="Arial"/>
          <w:sz w:val="13"/>
          <w:szCs w:val="13"/>
          <w:u w:val="single" w:color="auto"/>
          <w:color w:val="auto"/>
        </w:rPr>
        <w:t>Approved Directors</w:t>
      </w:r>
      <w:r>
        <w:rPr>
          <w:rFonts w:ascii="Arial" w:cs="Arial" w:eastAsia="Arial" w:hAnsi="Arial"/>
          <w:sz w:val="13"/>
          <w:szCs w:val="13"/>
          <w:color w:val="auto"/>
        </w:rPr>
        <w:t>”).</w:t>
      </w:r>
    </w:p>
    <w:p>
      <w:pPr>
        <w:spacing w:after="0" w:line="152" w:lineRule="exact"/>
        <w:rPr>
          <w:sz w:val="20"/>
          <w:szCs w:val="20"/>
          <w:color w:val="auto"/>
        </w:rPr>
      </w:pPr>
    </w:p>
    <w:p>
      <w:pPr>
        <w:ind w:left="1260" w:right="219"/>
        <w:spacing w:after="0" w:line="245" w:lineRule="auto"/>
        <w:rPr>
          <w:sz w:val="20"/>
          <w:szCs w:val="20"/>
          <w:color w:val="auto"/>
        </w:rPr>
      </w:pPr>
      <w:r>
        <w:rPr>
          <w:rFonts w:ascii="Arial" w:cs="Arial" w:eastAsia="Arial" w:hAnsi="Arial"/>
          <w:sz w:val="13"/>
          <w:szCs w:val="13"/>
          <w:color w:val="auto"/>
        </w:rPr>
        <w:t>For purposes of determining whether a Change in Control has occurred, the following Persons and Groups shall not be deemed to be “unrelated”: (i) any Person or Group directly or indirectly having Beneficial Ownership of more than fifty percent (50%) of the issued and outstanding voting power of Company’s voting securities immediately before the transaction in question, (ii) any Person or Group of which the Company has Beneficial Ownership of more than fifty percent (50%) of the voting power of the issued and outstanding voting securities immediately before the transaction in question, and</w:t>
      </w:r>
    </w:p>
    <w:p>
      <w:pPr>
        <w:spacing w:after="0" w:line="2" w:lineRule="exact"/>
        <w:rPr>
          <w:sz w:val="20"/>
          <w:szCs w:val="20"/>
          <w:color w:val="auto"/>
        </w:rPr>
      </w:pPr>
    </w:p>
    <w:p>
      <w:pPr>
        <w:ind w:left="1260" w:right="219" w:firstLine="7"/>
        <w:spacing w:after="0" w:line="244" w:lineRule="auto"/>
        <w:tabs>
          <w:tab w:leader="none" w:pos="1467" w:val="left"/>
        </w:tabs>
        <w:numPr>
          <w:ilvl w:val="0"/>
          <w:numId w:val="68"/>
        </w:numPr>
        <w:rPr>
          <w:rFonts w:ascii="Arial" w:cs="Arial" w:eastAsia="Arial" w:hAnsi="Arial"/>
          <w:sz w:val="13"/>
          <w:szCs w:val="13"/>
          <w:color w:val="auto"/>
        </w:rPr>
      </w:pPr>
      <w:r>
        <w:rPr>
          <w:rFonts w:ascii="Arial" w:cs="Arial" w:eastAsia="Arial" w:hAnsi="Arial"/>
          <w:sz w:val="13"/>
          <w:szCs w:val="13"/>
          <w:color w:val="auto"/>
        </w:rPr>
        <w:t>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Exchange Act and the rules and regulations promulgated thereunder.</w:t>
      </w:r>
    </w:p>
    <w:p>
      <w:pPr>
        <w:spacing w:after="0" w:line="153" w:lineRule="exact"/>
        <w:rPr>
          <w:sz w:val="20"/>
          <w:szCs w:val="20"/>
          <w:color w:val="auto"/>
        </w:rPr>
      </w:pPr>
    </w:p>
    <w:p>
      <w:pPr>
        <w:ind w:left="1260" w:right="179"/>
        <w:spacing w:after="0" w:line="251" w:lineRule="auto"/>
        <w:rPr>
          <w:sz w:val="20"/>
          <w:szCs w:val="20"/>
          <w:color w:val="auto"/>
        </w:rPr>
      </w:pPr>
      <w:r>
        <w:rPr>
          <w:rFonts w:ascii="Arial" w:cs="Arial" w:eastAsia="Arial" w:hAnsi="Arial"/>
          <w:sz w:val="13"/>
          <w:szCs w:val="13"/>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w:t>
      </w:r>
      <w:r>
        <w:rPr>
          <w:rFonts w:ascii="Arial" w:cs="Arial" w:eastAsia="Arial" w:hAnsi="Arial"/>
          <w:sz w:val="13"/>
          <w:szCs w:val="13"/>
          <w:u w:val="single" w:color="auto"/>
          <w:color w:val="auto"/>
        </w:rPr>
        <w:t>Proxy Contest</w:t>
      </w:r>
      <w:r>
        <w:rPr>
          <w:rFonts w:ascii="Arial" w:cs="Arial" w:eastAsia="Arial" w:hAnsi="Arial"/>
          <w:sz w:val="13"/>
          <w:szCs w:val="13"/>
          <w:color w:val="auto"/>
        </w:rPr>
        <w:t>”), or as a result of an agreement to avoid or settle an Election Contest or Proxy Contest.</w:t>
      </w:r>
    </w:p>
    <w:p>
      <w:pPr>
        <w:spacing w:after="0" w:line="147" w:lineRule="exact"/>
        <w:rPr>
          <w:sz w:val="20"/>
          <w:szCs w:val="20"/>
          <w:color w:val="auto"/>
        </w:rPr>
      </w:pPr>
    </w:p>
    <w:p>
      <w:pPr>
        <w:ind w:left="1260" w:right="339"/>
        <w:spacing w:after="0" w:line="287" w:lineRule="auto"/>
        <w:rPr>
          <w:sz w:val="20"/>
          <w:szCs w:val="20"/>
          <w:color w:val="auto"/>
        </w:rPr>
      </w:pPr>
      <w:r>
        <w:rPr>
          <w:rFonts w:ascii="Arial" w:cs="Arial" w:eastAsia="Arial" w:hAnsi="Arial"/>
          <w:sz w:val="12"/>
          <w:szCs w:val="12"/>
          <w:color w:val="auto"/>
        </w:rPr>
        <w:t>In addition, if a Change in Control constitutes a payment event with respect to any portion of an Award which provides for the deferral of compensation and is subject to Section 409A of the Code, the transaction or event described in subsection (a), (b), (c) or (d) with respect to such Award (or portion thereof) must also constitute a “change in control event,” as defined in Treasury Regulation §1.409A-3(i)(5) to the extent required by Section 409A.</w:t>
      </w:r>
    </w:p>
    <w:p>
      <w:pPr>
        <w:spacing w:after="0" w:line="127" w:lineRule="exact"/>
        <w:rPr>
          <w:sz w:val="20"/>
          <w:szCs w:val="20"/>
          <w:color w:val="auto"/>
        </w:rPr>
      </w:pPr>
    </w:p>
    <w:p>
      <w:pPr>
        <w:ind w:left="1260" w:right="259"/>
        <w:spacing w:after="0" w:line="251" w:lineRule="auto"/>
        <w:rPr>
          <w:sz w:val="20"/>
          <w:szCs w:val="20"/>
          <w:color w:val="auto"/>
        </w:rPr>
      </w:pPr>
      <w:r>
        <w:rPr>
          <w:rFonts w:ascii="Arial" w:cs="Arial" w:eastAsia="Arial" w:hAnsi="Arial"/>
          <w:sz w:val="13"/>
          <w:szCs w:val="13"/>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w:t>
      </w:r>
    </w:p>
    <w:p>
      <w:pPr>
        <w:sectPr>
          <w:pgSz w:w="11900" w:h="16838" w:orient="portrait"/>
          <w:cols w:equalWidth="0" w:num="1">
            <w:col w:w="10159"/>
          </w:cols>
          <w:pgMar w:left="300" w:top="412"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399" w:firstLine="350"/>
        <w:spacing w:after="0" w:line="271" w:lineRule="auto"/>
        <w:rPr>
          <w:sz w:val="20"/>
          <w:szCs w:val="20"/>
          <w:color w:val="auto"/>
        </w:rPr>
      </w:pPr>
      <w:r>
        <w:rPr>
          <w:rFonts w:ascii="Arial" w:cs="Arial" w:eastAsia="Arial" w:hAnsi="Arial"/>
          <w:sz w:val="13"/>
          <w:szCs w:val="13"/>
          <w:color w:val="auto"/>
        </w:rPr>
        <w:t>2.10  “</w:t>
      </w:r>
      <w:r>
        <w:rPr>
          <w:rFonts w:ascii="Arial" w:cs="Arial" w:eastAsia="Arial" w:hAnsi="Arial"/>
          <w:sz w:val="13"/>
          <w:szCs w:val="13"/>
          <w:u w:val="single" w:color="auto"/>
          <w:color w:val="auto"/>
        </w:rPr>
        <w:t>Code</w:t>
      </w:r>
      <w:r>
        <w:rPr>
          <w:rFonts w:ascii="Arial" w:cs="Arial" w:eastAsia="Arial" w:hAnsi="Arial"/>
          <w:sz w:val="13"/>
          <w:szCs w:val="13"/>
          <w:color w:val="auto"/>
        </w:rPr>
        <w:t>” shall mean the Internal Revenue Code of 1986, as amended from time to time, together with the regulations and official guidance promulgated thereunder.</w:t>
      </w:r>
    </w:p>
    <w:p>
      <w:pPr>
        <w:spacing w:after="0" w:line="124" w:lineRule="exact"/>
        <w:rPr>
          <w:sz w:val="20"/>
          <w:szCs w:val="20"/>
          <w:color w:val="auto"/>
        </w:rPr>
      </w:pPr>
    </w:p>
    <w:p>
      <w:pPr>
        <w:ind w:left="1260" w:right="499" w:firstLine="350"/>
        <w:spacing w:after="0" w:line="271" w:lineRule="auto"/>
        <w:rPr>
          <w:sz w:val="20"/>
          <w:szCs w:val="20"/>
          <w:color w:val="auto"/>
        </w:rPr>
      </w:pPr>
      <w:r>
        <w:rPr>
          <w:rFonts w:ascii="Arial" w:cs="Arial" w:eastAsia="Arial" w:hAnsi="Arial"/>
          <w:sz w:val="13"/>
          <w:szCs w:val="13"/>
          <w:color w:val="auto"/>
        </w:rPr>
        <w:t>2.11  “</w:t>
      </w:r>
      <w:r>
        <w:rPr>
          <w:rFonts w:ascii="Arial" w:cs="Arial" w:eastAsia="Arial" w:hAnsi="Arial"/>
          <w:sz w:val="13"/>
          <w:szCs w:val="13"/>
          <w:u w:val="single" w:color="auto"/>
          <w:color w:val="auto"/>
        </w:rPr>
        <w:t>Committee</w:t>
      </w:r>
      <w:r>
        <w:rPr>
          <w:rFonts w:ascii="Arial" w:cs="Arial" w:eastAsia="Arial" w:hAnsi="Arial"/>
          <w:sz w:val="13"/>
          <w:szCs w:val="13"/>
          <w:color w:val="auto"/>
        </w:rPr>
        <w:t>” shall mean the Compensation Committee of the Board, or another committee or subcommittee of the Board, appointed as provided in Section 13.1.</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2.12   “</w:t>
      </w:r>
      <w:r>
        <w:rPr>
          <w:rFonts w:ascii="Arial" w:cs="Arial" w:eastAsia="Arial" w:hAnsi="Arial"/>
          <w:sz w:val="13"/>
          <w:szCs w:val="13"/>
          <w:u w:val="single" w:color="auto"/>
          <w:color w:val="auto"/>
        </w:rPr>
        <w:t>Common Stock</w:t>
      </w:r>
      <w:r>
        <w:rPr>
          <w:rFonts w:ascii="Arial" w:cs="Arial" w:eastAsia="Arial" w:hAnsi="Arial"/>
          <w:sz w:val="13"/>
          <w:szCs w:val="13"/>
          <w:color w:val="auto"/>
        </w:rPr>
        <w:t>” shall mean the common stock of the Company.</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2.13   “</w:t>
      </w:r>
      <w:r>
        <w:rPr>
          <w:rFonts w:ascii="Arial" w:cs="Arial" w:eastAsia="Arial" w:hAnsi="Arial"/>
          <w:sz w:val="13"/>
          <w:szCs w:val="13"/>
          <w:u w:val="single" w:color="auto"/>
          <w:color w:val="auto"/>
        </w:rPr>
        <w:t>Company</w:t>
      </w:r>
      <w:r>
        <w:rPr>
          <w:rFonts w:ascii="Arial" w:cs="Arial" w:eastAsia="Arial" w:hAnsi="Arial"/>
          <w:sz w:val="13"/>
          <w:szCs w:val="13"/>
          <w:color w:val="auto"/>
        </w:rPr>
        <w:t>” shall have the meaning set forth in Article 1.</w:t>
      </w:r>
    </w:p>
    <w:p>
      <w:pPr>
        <w:spacing w:after="0" w:line="151" w:lineRule="exact"/>
        <w:rPr>
          <w:sz w:val="20"/>
          <w:szCs w:val="20"/>
          <w:color w:val="auto"/>
        </w:rPr>
      </w:pPr>
    </w:p>
    <w:p>
      <w:pPr>
        <w:ind w:left="1260" w:right="239" w:firstLine="350"/>
        <w:spacing w:after="0" w:line="271" w:lineRule="auto"/>
        <w:rPr>
          <w:sz w:val="20"/>
          <w:szCs w:val="20"/>
          <w:color w:val="auto"/>
        </w:rPr>
      </w:pPr>
      <w:r>
        <w:rPr>
          <w:rFonts w:ascii="Arial" w:cs="Arial" w:eastAsia="Arial" w:hAnsi="Arial"/>
          <w:sz w:val="13"/>
          <w:szCs w:val="13"/>
          <w:color w:val="auto"/>
        </w:rPr>
        <w:t>2.14  “</w:t>
      </w:r>
      <w:r>
        <w:rPr>
          <w:rFonts w:ascii="Arial" w:cs="Arial" w:eastAsia="Arial" w:hAnsi="Arial"/>
          <w:sz w:val="13"/>
          <w:szCs w:val="13"/>
          <w:u w:val="single" w:color="auto"/>
          <w:color w:val="auto"/>
        </w:rPr>
        <w:t>Consultant</w:t>
      </w:r>
      <w:r>
        <w:rPr>
          <w:rFonts w:ascii="Arial" w:cs="Arial" w:eastAsia="Arial" w:hAnsi="Arial"/>
          <w:sz w:val="13"/>
          <w:szCs w:val="13"/>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2.15   “</w:t>
      </w:r>
      <w:r>
        <w:rPr>
          <w:rFonts w:ascii="Arial" w:cs="Arial" w:eastAsia="Arial" w:hAnsi="Arial"/>
          <w:sz w:val="12"/>
          <w:szCs w:val="12"/>
          <w:u w:val="single" w:color="auto"/>
          <w:color w:val="auto"/>
        </w:rPr>
        <w:t>Covered Employee</w:t>
      </w:r>
      <w:r>
        <w:rPr>
          <w:rFonts w:ascii="Arial" w:cs="Arial" w:eastAsia="Arial" w:hAnsi="Arial"/>
          <w:sz w:val="12"/>
          <w:szCs w:val="12"/>
          <w:color w:val="auto"/>
        </w:rPr>
        <w:t>” shall mean any Employee who is, or could be, a “covered employee” within the meaning of Section 162(m) of the Code.</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2.16   “</w:t>
      </w:r>
      <w:r>
        <w:rPr>
          <w:rFonts w:ascii="Arial" w:cs="Arial" w:eastAsia="Arial" w:hAnsi="Arial"/>
          <w:sz w:val="13"/>
          <w:szCs w:val="13"/>
          <w:u w:val="single" w:color="auto"/>
          <w:color w:val="auto"/>
        </w:rPr>
        <w:t>Deferred Stock</w:t>
      </w:r>
      <w:r>
        <w:rPr>
          <w:rFonts w:ascii="Arial" w:cs="Arial" w:eastAsia="Arial" w:hAnsi="Arial"/>
          <w:sz w:val="13"/>
          <w:szCs w:val="13"/>
          <w:color w:val="auto"/>
        </w:rPr>
        <w:t>” shall mean a right to receive Shares awarded under Section 10.4.</w:t>
      </w:r>
    </w:p>
    <w:p>
      <w:pPr>
        <w:spacing w:after="0" w:line="151"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2.17   “</w:t>
      </w:r>
      <w:r>
        <w:rPr>
          <w:rFonts w:ascii="Arial" w:cs="Arial" w:eastAsia="Arial" w:hAnsi="Arial"/>
          <w:sz w:val="13"/>
          <w:szCs w:val="13"/>
          <w:u w:val="single" w:color="auto"/>
          <w:color w:val="auto"/>
        </w:rPr>
        <w:t>Deferred Stock Unit</w:t>
      </w:r>
      <w:r>
        <w:rPr>
          <w:rFonts w:ascii="Arial" w:cs="Arial" w:eastAsia="Arial" w:hAnsi="Arial"/>
          <w:sz w:val="13"/>
          <w:szCs w:val="13"/>
          <w:color w:val="auto"/>
        </w:rPr>
        <w:t>” shall mean a right to receive Shares awarded under Section 10.5.</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2.18   “</w:t>
      </w:r>
      <w:r>
        <w:rPr>
          <w:rFonts w:ascii="Arial" w:cs="Arial" w:eastAsia="Arial" w:hAnsi="Arial"/>
          <w:sz w:val="13"/>
          <w:szCs w:val="13"/>
          <w:u w:val="single" w:color="auto"/>
          <w:color w:val="auto"/>
        </w:rPr>
        <w:t>Director</w:t>
      </w:r>
      <w:r>
        <w:rPr>
          <w:rFonts w:ascii="Arial" w:cs="Arial" w:eastAsia="Arial" w:hAnsi="Arial"/>
          <w:sz w:val="13"/>
          <w:szCs w:val="13"/>
          <w:color w:val="auto"/>
        </w:rPr>
        <w:t>” shall mean a member of the Board, as constituted from time to time.</w:t>
      </w:r>
    </w:p>
    <w:p>
      <w:pPr>
        <w:spacing w:after="0" w:line="162" w:lineRule="exact"/>
        <w:rPr>
          <w:sz w:val="20"/>
          <w:szCs w:val="20"/>
          <w:color w:val="auto"/>
        </w:rPr>
      </w:pPr>
    </w:p>
    <w:p>
      <w:pPr>
        <w:ind w:left="1260" w:right="439" w:firstLine="350"/>
        <w:spacing w:after="0" w:line="271" w:lineRule="auto"/>
        <w:rPr>
          <w:sz w:val="20"/>
          <w:szCs w:val="20"/>
          <w:color w:val="auto"/>
        </w:rPr>
      </w:pPr>
      <w:r>
        <w:rPr>
          <w:rFonts w:ascii="Arial" w:cs="Arial" w:eastAsia="Arial" w:hAnsi="Arial"/>
          <w:sz w:val="13"/>
          <w:szCs w:val="13"/>
          <w:color w:val="auto"/>
        </w:rPr>
        <w:t>2.19  “</w:t>
      </w:r>
      <w:r>
        <w:rPr>
          <w:rFonts w:ascii="Arial" w:cs="Arial" w:eastAsia="Arial" w:hAnsi="Arial"/>
          <w:sz w:val="13"/>
          <w:szCs w:val="13"/>
          <w:u w:val="single" w:color="auto"/>
          <w:color w:val="auto"/>
        </w:rPr>
        <w:t>Dividend Equivalent</w:t>
      </w:r>
      <w:r>
        <w:rPr>
          <w:rFonts w:ascii="Arial" w:cs="Arial" w:eastAsia="Arial" w:hAnsi="Arial"/>
          <w:sz w:val="13"/>
          <w:szCs w:val="13"/>
          <w:color w:val="auto"/>
        </w:rPr>
        <w:t>” shall mean a right to receive the equivalent value (in cash or Shares) of dividends paid on Shares, awarded under Section 10.2.</w:t>
      </w:r>
    </w:p>
    <w:p>
      <w:pPr>
        <w:spacing w:after="0" w:line="113" w:lineRule="exact"/>
        <w:rPr>
          <w:sz w:val="20"/>
          <w:szCs w:val="20"/>
          <w:color w:val="auto"/>
        </w:rPr>
      </w:pPr>
    </w:p>
    <w:p>
      <w:pPr>
        <w:ind w:left="1260" w:right="279" w:firstLine="350"/>
        <w:spacing w:after="0" w:line="271" w:lineRule="auto"/>
        <w:rPr>
          <w:sz w:val="20"/>
          <w:szCs w:val="20"/>
          <w:color w:val="auto"/>
        </w:rPr>
      </w:pPr>
      <w:r>
        <w:rPr>
          <w:rFonts w:ascii="Arial" w:cs="Arial" w:eastAsia="Arial" w:hAnsi="Arial"/>
          <w:sz w:val="13"/>
          <w:szCs w:val="13"/>
          <w:color w:val="auto"/>
        </w:rPr>
        <w:t>2.20  “</w:t>
      </w:r>
      <w:r>
        <w:rPr>
          <w:rFonts w:ascii="Arial" w:cs="Arial" w:eastAsia="Arial" w:hAnsi="Arial"/>
          <w:sz w:val="13"/>
          <w:szCs w:val="13"/>
          <w:u w:val="single" w:color="auto"/>
          <w:color w:val="auto"/>
        </w:rPr>
        <w:t>DRO</w:t>
      </w:r>
      <w:r>
        <w:rPr>
          <w:rFonts w:ascii="Arial" w:cs="Arial" w:eastAsia="Arial" w:hAnsi="Arial"/>
          <w:sz w:val="13"/>
          <w:szCs w:val="13"/>
          <w:color w:val="auto"/>
        </w:rPr>
        <w:t>” shall mean a domestic relations order as defined by the Code or Title I of the Employee Retirement Income Security Act of 1974, as amended from time to time, or the rules thereunder.</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2.21   “</w:t>
      </w:r>
      <w:r>
        <w:rPr>
          <w:rFonts w:ascii="Arial" w:cs="Arial" w:eastAsia="Arial" w:hAnsi="Arial"/>
          <w:sz w:val="13"/>
          <w:szCs w:val="13"/>
          <w:u w:val="single" w:color="auto"/>
          <w:color w:val="auto"/>
        </w:rPr>
        <w:t>Effective Date</w:t>
      </w:r>
      <w:r>
        <w:rPr>
          <w:rFonts w:ascii="Arial" w:cs="Arial" w:eastAsia="Arial" w:hAnsi="Arial"/>
          <w:sz w:val="13"/>
          <w:szCs w:val="13"/>
          <w:color w:val="auto"/>
        </w:rPr>
        <w:t>” shall mean the date the Plan is approved by the Board, subject to approval of the Plan by the Company’s stockholders.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2.22   “</w:t>
      </w:r>
      <w:r>
        <w:rPr>
          <w:rFonts w:ascii="Arial" w:cs="Arial" w:eastAsia="Arial" w:hAnsi="Arial"/>
          <w:sz w:val="12"/>
          <w:szCs w:val="12"/>
          <w:u w:val="single" w:color="auto"/>
          <w:color w:val="auto"/>
        </w:rPr>
        <w:t>Eligible Individual</w:t>
      </w:r>
      <w:r>
        <w:rPr>
          <w:rFonts w:ascii="Arial" w:cs="Arial" w:eastAsia="Arial" w:hAnsi="Arial"/>
          <w:sz w:val="12"/>
          <w:szCs w:val="12"/>
          <w:color w:val="auto"/>
        </w:rPr>
        <w:t>” shall mean any person who is an Employee, a Consultant or a Non-Employee Director, as determined by the Committee.</w:t>
      </w:r>
    </w:p>
    <w:p>
      <w:pPr>
        <w:spacing w:after="0" w:line="162" w:lineRule="exact"/>
        <w:rPr>
          <w:sz w:val="20"/>
          <w:szCs w:val="20"/>
          <w:color w:val="auto"/>
        </w:rPr>
      </w:pPr>
    </w:p>
    <w:p>
      <w:pPr>
        <w:ind w:left="1260" w:right="499" w:firstLine="350"/>
        <w:spacing w:after="0" w:line="271" w:lineRule="auto"/>
        <w:rPr>
          <w:sz w:val="20"/>
          <w:szCs w:val="20"/>
          <w:color w:val="auto"/>
        </w:rPr>
      </w:pPr>
      <w:r>
        <w:rPr>
          <w:rFonts w:ascii="Arial" w:cs="Arial" w:eastAsia="Arial" w:hAnsi="Arial"/>
          <w:sz w:val="13"/>
          <w:szCs w:val="13"/>
          <w:color w:val="auto"/>
        </w:rPr>
        <w:t>2.23  “</w:t>
      </w:r>
      <w:r>
        <w:rPr>
          <w:rFonts w:ascii="Arial" w:cs="Arial" w:eastAsia="Arial" w:hAnsi="Arial"/>
          <w:sz w:val="13"/>
          <w:szCs w:val="13"/>
          <w:u w:val="single" w:color="auto"/>
          <w:color w:val="auto"/>
        </w:rPr>
        <w:t>Employee</w:t>
      </w:r>
      <w:r>
        <w:rPr>
          <w:rFonts w:ascii="Arial" w:cs="Arial" w:eastAsia="Arial" w:hAnsi="Arial"/>
          <w:sz w:val="13"/>
          <w:szCs w:val="13"/>
          <w:color w:val="auto"/>
        </w:rPr>
        <w:t>” shall mean any officer or other employee (as determined in accordance with Section 3401(c) of the Code and the Treasury Regulations thereunder) of the Company or of any Affiliate.</w:t>
      </w:r>
    </w:p>
    <w:p>
      <w:pPr>
        <w:spacing w:after="0" w:line="124" w:lineRule="exact"/>
        <w:rPr>
          <w:sz w:val="20"/>
          <w:szCs w:val="20"/>
          <w:color w:val="auto"/>
        </w:rPr>
      </w:pPr>
    </w:p>
    <w:p>
      <w:pPr>
        <w:ind w:left="1260" w:right="339" w:firstLine="350"/>
        <w:spacing w:after="0" w:line="256" w:lineRule="auto"/>
        <w:rPr>
          <w:sz w:val="20"/>
          <w:szCs w:val="20"/>
          <w:color w:val="auto"/>
        </w:rPr>
      </w:pPr>
      <w:r>
        <w:rPr>
          <w:rFonts w:ascii="Arial" w:cs="Arial" w:eastAsia="Arial" w:hAnsi="Arial"/>
          <w:sz w:val="13"/>
          <w:szCs w:val="13"/>
          <w:color w:val="auto"/>
        </w:rPr>
        <w:t>2.24  “</w:t>
      </w:r>
      <w:r>
        <w:rPr>
          <w:rFonts w:ascii="Arial" w:cs="Arial" w:eastAsia="Arial" w:hAnsi="Arial"/>
          <w:sz w:val="13"/>
          <w:szCs w:val="13"/>
          <w:u w:val="single" w:color="auto"/>
          <w:color w:val="auto"/>
        </w:rPr>
        <w:t>Equity Restructuring</w:t>
      </w:r>
      <w:r>
        <w:rPr>
          <w:rFonts w:ascii="Arial" w:cs="Arial" w:eastAsia="Arial" w:hAnsi="Arial"/>
          <w:sz w:val="13"/>
          <w:szCs w:val="13"/>
          <w:color w:val="auto"/>
        </w:rPr>
        <w:t>” 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w:t>
      </w:r>
    </w:p>
    <w:p>
      <w:pPr>
        <w:spacing w:after="0" w:line="13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2.25   “</w:t>
      </w:r>
      <w:r>
        <w:rPr>
          <w:rFonts w:ascii="Arial" w:cs="Arial" w:eastAsia="Arial" w:hAnsi="Arial"/>
          <w:sz w:val="13"/>
          <w:szCs w:val="13"/>
          <w:u w:val="single" w:color="auto"/>
          <w:color w:val="auto"/>
        </w:rPr>
        <w:t>Exchange Act</w:t>
      </w:r>
      <w:r>
        <w:rPr>
          <w:rFonts w:ascii="Arial" w:cs="Arial" w:eastAsia="Arial" w:hAnsi="Arial"/>
          <w:sz w:val="13"/>
          <w:szCs w:val="13"/>
          <w:color w:val="auto"/>
        </w:rPr>
        <w:t>” shall mean the Securities Exchange Act of 1934, as amended from time to time.</w:t>
      </w:r>
    </w:p>
    <w:p>
      <w:pPr>
        <w:spacing w:after="0" w:line="172"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2.26   “</w:t>
      </w:r>
      <w:r>
        <w:rPr>
          <w:rFonts w:ascii="Arial" w:cs="Arial" w:eastAsia="Arial" w:hAnsi="Arial"/>
          <w:sz w:val="13"/>
          <w:szCs w:val="13"/>
          <w:u w:val="single" w:color="auto"/>
          <w:color w:val="auto"/>
        </w:rPr>
        <w:t>Expiration Date</w:t>
      </w:r>
      <w:r>
        <w:rPr>
          <w:rFonts w:ascii="Arial" w:cs="Arial" w:eastAsia="Arial" w:hAnsi="Arial"/>
          <w:sz w:val="13"/>
          <w:szCs w:val="13"/>
          <w:color w:val="auto"/>
        </w:rPr>
        <w:t>” shall have the meaning set forth in Section 14.1.</w:t>
      </w:r>
    </w:p>
    <w:p>
      <w:pPr>
        <w:spacing w:after="0" w:line="119"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A-3</w:t>
      </w:r>
    </w:p>
    <w:p>
      <w:pPr>
        <w:sectPr>
          <w:pgSz w:w="11900" w:h="16838" w:orient="portrait"/>
          <w:cols w:equalWidth="0" w:num="1">
            <w:col w:w="10159"/>
          </w:cols>
          <w:pgMar w:left="300" w:top="412"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2.27   “</w:t>
      </w:r>
      <w:r>
        <w:rPr>
          <w:rFonts w:ascii="Arial" w:cs="Arial" w:eastAsia="Arial" w:hAnsi="Arial"/>
          <w:sz w:val="13"/>
          <w:szCs w:val="13"/>
          <w:u w:val="single" w:color="auto"/>
          <w:color w:val="auto"/>
        </w:rPr>
        <w:t>Fair Market Value</w:t>
      </w:r>
      <w:r>
        <w:rPr>
          <w:rFonts w:ascii="Arial" w:cs="Arial" w:eastAsia="Arial" w:hAnsi="Arial"/>
          <w:sz w:val="13"/>
          <w:szCs w:val="13"/>
          <w:color w:val="auto"/>
        </w:rPr>
        <w:t>” shall mean, as of any given date, the value of a Share determined as follows:</w:t>
      </w:r>
    </w:p>
    <w:p>
      <w:pPr>
        <w:spacing w:after="0" w:line="87" w:lineRule="exact"/>
        <w:rPr>
          <w:sz w:val="20"/>
          <w:szCs w:val="20"/>
          <w:color w:val="auto"/>
        </w:rPr>
      </w:pPr>
    </w:p>
    <w:p>
      <w:pPr>
        <w:ind w:left="1260" w:right="219" w:firstLine="700"/>
        <w:spacing w:after="0" w:line="248" w:lineRule="auto"/>
        <w:rPr>
          <w:sz w:val="20"/>
          <w:szCs w:val="20"/>
          <w:color w:val="auto"/>
        </w:rPr>
      </w:pPr>
      <w:r>
        <w:rPr>
          <w:rFonts w:ascii="Arial" w:cs="Arial" w:eastAsia="Arial" w:hAnsi="Arial"/>
          <w:sz w:val="13"/>
          <w:szCs w:val="13"/>
          <w:color w:val="auto"/>
        </w:rPr>
        <w:t xml:space="preserve">(a)  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Administrator deems reliable;</w:t>
      </w:r>
    </w:p>
    <w:p>
      <w:pPr>
        <w:spacing w:after="0" w:line="150" w:lineRule="exact"/>
        <w:rPr>
          <w:sz w:val="20"/>
          <w:szCs w:val="20"/>
          <w:color w:val="auto"/>
        </w:rPr>
      </w:pPr>
    </w:p>
    <w:p>
      <w:pPr>
        <w:ind w:left="1260" w:right="139" w:firstLine="700"/>
        <w:spacing w:after="0" w:line="251" w:lineRule="auto"/>
        <w:rPr>
          <w:sz w:val="20"/>
          <w:szCs w:val="20"/>
          <w:color w:val="auto"/>
        </w:rPr>
      </w:pPr>
      <w:r>
        <w:rPr>
          <w:rFonts w:ascii="Arial" w:cs="Arial" w:eastAsia="Arial" w:hAnsi="Arial"/>
          <w:sz w:val="13"/>
          <w:szCs w:val="13"/>
          <w:color w:val="auto"/>
        </w:rPr>
        <w:t>(b)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147" w:lineRule="exact"/>
        <w:rPr>
          <w:sz w:val="20"/>
          <w:szCs w:val="20"/>
          <w:color w:val="auto"/>
        </w:rPr>
      </w:pPr>
    </w:p>
    <w:p>
      <w:pPr>
        <w:ind w:left="1260" w:right="179" w:firstLine="700"/>
        <w:spacing w:after="0" w:line="271" w:lineRule="auto"/>
        <w:rPr>
          <w:sz w:val="20"/>
          <w:szCs w:val="20"/>
          <w:color w:val="auto"/>
        </w:rPr>
      </w:pPr>
      <w:r>
        <w:rPr>
          <w:rFonts w:ascii="Arial" w:cs="Arial" w:eastAsia="Arial" w:hAnsi="Arial"/>
          <w:sz w:val="13"/>
          <w:szCs w:val="13"/>
          <w:color w:val="auto"/>
        </w:rPr>
        <w:t>(c)  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34" w:lineRule="exact"/>
        <w:rPr>
          <w:sz w:val="20"/>
          <w:szCs w:val="20"/>
          <w:color w:val="auto"/>
        </w:rPr>
      </w:pPr>
    </w:p>
    <w:p>
      <w:pPr>
        <w:jc w:val="both"/>
        <w:ind w:left="1260" w:right="199" w:firstLine="350"/>
        <w:spacing w:after="0" w:line="256" w:lineRule="auto"/>
        <w:rPr>
          <w:sz w:val="20"/>
          <w:szCs w:val="20"/>
          <w:color w:val="auto"/>
        </w:rPr>
      </w:pPr>
      <w:r>
        <w:rPr>
          <w:rFonts w:ascii="Arial" w:cs="Arial" w:eastAsia="Arial" w:hAnsi="Arial"/>
          <w:sz w:val="13"/>
          <w:szCs w:val="13"/>
          <w:color w:val="auto"/>
        </w:rPr>
        <w:t>2.28  “</w:t>
      </w:r>
      <w:r>
        <w:rPr>
          <w:rFonts w:ascii="Arial" w:cs="Arial" w:eastAsia="Arial" w:hAnsi="Arial"/>
          <w:sz w:val="13"/>
          <w:szCs w:val="13"/>
          <w:u w:val="single" w:color="auto"/>
          <w:color w:val="auto"/>
        </w:rPr>
        <w:t>Greater Than 10% Stockholder</w:t>
      </w:r>
      <w:r>
        <w:rPr>
          <w:rFonts w:ascii="Arial" w:cs="Arial" w:eastAsia="Arial" w:hAnsi="Arial"/>
          <w:sz w:val="13"/>
          <w:szCs w:val="13"/>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2.29   “</w:t>
      </w:r>
      <w:r>
        <w:rPr>
          <w:rFonts w:ascii="Arial" w:cs="Arial" w:eastAsia="Arial" w:hAnsi="Arial"/>
          <w:sz w:val="13"/>
          <w:szCs w:val="13"/>
          <w:u w:val="single" w:color="auto"/>
          <w:color w:val="auto"/>
        </w:rPr>
        <w:t>Holder</w:t>
      </w:r>
      <w:r>
        <w:rPr>
          <w:rFonts w:ascii="Arial" w:cs="Arial" w:eastAsia="Arial" w:hAnsi="Arial"/>
          <w:sz w:val="13"/>
          <w:szCs w:val="13"/>
          <w:color w:val="auto"/>
        </w:rPr>
        <w:t>” shall mean a person who has been granted an Award.</w:t>
      </w:r>
    </w:p>
    <w:p>
      <w:pPr>
        <w:spacing w:after="0" w:line="172" w:lineRule="exact"/>
        <w:rPr>
          <w:sz w:val="20"/>
          <w:szCs w:val="20"/>
          <w:color w:val="auto"/>
        </w:rPr>
      </w:pPr>
    </w:p>
    <w:p>
      <w:pPr>
        <w:ind w:left="1260" w:right="679" w:firstLine="350"/>
        <w:spacing w:after="0" w:line="271" w:lineRule="auto"/>
        <w:rPr>
          <w:sz w:val="20"/>
          <w:szCs w:val="20"/>
          <w:color w:val="auto"/>
        </w:rPr>
      </w:pPr>
      <w:r>
        <w:rPr>
          <w:rFonts w:ascii="Arial" w:cs="Arial" w:eastAsia="Arial" w:hAnsi="Arial"/>
          <w:sz w:val="13"/>
          <w:szCs w:val="13"/>
          <w:color w:val="auto"/>
        </w:rPr>
        <w:t>2.30  “</w:t>
      </w:r>
      <w:r>
        <w:rPr>
          <w:rFonts w:ascii="Arial" w:cs="Arial" w:eastAsia="Arial" w:hAnsi="Arial"/>
          <w:sz w:val="13"/>
          <w:szCs w:val="13"/>
          <w:u w:val="single" w:color="auto"/>
          <w:color w:val="auto"/>
        </w:rPr>
        <w:t>Incentive Stock Option</w:t>
      </w:r>
      <w:r>
        <w:rPr>
          <w:rFonts w:ascii="Arial" w:cs="Arial" w:eastAsia="Arial" w:hAnsi="Arial"/>
          <w:sz w:val="13"/>
          <w:szCs w:val="13"/>
          <w:color w:val="auto"/>
        </w:rPr>
        <w:t>” shall mean an Option that is intended to qualify as an incentive stock option and conforms to the applicable provisions of Section 422 of the Code.</w:t>
      </w:r>
    </w:p>
    <w:p>
      <w:pPr>
        <w:spacing w:after="0" w:line="134" w:lineRule="exact"/>
        <w:rPr>
          <w:sz w:val="20"/>
          <w:szCs w:val="20"/>
          <w:color w:val="auto"/>
        </w:rPr>
      </w:pPr>
    </w:p>
    <w:p>
      <w:pPr>
        <w:ind w:left="1620"/>
        <w:spacing w:after="0"/>
        <w:tabs>
          <w:tab w:leader="none" w:pos="2020" w:val="left"/>
        </w:tabs>
        <w:rPr>
          <w:sz w:val="20"/>
          <w:szCs w:val="20"/>
          <w:color w:val="auto"/>
        </w:rPr>
      </w:pPr>
      <w:r>
        <w:rPr>
          <w:rFonts w:ascii="Arial" w:cs="Arial" w:eastAsia="Arial" w:hAnsi="Arial"/>
          <w:sz w:val="13"/>
          <w:szCs w:val="13"/>
          <w:color w:val="auto"/>
        </w:rPr>
        <w:t>2.31 </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Non-Employee Director</w:t>
      </w:r>
      <w:r>
        <w:rPr>
          <w:rFonts w:ascii="Arial" w:cs="Arial" w:eastAsia="Arial" w:hAnsi="Arial"/>
          <w:sz w:val="12"/>
          <w:szCs w:val="12"/>
          <w:color w:val="auto"/>
        </w:rPr>
        <w:t>” shall mean a Director of the Company who is not an Employee.</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2.32   “</w:t>
      </w:r>
      <w:r>
        <w:rPr>
          <w:rFonts w:ascii="Arial" w:cs="Arial" w:eastAsia="Arial" w:hAnsi="Arial"/>
          <w:sz w:val="13"/>
          <w:szCs w:val="13"/>
          <w:u w:val="single" w:color="auto"/>
          <w:color w:val="auto"/>
        </w:rPr>
        <w:t>Non-Employee Director Equity Compensation Policy</w:t>
      </w:r>
      <w:r>
        <w:rPr>
          <w:rFonts w:ascii="Arial" w:cs="Arial" w:eastAsia="Arial" w:hAnsi="Arial"/>
          <w:sz w:val="13"/>
          <w:szCs w:val="13"/>
          <w:color w:val="auto"/>
        </w:rPr>
        <w:t>” shall have the meaning set forth in Section 4.6.</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2.33   “</w:t>
      </w:r>
      <w:r>
        <w:rPr>
          <w:rFonts w:ascii="Arial" w:cs="Arial" w:eastAsia="Arial" w:hAnsi="Arial"/>
          <w:sz w:val="13"/>
          <w:szCs w:val="13"/>
          <w:u w:val="single" w:color="auto"/>
          <w:color w:val="auto"/>
        </w:rPr>
        <w:t>Non-Qualified Stock Option</w:t>
      </w:r>
      <w:r>
        <w:rPr>
          <w:rFonts w:ascii="Arial" w:cs="Arial" w:eastAsia="Arial" w:hAnsi="Arial"/>
          <w:sz w:val="13"/>
          <w:szCs w:val="13"/>
          <w:color w:val="auto"/>
        </w:rPr>
        <w:t>” shall mean an Option that is not an Incentive Stock Option.</w:t>
      </w:r>
    </w:p>
    <w:p>
      <w:pPr>
        <w:spacing w:after="0" w:line="172" w:lineRule="exact"/>
        <w:rPr>
          <w:sz w:val="20"/>
          <w:szCs w:val="20"/>
          <w:color w:val="auto"/>
        </w:rPr>
      </w:pPr>
    </w:p>
    <w:p>
      <w:pPr>
        <w:ind w:left="1260" w:right="199" w:firstLine="350"/>
        <w:spacing w:after="0" w:line="256" w:lineRule="auto"/>
        <w:rPr>
          <w:sz w:val="20"/>
          <w:szCs w:val="20"/>
          <w:color w:val="auto"/>
        </w:rPr>
      </w:pPr>
      <w:r>
        <w:rPr>
          <w:rFonts w:ascii="Arial" w:cs="Arial" w:eastAsia="Arial" w:hAnsi="Arial"/>
          <w:sz w:val="13"/>
          <w:szCs w:val="13"/>
          <w:color w:val="auto"/>
        </w:rPr>
        <w:t>2.34  “</w:t>
      </w:r>
      <w:r>
        <w:rPr>
          <w:rFonts w:ascii="Arial" w:cs="Arial" w:eastAsia="Arial" w:hAnsi="Arial"/>
          <w:sz w:val="13"/>
          <w:szCs w:val="13"/>
          <w:u w:val="single" w:color="auto"/>
          <w:color w:val="auto"/>
        </w:rPr>
        <w:t>Option</w:t>
      </w:r>
      <w:r>
        <w:rPr>
          <w:rFonts w:ascii="Arial" w:cs="Arial" w:eastAsia="Arial" w:hAnsi="Arial"/>
          <w:sz w:val="13"/>
          <w:szCs w:val="13"/>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Options granted to Non-Employee Directors and Consultants shall only be Non-Qualified Stock Options.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2.35   “</w:t>
      </w:r>
      <w:r>
        <w:rPr>
          <w:rFonts w:ascii="Arial" w:cs="Arial" w:eastAsia="Arial" w:hAnsi="Arial"/>
          <w:sz w:val="13"/>
          <w:szCs w:val="13"/>
          <w:u w:val="single" w:color="auto"/>
          <w:color w:val="auto"/>
        </w:rPr>
        <w:t>Option Term</w:t>
      </w:r>
      <w:r>
        <w:rPr>
          <w:rFonts w:ascii="Arial" w:cs="Arial" w:eastAsia="Arial" w:hAnsi="Arial"/>
          <w:sz w:val="13"/>
          <w:szCs w:val="13"/>
          <w:color w:val="auto"/>
        </w:rPr>
        <w:t>” shall have the meaning set forth in Section 6.4.</w:t>
      </w:r>
    </w:p>
    <w:p>
      <w:pPr>
        <w:spacing w:after="0" w:line="172" w:lineRule="exact"/>
        <w:rPr>
          <w:sz w:val="20"/>
          <w:szCs w:val="20"/>
          <w:color w:val="auto"/>
        </w:rPr>
      </w:pPr>
    </w:p>
    <w:p>
      <w:pPr>
        <w:ind w:left="1260" w:right="359" w:firstLine="350"/>
        <w:spacing w:after="0" w:line="256" w:lineRule="auto"/>
        <w:rPr>
          <w:sz w:val="20"/>
          <w:szCs w:val="20"/>
          <w:color w:val="auto"/>
        </w:rPr>
      </w:pPr>
      <w:r>
        <w:rPr>
          <w:rFonts w:ascii="Arial" w:cs="Arial" w:eastAsia="Arial" w:hAnsi="Arial"/>
          <w:sz w:val="13"/>
          <w:szCs w:val="13"/>
          <w:color w:val="auto"/>
        </w:rPr>
        <w:t>2.36  “</w:t>
      </w:r>
      <w:r>
        <w:rPr>
          <w:rFonts w:ascii="Arial" w:cs="Arial" w:eastAsia="Arial" w:hAnsi="Arial"/>
          <w:sz w:val="13"/>
          <w:szCs w:val="13"/>
          <w:u w:val="single" w:color="auto"/>
          <w:color w:val="auto"/>
        </w:rPr>
        <w:t>Parent</w:t>
      </w:r>
      <w:r>
        <w:rPr>
          <w:rFonts w:ascii="Arial" w:cs="Arial" w:eastAsia="Arial" w:hAnsi="Arial"/>
          <w:sz w:val="13"/>
          <w:szCs w:val="13"/>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spacing w:after="0" w:line="144" w:lineRule="exact"/>
        <w:rPr>
          <w:sz w:val="20"/>
          <w:szCs w:val="20"/>
          <w:color w:val="auto"/>
        </w:rPr>
      </w:pPr>
    </w:p>
    <w:p>
      <w:pPr>
        <w:ind w:left="1260" w:right="559" w:firstLine="350"/>
        <w:spacing w:after="0" w:line="271" w:lineRule="auto"/>
        <w:rPr>
          <w:sz w:val="20"/>
          <w:szCs w:val="20"/>
          <w:color w:val="auto"/>
        </w:rPr>
      </w:pPr>
      <w:r>
        <w:rPr>
          <w:rFonts w:ascii="Arial" w:cs="Arial" w:eastAsia="Arial" w:hAnsi="Arial"/>
          <w:sz w:val="13"/>
          <w:szCs w:val="13"/>
          <w:color w:val="auto"/>
        </w:rPr>
        <w:t>2.37  “</w:t>
      </w:r>
      <w:r>
        <w:rPr>
          <w:rFonts w:ascii="Arial" w:cs="Arial" w:eastAsia="Arial" w:hAnsi="Arial"/>
          <w:sz w:val="13"/>
          <w:szCs w:val="13"/>
          <w:u w:val="single" w:color="auto"/>
          <w:color w:val="auto"/>
        </w:rPr>
        <w:t>Performance Award</w:t>
      </w:r>
      <w:r>
        <w:rPr>
          <w:rFonts w:ascii="Arial" w:cs="Arial" w:eastAsia="Arial" w:hAnsi="Arial"/>
          <w:sz w:val="13"/>
          <w:szCs w:val="13"/>
          <w:color w:val="auto"/>
        </w:rPr>
        <w:t>” shall mean a cash bonus award, stock bonus award, performance award or incentive award that is paid in cash, Shares or a combination of both, awarded under Section 10.1.</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A-4</w:t>
      </w:r>
    </w:p>
    <w:p>
      <w:pPr>
        <w:sectPr>
          <w:pgSz w:w="11900" w:h="16838" w:orient="portrait"/>
          <w:cols w:equalWidth="0" w:num="1">
            <w:col w:w="10159"/>
          </w:cols>
          <w:pgMar w:left="300" w:top="412"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439" w:firstLine="350"/>
        <w:spacing w:after="0" w:line="271" w:lineRule="auto"/>
        <w:rPr>
          <w:sz w:val="20"/>
          <w:szCs w:val="20"/>
          <w:color w:val="auto"/>
        </w:rPr>
      </w:pPr>
      <w:r>
        <w:rPr>
          <w:rFonts w:ascii="Arial" w:cs="Arial" w:eastAsia="Arial" w:hAnsi="Arial"/>
          <w:sz w:val="13"/>
          <w:szCs w:val="13"/>
          <w:color w:val="auto"/>
        </w:rPr>
        <w:t>2.38  “</w:t>
      </w:r>
      <w:r>
        <w:rPr>
          <w:rFonts w:ascii="Arial" w:cs="Arial" w:eastAsia="Arial" w:hAnsi="Arial"/>
          <w:sz w:val="13"/>
          <w:szCs w:val="13"/>
          <w:u w:val="single" w:color="auto"/>
          <w:color w:val="auto"/>
        </w:rPr>
        <w:t>Performance-Based Compensation</w:t>
      </w:r>
      <w:r>
        <w:rPr>
          <w:rFonts w:ascii="Arial" w:cs="Arial" w:eastAsia="Arial" w:hAnsi="Arial"/>
          <w:sz w:val="13"/>
          <w:szCs w:val="13"/>
          <w:color w:val="auto"/>
        </w:rPr>
        <w:t>” shall mean any compensation that is intended to qualify as “performance-based compensation” as described in Section 162(m)(4)(C) of the Code.</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2.39   “</w:t>
      </w:r>
      <w:r>
        <w:rPr>
          <w:rFonts w:ascii="Arial" w:cs="Arial" w:eastAsia="Arial" w:hAnsi="Arial"/>
          <w:sz w:val="13"/>
          <w:szCs w:val="13"/>
          <w:u w:val="single" w:color="auto"/>
          <w:color w:val="auto"/>
        </w:rPr>
        <w:t>Performance Criteria</w:t>
      </w:r>
      <w:r>
        <w:rPr>
          <w:rFonts w:ascii="Arial" w:cs="Arial" w:eastAsia="Arial" w:hAnsi="Arial"/>
          <w:sz w:val="13"/>
          <w:szCs w:val="13"/>
          <w:color w:val="auto"/>
        </w:rPr>
        <w:t>” shall mean the criteria (and adjustments) that the Committee selects for an Award for purposes of establishing the</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Performance Goal or Performance Goals for a Performance Period, determined as follows:</w:t>
      </w:r>
    </w:p>
    <w:p>
      <w:pPr>
        <w:spacing w:after="0" w:line="75" w:lineRule="exact"/>
        <w:rPr>
          <w:sz w:val="20"/>
          <w:szCs w:val="20"/>
          <w:color w:val="auto"/>
        </w:rPr>
      </w:pPr>
    </w:p>
    <w:p>
      <w:pPr>
        <w:ind w:left="1260" w:right="279" w:firstLine="700"/>
        <w:spacing w:after="0" w:line="271" w:lineRule="auto"/>
        <w:rPr>
          <w:sz w:val="20"/>
          <w:szCs w:val="20"/>
          <w:color w:val="auto"/>
        </w:rPr>
      </w:pPr>
      <w:r>
        <w:rPr>
          <w:rFonts w:ascii="Arial" w:cs="Arial" w:eastAsia="Arial" w:hAnsi="Arial"/>
          <w:sz w:val="12"/>
          <w:szCs w:val="12"/>
          <w:color w:val="auto"/>
        </w:rPr>
        <w:t>(a)  The Performance Criteria that shall be used to establish Performance Goals are limited to the following: (i) operating income (either before or after one or more of the following (a) depreciation, (b) amortization, (c) pre-opening costs, (d) property charges and other corporate expenses,</w:t>
      </w:r>
    </w:p>
    <w:p>
      <w:pPr>
        <w:spacing w:after="0" w:line="1" w:lineRule="exact"/>
        <w:rPr>
          <w:sz w:val="20"/>
          <w:szCs w:val="20"/>
          <w:color w:val="auto"/>
        </w:rPr>
      </w:pPr>
    </w:p>
    <w:p>
      <w:pPr>
        <w:ind w:left="1260" w:right="159" w:firstLine="7"/>
        <w:spacing w:after="0" w:line="261" w:lineRule="auto"/>
        <w:tabs>
          <w:tab w:leader="none" w:pos="1453"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intercompany golf course and water rights leases, (f) stock-based compensation, (g) triple-net operating lease rent expense related to Encore Boston Harbor, and (h) other non-operating income), (ii) adjusted property EBITDAR defined as earnings before interest, taxes, depreciation, amortization, pre-opening costs, property charges and other, corporate expenses, intercompany golf course and water rights leases, stock-based compensation, triple-net operating lease rent expense related to Encore Boston Harbor, and other non-operating income and expenses, and includes equity in income from unconsolidated affiliates, (iii) normalized adjusted property EBITDAR,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EBITDAR margins, (xi) departmental profit contributions (xii) costs and expenses management, (xiii) working capital management, (xiv) cash conversion cycle, (xv) weighted average cost of capital, (xvi) maintenance of leverage targets, (xvii) dividend payout ratio, (xviii) dividend growth,</w:t>
      </w:r>
    </w:p>
    <w:p>
      <w:pPr>
        <w:spacing w:after="0" w:line="1" w:lineRule="exact"/>
        <w:rPr>
          <w:rFonts w:ascii="Arial" w:cs="Arial" w:eastAsia="Arial" w:hAnsi="Arial"/>
          <w:sz w:val="12"/>
          <w:szCs w:val="12"/>
          <w:color w:val="auto"/>
        </w:rPr>
      </w:pPr>
    </w:p>
    <w:p>
      <w:pPr>
        <w:ind w:left="1260" w:right="179"/>
        <w:spacing w:after="0" w:line="243" w:lineRule="auto"/>
        <w:rPr>
          <w:rFonts w:ascii="Arial" w:cs="Arial" w:eastAsia="Arial" w:hAnsi="Arial"/>
          <w:sz w:val="12"/>
          <w:szCs w:val="12"/>
          <w:color w:val="auto"/>
        </w:rPr>
      </w:pPr>
      <w:r>
        <w:rPr>
          <w:rFonts w:ascii="Arial" w:cs="Arial" w:eastAsia="Arial" w:hAnsi="Arial"/>
          <w:sz w:val="13"/>
          <w:szCs w:val="13"/>
          <w:color w:val="auto"/>
        </w:rPr>
        <w:t>(xix)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-1449070</wp:posOffset>
            </wp:positionV>
            <wp:extent cx="2286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33" w:lineRule="exact"/>
        <w:rPr>
          <w:sz w:val="20"/>
          <w:szCs w:val="20"/>
          <w:color w:val="auto"/>
        </w:rPr>
      </w:pPr>
    </w:p>
    <w:p>
      <w:pPr>
        <w:ind w:left="1260" w:right="419" w:firstLine="700"/>
        <w:spacing w:after="0" w:line="271" w:lineRule="auto"/>
        <w:rPr>
          <w:sz w:val="20"/>
          <w:szCs w:val="20"/>
          <w:color w:val="auto"/>
        </w:rPr>
      </w:pPr>
      <w:r>
        <w:rPr>
          <w:rFonts w:ascii="Arial" w:cs="Arial" w:eastAsia="Arial" w:hAnsi="Arial"/>
          <w:sz w:val="12"/>
          <w:szCs w:val="12"/>
          <w:color w:val="auto"/>
        </w:rPr>
        <w:t>(b)  The Administrator may, in its sole discretion, provide that one or more objectively determinable adjustments shall be made to one or more of the Performance Goals. Such adjustments may include one or more of the following: (i) items related to a change in accounting principle;</w:t>
      </w:r>
    </w:p>
    <w:p>
      <w:pPr>
        <w:spacing w:after="0" w:line="1" w:lineRule="exact"/>
        <w:rPr>
          <w:sz w:val="20"/>
          <w:szCs w:val="20"/>
          <w:color w:val="auto"/>
        </w:rPr>
      </w:pPr>
    </w:p>
    <w:p>
      <w:pPr>
        <w:ind w:left="1260" w:right="199" w:firstLine="7"/>
        <w:spacing w:after="0" w:line="241" w:lineRule="auto"/>
        <w:tabs>
          <w:tab w:leader="none" w:pos="1439" w:val="left"/>
        </w:tabs>
        <w:numPr>
          <w:ilvl w:val="0"/>
          <w:numId w:val="70"/>
        </w:numPr>
        <w:rPr>
          <w:rFonts w:ascii="Arial" w:cs="Arial" w:eastAsia="Arial" w:hAnsi="Arial"/>
          <w:sz w:val="13"/>
          <w:szCs w:val="13"/>
          <w:color w:val="auto"/>
        </w:rPr>
      </w:pPr>
      <w:r>
        <w:rPr>
          <w:rFonts w:ascii="Arial" w:cs="Arial" w:eastAsia="Arial" w:hAnsi="Arial"/>
          <w:sz w:val="13"/>
          <w:szCs w:val="13"/>
          <w:color w:val="auto"/>
        </w:rPr>
        <w:t>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w:t>
      </w:r>
    </w:p>
    <w:p>
      <w:pPr>
        <w:ind w:left="1260" w:right="139" w:firstLine="7"/>
        <w:spacing w:after="0" w:line="244" w:lineRule="auto"/>
        <w:tabs>
          <w:tab w:leader="none" w:pos="151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w:t>
      </w:r>
    </w:p>
    <w:p>
      <w:pPr>
        <w:spacing w:after="0" w:line="153" w:lineRule="exact"/>
        <w:rPr>
          <w:sz w:val="20"/>
          <w:szCs w:val="20"/>
          <w:color w:val="auto"/>
        </w:rPr>
      </w:pPr>
    </w:p>
    <w:p>
      <w:pPr>
        <w:ind w:left="1260" w:right="219" w:firstLine="350"/>
        <w:spacing w:after="0" w:line="278" w:lineRule="auto"/>
        <w:rPr>
          <w:sz w:val="20"/>
          <w:szCs w:val="20"/>
          <w:color w:val="auto"/>
        </w:rPr>
      </w:pPr>
      <w:r>
        <w:rPr>
          <w:rFonts w:ascii="Arial" w:cs="Arial" w:eastAsia="Arial" w:hAnsi="Arial"/>
          <w:sz w:val="12"/>
          <w:szCs w:val="12"/>
          <w:color w:val="auto"/>
        </w:rPr>
        <w:t>2.40  “</w:t>
      </w:r>
      <w:r>
        <w:rPr>
          <w:rFonts w:ascii="Arial" w:cs="Arial" w:eastAsia="Arial" w:hAnsi="Arial"/>
          <w:sz w:val="12"/>
          <w:szCs w:val="12"/>
          <w:u w:val="single" w:color="auto"/>
          <w:color w:val="auto"/>
        </w:rPr>
        <w:t>Performance Goals</w:t>
      </w:r>
      <w:r>
        <w:rPr>
          <w:rFonts w:ascii="Arial" w:cs="Arial" w:eastAsia="Arial" w:hAnsi="Arial"/>
          <w:sz w:val="12"/>
          <w:szCs w:val="12"/>
          <w:color w:val="auto"/>
        </w:rPr>
        <w:t xml:space="preserve"> ”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A-5</w:t>
      </w:r>
    </w:p>
    <w:p>
      <w:pPr>
        <w:sectPr>
          <w:pgSz w:w="11900" w:h="16838" w:orient="portrait"/>
          <w:cols w:equalWidth="0" w:num="1">
            <w:col w:w="10159"/>
          </w:cols>
          <w:pgMar w:left="300" w:top="412"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60" w:right="159" w:firstLine="350"/>
        <w:spacing w:after="0" w:line="256" w:lineRule="auto"/>
        <w:rPr>
          <w:sz w:val="20"/>
          <w:szCs w:val="20"/>
          <w:color w:val="auto"/>
        </w:rPr>
      </w:pPr>
      <w:r>
        <w:rPr>
          <w:rFonts w:ascii="Arial" w:cs="Arial" w:eastAsia="Arial" w:hAnsi="Arial"/>
          <w:sz w:val="13"/>
          <w:szCs w:val="13"/>
          <w:color w:val="auto"/>
        </w:rPr>
        <w:t>2.41  “</w:t>
      </w:r>
      <w:r>
        <w:rPr>
          <w:rFonts w:ascii="Arial" w:cs="Arial" w:eastAsia="Arial" w:hAnsi="Arial"/>
          <w:sz w:val="13"/>
          <w:szCs w:val="13"/>
          <w:u w:val="single" w:color="auto"/>
          <w:color w:val="auto"/>
        </w:rPr>
        <w:t>Performance Period</w:t>
      </w:r>
      <w:r>
        <w:rPr>
          <w:rFonts w:ascii="Arial" w:cs="Arial" w:eastAsia="Arial" w:hAnsi="Arial"/>
          <w:sz w:val="13"/>
          <w:szCs w:val="13"/>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spacing w:after="0" w:line="144" w:lineRule="exact"/>
        <w:rPr>
          <w:sz w:val="20"/>
          <w:szCs w:val="20"/>
          <w:color w:val="auto"/>
        </w:rPr>
      </w:pPr>
    </w:p>
    <w:p>
      <w:pPr>
        <w:ind w:left="1260" w:right="379" w:firstLine="350"/>
        <w:spacing w:after="0" w:line="271" w:lineRule="auto"/>
        <w:rPr>
          <w:sz w:val="20"/>
          <w:szCs w:val="20"/>
          <w:color w:val="auto"/>
        </w:rPr>
      </w:pPr>
      <w:r>
        <w:rPr>
          <w:rFonts w:ascii="Arial" w:cs="Arial" w:eastAsia="Arial" w:hAnsi="Arial"/>
          <w:sz w:val="13"/>
          <w:szCs w:val="13"/>
          <w:color w:val="auto"/>
        </w:rPr>
        <w:t>2.42  “</w:t>
      </w:r>
      <w:r>
        <w:rPr>
          <w:rFonts w:ascii="Arial" w:cs="Arial" w:eastAsia="Arial" w:hAnsi="Arial"/>
          <w:sz w:val="13"/>
          <w:szCs w:val="13"/>
          <w:u w:val="single" w:color="auto"/>
          <w:color w:val="auto"/>
        </w:rPr>
        <w:t>Performance Stock Unit</w:t>
      </w:r>
      <w:r>
        <w:rPr>
          <w:rFonts w:ascii="Arial" w:cs="Arial" w:eastAsia="Arial" w:hAnsi="Arial"/>
          <w:sz w:val="13"/>
          <w:szCs w:val="13"/>
          <w:color w:val="auto"/>
        </w:rPr>
        <w:t>” shall mean a Performance Award awarded under Section 10.1 which is denominated in units of value including dollar value of Shares.</w:t>
      </w:r>
    </w:p>
    <w:p>
      <w:pPr>
        <w:spacing w:after="0" w:line="134" w:lineRule="exact"/>
        <w:rPr>
          <w:sz w:val="20"/>
          <w:szCs w:val="20"/>
          <w:color w:val="auto"/>
        </w:rPr>
      </w:pPr>
    </w:p>
    <w:p>
      <w:pPr>
        <w:ind w:left="1260" w:right="259" w:firstLine="350"/>
        <w:spacing w:after="0" w:line="256" w:lineRule="auto"/>
        <w:rPr>
          <w:sz w:val="20"/>
          <w:szCs w:val="20"/>
          <w:color w:val="auto"/>
        </w:rPr>
      </w:pPr>
      <w:r>
        <w:rPr>
          <w:rFonts w:ascii="Arial" w:cs="Arial" w:eastAsia="Arial" w:hAnsi="Arial"/>
          <w:sz w:val="13"/>
          <w:szCs w:val="13"/>
          <w:color w:val="auto"/>
        </w:rPr>
        <w:t>2.43  “</w:t>
      </w:r>
      <w:r>
        <w:rPr>
          <w:rFonts w:ascii="Arial" w:cs="Arial" w:eastAsia="Arial" w:hAnsi="Arial"/>
          <w:sz w:val="13"/>
          <w:szCs w:val="13"/>
          <w:u w:val="single" w:color="auto"/>
          <w:color w:val="auto"/>
        </w:rPr>
        <w:t>Permitted Transferee</w:t>
      </w:r>
      <w:r>
        <w:rPr>
          <w:rFonts w:ascii="Arial" w:cs="Arial" w:eastAsia="Arial" w:hAnsi="Arial"/>
          <w:sz w:val="13"/>
          <w:szCs w:val="13"/>
          <w:color w:val="auto"/>
        </w:rPr>
        <w:t>”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144" w:lineRule="exact"/>
        <w:rPr>
          <w:sz w:val="20"/>
          <w:szCs w:val="20"/>
          <w:color w:val="auto"/>
        </w:rPr>
      </w:pPr>
    </w:p>
    <w:p>
      <w:pPr>
        <w:ind w:left="1620"/>
        <w:spacing w:after="0"/>
        <w:tabs>
          <w:tab w:leader="none" w:pos="2020" w:val="left"/>
        </w:tabs>
        <w:rPr>
          <w:sz w:val="20"/>
          <w:szCs w:val="20"/>
          <w:color w:val="auto"/>
        </w:rPr>
      </w:pPr>
      <w:r>
        <w:rPr>
          <w:rFonts w:ascii="Arial" w:cs="Arial" w:eastAsia="Arial" w:hAnsi="Arial"/>
          <w:sz w:val="13"/>
          <w:szCs w:val="13"/>
          <w:color w:val="auto"/>
        </w:rPr>
        <w:t>2.44 </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shall have the meaning set forth in Article 1.</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2.45   “</w:t>
      </w:r>
      <w:r>
        <w:rPr>
          <w:rFonts w:ascii="Arial" w:cs="Arial" w:eastAsia="Arial" w:hAnsi="Arial"/>
          <w:sz w:val="13"/>
          <w:szCs w:val="13"/>
          <w:u w:val="single" w:color="auto"/>
          <w:color w:val="auto"/>
        </w:rPr>
        <w:t>Prior Plan</w:t>
      </w:r>
      <w:r>
        <w:rPr>
          <w:rFonts w:ascii="Arial" w:cs="Arial" w:eastAsia="Arial" w:hAnsi="Arial"/>
          <w:sz w:val="13"/>
          <w:szCs w:val="13"/>
          <w:color w:val="auto"/>
        </w:rPr>
        <w:t>” shall mean the Amended and Restated Wynn Resorts, Limited 2002 Stock Incentive Plan, as may be amended from time to</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time.</w:t>
      </w:r>
    </w:p>
    <w:p>
      <w:pPr>
        <w:spacing w:after="0" w:line="160" w:lineRule="exact"/>
        <w:rPr>
          <w:sz w:val="20"/>
          <w:szCs w:val="20"/>
          <w:color w:val="auto"/>
        </w:rPr>
      </w:pPr>
    </w:p>
    <w:p>
      <w:pPr>
        <w:ind w:left="1260" w:right="559" w:firstLine="350"/>
        <w:spacing w:after="0" w:line="271" w:lineRule="auto"/>
        <w:rPr>
          <w:sz w:val="20"/>
          <w:szCs w:val="20"/>
          <w:color w:val="auto"/>
        </w:rPr>
      </w:pPr>
      <w:r>
        <w:rPr>
          <w:rFonts w:ascii="Arial" w:cs="Arial" w:eastAsia="Arial" w:hAnsi="Arial"/>
          <w:sz w:val="13"/>
          <w:szCs w:val="13"/>
          <w:color w:val="auto"/>
        </w:rPr>
        <w:t>2.46  “</w:t>
      </w:r>
      <w:r>
        <w:rPr>
          <w:rFonts w:ascii="Arial" w:cs="Arial" w:eastAsia="Arial" w:hAnsi="Arial"/>
          <w:sz w:val="13"/>
          <w:szCs w:val="13"/>
          <w:u w:val="single" w:color="auto"/>
          <w:color w:val="auto"/>
        </w:rPr>
        <w:t>Program</w:t>
      </w:r>
      <w:r>
        <w:rPr>
          <w:rFonts w:ascii="Arial" w:cs="Arial" w:eastAsia="Arial" w:hAnsi="Arial"/>
          <w:sz w:val="13"/>
          <w:szCs w:val="13"/>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34" w:lineRule="exact"/>
        <w:rPr>
          <w:sz w:val="20"/>
          <w:szCs w:val="20"/>
          <w:color w:val="auto"/>
        </w:rPr>
      </w:pPr>
    </w:p>
    <w:p>
      <w:pPr>
        <w:ind w:left="1260" w:right="459" w:firstLine="350"/>
        <w:spacing w:after="0" w:line="271" w:lineRule="auto"/>
        <w:rPr>
          <w:sz w:val="20"/>
          <w:szCs w:val="20"/>
          <w:color w:val="auto"/>
        </w:rPr>
      </w:pPr>
      <w:r>
        <w:rPr>
          <w:rFonts w:ascii="Arial" w:cs="Arial" w:eastAsia="Arial" w:hAnsi="Arial"/>
          <w:sz w:val="13"/>
          <w:szCs w:val="13"/>
          <w:color w:val="auto"/>
        </w:rPr>
        <w:t>2.47  “</w:t>
      </w:r>
      <w:r>
        <w:rPr>
          <w:rFonts w:ascii="Arial" w:cs="Arial" w:eastAsia="Arial" w:hAnsi="Arial"/>
          <w:sz w:val="13"/>
          <w:szCs w:val="13"/>
          <w:u w:val="single" w:color="auto"/>
          <w:color w:val="auto"/>
        </w:rPr>
        <w:t>Restricted Stock</w:t>
      </w:r>
      <w:r>
        <w:rPr>
          <w:rFonts w:ascii="Arial" w:cs="Arial" w:eastAsia="Arial" w:hAnsi="Arial"/>
          <w:sz w:val="13"/>
          <w:szCs w:val="13"/>
          <w:color w:val="auto"/>
        </w:rPr>
        <w:t>” shall mean Common Stock awarded under Article 8 that is subject to certain restrictions and may be subject to risk of forfeiture or repurchase.</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2.48   “</w:t>
      </w:r>
      <w:r>
        <w:rPr>
          <w:rFonts w:ascii="Arial" w:cs="Arial" w:eastAsia="Arial" w:hAnsi="Arial"/>
          <w:sz w:val="13"/>
          <w:szCs w:val="13"/>
          <w:u w:val="single" w:color="auto"/>
          <w:color w:val="auto"/>
        </w:rPr>
        <w:t>Restricted Stock Units</w:t>
      </w:r>
      <w:r>
        <w:rPr>
          <w:rFonts w:ascii="Arial" w:cs="Arial" w:eastAsia="Arial" w:hAnsi="Arial"/>
          <w:sz w:val="13"/>
          <w:szCs w:val="13"/>
          <w:color w:val="auto"/>
        </w:rPr>
        <w:t>” shall mean the right to receive Shares awarded under Article 9.</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2.49   “</w:t>
      </w:r>
      <w:r>
        <w:rPr>
          <w:rFonts w:ascii="Arial" w:cs="Arial" w:eastAsia="Arial" w:hAnsi="Arial"/>
          <w:sz w:val="13"/>
          <w:szCs w:val="13"/>
          <w:u w:val="single" w:color="auto"/>
          <w:color w:val="auto"/>
        </w:rPr>
        <w:t>Securities Act</w:t>
      </w:r>
      <w:r>
        <w:rPr>
          <w:rFonts w:ascii="Arial" w:cs="Arial" w:eastAsia="Arial" w:hAnsi="Arial"/>
          <w:sz w:val="13"/>
          <w:szCs w:val="13"/>
          <w:color w:val="auto"/>
        </w:rPr>
        <w:t>” shall mean the Securities Act of 1933, as amended.</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2.50   “</w:t>
      </w:r>
      <w:r>
        <w:rPr>
          <w:rFonts w:ascii="Arial" w:cs="Arial" w:eastAsia="Arial" w:hAnsi="Arial"/>
          <w:sz w:val="13"/>
          <w:szCs w:val="13"/>
          <w:u w:val="single" w:color="auto"/>
          <w:color w:val="auto"/>
        </w:rPr>
        <w:t>Shares</w:t>
      </w:r>
      <w:r>
        <w:rPr>
          <w:rFonts w:ascii="Arial" w:cs="Arial" w:eastAsia="Arial" w:hAnsi="Arial"/>
          <w:sz w:val="13"/>
          <w:szCs w:val="13"/>
          <w:color w:val="auto"/>
        </w:rPr>
        <w:t>” shall mean shares of Common Stock.</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2.51   “</w:t>
      </w:r>
      <w:r>
        <w:rPr>
          <w:rFonts w:ascii="Arial" w:cs="Arial" w:eastAsia="Arial" w:hAnsi="Arial"/>
          <w:sz w:val="13"/>
          <w:szCs w:val="13"/>
          <w:u w:val="single" w:color="auto"/>
          <w:color w:val="auto"/>
        </w:rPr>
        <w:t>Stock Appreciation Right</w:t>
      </w:r>
      <w:r>
        <w:rPr>
          <w:rFonts w:ascii="Arial" w:cs="Arial" w:eastAsia="Arial" w:hAnsi="Arial"/>
          <w:sz w:val="13"/>
          <w:szCs w:val="13"/>
          <w:color w:val="auto"/>
        </w:rPr>
        <w:t>” shall mean a stock appreciation right granted under Article 11.</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2.52   “</w:t>
      </w:r>
      <w:r>
        <w:rPr>
          <w:rFonts w:ascii="Arial" w:cs="Arial" w:eastAsia="Arial" w:hAnsi="Arial"/>
          <w:sz w:val="13"/>
          <w:szCs w:val="13"/>
          <w:u w:val="single" w:color="auto"/>
          <w:color w:val="auto"/>
        </w:rPr>
        <w:t>Stock Appreciation Right Term</w:t>
      </w:r>
      <w:r>
        <w:rPr>
          <w:rFonts w:ascii="Arial" w:cs="Arial" w:eastAsia="Arial" w:hAnsi="Arial"/>
          <w:sz w:val="13"/>
          <w:szCs w:val="13"/>
          <w:color w:val="auto"/>
        </w:rPr>
        <w:t>” shall have the meaning set forth in Section 11.4.</w:t>
      </w:r>
    </w:p>
    <w:p>
      <w:pPr>
        <w:spacing w:after="0" w:line="172" w:lineRule="exact"/>
        <w:rPr>
          <w:sz w:val="20"/>
          <w:szCs w:val="20"/>
          <w:color w:val="auto"/>
        </w:rPr>
      </w:pPr>
    </w:p>
    <w:p>
      <w:pPr>
        <w:ind w:left="1260" w:right="499" w:firstLine="350"/>
        <w:spacing w:after="0" w:line="271" w:lineRule="auto"/>
        <w:rPr>
          <w:sz w:val="20"/>
          <w:szCs w:val="20"/>
          <w:color w:val="auto"/>
        </w:rPr>
      </w:pPr>
      <w:r>
        <w:rPr>
          <w:rFonts w:ascii="Arial" w:cs="Arial" w:eastAsia="Arial" w:hAnsi="Arial"/>
          <w:sz w:val="13"/>
          <w:szCs w:val="13"/>
          <w:color w:val="auto"/>
        </w:rPr>
        <w:t>2.53  “</w:t>
      </w:r>
      <w:r>
        <w:rPr>
          <w:rFonts w:ascii="Arial" w:cs="Arial" w:eastAsia="Arial" w:hAnsi="Arial"/>
          <w:sz w:val="13"/>
          <w:szCs w:val="13"/>
          <w:u w:val="single" w:color="auto"/>
          <w:color w:val="auto"/>
        </w:rPr>
        <w:t>Stock Payment</w:t>
      </w:r>
      <w:r>
        <w:rPr>
          <w:rFonts w:ascii="Arial" w:cs="Arial" w:eastAsia="Arial" w:hAnsi="Arial"/>
          <w:sz w:val="13"/>
          <w:szCs w:val="13"/>
          <w:color w:val="auto"/>
        </w:rPr>
        <w:t>” shall mean (a) a payment in the form of Shares, or (b) an option or other right to purchase Shares, as part of a bonus, deferred compensation or other arrangement, awarded under Section 10.3.</w:t>
      </w:r>
    </w:p>
    <w:p>
      <w:pPr>
        <w:spacing w:after="0" w:line="134" w:lineRule="exact"/>
        <w:rPr>
          <w:sz w:val="20"/>
          <w:szCs w:val="20"/>
          <w:color w:val="auto"/>
        </w:rPr>
      </w:pPr>
    </w:p>
    <w:p>
      <w:pPr>
        <w:ind w:left="1260" w:right="139" w:firstLine="350"/>
        <w:spacing w:after="0" w:line="287" w:lineRule="auto"/>
        <w:rPr>
          <w:sz w:val="20"/>
          <w:szCs w:val="20"/>
          <w:color w:val="auto"/>
        </w:rPr>
      </w:pPr>
      <w:r>
        <w:rPr>
          <w:rFonts w:ascii="Arial" w:cs="Arial" w:eastAsia="Arial" w:hAnsi="Arial"/>
          <w:sz w:val="12"/>
          <w:szCs w:val="12"/>
          <w:color w:val="auto"/>
        </w:rPr>
        <w:t>2.54  “</w:t>
      </w:r>
      <w:r>
        <w:rPr>
          <w:rFonts w:ascii="Arial" w:cs="Arial" w:eastAsia="Arial" w:hAnsi="Arial"/>
          <w:sz w:val="12"/>
          <w:szCs w:val="12"/>
          <w:u w:val="single" w:color="auto"/>
          <w:color w:val="auto"/>
        </w:rPr>
        <w:t>Subsidiary</w:t>
      </w:r>
      <w:r>
        <w:rPr>
          <w:rFonts w:ascii="Arial" w:cs="Arial" w:eastAsia="Arial" w:hAnsi="Arial"/>
          <w:sz w:val="12"/>
          <w:szCs w:val="12"/>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27" w:lineRule="exact"/>
        <w:rPr>
          <w:sz w:val="20"/>
          <w:szCs w:val="20"/>
          <w:color w:val="auto"/>
        </w:rPr>
      </w:pPr>
    </w:p>
    <w:p>
      <w:pPr>
        <w:ind w:left="1260" w:right="179" w:firstLine="350"/>
        <w:spacing w:after="0" w:line="251" w:lineRule="auto"/>
        <w:rPr>
          <w:sz w:val="20"/>
          <w:szCs w:val="20"/>
          <w:color w:val="auto"/>
        </w:rPr>
      </w:pPr>
      <w:r>
        <w:rPr>
          <w:rFonts w:ascii="Arial" w:cs="Arial" w:eastAsia="Arial" w:hAnsi="Arial"/>
          <w:sz w:val="13"/>
          <w:szCs w:val="13"/>
          <w:color w:val="auto"/>
        </w:rPr>
        <w:t>2.55  “</w:t>
      </w:r>
      <w:r>
        <w:rPr>
          <w:rFonts w:ascii="Arial" w:cs="Arial" w:eastAsia="Arial" w:hAnsi="Arial"/>
          <w:sz w:val="13"/>
          <w:szCs w:val="13"/>
          <w:u w:val="single" w:color="auto"/>
          <w:color w:val="auto"/>
        </w:rPr>
        <w:t>Substitute Award</w:t>
      </w:r>
      <w:r>
        <w:rPr>
          <w:rFonts w:ascii="Arial" w:cs="Arial" w:eastAsia="Arial" w:hAnsi="Arial"/>
          <w:sz w:val="13"/>
          <w:szCs w:val="13"/>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event shall the term “Substitute Award” be construed to refer to an award made in connection with the cancellation and repricing of an Option or Stock Appreciation Right.</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A-6</w:t>
      </w:r>
    </w:p>
    <w:p>
      <w:pPr>
        <w:sectPr>
          <w:pgSz w:w="11900" w:h="16838" w:orient="portrait"/>
          <w:cols w:equalWidth="0" w:num="1">
            <w:col w:w="10159"/>
          </w:cols>
          <w:pgMar w:left="300" w:top="413"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2.56 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shall mean:</w:t>
      </w:r>
    </w:p>
    <w:p>
      <w:pPr>
        <w:spacing w:after="0" w:line="87" w:lineRule="exact"/>
        <w:rPr>
          <w:sz w:val="20"/>
          <w:szCs w:val="20"/>
          <w:color w:val="auto"/>
        </w:rPr>
      </w:pPr>
    </w:p>
    <w:p>
      <w:pPr>
        <w:ind w:left="1260" w:right="139" w:firstLine="700"/>
        <w:spacing w:after="0" w:line="256" w:lineRule="auto"/>
        <w:rPr>
          <w:sz w:val="20"/>
          <w:szCs w:val="20"/>
          <w:color w:val="auto"/>
        </w:rPr>
      </w:pPr>
      <w:r>
        <w:rPr>
          <w:rFonts w:ascii="Arial" w:cs="Arial" w:eastAsia="Arial" w:hAnsi="Arial"/>
          <w:sz w:val="13"/>
          <w:szCs w:val="13"/>
          <w:color w:val="auto"/>
        </w:rPr>
        <w:t>(a)  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44" w:lineRule="exact"/>
        <w:rPr>
          <w:sz w:val="20"/>
          <w:szCs w:val="20"/>
          <w:color w:val="auto"/>
        </w:rPr>
      </w:pPr>
    </w:p>
    <w:p>
      <w:pPr>
        <w:ind w:left="1260" w:right="599" w:firstLine="700"/>
        <w:spacing w:after="0" w:line="256" w:lineRule="auto"/>
        <w:rPr>
          <w:sz w:val="20"/>
          <w:szCs w:val="20"/>
          <w:color w:val="auto"/>
        </w:rPr>
      </w:pPr>
      <w:r>
        <w:rPr>
          <w:rFonts w:ascii="Arial" w:cs="Arial" w:eastAsia="Arial" w:hAnsi="Arial"/>
          <w:sz w:val="13"/>
          <w:szCs w:val="13"/>
          <w:color w:val="auto"/>
        </w:rPr>
        <w:t>(b)  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44" w:lineRule="exact"/>
        <w:rPr>
          <w:sz w:val="20"/>
          <w:szCs w:val="20"/>
          <w:color w:val="auto"/>
        </w:rPr>
      </w:pPr>
    </w:p>
    <w:p>
      <w:pPr>
        <w:ind w:left="1260" w:right="179" w:firstLine="700"/>
        <w:spacing w:after="0" w:line="256" w:lineRule="auto"/>
        <w:rPr>
          <w:sz w:val="20"/>
          <w:szCs w:val="20"/>
          <w:color w:val="auto"/>
        </w:rPr>
      </w:pPr>
      <w:r>
        <w:rPr>
          <w:rFonts w:ascii="Arial" w:cs="Arial" w:eastAsia="Arial" w:hAnsi="Arial"/>
          <w:sz w:val="13"/>
          <w:szCs w:val="13"/>
          <w:color w:val="auto"/>
        </w:rPr>
        <w:t>(c)  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44" w:lineRule="exact"/>
        <w:rPr>
          <w:sz w:val="20"/>
          <w:szCs w:val="20"/>
          <w:color w:val="auto"/>
        </w:rPr>
      </w:pPr>
    </w:p>
    <w:p>
      <w:pPr>
        <w:ind w:left="1260" w:right="139"/>
        <w:spacing w:after="0" w:line="244" w:lineRule="auto"/>
        <w:rPr>
          <w:sz w:val="20"/>
          <w:szCs w:val="20"/>
          <w:color w:val="auto"/>
        </w:rPr>
      </w:pPr>
      <w:r>
        <w:rPr>
          <w:rFonts w:ascii="Arial" w:cs="Arial" w:eastAsia="Arial" w:hAnsi="Arial"/>
          <w:sz w:val="13"/>
          <w:szCs w:val="13"/>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 </w:t>
      </w:r>
      <w:r>
        <w:rPr>
          <w:rFonts w:ascii="Arial" w:cs="Arial" w:eastAsia="Arial" w:hAnsi="Arial"/>
          <w:sz w:val="13"/>
          <w:szCs w:val="13"/>
          <w:u w:val="single" w:color="auto"/>
          <w:color w:val="auto"/>
        </w:rPr>
        <w:t>however</w:t>
      </w:r>
      <w:r>
        <w:rPr>
          <w:rFonts w:ascii="Arial" w:cs="Arial" w:eastAsia="Arial" w:hAnsi="Arial"/>
          <w:sz w:val="13"/>
          <w:szCs w:val="13"/>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327"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ARTICLE 3.</w:t>
      </w:r>
    </w:p>
    <w:p>
      <w:pPr>
        <w:spacing w:after="0" w:line="172"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SHARES SUBJECT TO THE PLAN</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Number of Shares</w:t>
      </w:r>
      <w:r>
        <w:rPr>
          <w:rFonts w:ascii="Arial" w:cs="Arial" w:eastAsia="Arial" w:hAnsi="Arial"/>
          <w:sz w:val="13"/>
          <w:szCs w:val="13"/>
          <w:color w:val="auto"/>
        </w:rPr>
        <w:t>.</w:t>
      </w:r>
    </w:p>
    <w:p>
      <w:pPr>
        <w:spacing w:after="0" w:line="172" w:lineRule="exact"/>
        <w:rPr>
          <w:sz w:val="20"/>
          <w:szCs w:val="20"/>
          <w:color w:val="auto"/>
        </w:rPr>
      </w:pPr>
    </w:p>
    <w:p>
      <w:pPr>
        <w:ind w:left="1260" w:right="419" w:firstLine="700"/>
        <w:spacing w:after="0" w:line="314" w:lineRule="auto"/>
        <w:rPr>
          <w:sz w:val="20"/>
          <w:szCs w:val="20"/>
          <w:color w:val="auto"/>
        </w:rPr>
      </w:pPr>
      <w:r>
        <w:rPr>
          <w:rFonts w:ascii="Arial" w:cs="Arial" w:eastAsia="Arial" w:hAnsi="Arial"/>
          <w:sz w:val="12"/>
          <w:szCs w:val="12"/>
          <w:color w:val="auto"/>
        </w:rPr>
        <w:t>(a)  Subject to Section 14.2 and Section 3.1(b) the aggregate number of Shares which may be issued or transferred pursuant to Awards under the Plan is 4,353,847; provided, however, no more than 4,353,847 Shares may be issued upon the exercise of Incentive Stock Options.</w:t>
      </w:r>
    </w:p>
    <w:p>
      <w:pPr>
        <w:spacing w:after="0" w:line="111" w:lineRule="exact"/>
        <w:rPr>
          <w:sz w:val="20"/>
          <w:szCs w:val="20"/>
          <w:color w:val="auto"/>
        </w:rPr>
      </w:pPr>
    </w:p>
    <w:p>
      <w:pPr>
        <w:ind w:left="1260" w:right="259" w:firstLine="700"/>
        <w:spacing w:after="0" w:line="244" w:lineRule="auto"/>
        <w:rPr>
          <w:sz w:val="20"/>
          <w:szCs w:val="20"/>
          <w:color w:val="auto"/>
        </w:rPr>
      </w:pPr>
      <w:r>
        <w:rPr>
          <w:rFonts w:ascii="Arial" w:cs="Arial" w:eastAsia="Arial" w:hAnsi="Arial"/>
          <w:sz w:val="13"/>
          <w:szCs w:val="13"/>
          <w:color w:val="auto"/>
        </w:rPr>
        <w:t>(b)  If any Shares subject to an Award are forfeited or expire or such Award is settled for cash (in whole or in part),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A-7</w:t>
      </w:r>
    </w:p>
    <w:p>
      <w:pPr>
        <w:sectPr>
          <w:pgSz w:w="11900" w:h="16838" w:orient="portrait"/>
          <w:cols w:equalWidth="0" w:num="1">
            <w:col w:w="10159"/>
          </w:cols>
          <w:pgMar w:left="300" w:top="412"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79" w:firstLine="700"/>
        <w:spacing w:after="0" w:line="244" w:lineRule="auto"/>
        <w:rPr>
          <w:sz w:val="20"/>
          <w:szCs w:val="20"/>
          <w:color w:val="auto"/>
        </w:rPr>
      </w:pPr>
      <w:r>
        <w:rPr>
          <w:rFonts w:ascii="Arial" w:cs="Arial" w:eastAsia="Arial" w:hAnsi="Arial"/>
          <w:sz w:val="13"/>
          <w:szCs w:val="13"/>
          <w:color w:val="auto"/>
        </w:rPr>
        <w:t xml:space="preserve">(c)  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56" w:lineRule="exact"/>
        <w:rPr>
          <w:sz w:val="20"/>
          <w:szCs w:val="20"/>
          <w:color w:val="auto"/>
        </w:rPr>
      </w:pPr>
    </w:p>
    <w:p>
      <w:pPr>
        <w:ind w:left="1260" w:right="299" w:firstLine="700"/>
        <w:spacing w:after="0" w:line="271"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Stock Distributed</w:t>
      </w:r>
      <w:r>
        <w:rPr>
          <w:rFonts w:ascii="Arial" w:cs="Arial" w:eastAsia="Arial" w:hAnsi="Arial"/>
          <w:sz w:val="13"/>
          <w:szCs w:val="13"/>
          <w:color w:val="auto"/>
        </w:rPr>
        <w:t>. Any Shares distributed pursuant to an Award may consist, in whole or in part, of authorized and unissued Common Stock, treasury Common Stock or Common Stock purchased on the open market.</w:t>
      </w:r>
    </w:p>
    <w:p>
      <w:pPr>
        <w:spacing w:after="0" w:line="134"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Limitation on Number of Shares Subject to Awards</w:t>
      </w:r>
      <w:r>
        <w:rPr>
          <w:rFonts w:ascii="Arial" w:cs="Arial" w:eastAsia="Arial" w:hAnsi="Arial"/>
          <w:sz w:val="13"/>
          <w:szCs w:val="13"/>
          <w:color w:val="auto"/>
        </w:rPr>
        <w:t>. Notwithstanding any provision in the Plan to the contrary, and subject to</w:t>
      </w:r>
    </w:p>
    <w:p>
      <w:pPr>
        <w:spacing w:after="0" w:line="13" w:lineRule="exact"/>
        <w:rPr>
          <w:sz w:val="20"/>
          <w:szCs w:val="20"/>
          <w:color w:val="auto"/>
        </w:rPr>
      </w:pPr>
    </w:p>
    <w:p>
      <w:pPr>
        <w:ind w:left="1260" w:right="179"/>
        <w:spacing w:after="0" w:line="243" w:lineRule="auto"/>
        <w:rPr>
          <w:sz w:val="20"/>
          <w:szCs w:val="20"/>
          <w:color w:val="auto"/>
        </w:rPr>
      </w:pPr>
      <w:r>
        <w:rPr>
          <w:rFonts w:ascii="Arial" w:cs="Arial" w:eastAsia="Arial" w:hAnsi="Arial"/>
          <w:sz w:val="13"/>
          <w:szCs w:val="13"/>
          <w:color w:val="auto"/>
        </w:rPr>
        <w:t xml:space="preserve">Section 14.2, the maximum aggregate number of Shares with respect to one or more Awards that may be granted to any one person during any calendar year shall be 1,500,000, and the maximum aggregate amount of cash that may be paid in cash to any person during any calendar year with respect to one or more Awards payable in cash shall be $20,000,000;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the maximum aggregate number of Shares with respect to one or more Awards that may be granted to any Non-Employee Director during any calendar year shall be 50,000. To the extent required by Section 162(m) of the Code, Shares subject to Awards which are canceled shall continue to be counted against the Award Limit.</w:t>
      </w:r>
    </w:p>
    <w:p>
      <w:pPr>
        <w:spacing w:after="0" w:line="326"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ARTICLE 4.</w:t>
      </w:r>
    </w:p>
    <w:p>
      <w:pPr>
        <w:spacing w:after="0" w:line="172"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GRANTING OF AWARDS</w:t>
      </w:r>
    </w:p>
    <w:p>
      <w:pPr>
        <w:spacing w:after="0" w:line="172" w:lineRule="exact"/>
        <w:rPr>
          <w:sz w:val="20"/>
          <w:szCs w:val="20"/>
          <w:color w:val="auto"/>
        </w:rPr>
      </w:pPr>
    </w:p>
    <w:p>
      <w:pPr>
        <w:ind w:left="1260" w:right="239" w:firstLine="350"/>
        <w:spacing w:after="0" w:line="251"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Participation</w:t>
      </w:r>
      <w:r>
        <w:rPr>
          <w:rFonts w:ascii="Arial" w:cs="Arial" w:eastAsia="Arial" w:hAnsi="Arial"/>
          <w:sz w:val="13"/>
          <w:szCs w:val="13"/>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w:t>
      </w:r>
    </w:p>
    <w:p>
      <w:pPr>
        <w:spacing w:after="0" w:line="147" w:lineRule="exact"/>
        <w:rPr>
          <w:sz w:val="20"/>
          <w:szCs w:val="20"/>
          <w:color w:val="auto"/>
        </w:rPr>
      </w:pPr>
    </w:p>
    <w:p>
      <w:pPr>
        <w:ind w:left="1260" w:right="239" w:firstLine="350"/>
        <w:spacing w:after="0" w:line="247"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Award Agreement</w:t>
      </w:r>
      <w:r>
        <w:rPr>
          <w:rFonts w:ascii="Arial" w:cs="Arial" w:eastAsia="Arial" w:hAnsi="Arial"/>
          <w:sz w:val="13"/>
          <w:szCs w:val="13"/>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50" w:lineRule="exact"/>
        <w:rPr>
          <w:sz w:val="20"/>
          <w:szCs w:val="20"/>
          <w:color w:val="auto"/>
        </w:rPr>
      </w:pPr>
    </w:p>
    <w:p>
      <w:pPr>
        <w:ind w:left="1260" w:right="159" w:firstLine="350"/>
        <w:spacing w:after="0" w:line="248"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Limitations Applicable to Section 16 Persons</w:t>
      </w:r>
      <w:r>
        <w:rPr>
          <w:rFonts w:ascii="Arial" w:cs="Arial" w:eastAsia="Arial" w:hAnsi="Arial"/>
          <w:sz w:val="13"/>
          <w:szCs w:val="13"/>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50" w:lineRule="exact"/>
        <w:rPr>
          <w:sz w:val="20"/>
          <w:szCs w:val="20"/>
          <w:color w:val="auto"/>
        </w:rPr>
      </w:pPr>
    </w:p>
    <w:p>
      <w:pPr>
        <w:ind w:left="1260" w:right="279" w:firstLine="350"/>
        <w:spacing w:after="0" w:line="256"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At-Will Employment; Voluntary Participation</w:t>
      </w:r>
      <w:r>
        <w:rPr>
          <w:rFonts w:ascii="Arial" w:cs="Arial" w:eastAsia="Arial" w:hAnsi="Arial"/>
          <w:sz w:val="13"/>
          <w:szCs w:val="13"/>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A-8</w:t>
      </w:r>
    </w:p>
    <w:p>
      <w:pPr>
        <w:sectPr>
          <w:pgSz w:w="11900" w:h="16838" w:orient="portrait"/>
          <w:cols w:equalWidth="0" w:num="1">
            <w:col w:w="10159"/>
          </w:cols>
          <w:pgMar w:left="300" w:top="412"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339"/>
        <w:spacing w:after="0" w:line="251" w:lineRule="auto"/>
        <w:rPr>
          <w:sz w:val="20"/>
          <w:szCs w:val="20"/>
          <w:color w:val="auto"/>
        </w:rPr>
      </w:pPr>
      <w:r>
        <w:rPr>
          <w:rFonts w:ascii="Arial" w:cs="Arial" w:eastAsia="Arial" w:hAnsi="Arial"/>
          <w:sz w:val="13"/>
          <w:szCs w:val="13"/>
          <w:color w:val="auto"/>
        </w:rPr>
        <w:t>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47" w:lineRule="exact"/>
        <w:rPr>
          <w:sz w:val="20"/>
          <w:szCs w:val="20"/>
          <w:color w:val="auto"/>
        </w:rPr>
      </w:pPr>
    </w:p>
    <w:p>
      <w:pPr>
        <w:ind w:left="1260" w:right="219" w:firstLine="350"/>
        <w:spacing w:after="0" w:line="243"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Foreign Holders</w:t>
      </w:r>
      <w:r>
        <w:rPr>
          <w:rFonts w:ascii="Arial" w:cs="Arial" w:eastAsia="Arial" w:hAnsi="Arial"/>
          <w:sz w:val="13"/>
          <w:szCs w:val="13"/>
          <w:color w:val="auto"/>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57" w:lineRule="exact"/>
        <w:rPr>
          <w:sz w:val="20"/>
          <w:szCs w:val="20"/>
          <w:color w:val="auto"/>
        </w:rPr>
      </w:pPr>
    </w:p>
    <w:p>
      <w:pPr>
        <w:ind w:left="1260" w:right="259" w:firstLine="350"/>
        <w:spacing w:after="0" w:line="247"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Non-Employee Director Awards</w:t>
      </w:r>
      <w:r>
        <w:rPr>
          <w:rFonts w:ascii="Arial" w:cs="Arial" w:eastAsia="Arial" w:hAnsi="Arial"/>
          <w:sz w:val="13"/>
          <w:szCs w:val="13"/>
          <w:color w:val="auto"/>
        </w:rPr>
        <w:t xml:space="preserve">. The Administrator may, in its discretion, provide that Awards granted to Non-Employee Directors shall be granted pursuant to a written non-discretionary formula established by the Administrator (the “ </w:t>
      </w:r>
      <w:r>
        <w:rPr>
          <w:rFonts w:ascii="Arial" w:cs="Arial" w:eastAsia="Arial" w:hAnsi="Arial"/>
          <w:sz w:val="13"/>
          <w:szCs w:val="13"/>
          <w:u w:val="single" w:color="auto"/>
          <w:color w:val="auto"/>
        </w:rPr>
        <w:t>Non-Employee Director Equity Compensation Policy</w:t>
      </w:r>
      <w:r>
        <w:rPr>
          <w:rFonts w:ascii="Arial" w:cs="Arial" w:eastAsia="Arial" w:hAnsi="Arial"/>
          <w:sz w:val="13"/>
          <w:szCs w:val="13"/>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50" w:lineRule="exact"/>
        <w:rPr>
          <w:sz w:val="20"/>
          <w:szCs w:val="20"/>
          <w:color w:val="auto"/>
        </w:rPr>
      </w:pPr>
    </w:p>
    <w:p>
      <w:pPr>
        <w:ind w:left="1260" w:right="239" w:firstLine="350"/>
        <w:spacing w:after="0" w:line="256"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Stand-Alone and Tandem Awards</w:t>
      </w:r>
      <w:r>
        <w:rPr>
          <w:rFonts w:ascii="Arial" w:cs="Arial" w:eastAsia="Arial" w:hAnsi="Arial"/>
          <w:sz w:val="13"/>
          <w:szCs w:val="13"/>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316"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ARTICLE 5.</w:t>
      </w:r>
    </w:p>
    <w:p>
      <w:pPr>
        <w:spacing w:after="0" w:line="172"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PROVISIONS APPLICABLE TO AWARDS INTENDED TO QUALIFY AS PERFORMANCE-BASED COMPENSATION.</w:t>
      </w:r>
    </w:p>
    <w:p>
      <w:pPr>
        <w:spacing w:after="0" w:line="172" w:lineRule="exact"/>
        <w:rPr>
          <w:sz w:val="20"/>
          <w:szCs w:val="20"/>
          <w:color w:val="auto"/>
        </w:rPr>
      </w:pPr>
    </w:p>
    <w:p>
      <w:pPr>
        <w:ind w:left="1260" w:right="139" w:firstLine="350"/>
        <w:spacing w:after="0" w:line="24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Purpose</w:t>
      </w:r>
      <w:r>
        <w:rPr>
          <w:rFonts w:ascii="Arial" w:cs="Arial" w:eastAsia="Arial" w:hAnsi="Arial"/>
          <w:sz w:val="13"/>
          <w:szCs w:val="13"/>
          <w:color w:val="auto"/>
        </w:rPr>
        <w:t>.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151" w:lineRule="exact"/>
        <w:rPr>
          <w:sz w:val="20"/>
          <w:szCs w:val="20"/>
          <w:color w:val="auto"/>
        </w:rPr>
      </w:pPr>
    </w:p>
    <w:p>
      <w:pPr>
        <w:ind w:left="1260" w:right="159" w:firstLine="350"/>
        <w:spacing w:after="0" w:line="256"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Applicability</w:t>
      </w:r>
      <w:r>
        <w:rPr>
          <w:rFonts w:ascii="Arial" w:cs="Arial" w:eastAsia="Arial" w:hAnsi="Arial"/>
          <w:sz w:val="13"/>
          <w:szCs w:val="13"/>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A-9</w:t>
      </w:r>
    </w:p>
    <w:p>
      <w:pPr>
        <w:sectPr>
          <w:pgSz w:w="11900" w:h="16838" w:orient="portrait"/>
          <w:cols w:equalWidth="0" w:num="1">
            <w:col w:w="10159"/>
          </w:cols>
          <w:pgMar w:left="300" w:top="412"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239" w:firstLine="350"/>
        <w:spacing w:after="0" w:line="248"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Types of Awards</w:t>
      </w:r>
      <w:r>
        <w:rPr>
          <w:rFonts w:ascii="Arial" w:cs="Arial" w:eastAsia="Arial" w:hAnsi="Arial"/>
          <w:sz w:val="13"/>
          <w:szCs w:val="13"/>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that vest or become exercisable or payable upon the attainment of one or more specified Performance Goals.</w:t>
      </w:r>
    </w:p>
    <w:p>
      <w:pPr>
        <w:spacing w:after="0" w:line="150" w:lineRule="exact"/>
        <w:rPr>
          <w:sz w:val="20"/>
          <w:szCs w:val="20"/>
          <w:color w:val="auto"/>
        </w:rPr>
      </w:pPr>
    </w:p>
    <w:p>
      <w:pPr>
        <w:ind w:left="1260" w:right="139" w:firstLine="350"/>
        <w:spacing w:after="0" w:line="244"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Procedures with Respect to Performance-Based Awards</w:t>
      </w:r>
      <w:r>
        <w:rPr>
          <w:rFonts w:ascii="Arial" w:cs="Arial" w:eastAsia="Arial" w:hAnsi="Arial"/>
          <w:sz w:val="13"/>
          <w:szCs w:val="13"/>
          <w:color w:val="auto"/>
        </w:rPr>
        <w:t>. To the extent necessary to comply with the requirements of Section 162(m)(4)(C) of the Code, with respect to any Award granted to one or more Eligible Individuals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152" w:lineRule="exact"/>
        <w:rPr>
          <w:sz w:val="20"/>
          <w:szCs w:val="20"/>
          <w:color w:val="auto"/>
        </w:rPr>
      </w:pPr>
    </w:p>
    <w:p>
      <w:pPr>
        <w:ind w:left="1260" w:right="299" w:firstLine="350"/>
        <w:spacing w:after="0" w:line="248"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Payment of Performance-Based Awards</w:t>
      </w:r>
      <w:r>
        <w:rPr>
          <w:rFonts w:ascii="Arial" w:cs="Arial" w:eastAsia="Arial" w:hAnsi="Arial"/>
          <w:sz w:val="13"/>
          <w:szCs w:val="13"/>
          <w:color w:val="auto"/>
        </w:rPr>
        <w:t>.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spacing w:after="0" w:line="150" w:lineRule="exact"/>
        <w:rPr>
          <w:sz w:val="20"/>
          <w:szCs w:val="20"/>
          <w:color w:val="auto"/>
        </w:rPr>
      </w:pPr>
    </w:p>
    <w:p>
      <w:pPr>
        <w:ind w:left="1260" w:right="219" w:firstLine="350"/>
        <w:spacing w:after="0" w:line="248"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Additional Limitations</w:t>
      </w:r>
      <w:r>
        <w:rPr>
          <w:rFonts w:ascii="Arial" w:cs="Arial" w:eastAsia="Arial" w:hAnsi="Arial"/>
          <w:sz w:val="13"/>
          <w:szCs w:val="13"/>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32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ARTICLE 6.</w:t>
      </w:r>
    </w:p>
    <w:p>
      <w:pPr>
        <w:spacing w:after="0" w:line="17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GRANTING OF OPTIONS</w:t>
      </w:r>
    </w:p>
    <w:p>
      <w:pPr>
        <w:spacing w:after="0" w:line="172" w:lineRule="exact"/>
        <w:rPr>
          <w:sz w:val="20"/>
          <w:szCs w:val="20"/>
          <w:color w:val="auto"/>
        </w:rPr>
      </w:pPr>
    </w:p>
    <w:p>
      <w:pPr>
        <w:ind w:left="1260" w:right="239" w:firstLine="350"/>
        <w:spacing w:after="0" w:line="271"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Granting of Options to Eligible Individuals</w:t>
      </w:r>
      <w:r>
        <w:rPr>
          <w:rFonts w:ascii="Arial" w:cs="Arial" w:eastAsia="Arial" w:hAnsi="Arial"/>
          <w:sz w:val="13"/>
          <w:szCs w:val="13"/>
          <w:color w:val="auto"/>
        </w:rPr>
        <w:t>. The Administrator is authorized to grant Options to Eligible Individuals from time to time, in its sole discretion, on such terms and conditions as it may determine which shall not be inconsistent with the Plan.</w:t>
      </w:r>
    </w:p>
    <w:p>
      <w:pPr>
        <w:spacing w:after="0" w:line="134" w:lineRule="exact"/>
        <w:rPr>
          <w:sz w:val="20"/>
          <w:szCs w:val="20"/>
          <w:color w:val="auto"/>
        </w:rPr>
      </w:pPr>
    </w:p>
    <w:p>
      <w:pPr>
        <w:ind w:left="1260" w:right="179" w:firstLine="350"/>
        <w:spacing w:after="0" w:line="245"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Qualification of Incentive Stock Options</w:t>
      </w:r>
      <w:r>
        <w:rPr>
          <w:rFonts w:ascii="Arial" w:cs="Arial" w:eastAsia="Arial" w:hAnsi="Arial"/>
          <w:sz w:val="13"/>
          <w:szCs w:val="13"/>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A-10</w:t>
      </w:r>
    </w:p>
    <w:p>
      <w:pPr>
        <w:sectPr>
          <w:pgSz w:w="11900" w:h="16838" w:orient="portrait"/>
          <w:cols w:equalWidth="0" w:num="1">
            <w:col w:w="10159"/>
          </w:cols>
          <w:pgMar w:left="300" w:top="412"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60" w:right="259"/>
        <w:spacing w:after="0" w:line="256" w:lineRule="auto"/>
        <w:rPr>
          <w:sz w:val="20"/>
          <w:szCs w:val="20"/>
          <w:color w:val="auto"/>
        </w:rPr>
      </w:pPr>
      <w:r>
        <w:rPr>
          <w:rFonts w:ascii="Arial" w:cs="Arial" w:eastAsia="Arial" w:hAnsi="Arial"/>
          <w:sz w:val="13"/>
          <w:szCs w:val="13"/>
          <w:color w:val="auto"/>
        </w:rPr>
        <w:t>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44" w:lineRule="exact"/>
        <w:rPr>
          <w:sz w:val="20"/>
          <w:szCs w:val="20"/>
          <w:color w:val="auto"/>
        </w:rPr>
      </w:pPr>
    </w:p>
    <w:p>
      <w:pPr>
        <w:ind w:left="1260" w:right="179" w:firstLine="350"/>
        <w:spacing w:after="0" w:line="248"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Option Exercise Price</w:t>
      </w:r>
      <w:r>
        <w:rPr>
          <w:rFonts w:ascii="Arial" w:cs="Arial" w:eastAsia="Arial" w:hAnsi="Arial"/>
          <w:sz w:val="13"/>
          <w:szCs w:val="13"/>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50" w:lineRule="exact"/>
        <w:rPr>
          <w:sz w:val="20"/>
          <w:szCs w:val="20"/>
          <w:color w:val="auto"/>
        </w:rPr>
      </w:pPr>
    </w:p>
    <w:p>
      <w:pPr>
        <w:ind w:left="1260" w:right="139" w:firstLine="350"/>
        <w:spacing w:after="0" w:line="245"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Option Term</w:t>
      </w:r>
      <w:r>
        <w:rPr>
          <w:rFonts w:ascii="Arial" w:cs="Arial" w:eastAsia="Arial" w:hAnsi="Arial"/>
          <w:sz w:val="13"/>
          <w:szCs w:val="13"/>
          <w:color w:val="auto"/>
        </w:rPr>
        <w:t>. The term of each Option (the “</w:t>
      </w:r>
      <w:r>
        <w:rPr>
          <w:rFonts w:ascii="Arial" w:cs="Arial" w:eastAsia="Arial" w:hAnsi="Arial"/>
          <w:sz w:val="13"/>
          <w:szCs w:val="13"/>
          <w:u w:val="single" w:color="auto"/>
          <w:color w:val="auto"/>
        </w:rPr>
        <w:t>Option Term</w:t>
      </w:r>
      <w:r>
        <w:rPr>
          <w:rFonts w:ascii="Arial" w:cs="Arial" w:eastAsia="Arial" w:hAnsi="Arial"/>
          <w:sz w:val="13"/>
          <w:szCs w:val="13"/>
          <w:color w:val="auto"/>
        </w:rPr>
        <w:t xml:space="preserve">”) shall be set by the Administrator in its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or the first sentence of this Section 6.4, the Administrator may extend the Option Term of any outstanding Option, and may extend the time period during which vested Options may be exercised, in connection with any Termination of Service of the Holder, and may amend, subject to Section 14.1, any other term or condition of such Option relating to such a Termination of Service.</w:t>
      </w:r>
    </w:p>
    <w:p>
      <w:pPr>
        <w:spacing w:after="0" w:line="15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Option Vesting</w:t>
      </w:r>
      <w:r>
        <w:rPr>
          <w:rFonts w:ascii="Arial" w:cs="Arial" w:eastAsia="Arial" w:hAnsi="Arial"/>
          <w:sz w:val="13"/>
          <w:szCs w:val="13"/>
          <w:color w:val="auto"/>
        </w:rPr>
        <w:t>.</w:t>
      </w:r>
    </w:p>
    <w:p>
      <w:pPr>
        <w:spacing w:after="0" w:line="172" w:lineRule="exact"/>
        <w:rPr>
          <w:sz w:val="20"/>
          <w:szCs w:val="20"/>
          <w:color w:val="auto"/>
        </w:rPr>
      </w:pPr>
    </w:p>
    <w:p>
      <w:pPr>
        <w:jc w:val="both"/>
        <w:ind w:left="1260" w:right="219" w:firstLine="700"/>
        <w:spacing w:after="0" w:line="256" w:lineRule="auto"/>
        <w:rPr>
          <w:sz w:val="20"/>
          <w:szCs w:val="20"/>
          <w:color w:val="auto"/>
        </w:rPr>
      </w:pPr>
      <w:r>
        <w:rPr>
          <w:rFonts w:ascii="Arial" w:cs="Arial" w:eastAsia="Arial" w:hAnsi="Arial"/>
          <w:sz w:val="13"/>
          <w:szCs w:val="13"/>
          <w:color w:val="auto"/>
        </w:rPr>
        <w:t>(a)  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w:t>
      </w:r>
    </w:p>
    <w:p>
      <w:pPr>
        <w:spacing w:after="0" w:line="144" w:lineRule="exact"/>
        <w:rPr>
          <w:sz w:val="20"/>
          <w:szCs w:val="20"/>
          <w:color w:val="auto"/>
        </w:rPr>
      </w:pPr>
    </w:p>
    <w:p>
      <w:pPr>
        <w:ind w:left="1260" w:right="159" w:firstLine="700"/>
        <w:spacing w:after="0" w:line="314" w:lineRule="auto"/>
        <w:rPr>
          <w:sz w:val="20"/>
          <w:szCs w:val="20"/>
          <w:color w:val="auto"/>
        </w:rPr>
      </w:pPr>
      <w:r>
        <w:rPr>
          <w:rFonts w:ascii="Arial" w:cs="Arial" w:eastAsia="Arial" w:hAnsi="Arial"/>
          <w:sz w:val="12"/>
          <w:szCs w:val="12"/>
          <w:color w:val="auto"/>
        </w:rPr>
        <w:t>(b)  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11" w:lineRule="exact"/>
        <w:rPr>
          <w:sz w:val="20"/>
          <w:szCs w:val="20"/>
          <w:color w:val="auto"/>
        </w:rPr>
      </w:pPr>
    </w:p>
    <w:p>
      <w:pPr>
        <w:ind w:left="1260" w:right="239" w:firstLine="350"/>
        <w:spacing w:after="0" w:line="268" w:lineRule="auto"/>
        <w:rPr>
          <w:sz w:val="20"/>
          <w:szCs w:val="20"/>
          <w:color w:val="auto"/>
        </w:rPr>
      </w:pPr>
      <w:r>
        <w:rPr>
          <w:rFonts w:ascii="Arial" w:cs="Arial" w:eastAsia="Arial" w:hAnsi="Arial"/>
          <w:sz w:val="12"/>
          <w:szCs w:val="12"/>
          <w:color w:val="auto"/>
        </w:rPr>
        <w:t xml:space="preserve">6.6  </w:t>
      </w:r>
      <w:r>
        <w:rPr>
          <w:rFonts w:ascii="Arial" w:cs="Arial" w:eastAsia="Arial" w:hAnsi="Arial"/>
          <w:sz w:val="12"/>
          <w:szCs w:val="12"/>
          <w:u w:val="single" w:color="auto"/>
          <w:color w:val="auto"/>
        </w:rPr>
        <w:t>Substitute Awards</w:t>
      </w:r>
      <w:r>
        <w:rPr>
          <w:rFonts w:ascii="Arial" w:cs="Arial" w:eastAsia="Arial" w:hAnsi="Arial"/>
          <w:sz w:val="12"/>
          <w:szCs w:val="12"/>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excess of: (a) the aggregate Fair Market Value (as of the date such Substitute Award is granted) of the Shares subject to the Substitute Award, over</w:t>
      </w:r>
    </w:p>
    <w:p>
      <w:pPr>
        <w:ind w:left="1460" w:hanging="193"/>
        <w:spacing w:after="0"/>
        <w:tabs>
          <w:tab w:leader="none" w:pos="14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aggregate exercise price thereof does not exceed the excess of: (x) the aggregate fair market value (as of the time immediately preceding the</w:t>
      </w:r>
    </w:p>
    <w:p>
      <w:pPr>
        <w:ind w:left="1260" w:right="259"/>
        <w:spacing w:after="0" w:line="252" w:lineRule="auto"/>
        <w:rPr>
          <w:rFonts w:ascii="Arial" w:cs="Arial" w:eastAsia="Arial" w:hAnsi="Arial"/>
          <w:sz w:val="13"/>
          <w:szCs w:val="13"/>
          <w:color w:val="auto"/>
        </w:rPr>
      </w:pPr>
      <w:r>
        <w:rPr>
          <w:rFonts w:ascii="Arial" w:cs="Arial" w:eastAsia="Arial" w:hAnsi="Arial"/>
          <w:sz w:val="13"/>
          <w:szCs w:val="13"/>
          <w:color w:val="auto"/>
        </w:rPr>
        <w:t>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46" w:lineRule="exact"/>
        <w:rPr>
          <w:sz w:val="20"/>
          <w:szCs w:val="20"/>
          <w:color w:val="auto"/>
        </w:rPr>
      </w:pPr>
    </w:p>
    <w:p>
      <w:pPr>
        <w:ind w:left="1260" w:right="219" w:firstLine="350"/>
        <w:spacing w:after="0" w:line="248" w:lineRule="auto"/>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Substitution of Stock Appreciation Rights</w:t>
      </w:r>
      <w:r>
        <w:rPr>
          <w:rFonts w:ascii="Arial" w:cs="Arial" w:eastAsia="Arial" w:hAnsi="Arial"/>
          <w:sz w:val="13"/>
          <w:szCs w:val="13"/>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97"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A-11</w:t>
      </w:r>
    </w:p>
    <w:p>
      <w:pPr>
        <w:sectPr>
          <w:pgSz w:w="11900" w:h="16838" w:orient="portrait"/>
          <w:cols w:equalWidth="0" w:num="1">
            <w:col w:w="10159"/>
          </w:cols>
          <w:pgMar w:left="300" w:top="412"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ARTICLE 7.</w:t>
      </w:r>
    </w:p>
    <w:p>
      <w:pPr>
        <w:spacing w:after="0" w:line="172"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EXERCISE OF OPTIONS</w:t>
      </w:r>
    </w:p>
    <w:p>
      <w:pPr>
        <w:spacing w:after="0" w:line="176" w:lineRule="exact"/>
        <w:rPr>
          <w:sz w:val="20"/>
          <w:szCs w:val="20"/>
          <w:color w:val="auto"/>
        </w:rPr>
      </w:pPr>
    </w:p>
    <w:p>
      <w:pPr>
        <w:jc w:val="both"/>
        <w:ind w:left="1260" w:right="459" w:firstLine="350"/>
        <w:spacing w:after="0" w:line="256"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Partial Exercise</w:t>
      </w:r>
      <w:r>
        <w:rPr>
          <w:rFonts w:ascii="Arial" w:cs="Arial" w:eastAsia="Arial" w:hAnsi="Arial"/>
          <w:sz w:val="13"/>
          <w:szCs w:val="13"/>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44" w:lineRule="exact"/>
        <w:rPr>
          <w:sz w:val="20"/>
          <w:szCs w:val="20"/>
          <w:color w:val="auto"/>
        </w:rPr>
      </w:pPr>
    </w:p>
    <w:p>
      <w:pPr>
        <w:ind w:left="1260" w:right="139" w:firstLine="350"/>
        <w:spacing w:after="0" w:line="256"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Manner of Exercise</w:t>
      </w:r>
      <w:r>
        <w:rPr>
          <w:rFonts w:ascii="Arial" w:cs="Arial" w:eastAsia="Arial" w:hAnsi="Arial"/>
          <w:sz w:val="13"/>
          <w:szCs w:val="13"/>
          <w:color w:val="auto"/>
        </w:rPr>
        <w:t>. All or a portion of an exercisable Option shall be deemed exercised upon delivery of all of the following to the Secretary of the Company, the stock administrator of the Company or such other person or entity designated by the Administrator, or his, her or its office, as applicable:</w:t>
      </w:r>
    </w:p>
    <w:p>
      <w:pPr>
        <w:spacing w:after="0" w:line="144" w:lineRule="exact"/>
        <w:rPr>
          <w:sz w:val="20"/>
          <w:szCs w:val="20"/>
          <w:color w:val="auto"/>
        </w:rPr>
      </w:pPr>
    </w:p>
    <w:p>
      <w:pPr>
        <w:ind w:left="1260" w:right="379" w:firstLine="700"/>
        <w:spacing w:after="0" w:line="314" w:lineRule="auto"/>
        <w:rPr>
          <w:sz w:val="20"/>
          <w:szCs w:val="20"/>
          <w:color w:val="auto"/>
        </w:rPr>
      </w:pPr>
      <w:r>
        <w:rPr>
          <w:rFonts w:ascii="Arial" w:cs="Arial" w:eastAsia="Arial" w:hAnsi="Arial"/>
          <w:sz w:val="12"/>
          <w:szCs w:val="12"/>
          <w:color w:val="auto"/>
        </w:rPr>
        <w:t>(a)  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11" w:lineRule="exact"/>
        <w:rPr>
          <w:sz w:val="20"/>
          <w:szCs w:val="20"/>
          <w:color w:val="auto"/>
        </w:rPr>
      </w:pPr>
    </w:p>
    <w:p>
      <w:pPr>
        <w:ind w:left="1260" w:right="159" w:firstLine="700"/>
        <w:spacing w:after="0" w:line="256" w:lineRule="auto"/>
        <w:rPr>
          <w:sz w:val="20"/>
          <w:szCs w:val="20"/>
          <w:color w:val="auto"/>
        </w:rPr>
      </w:pPr>
      <w:r>
        <w:rPr>
          <w:rFonts w:ascii="Arial" w:cs="Arial" w:eastAsia="Arial" w:hAnsi="Arial"/>
          <w:sz w:val="13"/>
          <w:szCs w:val="13"/>
          <w:color w:val="auto"/>
        </w:rPr>
        <w:t>(b)  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44" w:lineRule="exact"/>
        <w:rPr>
          <w:sz w:val="20"/>
          <w:szCs w:val="20"/>
          <w:color w:val="auto"/>
        </w:rPr>
      </w:pPr>
    </w:p>
    <w:p>
      <w:pPr>
        <w:ind w:left="1260" w:right="419" w:firstLine="700"/>
        <w:spacing w:after="0" w:line="271" w:lineRule="auto"/>
        <w:rPr>
          <w:sz w:val="20"/>
          <w:szCs w:val="20"/>
          <w:color w:val="auto"/>
        </w:rPr>
      </w:pPr>
      <w:r>
        <w:rPr>
          <w:rFonts w:ascii="Arial" w:cs="Arial" w:eastAsia="Arial" w:hAnsi="Arial"/>
          <w:sz w:val="13"/>
          <w:szCs w:val="13"/>
          <w:color w:val="auto"/>
        </w:rPr>
        <w:t>(c)  In the event that the Option shall be exercised pursuant to Section 12.3 by any person or persons other than the Holder, appropriate proof of the right of such person or persons to exercise the Option, as determined in the sole discretion of the Administrator; and</w:t>
      </w:r>
    </w:p>
    <w:p>
      <w:pPr>
        <w:spacing w:after="0" w:line="134" w:lineRule="exact"/>
        <w:rPr>
          <w:sz w:val="20"/>
          <w:szCs w:val="20"/>
          <w:color w:val="auto"/>
        </w:rPr>
      </w:pPr>
    </w:p>
    <w:p>
      <w:pPr>
        <w:ind w:left="1260" w:right="559" w:firstLine="700"/>
        <w:spacing w:after="0" w:line="271" w:lineRule="auto"/>
        <w:rPr>
          <w:sz w:val="20"/>
          <w:szCs w:val="20"/>
          <w:color w:val="auto"/>
        </w:rPr>
      </w:pPr>
      <w:r>
        <w:rPr>
          <w:rFonts w:ascii="Arial" w:cs="Arial" w:eastAsia="Arial" w:hAnsi="Arial"/>
          <w:sz w:val="13"/>
          <w:szCs w:val="13"/>
          <w:color w:val="auto"/>
        </w:rPr>
        <w:t>(d)  Full payment of the exercise price and applicable withholding taxes to the stock administrator of the Company for the Shares with respect to which the Option, or portion thereof, is exercised, in a manner permitted by Sections 12.1 and 12.2.</w:t>
      </w:r>
    </w:p>
    <w:p>
      <w:pPr>
        <w:spacing w:after="0" w:line="134" w:lineRule="exact"/>
        <w:rPr>
          <w:sz w:val="20"/>
          <w:szCs w:val="20"/>
          <w:color w:val="auto"/>
        </w:rPr>
      </w:pPr>
    </w:p>
    <w:p>
      <w:pPr>
        <w:ind w:left="1260" w:right="299" w:firstLine="350"/>
        <w:spacing w:after="0" w:line="251"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Notification Regarding Disposition</w:t>
      </w:r>
      <w:r>
        <w:rPr>
          <w:rFonts w:ascii="Arial" w:cs="Arial" w:eastAsia="Arial" w:hAnsi="Arial"/>
          <w:sz w:val="13"/>
          <w:szCs w:val="13"/>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319"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ARTICLE 8.</w:t>
      </w:r>
    </w:p>
    <w:p>
      <w:pPr>
        <w:spacing w:after="0" w:line="172"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AWARD OF RESTRICTED STOCK</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Award of Restricted Stock</w:t>
      </w:r>
      <w:r>
        <w:rPr>
          <w:rFonts w:ascii="Arial" w:cs="Arial" w:eastAsia="Arial" w:hAnsi="Arial"/>
          <w:sz w:val="13"/>
          <w:szCs w:val="13"/>
          <w:color w:val="auto"/>
        </w:rPr>
        <w:t>.</w:t>
      </w:r>
    </w:p>
    <w:p>
      <w:pPr>
        <w:spacing w:after="0" w:line="172" w:lineRule="exact"/>
        <w:rPr>
          <w:sz w:val="20"/>
          <w:szCs w:val="20"/>
          <w:color w:val="auto"/>
        </w:rPr>
      </w:pPr>
    </w:p>
    <w:p>
      <w:pPr>
        <w:ind w:left="1260" w:right="239" w:firstLine="700"/>
        <w:spacing w:after="0" w:line="256" w:lineRule="auto"/>
        <w:rPr>
          <w:sz w:val="20"/>
          <w:szCs w:val="20"/>
          <w:color w:val="auto"/>
        </w:rPr>
      </w:pPr>
      <w:r>
        <w:rPr>
          <w:rFonts w:ascii="Arial" w:cs="Arial" w:eastAsia="Arial" w:hAnsi="Arial"/>
          <w:sz w:val="13"/>
          <w:szCs w:val="13"/>
          <w:color w:val="auto"/>
        </w:rPr>
        <w:t>(a)  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44" w:lineRule="exact"/>
        <w:rPr>
          <w:sz w:val="20"/>
          <w:szCs w:val="20"/>
          <w:color w:val="auto"/>
        </w:rPr>
      </w:pPr>
    </w:p>
    <w:p>
      <w:pPr>
        <w:ind w:left="1260" w:right="199" w:firstLine="350"/>
        <w:spacing w:after="0" w:line="256" w:lineRule="auto"/>
        <w:rPr>
          <w:sz w:val="20"/>
          <w:szCs w:val="20"/>
          <w:color w:val="auto"/>
        </w:rPr>
      </w:pPr>
      <w:r>
        <w:rPr>
          <w:rFonts w:ascii="Arial" w:cs="Arial" w:eastAsia="Arial" w:hAnsi="Arial"/>
          <w:sz w:val="13"/>
          <w:szCs w:val="13"/>
          <w:color w:val="auto"/>
        </w:rPr>
        <w:t xml:space="preserve">(b)  The Administrator shall establish the purchase price, if any, and form of payment for Restricted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A-12</w:t>
      </w:r>
    </w:p>
    <w:p>
      <w:pPr>
        <w:sectPr>
          <w:pgSz w:w="11900" w:h="16838" w:orient="portrait"/>
          <w:cols w:equalWidth="0" w:num="1">
            <w:col w:w="10159"/>
          </w:cols>
          <w:pgMar w:left="300" w:top="412"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59" w:firstLine="350"/>
        <w:spacing w:after="0" w:line="247"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Rights as Stockholders</w:t>
      </w:r>
      <w:r>
        <w:rPr>
          <w:rFonts w:ascii="Arial" w:cs="Arial" w:eastAsia="Arial" w:hAnsi="Arial"/>
          <w:sz w:val="13"/>
          <w:szCs w:val="13"/>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50" w:lineRule="exact"/>
        <w:rPr>
          <w:sz w:val="20"/>
          <w:szCs w:val="20"/>
          <w:color w:val="auto"/>
        </w:rPr>
      </w:pPr>
    </w:p>
    <w:p>
      <w:pPr>
        <w:ind w:left="1260" w:right="259" w:firstLine="350"/>
        <w:spacing w:after="0" w:line="244"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Restrictions</w:t>
      </w:r>
      <w:r>
        <w:rPr>
          <w:rFonts w:ascii="Arial" w:cs="Arial" w:eastAsia="Arial" w:hAnsi="Arial"/>
          <w:sz w:val="13"/>
          <w:szCs w:val="13"/>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w:t>
      </w:r>
    </w:p>
    <w:p>
      <w:pPr>
        <w:spacing w:after="0" w:line="156" w:lineRule="exact"/>
        <w:rPr>
          <w:sz w:val="20"/>
          <w:szCs w:val="20"/>
          <w:color w:val="auto"/>
        </w:rPr>
      </w:pPr>
    </w:p>
    <w:p>
      <w:pPr>
        <w:ind w:left="1260" w:right="159" w:firstLine="350"/>
        <w:spacing w:after="0" w:line="244"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Repurchase or Forfeiture of Restricted Stock</w:t>
      </w:r>
      <w:r>
        <w:rPr>
          <w:rFonts w:ascii="Arial" w:cs="Arial" w:eastAsia="Arial" w:hAnsi="Arial"/>
          <w:sz w:val="13"/>
          <w:szCs w:val="13"/>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56" w:lineRule="exact"/>
        <w:rPr>
          <w:sz w:val="20"/>
          <w:szCs w:val="20"/>
          <w:color w:val="auto"/>
        </w:rPr>
      </w:pPr>
    </w:p>
    <w:p>
      <w:pPr>
        <w:ind w:left="1260" w:right="219" w:firstLine="350"/>
        <w:spacing w:after="0" w:line="247"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u w:val="single" w:color="auto"/>
          <w:color w:val="auto"/>
        </w:rPr>
        <w:t>Certificates for Restricted Stock</w:t>
      </w:r>
      <w:r>
        <w:rPr>
          <w:rFonts w:ascii="Arial" w:cs="Arial" w:eastAsia="Arial" w:hAnsi="Arial"/>
          <w:sz w:val="13"/>
          <w:szCs w:val="13"/>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50" w:lineRule="exact"/>
        <w:rPr>
          <w:sz w:val="20"/>
          <w:szCs w:val="20"/>
          <w:color w:val="auto"/>
        </w:rPr>
      </w:pPr>
    </w:p>
    <w:p>
      <w:pPr>
        <w:ind w:left="1260" w:right="299" w:firstLine="350"/>
        <w:spacing w:after="0" w:line="251"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u w:val="single" w:color="auto"/>
          <w:color w:val="auto"/>
        </w:rPr>
        <w:t>Section 83(b) Election</w:t>
      </w:r>
      <w:r>
        <w:rPr>
          <w:rFonts w:ascii="Arial" w:cs="Arial" w:eastAsia="Arial" w:hAnsi="Arial"/>
          <w:sz w:val="13"/>
          <w:szCs w:val="13"/>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A-13</w:t>
      </w:r>
    </w:p>
    <w:p>
      <w:pPr>
        <w:sectPr>
          <w:pgSz w:w="11900" w:h="16838" w:orient="portrait"/>
          <w:cols w:equalWidth="0" w:num="1">
            <w:col w:w="10159"/>
          </w:cols>
          <w:pgMar w:left="300" w:top="412"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ARTICLE 9.</w:t>
      </w:r>
    </w:p>
    <w:p>
      <w:pPr>
        <w:spacing w:after="0" w:line="17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AWARD OF RESTRICTED STOCK UNITS</w:t>
      </w:r>
    </w:p>
    <w:p>
      <w:pPr>
        <w:spacing w:after="0" w:line="172" w:lineRule="exact"/>
        <w:rPr>
          <w:sz w:val="20"/>
          <w:szCs w:val="20"/>
          <w:color w:val="auto"/>
        </w:rPr>
      </w:pPr>
    </w:p>
    <w:p>
      <w:pPr>
        <w:ind w:left="1260" w:right="299" w:firstLine="350"/>
        <w:spacing w:after="0" w:line="271"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Grant of Restricted Stock Units</w:t>
      </w:r>
      <w:r>
        <w:rPr>
          <w:rFonts w:ascii="Arial" w:cs="Arial" w:eastAsia="Arial" w:hAnsi="Arial"/>
          <w:sz w:val="13"/>
          <w:szCs w:val="13"/>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u w:val="single" w:color="auto"/>
          <w:color w:val="auto"/>
        </w:rPr>
        <w:t>Term</w:t>
      </w:r>
      <w:r>
        <w:rPr>
          <w:rFonts w:ascii="Arial" w:cs="Arial" w:eastAsia="Arial" w:hAnsi="Arial"/>
          <w:sz w:val="12"/>
          <w:szCs w:val="12"/>
          <w:color w:val="auto"/>
        </w:rPr>
        <w:t>. Except as otherwise provided herein, the term of a Restricted Stock Unit award shall be set by the Administrator in its sole discretion.</w:t>
      </w:r>
    </w:p>
    <w:p>
      <w:pPr>
        <w:spacing w:after="0" w:line="184" w:lineRule="exact"/>
        <w:rPr>
          <w:sz w:val="20"/>
          <w:szCs w:val="20"/>
          <w:color w:val="auto"/>
        </w:rPr>
      </w:pPr>
    </w:p>
    <w:p>
      <w:pPr>
        <w:ind w:left="1260" w:right="579" w:firstLine="350"/>
        <w:spacing w:after="0" w:line="256"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Purchase Price</w:t>
      </w:r>
      <w:r>
        <w:rPr>
          <w:rFonts w:ascii="Arial" w:cs="Arial" w:eastAsia="Arial" w:hAnsi="Arial"/>
          <w:sz w:val="13"/>
          <w:szCs w:val="13"/>
          <w:color w:val="auto"/>
        </w:rPr>
        <w:t xml:space="preserve">. The Administrator shall specify the purchase price, if any, to be paid by the Holder to the Company with respect to any Restricted Stock Unit award;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value of the consideration shall not be less than the par value of a Share, unless otherwise permitted by Applicable Law.</w:t>
      </w:r>
    </w:p>
    <w:p>
      <w:pPr>
        <w:spacing w:after="0" w:line="144" w:lineRule="exact"/>
        <w:rPr>
          <w:sz w:val="20"/>
          <w:szCs w:val="20"/>
          <w:color w:val="auto"/>
        </w:rPr>
      </w:pPr>
    </w:p>
    <w:p>
      <w:pPr>
        <w:ind w:left="1260" w:right="359" w:firstLine="350"/>
        <w:spacing w:after="0" w:line="278" w:lineRule="auto"/>
        <w:rPr>
          <w:sz w:val="20"/>
          <w:szCs w:val="20"/>
          <w:color w:val="auto"/>
        </w:rPr>
      </w:pPr>
      <w:r>
        <w:rPr>
          <w:rFonts w:ascii="Arial" w:cs="Arial" w:eastAsia="Arial" w:hAnsi="Arial"/>
          <w:sz w:val="12"/>
          <w:szCs w:val="12"/>
          <w:color w:val="auto"/>
        </w:rPr>
        <w:t xml:space="preserve">9.4  </w:t>
      </w:r>
      <w:r>
        <w:rPr>
          <w:rFonts w:ascii="Arial" w:cs="Arial" w:eastAsia="Arial" w:hAnsi="Arial"/>
          <w:sz w:val="12"/>
          <w:szCs w:val="12"/>
          <w:u w:val="single" w:color="auto"/>
          <w:color w:val="auto"/>
        </w:rPr>
        <w:t>Vesting of Restricted Stock Units</w:t>
      </w:r>
      <w:r>
        <w:rPr>
          <w:rFonts w:ascii="Arial" w:cs="Arial" w:eastAsia="Arial" w:hAnsi="Arial"/>
          <w:sz w:val="12"/>
          <w:szCs w:val="12"/>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33" w:lineRule="exact"/>
        <w:rPr>
          <w:sz w:val="20"/>
          <w:szCs w:val="20"/>
          <w:color w:val="auto"/>
        </w:rPr>
      </w:pPr>
    </w:p>
    <w:p>
      <w:pPr>
        <w:ind w:left="1260" w:right="199" w:firstLine="350"/>
        <w:spacing w:after="0" w:line="265" w:lineRule="auto"/>
        <w:rPr>
          <w:sz w:val="20"/>
          <w:szCs w:val="20"/>
          <w:color w:val="auto"/>
        </w:rPr>
      </w:pPr>
      <w:r>
        <w:rPr>
          <w:rFonts w:ascii="Arial" w:cs="Arial" w:eastAsia="Arial" w:hAnsi="Arial"/>
          <w:sz w:val="12"/>
          <w:szCs w:val="12"/>
          <w:color w:val="auto"/>
        </w:rPr>
        <w:t xml:space="preserve">9.5  </w:t>
      </w:r>
      <w:r>
        <w:rPr>
          <w:rFonts w:ascii="Arial" w:cs="Arial" w:eastAsia="Arial" w:hAnsi="Arial"/>
          <w:sz w:val="12"/>
          <w:szCs w:val="12"/>
          <w:u w:val="single" w:color="auto"/>
          <w:color w:val="auto"/>
        </w:rPr>
        <w:t>Maturity and Payment</w:t>
      </w:r>
      <w:r>
        <w:rPr>
          <w:rFonts w:ascii="Arial" w:cs="Arial" w:eastAsia="Arial" w:hAnsi="Arial"/>
          <w:sz w:val="12"/>
          <w:szCs w:val="12"/>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w:t>
      </w:r>
    </w:p>
    <w:p>
      <w:pPr>
        <w:ind w:left="1260" w:right="179"/>
        <w:spacing w:after="0" w:line="223" w:lineRule="auto"/>
        <w:rPr>
          <w:sz w:val="20"/>
          <w:szCs w:val="20"/>
          <w:color w:val="auto"/>
        </w:rPr>
      </w:pPr>
      <w:r>
        <w:rPr>
          <w:rFonts w:ascii="Arial" w:cs="Arial" w:eastAsia="Arial" w:hAnsi="Arial"/>
          <w:sz w:val="13"/>
          <w:szCs w:val="13"/>
          <w:color w:val="auto"/>
        </w:rPr>
        <w:t>15</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of the third month following the end of calendar year in which the Restricted Stock Unit vests; or (b) the 15</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55" w:lineRule="exact"/>
        <w:rPr>
          <w:sz w:val="20"/>
          <w:szCs w:val="20"/>
          <w:color w:val="auto"/>
        </w:rPr>
      </w:pPr>
    </w:p>
    <w:p>
      <w:pPr>
        <w:ind w:left="1260" w:right="439" w:firstLine="350"/>
        <w:spacing w:after="0" w:line="251"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Payment upon Termination of Service</w:t>
      </w:r>
      <w:r>
        <w:rPr>
          <w:rFonts w:ascii="Arial" w:cs="Arial" w:eastAsia="Arial" w:hAnsi="Arial"/>
          <w:sz w:val="13"/>
          <w:szCs w:val="13"/>
          <w:color w:val="auto"/>
        </w:rPr>
        <w:t xml:space="preserve">. An Award of Restricted Stock Units shall only be payable while the Holder is an Employee, a Consultant or a member of the Board, as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47" w:lineRule="exact"/>
        <w:rPr>
          <w:sz w:val="20"/>
          <w:szCs w:val="20"/>
          <w:color w:val="auto"/>
        </w:rPr>
      </w:pPr>
    </w:p>
    <w:p>
      <w:pPr>
        <w:jc w:val="both"/>
        <w:ind w:left="1260" w:right="179" w:firstLine="350"/>
        <w:spacing w:after="0" w:line="256" w:lineRule="auto"/>
        <w:rPr>
          <w:sz w:val="20"/>
          <w:szCs w:val="20"/>
          <w:color w:val="auto"/>
        </w:rPr>
      </w:pPr>
      <w:r>
        <w:rPr>
          <w:rFonts w:ascii="Arial" w:cs="Arial" w:eastAsia="Arial" w:hAnsi="Arial"/>
          <w:sz w:val="13"/>
          <w:szCs w:val="13"/>
          <w:color w:val="auto"/>
        </w:rPr>
        <w:t xml:space="preserve">9.7  </w:t>
      </w:r>
      <w:r>
        <w:rPr>
          <w:rFonts w:ascii="Arial" w:cs="Arial" w:eastAsia="Arial" w:hAnsi="Arial"/>
          <w:sz w:val="13"/>
          <w:szCs w:val="13"/>
          <w:u w:val="single" w:color="auto"/>
          <w:color w:val="auto"/>
        </w:rPr>
        <w:t>No Rights as a Stockholder</w:t>
      </w:r>
      <w:r>
        <w:rPr>
          <w:rFonts w:ascii="Arial" w:cs="Arial" w:eastAsia="Arial" w:hAnsi="Arial"/>
          <w:sz w:val="13"/>
          <w:szCs w:val="13"/>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44" w:lineRule="exact"/>
        <w:rPr>
          <w:sz w:val="20"/>
          <w:szCs w:val="20"/>
          <w:color w:val="auto"/>
        </w:rPr>
      </w:pPr>
    </w:p>
    <w:p>
      <w:pPr>
        <w:jc w:val="both"/>
        <w:ind w:left="1260" w:right="239" w:firstLine="350"/>
        <w:spacing w:after="0" w:line="256" w:lineRule="auto"/>
        <w:rPr>
          <w:sz w:val="20"/>
          <w:szCs w:val="20"/>
          <w:color w:val="auto"/>
        </w:rPr>
      </w:pPr>
      <w:r>
        <w:rPr>
          <w:rFonts w:ascii="Arial" w:cs="Arial" w:eastAsia="Arial" w:hAnsi="Arial"/>
          <w:sz w:val="13"/>
          <w:szCs w:val="13"/>
          <w:color w:val="auto"/>
        </w:rPr>
        <w:t xml:space="preserve">9.8  </w:t>
      </w:r>
      <w:r>
        <w:rPr>
          <w:rFonts w:ascii="Arial" w:cs="Arial" w:eastAsia="Arial" w:hAnsi="Arial"/>
          <w:sz w:val="13"/>
          <w:szCs w:val="13"/>
          <w:u w:val="single" w:color="auto"/>
          <w:color w:val="auto"/>
        </w:rPr>
        <w:t>Dividend Equivalents</w:t>
      </w:r>
      <w:r>
        <w:rPr>
          <w:rFonts w:ascii="Arial" w:cs="Arial" w:eastAsia="Arial" w:hAnsi="Arial"/>
          <w:sz w:val="13"/>
          <w:szCs w:val="13"/>
          <w:color w:val="auto"/>
        </w:rPr>
        <w:t>.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A-14</w:t>
      </w:r>
    </w:p>
    <w:p>
      <w:pPr>
        <w:sectPr>
          <w:pgSz w:w="11900" w:h="16838" w:orient="portrait"/>
          <w:cols w:equalWidth="0" w:num="1">
            <w:col w:w="10159"/>
          </w:cols>
          <w:pgMar w:left="300" w:top="412"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ARTICLE 10.</w:t>
      </w:r>
    </w:p>
    <w:p>
      <w:pPr>
        <w:spacing w:after="0" w:line="172"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AWARD OF PERFORMANCE AWARDS, DIVIDEND EQUIVALENTS, STOCK</w:t>
      </w:r>
    </w:p>
    <w:p>
      <w:pPr>
        <w:spacing w:after="0" w:line="13"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PAYMENTS, DEFERRED STOCK, DEFERRED STOCK UNITS</w:t>
      </w:r>
    </w:p>
    <w:p>
      <w:pPr>
        <w:spacing w:after="0" w:line="160"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Performance Awards</w:t>
      </w:r>
      <w:r>
        <w:rPr>
          <w:rFonts w:ascii="Arial" w:cs="Arial" w:eastAsia="Arial" w:hAnsi="Arial"/>
          <w:sz w:val="13"/>
          <w:szCs w:val="13"/>
          <w:color w:val="auto"/>
        </w:rPr>
        <w:t>.</w:t>
      </w:r>
    </w:p>
    <w:p>
      <w:pPr>
        <w:spacing w:after="0" w:line="172" w:lineRule="exact"/>
        <w:rPr>
          <w:sz w:val="20"/>
          <w:szCs w:val="20"/>
          <w:color w:val="auto"/>
        </w:rPr>
      </w:pPr>
    </w:p>
    <w:p>
      <w:pPr>
        <w:ind w:left="1260" w:right="199" w:firstLine="700"/>
        <w:spacing w:after="0" w:line="248" w:lineRule="auto"/>
        <w:rPr>
          <w:sz w:val="20"/>
          <w:szCs w:val="20"/>
          <w:color w:val="auto"/>
        </w:rPr>
      </w:pPr>
      <w:r>
        <w:rPr>
          <w:rFonts w:ascii="Arial" w:cs="Arial" w:eastAsia="Arial" w:hAnsi="Arial"/>
          <w:sz w:val="13"/>
          <w:szCs w:val="13"/>
          <w:color w:val="auto"/>
        </w:rPr>
        <w:t>(a)  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50" w:lineRule="exact"/>
        <w:rPr>
          <w:sz w:val="20"/>
          <w:szCs w:val="20"/>
          <w:color w:val="auto"/>
        </w:rPr>
      </w:pPr>
    </w:p>
    <w:p>
      <w:pPr>
        <w:ind w:left="1260" w:right="239" w:firstLine="700"/>
        <w:spacing w:after="0" w:line="248" w:lineRule="auto"/>
        <w:rPr>
          <w:sz w:val="20"/>
          <w:szCs w:val="20"/>
          <w:color w:val="auto"/>
        </w:rPr>
      </w:pPr>
      <w:r>
        <w:rPr>
          <w:rFonts w:ascii="Arial" w:cs="Arial" w:eastAsia="Arial" w:hAnsi="Arial"/>
          <w:sz w:val="13"/>
          <w:szCs w:val="13"/>
          <w:color w:val="auto"/>
        </w:rPr>
        <w:t>(b)  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spacing w:after="0" w:line="140"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Dividend Equivalents</w:t>
      </w:r>
      <w:r>
        <w:rPr>
          <w:rFonts w:ascii="Arial" w:cs="Arial" w:eastAsia="Arial" w:hAnsi="Arial"/>
          <w:sz w:val="13"/>
          <w:szCs w:val="13"/>
          <w:color w:val="auto"/>
        </w:rPr>
        <w:t>.</w:t>
      </w:r>
    </w:p>
    <w:p>
      <w:pPr>
        <w:spacing w:after="0" w:line="151" w:lineRule="exact"/>
        <w:rPr>
          <w:sz w:val="20"/>
          <w:szCs w:val="20"/>
          <w:color w:val="auto"/>
        </w:rPr>
      </w:pPr>
    </w:p>
    <w:p>
      <w:pPr>
        <w:ind w:left="1260" w:right="179" w:firstLine="700"/>
        <w:spacing w:after="0" w:line="247" w:lineRule="auto"/>
        <w:rPr>
          <w:sz w:val="20"/>
          <w:szCs w:val="20"/>
          <w:color w:val="auto"/>
        </w:rPr>
      </w:pPr>
      <w:r>
        <w:rPr>
          <w:rFonts w:ascii="Arial" w:cs="Arial" w:eastAsia="Arial" w:hAnsi="Arial"/>
          <w:sz w:val="13"/>
          <w:szCs w:val="13"/>
          <w:color w:val="auto"/>
        </w:rPr>
        <w:t>(a)  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w:t>
      </w:r>
    </w:p>
    <w:p>
      <w:pPr>
        <w:spacing w:after="0" w:line="139"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(b)   Notwithstanding the foregoing, no Dividend Equivalents shall be payable with respect to Options or Stock Appreciation Rights.</w:t>
      </w:r>
    </w:p>
    <w:p>
      <w:pPr>
        <w:spacing w:after="0" w:line="151" w:lineRule="exact"/>
        <w:rPr>
          <w:sz w:val="20"/>
          <w:szCs w:val="20"/>
          <w:color w:val="auto"/>
        </w:rPr>
      </w:pPr>
    </w:p>
    <w:p>
      <w:pPr>
        <w:ind w:left="1260" w:right="179" w:firstLine="350"/>
        <w:spacing w:after="0" w:line="246"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Stock Payments</w:t>
      </w:r>
      <w:r>
        <w:rPr>
          <w:rFonts w:ascii="Arial" w:cs="Arial" w:eastAsia="Arial" w:hAnsi="Arial"/>
          <w:sz w:val="13"/>
          <w:szCs w:val="13"/>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40" w:lineRule="exact"/>
        <w:rPr>
          <w:sz w:val="20"/>
          <w:szCs w:val="20"/>
          <w:color w:val="auto"/>
        </w:rPr>
      </w:pPr>
    </w:p>
    <w:p>
      <w:pPr>
        <w:ind w:left="1260" w:right="159" w:firstLine="350"/>
        <w:spacing w:after="0" w:line="247"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u w:val="single" w:color="auto"/>
          <w:color w:val="auto"/>
        </w:rPr>
        <w:t>Deferred Stock</w:t>
      </w:r>
      <w:r>
        <w:rPr>
          <w:rFonts w:ascii="Arial" w:cs="Arial" w:eastAsia="Arial" w:hAnsi="Arial"/>
          <w:sz w:val="13"/>
          <w:szCs w:val="13"/>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A-15</w:t>
      </w:r>
    </w:p>
    <w:p>
      <w:pPr>
        <w:sectPr>
          <w:pgSz w:w="11900" w:h="16838" w:orient="portrait"/>
          <w:cols w:equalWidth="0" w:num="1">
            <w:col w:w="10159"/>
          </w:cols>
          <w:pgMar w:left="300" w:top="412"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99"/>
        <w:spacing w:after="0" w:line="271" w:lineRule="auto"/>
        <w:rPr>
          <w:sz w:val="20"/>
          <w:szCs w:val="20"/>
          <w:color w:val="auto"/>
        </w:rPr>
      </w:pPr>
      <w:r>
        <w:rPr>
          <w:rFonts w:ascii="Arial" w:cs="Arial" w:eastAsia="Arial" w:hAnsi="Arial"/>
          <w:sz w:val="13"/>
          <w:szCs w:val="13"/>
          <w:color w:val="auto"/>
        </w:rPr>
        <w:t>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24" w:lineRule="exact"/>
        <w:rPr>
          <w:sz w:val="20"/>
          <w:szCs w:val="20"/>
          <w:color w:val="auto"/>
        </w:rPr>
      </w:pPr>
    </w:p>
    <w:p>
      <w:pPr>
        <w:ind w:left="1260" w:right="159" w:firstLine="350"/>
        <w:spacing w:after="0" w:line="267" w:lineRule="auto"/>
        <w:rPr>
          <w:sz w:val="20"/>
          <w:szCs w:val="20"/>
          <w:color w:val="auto"/>
        </w:rPr>
      </w:pPr>
      <w:r>
        <w:rPr>
          <w:rFonts w:ascii="Arial" w:cs="Arial" w:eastAsia="Arial" w:hAnsi="Arial"/>
          <w:sz w:val="12"/>
          <w:szCs w:val="12"/>
          <w:color w:val="auto"/>
        </w:rPr>
        <w:t xml:space="preserve">10.5  </w:t>
      </w:r>
      <w:r>
        <w:rPr>
          <w:rFonts w:ascii="Arial" w:cs="Arial" w:eastAsia="Arial" w:hAnsi="Arial"/>
          <w:sz w:val="12"/>
          <w:szCs w:val="12"/>
          <w:u w:val="single" w:color="auto"/>
          <w:color w:val="auto"/>
        </w:rPr>
        <w:t>Deferred Stock Units</w:t>
      </w:r>
      <w:r>
        <w:rPr>
          <w:rFonts w:ascii="Arial" w:cs="Arial" w:eastAsia="Arial" w:hAnsi="Arial"/>
          <w:sz w:val="12"/>
          <w:szCs w:val="12"/>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42" w:lineRule="exact"/>
        <w:rPr>
          <w:sz w:val="20"/>
          <w:szCs w:val="20"/>
          <w:color w:val="auto"/>
        </w:rPr>
      </w:pPr>
    </w:p>
    <w:p>
      <w:pPr>
        <w:ind w:left="1260" w:right="339" w:firstLine="350"/>
        <w:spacing w:after="0" w:line="271" w:lineRule="auto"/>
        <w:rPr>
          <w:sz w:val="20"/>
          <w:szCs w:val="20"/>
          <w:color w:val="auto"/>
        </w:rPr>
      </w:pPr>
      <w:r>
        <w:rPr>
          <w:rFonts w:ascii="Arial" w:cs="Arial" w:eastAsia="Arial" w:hAnsi="Arial"/>
          <w:sz w:val="13"/>
          <w:szCs w:val="13"/>
          <w:color w:val="auto"/>
        </w:rPr>
        <w:t xml:space="preserve">10.6  </w:t>
      </w:r>
      <w:r>
        <w:rPr>
          <w:rFonts w:ascii="Arial" w:cs="Arial" w:eastAsia="Arial" w:hAnsi="Arial"/>
          <w:sz w:val="13"/>
          <w:szCs w:val="13"/>
          <w:u w:val="single" w:color="auto"/>
          <w:color w:val="auto"/>
        </w:rPr>
        <w:t>Term</w:t>
      </w:r>
      <w:r>
        <w:rPr>
          <w:rFonts w:ascii="Arial" w:cs="Arial" w:eastAsia="Arial" w:hAnsi="Arial"/>
          <w:sz w:val="13"/>
          <w:szCs w:val="13"/>
          <w:color w:val="auto"/>
        </w:rPr>
        <w:t>. The term of a Performance Award, Dividend Equivalent award, Stock Payment award, Deferred Stock award and/or Deferred Stock Unit award shall be set by the Administrator in its sole discretion.</w:t>
      </w:r>
    </w:p>
    <w:p>
      <w:pPr>
        <w:spacing w:after="0" w:line="134" w:lineRule="exact"/>
        <w:rPr>
          <w:sz w:val="20"/>
          <w:szCs w:val="20"/>
          <w:color w:val="auto"/>
        </w:rPr>
      </w:pPr>
    </w:p>
    <w:p>
      <w:pPr>
        <w:ind w:left="1260" w:right="159" w:firstLine="350"/>
        <w:spacing w:after="0" w:line="256" w:lineRule="auto"/>
        <w:rPr>
          <w:sz w:val="20"/>
          <w:szCs w:val="20"/>
          <w:color w:val="auto"/>
        </w:rPr>
      </w:pPr>
      <w:r>
        <w:rPr>
          <w:rFonts w:ascii="Arial" w:cs="Arial" w:eastAsia="Arial" w:hAnsi="Arial"/>
          <w:sz w:val="13"/>
          <w:szCs w:val="13"/>
          <w:color w:val="auto"/>
        </w:rPr>
        <w:t xml:space="preserve">10.7  </w:t>
      </w:r>
      <w:r>
        <w:rPr>
          <w:rFonts w:ascii="Arial" w:cs="Arial" w:eastAsia="Arial" w:hAnsi="Arial"/>
          <w:sz w:val="13"/>
          <w:szCs w:val="13"/>
          <w:u w:val="single" w:color="auto"/>
          <w:color w:val="auto"/>
        </w:rPr>
        <w:t>Purchase Price</w:t>
      </w:r>
      <w:r>
        <w:rPr>
          <w:rFonts w:ascii="Arial" w:cs="Arial" w:eastAsia="Arial" w:hAnsi="Arial"/>
          <w:sz w:val="13"/>
          <w:szCs w:val="13"/>
          <w:color w:val="auto"/>
        </w:rPr>
        <w:t xml:space="preserve">. The Administrator may establish the purchase price of a Performance Award, Shares distributed as a Stock Payment award, shares of Deferred Stock or Shares distributed pursuant to a Deferred Stock Unit award;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value of the consideration shall not be less than the par value of a Share, unless otherwise permitted by Applicable Law.</w:t>
      </w:r>
    </w:p>
    <w:p>
      <w:pPr>
        <w:spacing w:after="0" w:line="144" w:lineRule="exact"/>
        <w:rPr>
          <w:sz w:val="20"/>
          <w:szCs w:val="20"/>
          <w:color w:val="auto"/>
        </w:rPr>
      </w:pPr>
    </w:p>
    <w:p>
      <w:pPr>
        <w:ind w:left="1260" w:right="179" w:firstLine="350"/>
        <w:spacing w:after="0" w:line="248" w:lineRule="auto"/>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322"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ARTICLE 11.</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3"/>
          <w:szCs w:val="13"/>
          <w:color w:val="auto"/>
        </w:rPr>
        <w:t>AWARD OF STOCK APPRECIATION RIGHTS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Grant of Stock Appreciation Rights</w:t>
      </w:r>
      <w:r>
        <w:rPr>
          <w:rFonts w:ascii="Arial" w:cs="Arial" w:eastAsia="Arial" w:hAnsi="Arial"/>
          <w:sz w:val="13"/>
          <w:szCs w:val="13"/>
          <w:color w:val="auto"/>
        </w:rPr>
        <w:t>.</w:t>
      </w:r>
    </w:p>
    <w:p>
      <w:pPr>
        <w:spacing w:after="0" w:line="172" w:lineRule="exact"/>
        <w:rPr>
          <w:sz w:val="20"/>
          <w:szCs w:val="20"/>
          <w:color w:val="auto"/>
        </w:rPr>
      </w:pPr>
    </w:p>
    <w:p>
      <w:pPr>
        <w:ind w:left="1260" w:right="199" w:firstLine="700"/>
        <w:spacing w:after="0" w:line="271" w:lineRule="auto"/>
        <w:rPr>
          <w:sz w:val="20"/>
          <w:szCs w:val="20"/>
          <w:color w:val="auto"/>
        </w:rPr>
      </w:pPr>
      <w:r>
        <w:rPr>
          <w:rFonts w:ascii="Arial" w:cs="Arial" w:eastAsia="Arial" w:hAnsi="Arial"/>
          <w:sz w:val="13"/>
          <w:szCs w:val="13"/>
          <w:color w:val="auto"/>
        </w:rPr>
        <w:t>(a)  The Administrator is authorized to grant Stock Appreciation Rights to Eligible Individuals from time to time, in its sole discretion, on such terms and conditions as it may determine consistent with the Plan.</w:t>
      </w:r>
    </w:p>
    <w:p>
      <w:pPr>
        <w:spacing w:after="0" w:line="134" w:lineRule="exact"/>
        <w:rPr>
          <w:sz w:val="20"/>
          <w:szCs w:val="20"/>
          <w:color w:val="auto"/>
        </w:rPr>
      </w:pPr>
    </w:p>
    <w:p>
      <w:pPr>
        <w:ind w:left="1260" w:right="139" w:firstLine="700"/>
        <w:spacing w:after="0" w:line="246" w:lineRule="auto"/>
        <w:rPr>
          <w:sz w:val="20"/>
          <w:szCs w:val="20"/>
          <w:color w:val="auto"/>
        </w:rPr>
      </w:pPr>
      <w:r>
        <w:rPr>
          <w:rFonts w:ascii="Arial" w:cs="Arial" w:eastAsia="Arial" w:hAnsi="Arial"/>
          <w:sz w:val="13"/>
          <w:szCs w:val="13"/>
          <w:color w:val="auto"/>
        </w:rPr>
        <w:t>(b)  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51" w:lineRule="exact"/>
        <w:rPr>
          <w:sz w:val="20"/>
          <w:szCs w:val="20"/>
          <w:color w:val="auto"/>
        </w:rPr>
      </w:pPr>
    </w:p>
    <w:p>
      <w:pPr>
        <w:ind w:left="1260" w:right="219" w:firstLine="700"/>
        <w:spacing w:after="0" w:line="271" w:lineRule="auto"/>
        <w:rPr>
          <w:sz w:val="20"/>
          <w:szCs w:val="20"/>
          <w:color w:val="auto"/>
        </w:rPr>
      </w:pPr>
      <w:r>
        <w:rPr>
          <w:rFonts w:ascii="Arial" w:cs="Arial" w:eastAsia="Arial" w:hAnsi="Arial"/>
          <w:sz w:val="13"/>
          <w:szCs w:val="13"/>
          <w:color w:val="auto"/>
        </w:rPr>
        <w:t>(c)  Notwithstanding the foregoing provisions of Section 11.1(b) to the contrary, in the case of a Stock Appreciation Right that is a Substitute Award, the price per share of the Shares subject to such Stock Appreciation Right may be less than 100% of the Fair Market</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A-16</w:t>
      </w:r>
    </w:p>
    <w:p>
      <w:pPr>
        <w:sectPr>
          <w:pgSz w:w="11900" w:h="16838" w:orient="portrait"/>
          <w:cols w:equalWidth="0" w:num="1">
            <w:col w:w="10159"/>
          </w:cols>
          <w:pgMar w:left="300" w:top="412"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219"/>
        <w:spacing w:after="0" w:line="248" w:lineRule="auto"/>
        <w:rPr>
          <w:sz w:val="20"/>
          <w:szCs w:val="20"/>
          <w:color w:val="auto"/>
        </w:rPr>
      </w:pPr>
      <w:r>
        <w:rPr>
          <w:rFonts w:ascii="Arial" w:cs="Arial" w:eastAsia="Arial" w:hAnsi="Arial"/>
          <w:sz w:val="13"/>
          <w:szCs w:val="13"/>
          <w:color w:val="auto"/>
        </w:rPr>
        <w:t xml:space="preserve">Value per share on the date of grant;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50"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u w:val="single" w:color="auto"/>
          <w:color w:val="auto"/>
        </w:rPr>
        <w:t>Stock Appreciation Right Vesting</w:t>
      </w:r>
      <w:r>
        <w:rPr>
          <w:rFonts w:ascii="Arial" w:cs="Arial" w:eastAsia="Arial" w:hAnsi="Arial"/>
          <w:sz w:val="13"/>
          <w:szCs w:val="13"/>
          <w:color w:val="auto"/>
        </w:rPr>
        <w:t>.</w:t>
      </w:r>
    </w:p>
    <w:p>
      <w:pPr>
        <w:spacing w:after="0" w:line="172" w:lineRule="exact"/>
        <w:rPr>
          <w:sz w:val="20"/>
          <w:szCs w:val="20"/>
          <w:color w:val="auto"/>
        </w:rPr>
      </w:pPr>
    </w:p>
    <w:p>
      <w:pPr>
        <w:ind w:left="1260" w:right="239" w:firstLine="700"/>
        <w:spacing w:after="0" w:line="248" w:lineRule="auto"/>
        <w:rPr>
          <w:sz w:val="20"/>
          <w:szCs w:val="20"/>
          <w:color w:val="auto"/>
        </w:rPr>
      </w:pPr>
      <w:r>
        <w:rPr>
          <w:rFonts w:ascii="Arial" w:cs="Arial" w:eastAsia="Arial" w:hAnsi="Arial"/>
          <w:sz w:val="13"/>
          <w:szCs w:val="13"/>
          <w:color w:val="auto"/>
        </w:rPr>
        <w:t>(a)  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50" w:lineRule="exact"/>
        <w:rPr>
          <w:sz w:val="20"/>
          <w:szCs w:val="20"/>
          <w:color w:val="auto"/>
        </w:rPr>
      </w:pPr>
    </w:p>
    <w:p>
      <w:pPr>
        <w:jc w:val="both"/>
        <w:ind w:left="1260" w:right="139" w:firstLine="700"/>
        <w:spacing w:after="0" w:line="256" w:lineRule="auto"/>
        <w:rPr>
          <w:sz w:val="20"/>
          <w:szCs w:val="20"/>
          <w:color w:val="auto"/>
        </w:rPr>
      </w:pPr>
      <w:r>
        <w:rPr>
          <w:rFonts w:ascii="Arial" w:cs="Arial" w:eastAsia="Arial" w:hAnsi="Arial"/>
          <w:sz w:val="13"/>
          <w:szCs w:val="13"/>
          <w:color w:val="auto"/>
        </w:rPr>
        <w:t>(b)  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44" w:lineRule="exact"/>
        <w:rPr>
          <w:sz w:val="20"/>
          <w:szCs w:val="20"/>
          <w:color w:val="auto"/>
        </w:rPr>
      </w:pPr>
    </w:p>
    <w:p>
      <w:pPr>
        <w:ind w:left="1260" w:right="199" w:firstLine="350"/>
        <w:spacing w:after="0" w:line="256"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u w:val="single" w:color="auto"/>
          <w:color w:val="auto"/>
        </w:rPr>
        <w:t>Manner of Exercise</w:t>
      </w:r>
      <w:r>
        <w:rPr>
          <w:rFonts w:ascii="Arial" w:cs="Arial" w:eastAsia="Arial" w:hAnsi="Arial"/>
          <w:sz w:val="13"/>
          <w:szCs w:val="13"/>
          <w:color w:val="auto"/>
        </w:rPr>
        <w:t xml:space="preserve"> .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w:t>
      </w:r>
    </w:p>
    <w:p>
      <w:pPr>
        <w:spacing w:after="0" w:line="144" w:lineRule="exact"/>
        <w:rPr>
          <w:sz w:val="20"/>
          <w:szCs w:val="20"/>
          <w:color w:val="auto"/>
        </w:rPr>
      </w:pPr>
    </w:p>
    <w:p>
      <w:pPr>
        <w:ind w:left="1260" w:right="199" w:firstLine="700"/>
        <w:spacing w:after="0" w:line="256" w:lineRule="auto"/>
        <w:rPr>
          <w:sz w:val="20"/>
          <w:szCs w:val="20"/>
          <w:color w:val="auto"/>
        </w:rPr>
      </w:pPr>
      <w:r>
        <w:rPr>
          <w:rFonts w:ascii="Arial" w:cs="Arial" w:eastAsia="Arial" w:hAnsi="Arial"/>
          <w:sz w:val="13"/>
          <w:szCs w:val="13"/>
          <w:color w:val="auto"/>
        </w:rPr>
        <w:t>(a)  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44" w:lineRule="exact"/>
        <w:rPr>
          <w:sz w:val="20"/>
          <w:szCs w:val="20"/>
          <w:color w:val="auto"/>
        </w:rPr>
      </w:pPr>
    </w:p>
    <w:p>
      <w:pPr>
        <w:ind w:left="1260" w:right="159" w:firstLine="700"/>
        <w:spacing w:after="0" w:line="314" w:lineRule="auto"/>
        <w:rPr>
          <w:sz w:val="20"/>
          <w:szCs w:val="20"/>
          <w:color w:val="auto"/>
        </w:rPr>
      </w:pPr>
      <w:r>
        <w:rPr>
          <w:rFonts w:ascii="Arial" w:cs="Arial" w:eastAsia="Arial" w:hAnsi="Arial"/>
          <w:sz w:val="12"/>
          <w:szCs w:val="12"/>
          <w:color w:val="auto"/>
        </w:rPr>
        <w:t>(b)  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11" w:lineRule="exact"/>
        <w:rPr>
          <w:sz w:val="20"/>
          <w:szCs w:val="20"/>
          <w:color w:val="auto"/>
        </w:rPr>
      </w:pPr>
    </w:p>
    <w:p>
      <w:pPr>
        <w:ind w:left="1260" w:right="279" w:firstLine="700"/>
        <w:spacing w:after="0" w:line="271" w:lineRule="auto"/>
        <w:rPr>
          <w:sz w:val="20"/>
          <w:szCs w:val="20"/>
          <w:color w:val="auto"/>
        </w:rPr>
      </w:pPr>
      <w:r>
        <w:rPr>
          <w:rFonts w:ascii="Arial" w:cs="Arial" w:eastAsia="Arial" w:hAnsi="Arial"/>
          <w:sz w:val="13"/>
          <w:szCs w:val="13"/>
          <w:color w:val="auto"/>
        </w:rPr>
        <w:t>(c)  In the event that the Stock Appreciation Right shall be exercised pursuant to this Section 11.3 by any person or persons other than the Holder, appropriate proof of the right of such person or persons to exercise the Stock Appreciation Right.</w:t>
      </w:r>
    </w:p>
    <w:p>
      <w:pPr>
        <w:spacing w:after="0" w:line="134" w:lineRule="exact"/>
        <w:rPr>
          <w:sz w:val="20"/>
          <w:szCs w:val="20"/>
          <w:color w:val="auto"/>
        </w:rPr>
      </w:pPr>
    </w:p>
    <w:p>
      <w:pPr>
        <w:ind w:left="1260" w:right="139" w:firstLine="350"/>
        <w:spacing w:after="0" w:line="245" w:lineRule="auto"/>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Stock Appreciation Right Term</w:t>
      </w:r>
      <w:r>
        <w:rPr>
          <w:rFonts w:ascii="Arial" w:cs="Arial" w:eastAsia="Arial" w:hAnsi="Arial"/>
          <w:sz w:val="13"/>
          <w:szCs w:val="13"/>
          <w:color w:val="auto"/>
        </w:rPr>
        <w:t>. The term of each Stock Appreciation Right (the “</w:t>
      </w:r>
      <w:r>
        <w:rPr>
          <w:rFonts w:ascii="Arial" w:cs="Arial" w:eastAsia="Arial" w:hAnsi="Arial"/>
          <w:sz w:val="13"/>
          <w:szCs w:val="13"/>
          <w:u w:val="single" w:color="auto"/>
          <w:color w:val="auto"/>
        </w:rPr>
        <w:t>Stock Appreciation Right Term</w:t>
      </w:r>
      <w:r>
        <w:rPr>
          <w:rFonts w:ascii="Arial" w:cs="Arial" w:eastAsia="Arial" w:hAnsi="Arial"/>
          <w:sz w:val="13"/>
          <w:szCs w:val="13"/>
          <w:color w:val="auto"/>
        </w:rPr>
        <w:t xml:space="preserve">”) shall be set by the Administrator in its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w:t>
      </w:r>
    </w:p>
    <w:p>
      <w:pPr>
        <w:spacing w:after="0" w:line="152" w:lineRule="exact"/>
        <w:rPr>
          <w:sz w:val="20"/>
          <w:szCs w:val="20"/>
          <w:color w:val="auto"/>
        </w:rPr>
      </w:pPr>
    </w:p>
    <w:p>
      <w:pPr>
        <w:ind w:left="1260" w:right="319" w:firstLine="350"/>
        <w:spacing w:after="0" w:line="314" w:lineRule="auto"/>
        <w:rPr>
          <w:sz w:val="20"/>
          <w:szCs w:val="20"/>
          <w:color w:val="auto"/>
        </w:rPr>
      </w:pPr>
      <w:r>
        <w:rPr>
          <w:rFonts w:ascii="Arial" w:cs="Arial" w:eastAsia="Arial" w:hAnsi="Arial"/>
          <w:sz w:val="12"/>
          <w:szCs w:val="12"/>
          <w:color w:val="auto"/>
        </w:rPr>
        <w:t xml:space="preserve">11.5  </w:t>
      </w:r>
      <w:r>
        <w:rPr>
          <w:rFonts w:ascii="Arial" w:cs="Arial" w:eastAsia="Arial" w:hAnsi="Arial"/>
          <w:sz w:val="12"/>
          <w:szCs w:val="12"/>
          <w:u w:val="single" w:color="auto"/>
          <w:color w:val="auto"/>
        </w:rPr>
        <w:t>Payment</w:t>
      </w:r>
      <w:r>
        <w:rPr>
          <w:rFonts w:ascii="Arial" w:cs="Arial" w:eastAsia="Arial" w:hAnsi="Arial"/>
          <w:sz w:val="12"/>
          <w:szCs w:val="12"/>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A-17</w:t>
      </w:r>
    </w:p>
    <w:p>
      <w:pPr>
        <w:sectPr>
          <w:pgSz w:w="11900" w:h="16838" w:orient="portrait"/>
          <w:cols w:equalWidth="0" w:num="1">
            <w:col w:w="10159"/>
          </w:cols>
          <w:pgMar w:left="300" w:top="412"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ARTICLE 12.</w:t>
      </w:r>
    </w:p>
    <w:p>
      <w:pPr>
        <w:spacing w:after="0" w:line="172"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ADDITIONAL TERMS OF AWARDS</w:t>
      </w:r>
    </w:p>
    <w:p>
      <w:pPr>
        <w:spacing w:after="0" w:line="172" w:lineRule="exact"/>
        <w:rPr>
          <w:sz w:val="20"/>
          <w:szCs w:val="20"/>
          <w:color w:val="auto"/>
        </w:rPr>
      </w:pPr>
    </w:p>
    <w:p>
      <w:pPr>
        <w:ind w:left="1260" w:right="299" w:firstLine="350"/>
        <w:spacing w:after="0" w:line="266" w:lineRule="auto"/>
        <w:rPr>
          <w:sz w:val="20"/>
          <w:szCs w:val="20"/>
          <w:color w:val="auto"/>
        </w:rPr>
      </w:pPr>
      <w:r>
        <w:rPr>
          <w:rFonts w:ascii="Arial" w:cs="Arial" w:eastAsia="Arial" w:hAnsi="Arial"/>
          <w:sz w:val="12"/>
          <w:szCs w:val="12"/>
          <w:color w:val="auto"/>
        </w:rPr>
        <w:t xml:space="preserve">12.1  </w:t>
      </w:r>
      <w:r>
        <w:rPr>
          <w:rFonts w:ascii="Arial" w:cs="Arial" w:eastAsia="Arial" w:hAnsi="Arial"/>
          <w:sz w:val="12"/>
          <w:szCs w:val="12"/>
          <w:u w:val="single" w:color="auto"/>
          <w:color w:val="auto"/>
        </w:rPr>
        <w:t>Payment</w:t>
      </w:r>
      <w:r>
        <w:rPr>
          <w:rFonts w:ascii="Arial" w:cs="Arial" w:eastAsia="Arial" w:hAnsi="Arial"/>
          <w:sz w:val="12"/>
          <w:szCs w:val="12"/>
          <w:color w:val="auto"/>
        </w:rPr>
        <w:t>.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w:t>
      </w:r>
    </w:p>
    <w:p>
      <w:pPr>
        <w:spacing w:after="0" w:line="1" w:lineRule="exact"/>
        <w:rPr>
          <w:sz w:val="20"/>
          <w:szCs w:val="20"/>
          <w:color w:val="auto"/>
        </w:rPr>
      </w:pPr>
    </w:p>
    <w:p>
      <w:pPr>
        <w:ind w:left="1260" w:right="239" w:firstLine="7"/>
        <w:spacing w:after="0" w:line="261" w:lineRule="auto"/>
        <w:tabs>
          <w:tab w:leader="none" w:pos="1446" w:val="left"/>
        </w:tabs>
        <w:numPr>
          <w:ilvl w:val="0"/>
          <w:numId w:val="73"/>
        </w:numPr>
        <w:rPr>
          <w:rFonts w:ascii="Arial" w:cs="Arial" w:eastAsia="Arial" w:hAnsi="Arial"/>
          <w:sz w:val="12"/>
          <w:szCs w:val="12"/>
          <w:color w:val="auto"/>
        </w:rPr>
      </w:pPr>
      <w:r>
        <w:rPr>
          <w:rFonts w:ascii="Arial" w:cs="Arial" w:eastAsia="Arial" w:hAnsi="Arial"/>
          <w:sz w:val="12"/>
          <w:szCs w:val="12"/>
          <w:color w:val="auto"/>
        </w:rPr>
        <w:t xml:space="preserve">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payment of such proceeds is then made to the Company upon settlement of such sale, or</w:t>
      </w:r>
    </w:p>
    <w:p>
      <w:pPr>
        <w:ind w:left="1260" w:right="339" w:firstLine="7"/>
        <w:spacing w:after="0" w:line="243" w:lineRule="auto"/>
        <w:tabs>
          <w:tab w:leader="none" w:pos="1453" w:val="left"/>
        </w:tabs>
        <w:numPr>
          <w:ilvl w:val="0"/>
          <w:numId w:val="73"/>
        </w:numPr>
        <w:rPr>
          <w:rFonts w:ascii="Arial" w:cs="Arial" w:eastAsia="Arial" w:hAnsi="Arial"/>
          <w:sz w:val="13"/>
          <w:szCs w:val="13"/>
          <w:color w:val="auto"/>
        </w:rPr>
      </w:pPr>
      <w:r>
        <w:rPr>
          <w:rFonts w:ascii="Arial" w:cs="Arial" w:eastAsia="Arial" w:hAnsi="Arial"/>
          <w:sz w:val="13"/>
          <w:szCs w:val="13"/>
          <w:color w:val="auto"/>
        </w:rPr>
        <w:t>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54" w:lineRule="exact"/>
        <w:rPr>
          <w:sz w:val="20"/>
          <w:szCs w:val="20"/>
          <w:color w:val="auto"/>
        </w:rPr>
      </w:pPr>
    </w:p>
    <w:p>
      <w:pPr>
        <w:ind w:left="1260" w:right="219" w:firstLine="350"/>
        <w:spacing w:after="0" w:line="244" w:lineRule="auto"/>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u w:val="single" w:color="auto"/>
          <w:color w:val="auto"/>
        </w:rPr>
        <w:t>Tax Withholding</w:t>
      </w:r>
      <w:r>
        <w:rPr>
          <w:rFonts w:ascii="Arial" w:cs="Arial" w:eastAsia="Arial" w:hAnsi="Arial"/>
          <w:sz w:val="13"/>
          <w:szCs w:val="13"/>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or permitted by law to be withheld with respect to any taxable event concerning a Holder arising as a result of the Plan. The Administrator may, in its sole discretion and subject to such terms and conditions as it may specify, allow or provide for the Company to withhold Shares otherwise issuable under an Award (or allow the surrender of Shares) in payment of such tax withholding. The number of Shares which may be so withheld or surrendered shall be limited to the number of Shares which have a Fair Market Value on the date of withholding or repurchase sufficient to satisfy the maximum statutory withholding rates for federal, state, local and foreign income tax and payroll tax purposes that are applicable to such supplemental taxable income. The Administrator shall determine the fair market value of the Shares, consistent with any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Pursuant to Section 3.1(b)(ii), any such Shares withheld or surrendered will not be available for future grants of Awards under the Plan.</w:t>
      </w:r>
    </w:p>
    <w:p>
      <w:pPr>
        <w:spacing w:after="0" w:line="152"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12.3   </w:t>
      </w:r>
      <w:r>
        <w:rPr>
          <w:rFonts w:ascii="Arial" w:cs="Arial" w:eastAsia="Arial" w:hAnsi="Arial"/>
          <w:sz w:val="13"/>
          <w:szCs w:val="13"/>
          <w:u w:val="single" w:color="auto"/>
          <w:color w:val="auto"/>
        </w:rPr>
        <w:t>Transferability of Awards</w:t>
      </w:r>
      <w:r>
        <w:rPr>
          <w:rFonts w:ascii="Arial" w:cs="Arial" w:eastAsia="Arial" w:hAnsi="Arial"/>
          <w:sz w:val="13"/>
          <w:szCs w:val="13"/>
          <w:color w:val="auto"/>
        </w:rPr>
        <w:t>.</w:t>
      </w:r>
    </w:p>
    <w:p>
      <w:pPr>
        <w:spacing w:after="0" w:line="172"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(a)   Except as otherwise provided in Section 12.3(b):</w:t>
      </w:r>
    </w:p>
    <w:p>
      <w:pPr>
        <w:spacing w:after="0" w:line="87" w:lineRule="exact"/>
        <w:rPr>
          <w:sz w:val="20"/>
          <w:szCs w:val="20"/>
          <w:color w:val="auto"/>
        </w:rPr>
      </w:pPr>
    </w:p>
    <w:p>
      <w:pPr>
        <w:ind w:left="1260" w:right="359" w:firstLine="1050"/>
        <w:spacing w:after="0" w:line="256" w:lineRule="auto"/>
        <w:rPr>
          <w:sz w:val="20"/>
          <w:szCs w:val="20"/>
          <w:color w:val="auto"/>
        </w:rPr>
      </w:pPr>
      <w:r>
        <w:rPr>
          <w:rFonts w:ascii="Arial" w:cs="Arial" w:eastAsia="Arial" w:hAnsi="Arial"/>
          <w:sz w:val="13"/>
          <w:szCs w:val="13"/>
          <w:color w:val="auto"/>
        </w:rPr>
        <w:t>(i)  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44" w:lineRule="exact"/>
        <w:rPr>
          <w:sz w:val="20"/>
          <w:szCs w:val="20"/>
          <w:color w:val="auto"/>
        </w:rPr>
      </w:pPr>
    </w:p>
    <w:p>
      <w:pPr>
        <w:ind w:left="1260" w:right="179" w:firstLine="1050"/>
        <w:spacing w:after="0" w:line="248" w:lineRule="auto"/>
        <w:rPr>
          <w:sz w:val="20"/>
          <w:szCs w:val="20"/>
          <w:color w:val="auto"/>
        </w:rPr>
      </w:pPr>
      <w:r>
        <w:rPr>
          <w:rFonts w:ascii="Arial" w:cs="Arial" w:eastAsia="Arial" w:hAnsi="Arial"/>
          <w:sz w:val="13"/>
          <w:szCs w:val="13"/>
          <w:color w:val="auto"/>
        </w:rPr>
        <w:t>(ii)  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50" w:lineRule="exact"/>
        <w:rPr>
          <w:sz w:val="20"/>
          <w:szCs w:val="20"/>
          <w:color w:val="auto"/>
        </w:rPr>
      </w:pPr>
    </w:p>
    <w:p>
      <w:pPr>
        <w:ind w:left="1260" w:right="159" w:firstLine="1050"/>
        <w:spacing w:after="0" w:line="256" w:lineRule="auto"/>
        <w:rPr>
          <w:sz w:val="20"/>
          <w:szCs w:val="20"/>
          <w:color w:val="auto"/>
        </w:rPr>
      </w:pPr>
      <w:r>
        <w:rPr>
          <w:rFonts w:ascii="Arial" w:cs="Arial" w:eastAsia="Arial" w:hAnsi="Arial"/>
          <w:sz w:val="13"/>
          <w:szCs w:val="13"/>
          <w:color w:val="auto"/>
        </w:rPr>
        <w:t>(iii)  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A-18</w:t>
      </w:r>
    </w:p>
    <w:p>
      <w:pPr>
        <w:sectPr>
          <w:pgSz w:w="11900" w:h="16838" w:orient="portrait"/>
          <w:cols w:equalWidth="0" w:num="1">
            <w:col w:w="10159"/>
          </w:cols>
          <w:pgMar w:left="300" w:top="412"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339"/>
        <w:spacing w:after="0" w:line="271" w:lineRule="auto"/>
        <w:rPr>
          <w:sz w:val="20"/>
          <w:szCs w:val="20"/>
          <w:color w:val="auto"/>
        </w:rPr>
      </w:pPr>
      <w:r>
        <w:rPr>
          <w:rFonts w:ascii="Arial" w:cs="Arial" w:eastAsia="Arial" w:hAnsi="Arial"/>
          <w:sz w:val="13"/>
          <w:szCs w:val="13"/>
          <w:color w:val="auto"/>
        </w:rPr>
        <w:t>exercised by the Holder’s personal representative or by any person empowered to do so under the deceased Holder’s will or under the then applicable laws of descent and distribution.</w:t>
      </w:r>
    </w:p>
    <w:p>
      <w:pPr>
        <w:spacing w:after="0" w:line="134" w:lineRule="exact"/>
        <w:rPr>
          <w:sz w:val="20"/>
          <w:szCs w:val="20"/>
          <w:color w:val="auto"/>
        </w:rPr>
      </w:pPr>
    </w:p>
    <w:p>
      <w:pPr>
        <w:ind w:left="1260" w:right="319" w:firstLine="700"/>
        <w:spacing w:after="0" w:line="246" w:lineRule="auto"/>
        <w:rPr>
          <w:sz w:val="20"/>
          <w:szCs w:val="20"/>
          <w:color w:val="auto"/>
        </w:rPr>
      </w:pPr>
      <w:r>
        <w:rPr>
          <w:rFonts w:ascii="Arial" w:cs="Arial" w:eastAsia="Arial" w:hAnsi="Arial"/>
          <w:sz w:val="13"/>
          <w:szCs w:val="13"/>
          <w:color w:val="auto"/>
        </w:rPr>
        <w:t>(b)  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151" w:lineRule="exact"/>
        <w:rPr>
          <w:sz w:val="20"/>
          <w:szCs w:val="20"/>
          <w:color w:val="auto"/>
        </w:rPr>
      </w:pPr>
    </w:p>
    <w:p>
      <w:pPr>
        <w:ind w:left="1260" w:right="159" w:firstLine="700"/>
        <w:spacing w:after="0" w:line="244" w:lineRule="auto"/>
        <w:rPr>
          <w:sz w:val="20"/>
          <w:szCs w:val="20"/>
          <w:color w:val="auto"/>
        </w:rPr>
      </w:pPr>
      <w:r>
        <w:rPr>
          <w:rFonts w:ascii="Arial" w:cs="Arial" w:eastAsia="Arial" w:hAnsi="Arial"/>
          <w:sz w:val="13"/>
          <w:szCs w:val="13"/>
          <w:color w:val="auto"/>
        </w:rPr>
        <w:t xml:space="preserve">(c)  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change or revocation is filed with the Administrator prior to the Holder’s death.</w:t>
      </w:r>
    </w:p>
    <w:p>
      <w:pPr>
        <w:spacing w:after="0" w:line="15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12.4   </w:t>
      </w:r>
      <w:r>
        <w:rPr>
          <w:rFonts w:ascii="Arial" w:cs="Arial" w:eastAsia="Arial" w:hAnsi="Arial"/>
          <w:sz w:val="13"/>
          <w:szCs w:val="13"/>
          <w:u w:val="single" w:color="auto"/>
          <w:color w:val="auto"/>
        </w:rPr>
        <w:t>Conditions to Issuance of Shares</w:t>
      </w:r>
      <w:r>
        <w:rPr>
          <w:rFonts w:ascii="Arial" w:cs="Arial" w:eastAsia="Arial" w:hAnsi="Arial"/>
          <w:sz w:val="13"/>
          <w:szCs w:val="13"/>
          <w:color w:val="auto"/>
        </w:rPr>
        <w:t>.</w:t>
      </w:r>
    </w:p>
    <w:p>
      <w:pPr>
        <w:spacing w:after="0" w:line="172" w:lineRule="exact"/>
        <w:rPr>
          <w:sz w:val="20"/>
          <w:szCs w:val="20"/>
          <w:color w:val="auto"/>
        </w:rPr>
      </w:pPr>
    </w:p>
    <w:p>
      <w:pPr>
        <w:ind w:left="1260" w:right="179" w:firstLine="700"/>
        <w:spacing w:after="0" w:line="247" w:lineRule="auto"/>
        <w:rPr>
          <w:sz w:val="20"/>
          <w:szCs w:val="20"/>
          <w:color w:val="auto"/>
        </w:rPr>
      </w:pPr>
      <w:r>
        <w:rPr>
          <w:rFonts w:ascii="Arial" w:cs="Arial" w:eastAsia="Arial" w:hAnsi="Arial"/>
          <w:sz w:val="13"/>
          <w:szCs w:val="13"/>
          <w:color w:val="auto"/>
        </w:rPr>
        <w:t>(a)  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50" w:lineRule="exact"/>
        <w:rPr>
          <w:sz w:val="20"/>
          <w:szCs w:val="20"/>
          <w:color w:val="auto"/>
        </w:rPr>
      </w:pPr>
    </w:p>
    <w:p>
      <w:pPr>
        <w:jc w:val="both"/>
        <w:ind w:left="1260" w:right="359" w:firstLine="700"/>
        <w:spacing w:after="0" w:line="256" w:lineRule="auto"/>
        <w:rPr>
          <w:sz w:val="20"/>
          <w:szCs w:val="20"/>
          <w:color w:val="auto"/>
        </w:rPr>
      </w:pPr>
      <w:r>
        <w:rPr>
          <w:rFonts w:ascii="Arial" w:cs="Arial" w:eastAsia="Arial" w:hAnsi="Arial"/>
          <w:sz w:val="13"/>
          <w:szCs w:val="13"/>
          <w:color w:val="auto"/>
        </w:rPr>
        <w:t>(b)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44" w:lineRule="exact"/>
        <w:rPr>
          <w:sz w:val="20"/>
          <w:szCs w:val="20"/>
          <w:color w:val="auto"/>
        </w:rPr>
      </w:pPr>
    </w:p>
    <w:p>
      <w:pPr>
        <w:ind w:left="1260" w:right="179" w:firstLine="700"/>
        <w:spacing w:after="0" w:line="271" w:lineRule="auto"/>
        <w:rPr>
          <w:sz w:val="20"/>
          <w:szCs w:val="20"/>
          <w:color w:val="auto"/>
        </w:rPr>
      </w:pPr>
      <w:r>
        <w:rPr>
          <w:rFonts w:ascii="Arial" w:cs="Arial" w:eastAsia="Arial" w:hAnsi="Arial"/>
          <w:sz w:val="13"/>
          <w:szCs w:val="13"/>
          <w:color w:val="auto"/>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34" w:lineRule="exact"/>
        <w:rPr>
          <w:sz w:val="20"/>
          <w:szCs w:val="20"/>
          <w:color w:val="auto"/>
        </w:rPr>
      </w:pPr>
    </w:p>
    <w:p>
      <w:pPr>
        <w:ind w:left="1260" w:right="319" w:firstLine="700"/>
        <w:spacing w:after="0" w:line="271" w:lineRule="auto"/>
        <w:rPr>
          <w:sz w:val="20"/>
          <w:szCs w:val="20"/>
          <w:color w:val="auto"/>
        </w:rPr>
      </w:pPr>
      <w:r>
        <w:rPr>
          <w:rFonts w:ascii="Arial" w:cs="Arial" w:eastAsia="Arial" w:hAnsi="Arial"/>
          <w:sz w:val="13"/>
          <w:szCs w:val="13"/>
          <w:color w:val="auto"/>
        </w:rPr>
        <w:t>(d)  No fractional Shares shall be issued and the Administrator shall determine, in its sole discretion, whether cash shall be given in lieu of fractional Shares or whether such fractional Shares shall be eliminated by rounding down.</w:t>
      </w:r>
    </w:p>
    <w:p>
      <w:pPr>
        <w:spacing w:after="0" w:line="134" w:lineRule="exact"/>
        <w:rPr>
          <w:sz w:val="20"/>
          <w:szCs w:val="20"/>
          <w:color w:val="auto"/>
        </w:rPr>
      </w:pPr>
    </w:p>
    <w:p>
      <w:pPr>
        <w:ind w:left="1260" w:right="139" w:firstLine="700"/>
        <w:spacing w:after="0" w:line="256" w:lineRule="auto"/>
        <w:rPr>
          <w:sz w:val="20"/>
          <w:szCs w:val="20"/>
          <w:color w:val="auto"/>
        </w:rPr>
      </w:pPr>
      <w:r>
        <w:rPr>
          <w:rFonts w:ascii="Arial" w:cs="Arial" w:eastAsia="Arial" w:hAnsi="Arial"/>
          <w:sz w:val="13"/>
          <w:szCs w:val="13"/>
          <w:color w:val="auto"/>
        </w:rPr>
        <w:t>(e)  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A-19</w:t>
      </w:r>
    </w:p>
    <w:p>
      <w:pPr>
        <w:sectPr>
          <w:pgSz w:w="11900" w:h="16838" w:orient="portrait"/>
          <w:cols w:equalWidth="0" w:num="1">
            <w:col w:w="10159"/>
          </w:cols>
          <w:pgMar w:left="300" w:top="412"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99" w:firstLine="350"/>
        <w:spacing w:after="0" w:line="256" w:lineRule="auto"/>
        <w:rPr>
          <w:sz w:val="20"/>
          <w:szCs w:val="20"/>
          <w:color w:val="auto"/>
        </w:rPr>
      </w:pPr>
      <w:r>
        <w:rPr>
          <w:rFonts w:ascii="Arial" w:cs="Arial" w:eastAsia="Arial" w:hAnsi="Arial"/>
          <w:sz w:val="13"/>
          <w:szCs w:val="13"/>
          <w:color w:val="auto"/>
        </w:rPr>
        <w:t xml:space="preserve">12.5  </w:t>
      </w:r>
      <w:r>
        <w:rPr>
          <w:rFonts w:ascii="Arial" w:cs="Arial" w:eastAsia="Arial" w:hAnsi="Arial"/>
          <w:sz w:val="13"/>
          <w:szCs w:val="13"/>
          <w:u w:val="single" w:color="auto"/>
          <w:color w:val="auto"/>
        </w:rPr>
        <w:t>Forfeiture and Claw-Back Provisions</w:t>
      </w:r>
      <w:r>
        <w:rPr>
          <w:rFonts w:ascii="Arial" w:cs="Arial" w:eastAsia="Arial" w:hAnsi="Arial"/>
          <w:sz w:val="13"/>
          <w:szCs w:val="13"/>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58" w:lineRule="exact"/>
        <w:rPr>
          <w:sz w:val="20"/>
          <w:szCs w:val="20"/>
          <w:color w:val="auto"/>
        </w:rPr>
      </w:pPr>
    </w:p>
    <w:p>
      <w:pPr>
        <w:ind w:left="1260" w:right="139" w:firstLine="700"/>
        <w:spacing w:after="0" w:line="246" w:lineRule="auto"/>
        <w:rPr>
          <w:sz w:val="20"/>
          <w:szCs w:val="20"/>
          <w:color w:val="auto"/>
        </w:rPr>
      </w:pPr>
      <w:r>
        <w:rPr>
          <w:rFonts w:ascii="Arial" w:cs="Arial" w:eastAsia="Arial" w:hAnsi="Arial"/>
          <w:sz w:val="13"/>
          <w:szCs w:val="13"/>
          <w:color w:val="auto"/>
        </w:rPr>
        <w:t>(a)  (i)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51" w:lineRule="exact"/>
        <w:rPr>
          <w:sz w:val="20"/>
          <w:szCs w:val="20"/>
          <w:color w:val="auto"/>
        </w:rPr>
      </w:pPr>
    </w:p>
    <w:p>
      <w:pPr>
        <w:ind w:left="1260" w:right="159" w:firstLine="700"/>
        <w:spacing w:after="0" w:line="248" w:lineRule="auto"/>
        <w:rPr>
          <w:sz w:val="20"/>
          <w:szCs w:val="20"/>
          <w:color w:val="auto"/>
        </w:rPr>
      </w:pPr>
      <w:r>
        <w:rPr>
          <w:rFonts w:ascii="Arial" w:cs="Arial" w:eastAsia="Arial" w:hAnsi="Arial"/>
          <w:sz w:val="13"/>
          <w:szCs w:val="13"/>
          <w:color w:val="auto"/>
        </w:rPr>
        <w:t>(b)  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50"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12.6   </w:t>
      </w:r>
      <w:r>
        <w:rPr>
          <w:rFonts w:ascii="Arial" w:cs="Arial" w:eastAsia="Arial" w:hAnsi="Arial"/>
          <w:sz w:val="13"/>
          <w:szCs w:val="13"/>
          <w:u w:val="single" w:color="auto"/>
          <w:color w:val="auto"/>
        </w:rPr>
        <w:t>Prohibition on Repricing</w:t>
      </w:r>
      <w:r>
        <w:rPr>
          <w:rFonts w:ascii="Arial" w:cs="Arial" w:eastAsia="Arial" w:hAnsi="Arial"/>
          <w:sz w:val="13"/>
          <w:szCs w:val="13"/>
          <w:color w:val="auto"/>
        </w:rPr>
        <w:t>. Subject to Section 14.2, the Administrator shall not, without the approval of the stockholders of the Company,</w:t>
      </w:r>
    </w:p>
    <w:p>
      <w:pPr>
        <w:spacing w:after="0" w:line="13" w:lineRule="exact"/>
        <w:rPr>
          <w:sz w:val="20"/>
          <w:szCs w:val="20"/>
          <w:color w:val="auto"/>
        </w:rPr>
      </w:pPr>
    </w:p>
    <w:p>
      <w:pPr>
        <w:ind w:left="1260" w:right="199" w:firstLine="7"/>
        <w:spacing w:after="0" w:line="243" w:lineRule="auto"/>
        <w:tabs>
          <w:tab w:leader="none" w:pos="141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326"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ARTICLE 13.</w:t>
      </w:r>
    </w:p>
    <w:p>
      <w:pPr>
        <w:spacing w:after="0" w:line="172"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ADMINISTRATION</w:t>
      </w:r>
    </w:p>
    <w:p>
      <w:pPr>
        <w:spacing w:after="0" w:line="172" w:lineRule="exact"/>
        <w:rPr>
          <w:sz w:val="20"/>
          <w:szCs w:val="20"/>
          <w:color w:val="auto"/>
        </w:rPr>
      </w:pPr>
    </w:p>
    <w:p>
      <w:pPr>
        <w:ind w:left="1260" w:right="159" w:firstLine="350"/>
        <w:spacing w:after="0" w:line="243" w:lineRule="auto"/>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u w:val="single" w:color="auto"/>
          <w:color w:val="auto"/>
        </w:rPr>
        <w:t>Administrator</w:t>
      </w:r>
      <w:r>
        <w:rPr>
          <w:rFonts w:ascii="Arial" w:cs="Arial" w:eastAsia="Arial" w:hAnsi="Arial"/>
          <w:sz w:val="13"/>
          <w:szCs w:val="13"/>
          <w:color w:val="auto"/>
        </w:rPr>
        <w:t xml:space="preserve">.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A-20</w:t>
      </w:r>
    </w:p>
    <w:p>
      <w:pPr>
        <w:sectPr>
          <w:pgSz w:w="11900" w:h="16838" w:orient="portrait"/>
          <w:cols w:equalWidth="0" w:num="1">
            <w:col w:w="10159"/>
          </w:cols>
          <w:pgMar w:left="300" w:top="412"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39" w:firstLine="350"/>
        <w:spacing w:after="0" w:line="267" w:lineRule="auto"/>
        <w:rPr>
          <w:sz w:val="20"/>
          <w:szCs w:val="20"/>
          <w:color w:val="auto"/>
        </w:rPr>
      </w:pPr>
      <w:r>
        <w:rPr>
          <w:rFonts w:ascii="Arial" w:cs="Arial" w:eastAsia="Arial" w:hAnsi="Arial"/>
          <w:sz w:val="12"/>
          <w:szCs w:val="12"/>
          <w:color w:val="auto"/>
        </w:rPr>
        <w:t xml:space="preserve">13.2  </w:t>
      </w:r>
      <w:r>
        <w:rPr>
          <w:rFonts w:ascii="Arial" w:cs="Arial" w:eastAsia="Arial" w:hAnsi="Arial"/>
          <w:sz w:val="12"/>
          <w:szCs w:val="12"/>
          <w:u w:val="single" w:color="auto"/>
          <w:color w:val="auto"/>
        </w:rPr>
        <w:t>Duties and Powers of Committee</w:t>
      </w:r>
      <w:r>
        <w:rPr>
          <w:rFonts w:ascii="Arial" w:cs="Arial" w:eastAsia="Arial" w:hAnsi="Arial"/>
          <w:sz w:val="12"/>
          <w:szCs w:val="12"/>
          <w:color w:val="auto"/>
        </w:rPr>
        <w:t xml:space="preserve">.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rights or obligations of the Holder of the Award that is the subject 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39" w:lineRule="exact"/>
        <w:rPr>
          <w:sz w:val="20"/>
          <w:szCs w:val="20"/>
          <w:color w:val="auto"/>
        </w:rPr>
      </w:pPr>
    </w:p>
    <w:p>
      <w:pPr>
        <w:ind w:left="1260" w:right="179" w:firstLine="350"/>
        <w:spacing w:after="0" w:line="247"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Action by the Committee</w:t>
      </w:r>
      <w:r>
        <w:rPr>
          <w:rFonts w:ascii="Arial" w:cs="Arial" w:eastAsia="Arial" w:hAnsi="Arial"/>
          <w:sz w:val="13"/>
          <w:szCs w:val="13"/>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50"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13.4   </w:t>
      </w:r>
      <w:r>
        <w:rPr>
          <w:rFonts w:ascii="Arial" w:cs="Arial" w:eastAsia="Arial" w:hAnsi="Arial"/>
          <w:sz w:val="13"/>
          <w:szCs w:val="13"/>
          <w:u w:val="single" w:color="auto"/>
          <w:color w:val="auto"/>
        </w:rPr>
        <w:t>Authority of Administrator</w:t>
      </w:r>
      <w:r>
        <w:rPr>
          <w:rFonts w:ascii="Arial" w:cs="Arial" w:eastAsia="Arial" w:hAnsi="Arial"/>
          <w:sz w:val="13"/>
          <w:szCs w:val="13"/>
          <w:color w:val="auto"/>
        </w:rPr>
        <w:t>. Subject to the Company’s Bylaws, the Committee’s Charter and any specific designation in the Plan, the</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Administrator has the exclusive power, authority and sole discretion to:</w:t>
      </w:r>
    </w:p>
    <w:p>
      <w:pPr>
        <w:spacing w:after="0" w:line="75"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(a)   Designate Eligible Individuals to receive Awards;</w:t>
      </w:r>
    </w:p>
    <w:p>
      <w:pPr>
        <w:spacing w:after="0" w:line="172"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(b)   Determine the type or types of Awards to be granted to each Eligible Individual;</w:t>
      </w:r>
    </w:p>
    <w:p>
      <w:pPr>
        <w:spacing w:after="0" w:line="172"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(c)   Determine the number of Awards to be granted and the number of Shares to which an Award will relate;</w:t>
      </w:r>
    </w:p>
    <w:p>
      <w:pPr>
        <w:spacing w:after="0" w:line="172" w:lineRule="exact"/>
        <w:rPr>
          <w:sz w:val="20"/>
          <w:szCs w:val="20"/>
          <w:color w:val="auto"/>
        </w:rPr>
      </w:pPr>
    </w:p>
    <w:p>
      <w:pPr>
        <w:ind w:left="1260" w:right="139" w:firstLine="700"/>
        <w:spacing w:after="0" w:line="251" w:lineRule="auto"/>
        <w:rPr>
          <w:sz w:val="20"/>
          <w:szCs w:val="20"/>
          <w:color w:val="auto"/>
        </w:rPr>
      </w:pPr>
      <w:r>
        <w:rPr>
          <w:rFonts w:ascii="Arial" w:cs="Arial" w:eastAsia="Arial" w:hAnsi="Arial"/>
          <w:sz w:val="13"/>
          <w:szCs w:val="13"/>
          <w:color w:val="auto"/>
        </w:rPr>
        <w:t>(d)  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47" w:lineRule="exact"/>
        <w:rPr>
          <w:sz w:val="20"/>
          <w:szCs w:val="20"/>
          <w:color w:val="auto"/>
        </w:rPr>
      </w:pPr>
    </w:p>
    <w:p>
      <w:pPr>
        <w:ind w:left="1260" w:right="279" w:firstLine="700"/>
        <w:spacing w:after="0" w:line="271" w:lineRule="auto"/>
        <w:rPr>
          <w:sz w:val="20"/>
          <w:szCs w:val="20"/>
          <w:color w:val="auto"/>
        </w:rPr>
      </w:pPr>
      <w:r>
        <w:rPr>
          <w:rFonts w:ascii="Arial" w:cs="Arial" w:eastAsia="Arial" w:hAnsi="Arial"/>
          <w:sz w:val="13"/>
          <w:szCs w:val="13"/>
          <w:color w:val="auto"/>
        </w:rPr>
        <w:t>(e)  Determine whether, to what extent, and pursuant to what circumstances an Award may be settled in, or the exercise price of an Award may be paid in cash, Shares, other Awards, or other property, or an Award may be canceled, forfeited, or surrendered;</w:t>
      </w:r>
    </w:p>
    <w:p>
      <w:pPr>
        <w:spacing w:after="0" w:line="134" w:lineRule="exact"/>
        <w:rPr>
          <w:sz w:val="20"/>
          <w:szCs w:val="20"/>
          <w:color w:val="auto"/>
        </w:rPr>
      </w:pPr>
    </w:p>
    <w:p>
      <w:pPr>
        <w:ind w:left="1960"/>
        <w:spacing w:after="0"/>
        <w:tabs>
          <w:tab w:leader="none" w:pos="2240" w:val="left"/>
        </w:tabs>
        <w:rPr>
          <w:sz w:val="20"/>
          <w:szCs w:val="20"/>
          <w:color w:val="auto"/>
        </w:rPr>
      </w:pPr>
      <w:r>
        <w:rPr>
          <w:rFonts w:ascii="Arial" w:cs="Arial" w:eastAsia="Arial" w:hAnsi="Arial"/>
          <w:sz w:val="13"/>
          <w:szCs w:val="13"/>
          <w:color w:val="auto"/>
        </w:rPr>
        <w:t xml:space="preserve">(f) </w:t>
      </w:r>
      <w:r>
        <w:rPr>
          <w:sz w:val="20"/>
          <w:szCs w:val="20"/>
          <w:color w:val="auto"/>
        </w:rPr>
        <w:tab/>
      </w:r>
      <w:r>
        <w:rPr>
          <w:rFonts w:ascii="Arial" w:cs="Arial" w:eastAsia="Arial" w:hAnsi="Arial"/>
          <w:sz w:val="12"/>
          <w:szCs w:val="12"/>
          <w:color w:val="auto"/>
        </w:rPr>
        <w:t>Prescribe the form of each Award Agreement, which need not be identical for each Holder;</w:t>
      </w:r>
    </w:p>
    <w:p>
      <w:pPr>
        <w:spacing w:after="0" w:line="172"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(g)   Decide all other matters that must be determined in connection with an Award;</w:t>
      </w:r>
    </w:p>
    <w:p>
      <w:pPr>
        <w:spacing w:after="0" w:line="172"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(h)   Establish, adopt, or revise any rules and regulations as it may deem necessary or advisable to administer the Plan;</w:t>
      </w:r>
    </w:p>
    <w:p>
      <w:pPr>
        <w:spacing w:after="0" w:line="172" w:lineRule="exact"/>
        <w:rPr>
          <w:sz w:val="20"/>
          <w:szCs w:val="20"/>
          <w:color w:val="auto"/>
        </w:rPr>
      </w:pPr>
    </w:p>
    <w:p>
      <w:pPr>
        <w:ind w:left="1960"/>
        <w:spacing w:after="0"/>
        <w:tabs>
          <w:tab w:leader="none" w:pos="2220" w:val="left"/>
        </w:tabs>
        <w:rPr>
          <w:sz w:val="20"/>
          <w:szCs w:val="20"/>
          <w:color w:val="auto"/>
        </w:rPr>
      </w:pPr>
      <w:r>
        <w:rPr>
          <w:rFonts w:ascii="Arial" w:cs="Arial" w:eastAsia="Arial" w:hAnsi="Arial"/>
          <w:sz w:val="13"/>
          <w:szCs w:val="13"/>
          <w:color w:val="auto"/>
        </w:rPr>
        <w:t xml:space="preserve">(i) </w:t>
      </w:r>
      <w:r>
        <w:rPr>
          <w:sz w:val="20"/>
          <w:szCs w:val="20"/>
          <w:color w:val="auto"/>
        </w:rPr>
        <w:tab/>
      </w:r>
      <w:r>
        <w:rPr>
          <w:rFonts w:ascii="Arial" w:cs="Arial" w:eastAsia="Arial" w:hAnsi="Arial"/>
          <w:sz w:val="12"/>
          <w:szCs w:val="12"/>
          <w:color w:val="auto"/>
        </w:rPr>
        <w:t>Interpret the terms of, and any matter arising pursuant to, the Plan, any Program or any Award Agreement;</w:t>
      </w:r>
    </w:p>
    <w:p>
      <w:pPr>
        <w:spacing w:after="0" w:line="172" w:lineRule="exact"/>
        <w:rPr>
          <w:sz w:val="20"/>
          <w:szCs w:val="20"/>
          <w:color w:val="auto"/>
        </w:rPr>
      </w:pPr>
    </w:p>
    <w:p>
      <w:pPr>
        <w:ind w:left="1260" w:right="479" w:firstLine="700"/>
        <w:spacing w:after="0" w:line="271" w:lineRule="auto"/>
        <w:rPr>
          <w:sz w:val="20"/>
          <w:szCs w:val="20"/>
          <w:color w:val="auto"/>
        </w:rPr>
      </w:pPr>
      <w:r>
        <w:rPr>
          <w:rFonts w:ascii="Arial" w:cs="Arial" w:eastAsia="Arial" w:hAnsi="Arial"/>
          <w:sz w:val="13"/>
          <w:szCs w:val="13"/>
          <w:color w:val="auto"/>
        </w:rPr>
        <w:t>(j)  Make all other decisions and determinations that may be required pursuant to the Plan or as the Administrator deems necessary or advisable to administer the Plan; and</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A-21</w:t>
      </w:r>
    </w:p>
    <w:p>
      <w:pPr>
        <w:sectPr>
          <w:pgSz w:w="11900" w:h="16838" w:orient="portrait"/>
          <w:cols w:equalWidth="0" w:num="1">
            <w:col w:w="10159"/>
          </w:cols>
          <w:pgMar w:left="300" w:top="412"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279" w:firstLine="700"/>
        <w:spacing w:after="0" w:line="271" w:lineRule="auto"/>
        <w:rPr>
          <w:sz w:val="20"/>
          <w:szCs w:val="20"/>
          <w:color w:val="auto"/>
        </w:rPr>
      </w:pPr>
      <w:r>
        <w:rPr>
          <w:rFonts w:ascii="Arial" w:cs="Arial" w:eastAsia="Arial" w:hAnsi="Arial"/>
          <w:sz w:val="13"/>
          <w:szCs w:val="13"/>
          <w:color w:val="auto"/>
        </w:rPr>
        <w:t>(k)  Accelerate wholly or partially the vesting or lapse of restrictions of any Award or portion thereof at any time after the grant of an Award, subject to whatever terms and conditions it selects and Section 14.2.</w:t>
      </w:r>
    </w:p>
    <w:p>
      <w:pPr>
        <w:spacing w:after="0" w:line="134" w:lineRule="exact"/>
        <w:rPr>
          <w:sz w:val="20"/>
          <w:szCs w:val="20"/>
          <w:color w:val="auto"/>
        </w:rPr>
      </w:pPr>
    </w:p>
    <w:p>
      <w:pPr>
        <w:ind w:left="1260" w:right="639" w:firstLine="350"/>
        <w:spacing w:after="0" w:line="314" w:lineRule="auto"/>
        <w:rPr>
          <w:sz w:val="20"/>
          <w:szCs w:val="20"/>
          <w:color w:val="auto"/>
        </w:rPr>
      </w:pPr>
      <w:r>
        <w:rPr>
          <w:rFonts w:ascii="Arial" w:cs="Arial" w:eastAsia="Arial" w:hAnsi="Arial"/>
          <w:sz w:val="12"/>
          <w:szCs w:val="12"/>
          <w:color w:val="auto"/>
        </w:rPr>
        <w:t xml:space="preserve">13.5  </w:t>
      </w:r>
      <w:r>
        <w:rPr>
          <w:rFonts w:ascii="Arial" w:cs="Arial" w:eastAsia="Arial" w:hAnsi="Arial"/>
          <w:sz w:val="12"/>
          <w:szCs w:val="12"/>
          <w:u w:val="single" w:color="auto"/>
          <w:color w:val="auto"/>
        </w:rPr>
        <w:t>Decisions Binding</w:t>
      </w:r>
      <w:r>
        <w:rPr>
          <w:rFonts w:ascii="Arial" w:cs="Arial" w:eastAsia="Arial" w:hAnsi="Arial"/>
          <w:sz w:val="12"/>
          <w:szCs w:val="12"/>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11" w:lineRule="exact"/>
        <w:rPr>
          <w:sz w:val="20"/>
          <w:szCs w:val="20"/>
          <w:color w:val="auto"/>
        </w:rPr>
      </w:pPr>
    </w:p>
    <w:p>
      <w:pPr>
        <w:ind w:left="1260" w:right="139" w:firstLine="350"/>
        <w:spacing w:after="0" w:line="244" w:lineRule="auto"/>
        <w:rPr>
          <w:sz w:val="20"/>
          <w:szCs w:val="20"/>
          <w:color w:val="auto"/>
        </w:rPr>
      </w:pPr>
      <w:r>
        <w:rPr>
          <w:rFonts w:ascii="Arial" w:cs="Arial" w:eastAsia="Arial" w:hAnsi="Arial"/>
          <w:sz w:val="13"/>
          <w:szCs w:val="13"/>
          <w:color w:val="auto"/>
        </w:rPr>
        <w:t xml:space="preserve">13.6  </w:t>
      </w:r>
      <w:r>
        <w:rPr>
          <w:rFonts w:ascii="Arial" w:cs="Arial" w:eastAsia="Arial" w:hAnsi="Arial"/>
          <w:sz w:val="13"/>
          <w:szCs w:val="13"/>
          <w:u w:val="single" w:color="auto"/>
          <w:color w:val="auto"/>
        </w:rPr>
        <w:t>Delegation of Authority</w:t>
      </w:r>
      <w:r>
        <w:rPr>
          <w:rFonts w:ascii="Arial" w:cs="Arial" w:eastAsia="Arial" w:hAnsi="Arial"/>
          <w:sz w:val="13"/>
          <w:szCs w:val="13"/>
          <w:color w:val="auto"/>
        </w:rPr>
        <w:t xml:space="preserve"> .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no event shall an officer of the Company be delegated the authority to grant awards to, or amend awards held by, the following individuals: (a) individuals who are subject to Section 16 of the Exchange Act, (b) Covered Employees, or (c) officers of the Company (or Directors) to whom authority to grant or amend Awards has been delegated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any delegation of administrative authority shall only be permitted to the extent it is permissible under Section 162(m) of the Code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w:t>
      </w:r>
    </w:p>
    <w:p>
      <w:pPr>
        <w:spacing w:after="0" w:line="327"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ARTICLE 14.</w:t>
      </w:r>
    </w:p>
    <w:p>
      <w:pPr>
        <w:spacing w:after="0" w:line="172"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MISCELLANEOUS PROVISIONS</w:t>
      </w:r>
    </w:p>
    <w:p>
      <w:pPr>
        <w:spacing w:after="0" w:line="172" w:lineRule="exact"/>
        <w:rPr>
          <w:sz w:val="20"/>
          <w:szCs w:val="20"/>
          <w:color w:val="auto"/>
        </w:rPr>
      </w:pPr>
    </w:p>
    <w:p>
      <w:pPr>
        <w:ind w:left="1260" w:right="199" w:firstLine="350"/>
        <w:spacing w:after="0" w:line="266"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u w:val="single" w:color="auto"/>
          <w:color w:val="auto"/>
        </w:rPr>
        <w:t>Amendment, Suspension or Termination of the Plan</w:t>
      </w:r>
      <w:r>
        <w:rPr>
          <w:rFonts w:ascii="Arial" w:cs="Arial" w:eastAsia="Arial" w:hAnsi="Arial"/>
          <w:sz w:val="12"/>
          <w:szCs w:val="12"/>
          <w:color w:val="auto"/>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w:t>
      </w:r>
    </w:p>
    <w:p>
      <w:pPr>
        <w:spacing w:after="0" w:line="1" w:lineRule="exact"/>
        <w:rPr>
          <w:sz w:val="20"/>
          <w:szCs w:val="20"/>
          <w:color w:val="auto"/>
        </w:rPr>
      </w:pPr>
    </w:p>
    <w:p>
      <w:pPr>
        <w:ind w:left="1260" w:right="219" w:firstLine="7"/>
        <w:spacing w:after="0" w:line="227" w:lineRule="auto"/>
        <w:tabs>
          <w:tab w:leader="none" w:pos="1453"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reduce the price per share of any outstanding Option or Stock Appreciation Right granted under the Plan or take any 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 Award be granted under the Plan after the tenth (10</w:t>
      </w:r>
      <w:r>
        <w:rPr>
          <w:rFonts w:ascii="Arial" w:cs="Arial" w:eastAsia="Arial" w:hAnsi="Arial"/>
          <w:sz w:val="19"/>
          <w:szCs w:val="19"/>
          <w:color w:val="auto"/>
          <w:vertAlign w:val="superscript"/>
        </w:rPr>
        <w:t>th</w:t>
      </w:r>
      <w:r>
        <w:rPr>
          <w:rFonts w:ascii="Arial" w:cs="Arial" w:eastAsia="Arial" w:hAnsi="Arial"/>
          <w:sz w:val="13"/>
          <w:szCs w:val="13"/>
          <w:color w:val="auto"/>
        </w:rPr>
        <w:t>) anniversary of the Effective Date (the “</w:t>
      </w:r>
      <w:r>
        <w:rPr>
          <w:rFonts w:ascii="Arial" w:cs="Arial" w:eastAsia="Arial" w:hAnsi="Arial"/>
          <w:sz w:val="13"/>
          <w:szCs w:val="13"/>
          <w:u w:val="single" w:color="auto"/>
          <w:color w:val="auto"/>
        </w:rPr>
        <w:t>Expiration Date</w:t>
      </w:r>
      <w:r>
        <w:rPr>
          <w:rFonts w:ascii="Arial" w:cs="Arial" w:eastAsia="Arial" w:hAnsi="Arial"/>
          <w:sz w:val="13"/>
          <w:szCs w:val="13"/>
          <w:color w:val="auto"/>
        </w:rPr>
        <w:t>”). Any Awards that are outstanding on the Expiration Date shall remain in force according to the terms of the Plan and the applicable Award Agreement.</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14.2   </w:t>
      </w:r>
      <w:r>
        <w:rPr>
          <w:rFonts w:ascii="Arial" w:cs="Arial" w:eastAsia="Arial" w:hAnsi="Arial"/>
          <w:sz w:val="13"/>
          <w:szCs w:val="13"/>
          <w:u w:val="single" w:color="auto"/>
          <w:color w:val="auto"/>
        </w:rPr>
        <w:t>Changes in Common Stock or Assets of the Company, Acquisition or Liquidation of the Company and Other Corporate Events</w:t>
      </w:r>
      <w:r>
        <w:rPr>
          <w:rFonts w:ascii="Arial" w:cs="Arial" w:eastAsia="Arial" w:hAnsi="Arial"/>
          <w:sz w:val="13"/>
          <w:szCs w:val="13"/>
          <w:color w:val="auto"/>
        </w:rPr>
        <w:t>.</w:t>
      </w:r>
    </w:p>
    <w:p>
      <w:pPr>
        <w:spacing w:after="0" w:line="172" w:lineRule="exact"/>
        <w:rPr>
          <w:sz w:val="20"/>
          <w:szCs w:val="20"/>
          <w:color w:val="auto"/>
        </w:rPr>
      </w:pPr>
    </w:p>
    <w:p>
      <w:pPr>
        <w:ind w:left="1260" w:right="199" w:firstLine="700"/>
        <w:spacing w:after="0" w:line="247" w:lineRule="auto"/>
        <w:rPr>
          <w:sz w:val="20"/>
          <w:szCs w:val="20"/>
          <w:color w:val="auto"/>
        </w:rPr>
      </w:pPr>
      <w:r>
        <w:rPr>
          <w:rFonts w:ascii="Arial" w:cs="Arial" w:eastAsia="Arial" w:hAnsi="Arial"/>
          <w:sz w:val="13"/>
          <w:szCs w:val="13"/>
          <w:color w:val="auto"/>
        </w:rPr>
        <w:t>(a)  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w:t>
      </w:r>
    </w:p>
    <w:p>
      <w:pPr>
        <w:spacing w:after="0" w:line="1" w:lineRule="exact"/>
        <w:rPr>
          <w:sz w:val="20"/>
          <w:szCs w:val="20"/>
          <w:color w:val="auto"/>
        </w:rPr>
      </w:pPr>
    </w:p>
    <w:p>
      <w:pPr>
        <w:ind w:left="1260" w:right="159" w:firstLine="7"/>
        <w:spacing w:after="0" w:line="243" w:lineRule="auto"/>
        <w:tabs>
          <w:tab w:leader="none" w:pos="141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A-22</w:t>
      </w:r>
    </w:p>
    <w:p>
      <w:pPr>
        <w:sectPr>
          <w:pgSz w:w="11900" w:h="16838" w:orient="portrait"/>
          <w:cols w:equalWidth="0" w:num="1">
            <w:col w:w="10159"/>
          </w:cols>
          <w:pgMar w:left="300" w:top="412"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59" w:firstLine="700"/>
        <w:spacing w:after="0" w:line="246" w:lineRule="auto"/>
        <w:rPr>
          <w:sz w:val="20"/>
          <w:szCs w:val="20"/>
          <w:color w:val="auto"/>
        </w:rPr>
      </w:pPr>
      <w:r>
        <w:rPr>
          <w:rFonts w:ascii="Arial" w:cs="Arial" w:eastAsia="Arial" w:hAnsi="Arial"/>
          <w:sz w:val="13"/>
          <w:szCs w:val="13"/>
          <w:color w:val="auto"/>
        </w:rPr>
        <w:t>(b)  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65" w:lineRule="exact"/>
        <w:rPr>
          <w:sz w:val="20"/>
          <w:szCs w:val="20"/>
          <w:color w:val="auto"/>
        </w:rPr>
      </w:pPr>
    </w:p>
    <w:p>
      <w:pPr>
        <w:ind w:left="1260" w:right="199" w:firstLine="1050"/>
        <w:spacing w:after="0" w:line="246" w:lineRule="auto"/>
        <w:rPr>
          <w:sz w:val="20"/>
          <w:szCs w:val="20"/>
          <w:color w:val="auto"/>
        </w:rPr>
      </w:pPr>
      <w:r>
        <w:rPr>
          <w:rFonts w:ascii="Arial" w:cs="Arial" w:eastAsia="Arial" w:hAnsi="Arial"/>
          <w:sz w:val="13"/>
          <w:szCs w:val="13"/>
          <w:color w:val="auto"/>
        </w:rPr>
        <w:t>(i)  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51" w:lineRule="exact"/>
        <w:rPr>
          <w:sz w:val="20"/>
          <w:szCs w:val="20"/>
          <w:color w:val="auto"/>
        </w:rPr>
      </w:pPr>
    </w:p>
    <w:p>
      <w:pPr>
        <w:ind w:left="1260" w:right="399" w:firstLine="1050"/>
        <w:spacing w:after="0" w:line="256" w:lineRule="auto"/>
        <w:rPr>
          <w:sz w:val="20"/>
          <w:szCs w:val="20"/>
          <w:color w:val="auto"/>
        </w:rPr>
      </w:pPr>
      <w:r>
        <w:rPr>
          <w:rFonts w:ascii="Arial" w:cs="Arial" w:eastAsia="Arial" w:hAnsi="Arial"/>
          <w:sz w:val="13"/>
          <w:szCs w:val="13"/>
          <w:color w:val="auto"/>
        </w:rPr>
        <w:t>(ii)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44" w:lineRule="exact"/>
        <w:rPr>
          <w:sz w:val="20"/>
          <w:szCs w:val="20"/>
          <w:color w:val="auto"/>
        </w:rPr>
      </w:pPr>
    </w:p>
    <w:p>
      <w:pPr>
        <w:ind w:left="1260" w:right="359" w:firstLine="1050"/>
        <w:spacing w:after="0" w:line="256" w:lineRule="auto"/>
        <w:rPr>
          <w:sz w:val="20"/>
          <w:szCs w:val="20"/>
          <w:color w:val="auto"/>
        </w:rPr>
      </w:pPr>
      <w:r>
        <w:rPr>
          <w:rFonts w:ascii="Arial" w:cs="Arial" w:eastAsia="Arial" w:hAnsi="Arial"/>
          <w:sz w:val="13"/>
          <w:szCs w:val="13"/>
          <w:color w:val="auto"/>
        </w:rPr>
        <w:t>(iii)  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44" w:lineRule="exact"/>
        <w:rPr>
          <w:sz w:val="20"/>
          <w:szCs w:val="20"/>
          <w:color w:val="auto"/>
        </w:rPr>
      </w:pPr>
    </w:p>
    <w:p>
      <w:pPr>
        <w:ind w:left="1260" w:right="899" w:firstLine="1050"/>
        <w:spacing w:after="0" w:line="271" w:lineRule="auto"/>
        <w:rPr>
          <w:sz w:val="20"/>
          <w:szCs w:val="20"/>
          <w:color w:val="auto"/>
        </w:rPr>
      </w:pPr>
      <w:r>
        <w:rPr>
          <w:rFonts w:ascii="Arial" w:cs="Arial" w:eastAsia="Arial" w:hAnsi="Arial"/>
          <w:sz w:val="13"/>
          <w:szCs w:val="13"/>
          <w:color w:val="auto"/>
        </w:rPr>
        <w:t>(iv)  To provide that such Award shall be exercisable or payable or fully vested with respect to all Shares covered thereby, notwithstanding anything to the contrary in the Plan or the applicable Program or Award Agreement; and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(v)   To provide that the Award cannot vest, be exercised or become payable after such event.</w:t>
      </w:r>
    </w:p>
    <w:p>
      <w:pPr>
        <w:spacing w:after="0" w:line="172"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(c)   In connection with the occurrence of any Equity Restructuring, and notwithstanding anything to the contrary in Sections 14.2(a) and</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14.2(b):</w:t>
      </w:r>
    </w:p>
    <w:p>
      <w:pPr>
        <w:spacing w:after="0" w:line="75" w:lineRule="exact"/>
        <w:rPr>
          <w:sz w:val="20"/>
          <w:szCs w:val="20"/>
          <w:color w:val="auto"/>
        </w:rPr>
      </w:pPr>
    </w:p>
    <w:p>
      <w:pPr>
        <w:ind w:left="1260" w:right="339" w:firstLine="1050"/>
        <w:spacing w:after="0" w:line="271" w:lineRule="auto"/>
        <w:rPr>
          <w:sz w:val="20"/>
          <w:szCs w:val="20"/>
          <w:color w:val="auto"/>
        </w:rPr>
      </w:pPr>
      <w:r>
        <w:rPr>
          <w:rFonts w:ascii="Arial" w:cs="Arial" w:eastAsia="Arial" w:hAnsi="Arial"/>
          <w:sz w:val="13"/>
          <w:szCs w:val="13"/>
          <w:color w:val="auto"/>
        </w:rPr>
        <w:t>(i)  The number and type of securities subject to each outstanding Award and the exercise price or grant price thereof, if applicable, shall be equitably adjusted; and/or</w:t>
      </w:r>
    </w:p>
    <w:p>
      <w:pPr>
        <w:spacing w:after="0" w:line="134" w:lineRule="exact"/>
        <w:rPr>
          <w:sz w:val="20"/>
          <w:szCs w:val="20"/>
          <w:color w:val="auto"/>
        </w:rPr>
      </w:pPr>
    </w:p>
    <w:p>
      <w:pPr>
        <w:jc w:val="both"/>
        <w:ind w:left="1260" w:right="279" w:firstLine="1050"/>
        <w:spacing w:after="0" w:line="248" w:lineRule="auto"/>
        <w:rPr>
          <w:sz w:val="20"/>
          <w:szCs w:val="20"/>
          <w:color w:val="auto"/>
        </w:rPr>
      </w:pPr>
      <w:r>
        <w:rPr>
          <w:rFonts w:ascii="Arial" w:cs="Arial" w:eastAsia="Arial" w:hAnsi="Arial"/>
          <w:sz w:val="13"/>
          <w:szCs w:val="13"/>
          <w:color w:val="auto"/>
        </w:rPr>
        <w:t>(ii)  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w:t>
      </w:r>
    </w:p>
    <w:p>
      <w:pPr>
        <w:spacing w:after="0" w:line="150" w:lineRule="exact"/>
        <w:rPr>
          <w:sz w:val="20"/>
          <w:szCs w:val="20"/>
          <w:color w:val="auto"/>
        </w:rPr>
      </w:pPr>
    </w:p>
    <w:p>
      <w:pPr>
        <w:ind w:left="1260" w:right="159" w:firstLine="700"/>
        <w:spacing w:after="0" w:line="248" w:lineRule="auto"/>
        <w:rPr>
          <w:sz w:val="20"/>
          <w:szCs w:val="20"/>
          <w:color w:val="auto"/>
        </w:rPr>
      </w:pPr>
      <w:r>
        <w:rPr>
          <w:rFonts w:ascii="Arial" w:cs="Arial" w:eastAsia="Arial" w:hAnsi="Arial"/>
          <w:sz w:val="13"/>
          <w:szCs w:val="13"/>
          <w:color w:val="auto"/>
        </w:rPr>
        <w:t>(d)  Upon a Change in Control, the Administrator, may, in its sole discretion, do one or more of the following: (i) shorten the period during which Options or Stock Appreciation Rights are exercisable (provided they remain exercisable for at least 30 days after the date notice of such shortening is given to the holders of the Options or Stock Appreciation Rights); (ii) accelerate any vesting schedule to which an Award is subject; (iii) arrange to have the surviving or successor entity or any parent entity thereof assume the Awards; or (iv) cancel Awards upon payment to the holders of the Awards in cash, with respect to each Award to the extent then exercisable or vested</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A-23</w:t>
      </w:r>
    </w:p>
    <w:p>
      <w:pPr>
        <w:sectPr>
          <w:pgSz w:w="11900" w:h="16838" w:orient="portrait"/>
          <w:cols w:equalWidth="0" w:num="1">
            <w:col w:w="10159"/>
          </w:cols>
          <w:pgMar w:left="300" w:top="412"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139"/>
        <w:spacing w:after="0" w:line="266" w:lineRule="auto"/>
        <w:rPr>
          <w:sz w:val="20"/>
          <w:szCs w:val="20"/>
          <w:color w:val="auto"/>
        </w:rPr>
      </w:pPr>
      <w:r>
        <w:rPr>
          <w:rFonts w:ascii="Arial" w:cs="Arial" w:eastAsia="Arial" w:hAnsi="Arial"/>
          <w:sz w:val="12"/>
          <w:szCs w:val="12"/>
          <w:color w:val="auto"/>
        </w:rPr>
        <w:t xml:space="preserve">(including, if applicable, any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w:t>
      </w:r>
    </w:p>
    <w:p>
      <w:pPr>
        <w:spacing w:after="0" w:line="142" w:lineRule="exact"/>
        <w:rPr>
          <w:sz w:val="20"/>
          <w:szCs w:val="20"/>
          <w:color w:val="auto"/>
        </w:rPr>
      </w:pPr>
    </w:p>
    <w:p>
      <w:pPr>
        <w:ind w:left="1260" w:right="259" w:firstLine="700"/>
        <w:spacing w:after="0" w:line="271" w:lineRule="auto"/>
        <w:rPr>
          <w:sz w:val="20"/>
          <w:szCs w:val="20"/>
          <w:color w:val="auto"/>
        </w:rPr>
      </w:pPr>
      <w:r>
        <w:rPr>
          <w:rFonts w:ascii="Arial" w:cs="Arial" w:eastAsia="Arial" w:hAnsi="Arial"/>
          <w:sz w:val="13"/>
          <w:szCs w:val="13"/>
          <w:color w:val="auto"/>
        </w:rPr>
        <w:t>(e)  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34" w:lineRule="exact"/>
        <w:rPr>
          <w:sz w:val="20"/>
          <w:szCs w:val="20"/>
          <w:color w:val="auto"/>
        </w:rPr>
      </w:pPr>
    </w:p>
    <w:p>
      <w:pPr>
        <w:ind w:left="1260" w:right="199" w:firstLine="700"/>
        <w:spacing w:after="0" w:line="246" w:lineRule="auto"/>
        <w:rPr>
          <w:sz w:val="20"/>
          <w:szCs w:val="20"/>
          <w:color w:val="auto"/>
        </w:rPr>
      </w:pPr>
      <w:r>
        <w:rPr>
          <w:rFonts w:ascii="Arial" w:cs="Arial" w:eastAsia="Arial" w:hAnsi="Arial"/>
          <w:sz w:val="13"/>
          <w:szCs w:val="13"/>
          <w:color w:val="auto"/>
        </w:rPr>
        <w:t>(f)  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51" w:lineRule="exact"/>
        <w:rPr>
          <w:sz w:val="20"/>
          <w:szCs w:val="20"/>
          <w:color w:val="auto"/>
        </w:rPr>
      </w:pPr>
    </w:p>
    <w:p>
      <w:pPr>
        <w:ind w:left="1260" w:right="139" w:firstLine="700"/>
        <w:spacing w:after="0" w:line="247" w:lineRule="auto"/>
        <w:rPr>
          <w:sz w:val="20"/>
          <w:szCs w:val="20"/>
          <w:color w:val="auto"/>
        </w:rPr>
      </w:pPr>
      <w:r>
        <w:rPr>
          <w:rFonts w:ascii="Arial" w:cs="Arial" w:eastAsia="Arial" w:hAnsi="Arial"/>
          <w:sz w:val="13"/>
          <w:szCs w:val="13"/>
          <w:color w:val="auto"/>
        </w:rPr>
        <w:t>(g)  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50" w:lineRule="exact"/>
        <w:rPr>
          <w:sz w:val="20"/>
          <w:szCs w:val="20"/>
          <w:color w:val="auto"/>
        </w:rPr>
      </w:pPr>
    </w:p>
    <w:p>
      <w:pPr>
        <w:ind w:left="1260" w:right="499" w:firstLine="700"/>
        <w:spacing w:after="0" w:line="271" w:lineRule="auto"/>
        <w:rPr>
          <w:sz w:val="20"/>
          <w:szCs w:val="20"/>
          <w:color w:val="auto"/>
        </w:rPr>
      </w:pPr>
      <w:r>
        <w:rPr>
          <w:rFonts w:ascii="Arial" w:cs="Arial" w:eastAsia="Arial" w:hAnsi="Arial"/>
          <w:sz w:val="13"/>
          <w:szCs w:val="13"/>
          <w:color w:val="auto"/>
        </w:rPr>
        <w:t>(h)  No action shall be taken under this Section 14.2 which shall cause an Award to fail to comply with Section 409A of the Code or the Treasury Regulations thereunder, to the extent applicable to such Award.</w:t>
      </w:r>
    </w:p>
    <w:p>
      <w:pPr>
        <w:spacing w:after="0" w:line="134" w:lineRule="exact"/>
        <w:rPr>
          <w:sz w:val="20"/>
          <w:szCs w:val="20"/>
          <w:color w:val="auto"/>
        </w:rPr>
      </w:pPr>
    </w:p>
    <w:p>
      <w:pPr>
        <w:ind w:left="1260" w:right="159" w:firstLine="700"/>
        <w:spacing w:after="0" w:line="251" w:lineRule="auto"/>
        <w:rPr>
          <w:sz w:val="20"/>
          <w:szCs w:val="20"/>
          <w:color w:val="auto"/>
        </w:rPr>
      </w:pPr>
      <w:r>
        <w:rPr>
          <w:rFonts w:ascii="Arial" w:cs="Arial" w:eastAsia="Arial" w:hAnsi="Arial"/>
          <w:sz w:val="13"/>
          <w:szCs w:val="13"/>
          <w:color w:val="auto"/>
        </w:rPr>
        <w:t>(i)  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47" w:lineRule="exact"/>
        <w:rPr>
          <w:sz w:val="20"/>
          <w:szCs w:val="20"/>
          <w:color w:val="auto"/>
        </w:rPr>
      </w:pPr>
    </w:p>
    <w:p>
      <w:pPr>
        <w:ind w:left="1260" w:right="179" w:firstLine="350"/>
        <w:spacing w:after="0" w:line="248" w:lineRule="auto"/>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u w:val="single" w:color="auto"/>
          <w:color w:val="auto"/>
        </w:rPr>
        <w:t>Approval of Plan by Stockholders</w:t>
      </w:r>
      <w:r>
        <w:rPr>
          <w:rFonts w:ascii="Arial" w:cs="Arial" w:eastAsia="Arial" w:hAnsi="Arial"/>
          <w:sz w:val="13"/>
          <w:szCs w:val="13"/>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if such approval has not been obtained at the end of said twelve (12) month period, all Awards previously granted or awarded under the Plan shall thereupon be canceled and become null and void.</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A-24</w:t>
      </w:r>
    </w:p>
    <w:p>
      <w:pPr>
        <w:sectPr>
          <w:pgSz w:w="11900" w:h="16838" w:orient="portrait"/>
          <w:cols w:equalWidth="0" w:num="1">
            <w:col w:w="10159"/>
          </w:cols>
          <w:pgMar w:left="300" w:top="412"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59425" cy="8655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59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219" w:firstLine="350"/>
        <w:spacing w:after="0" w:line="271" w:lineRule="auto"/>
        <w:rPr>
          <w:sz w:val="20"/>
          <w:szCs w:val="20"/>
          <w:color w:val="auto"/>
        </w:rPr>
      </w:pPr>
      <w:r>
        <w:rPr>
          <w:rFonts w:ascii="Arial" w:cs="Arial" w:eastAsia="Arial" w:hAnsi="Arial"/>
          <w:sz w:val="13"/>
          <w:szCs w:val="13"/>
          <w:color w:val="auto"/>
        </w:rPr>
        <w:t xml:space="preserve">14.4  </w:t>
      </w:r>
      <w:r>
        <w:rPr>
          <w:rFonts w:ascii="Arial" w:cs="Arial" w:eastAsia="Arial" w:hAnsi="Arial"/>
          <w:sz w:val="13"/>
          <w:szCs w:val="13"/>
          <w:u w:val="single" w:color="auto"/>
          <w:color w:val="auto"/>
        </w:rPr>
        <w:t>No Stockholders Rights</w:t>
      </w:r>
      <w:r>
        <w:rPr>
          <w:rFonts w:ascii="Arial" w:cs="Arial" w:eastAsia="Arial" w:hAnsi="Arial"/>
          <w:sz w:val="13"/>
          <w:szCs w:val="13"/>
          <w:color w:val="auto"/>
        </w:rPr>
        <w:t>. Except as otherwise provided herein, a Holder shall have none of the rights of a stockholder with respect to Shares covered by any Award until the Holder becomes the record owner of such Shares.</w:t>
      </w:r>
    </w:p>
    <w:p>
      <w:pPr>
        <w:spacing w:after="0" w:line="134" w:lineRule="exact"/>
        <w:rPr>
          <w:sz w:val="20"/>
          <w:szCs w:val="20"/>
          <w:color w:val="auto"/>
        </w:rPr>
      </w:pPr>
    </w:p>
    <w:p>
      <w:pPr>
        <w:ind w:left="1260" w:right="179" w:firstLine="350"/>
        <w:spacing w:after="0" w:line="256" w:lineRule="auto"/>
        <w:rPr>
          <w:sz w:val="20"/>
          <w:szCs w:val="20"/>
          <w:color w:val="auto"/>
        </w:rPr>
      </w:pPr>
      <w:r>
        <w:rPr>
          <w:rFonts w:ascii="Arial" w:cs="Arial" w:eastAsia="Arial" w:hAnsi="Arial"/>
          <w:sz w:val="13"/>
          <w:szCs w:val="13"/>
          <w:color w:val="auto"/>
        </w:rPr>
        <w:t xml:space="preserve">14.5  </w:t>
      </w:r>
      <w:r>
        <w:rPr>
          <w:rFonts w:ascii="Arial" w:cs="Arial" w:eastAsia="Arial" w:hAnsi="Arial"/>
          <w:sz w:val="13"/>
          <w:szCs w:val="13"/>
          <w:u w:val="single" w:color="auto"/>
          <w:color w:val="auto"/>
        </w:rPr>
        <w:t>Paperless Administration</w:t>
      </w:r>
      <w:r>
        <w:rPr>
          <w:rFonts w:ascii="Arial" w:cs="Arial" w:eastAsia="Arial" w:hAnsi="Arial"/>
          <w:sz w:val="13"/>
          <w:szCs w:val="13"/>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44" w:lineRule="exact"/>
        <w:rPr>
          <w:sz w:val="20"/>
          <w:szCs w:val="20"/>
          <w:color w:val="auto"/>
        </w:rPr>
      </w:pPr>
    </w:p>
    <w:p>
      <w:pPr>
        <w:ind w:left="1260" w:right="159" w:firstLine="350"/>
        <w:spacing w:after="0" w:line="247" w:lineRule="auto"/>
        <w:rPr>
          <w:sz w:val="20"/>
          <w:szCs w:val="20"/>
          <w:color w:val="auto"/>
        </w:rPr>
      </w:pPr>
      <w:r>
        <w:rPr>
          <w:rFonts w:ascii="Arial" w:cs="Arial" w:eastAsia="Arial" w:hAnsi="Arial"/>
          <w:sz w:val="13"/>
          <w:szCs w:val="13"/>
          <w:color w:val="auto"/>
        </w:rPr>
        <w:t xml:space="preserve">14.6  </w:t>
      </w:r>
      <w:r>
        <w:rPr>
          <w:rFonts w:ascii="Arial" w:cs="Arial" w:eastAsia="Arial" w:hAnsi="Arial"/>
          <w:sz w:val="13"/>
          <w:szCs w:val="13"/>
          <w:u w:val="single" w:color="auto"/>
          <w:color w:val="auto"/>
        </w:rPr>
        <w:t>Effect of Plan upon Other Compensation Plans</w:t>
      </w:r>
      <w:r>
        <w:rPr>
          <w:rFonts w:ascii="Arial" w:cs="Arial" w:eastAsia="Arial" w:hAnsi="Arial"/>
          <w:sz w:val="13"/>
          <w:szCs w:val="13"/>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50" w:lineRule="exact"/>
        <w:rPr>
          <w:sz w:val="20"/>
          <w:szCs w:val="20"/>
          <w:color w:val="auto"/>
        </w:rPr>
      </w:pPr>
    </w:p>
    <w:p>
      <w:pPr>
        <w:ind w:left="1260" w:right="179" w:firstLine="350"/>
        <w:spacing w:after="0" w:line="246" w:lineRule="auto"/>
        <w:rPr>
          <w:sz w:val="20"/>
          <w:szCs w:val="20"/>
          <w:color w:val="auto"/>
        </w:rPr>
      </w:pPr>
      <w:r>
        <w:rPr>
          <w:rFonts w:ascii="Arial" w:cs="Arial" w:eastAsia="Arial" w:hAnsi="Arial"/>
          <w:sz w:val="13"/>
          <w:szCs w:val="13"/>
          <w:color w:val="auto"/>
        </w:rPr>
        <w:t xml:space="preserve">14.7 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51" w:lineRule="exact"/>
        <w:rPr>
          <w:sz w:val="20"/>
          <w:szCs w:val="20"/>
          <w:color w:val="auto"/>
        </w:rPr>
      </w:pPr>
    </w:p>
    <w:p>
      <w:pPr>
        <w:jc w:val="both"/>
        <w:ind w:left="1260" w:right="579" w:firstLine="350"/>
        <w:spacing w:after="0" w:line="256" w:lineRule="auto"/>
        <w:rPr>
          <w:sz w:val="20"/>
          <w:szCs w:val="20"/>
          <w:color w:val="auto"/>
        </w:rPr>
      </w:pPr>
      <w:r>
        <w:rPr>
          <w:rFonts w:ascii="Arial" w:cs="Arial" w:eastAsia="Arial" w:hAnsi="Arial"/>
          <w:sz w:val="13"/>
          <w:szCs w:val="13"/>
          <w:color w:val="auto"/>
        </w:rPr>
        <w:t xml:space="preserve">14.8  </w:t>
      </w:r>
      <w:r>
        <w:rPr>
          <w:rFonts w:ascii="Arial" w:cs="Arial" w:eastAsia="Arial" w:hAnsi="Arial"/>
          <w:sz w:val="13"/>
          <w:szCs w:val="13"/>
          <w:u w:val="single" w:color="auto"/>
          <w:color w:val="auto"/>
        </w:rPr>
        <w:t>Titles and Headings, References to Sections of the Code or Exchange Act</w:t>
      </w:r>
      <w:r>
        <w:rPr>
          <w:rFonts w:ascii="Arial" w:cs="Arial" w:eastAsia="Arial" w:hAnsi="Arial"/>
          <w:sz w:val="13"/>
          <w:szCs w:val="13"/>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44" w:lineRule="exact"/>
        <w:rPr>
          <w:sz w:val="20"/>
          <w:szCs w:val="20"/>
          <w:color w:val="auto"/>
        </w:rPr>
      </w:pPr>
    </w:p>
    <w:p>
      <w:pPr>
        <w:ind w:left="1260" w:right="459" w:firstLine="350"/>
        <w:spacing w:after="0" w:line="271" w:lineRule="auto"/>
        <w:rPr>
          <w:sz w:val="20"/>
          <w:szCs w:val="20"/>
          <w:color w:val="auto"/>
        </w:rPr>
      </w:pPr>
      <w:r>
        <w:rPr>
          <w:rFonts w:ascii="Arial" w:cs="Arial" w:eastAsia="Arial" w:hAnsi="Arial"/>
          <w:sz w:val="13"/>
          <w:szCs w:val="13"/>
          <w:color w:val="auto"/>
        </w:rPr>
        <w:t xml:space="preserve">14.9  </w:t>
      </w:r>
      <w:r>
        <w:rPr>
          <w:rFonts w:ascii="Arial" w:cs="Arial" w:eastAsia="Arial" w:hAnsi="Arial"/>
          <w:sz w:val="13"/>
          <w:szCs w:val="13"/>
          <w:u w:val="single" w:color="auto"/>
          <w:color w:val="auto"/>
        </w:rPr>
        <w:t>Governing Law</w:t>
      </w:r>
      <w:r>
        <w:rPr>
          <w:rFonts w:ascii="Arial" w:cs="Arial" w:eastAsia="Arial" w:hAnsi="Arial"/>
          <w:sz w:val="13"/>
          <w:szCs w:val="13"/>
          <w:color w:val="auto"/>
        </w:rPr>
        <w:t>. The Plan and any agreements hereunder shall be administered, interpreted and enforced under the internal laws of the State of Nevada without regard to conflicts of laws thereof or of any other jurisdiction.</w:t>
      </w:r>
    </w:p>
    <w:p>
      <w:pPr>
        <w:spacing w:after="0" w:line="134" w:lineRule="exact"/>
        <w:rPr>
          <w:sz w:val="20"/>
          <w:szCs w:val="20"/>
          <w:color w:val="auto"/>
        </w:rPr>
      </w:pPr>
    </w:p>
    <w:p>
      <w:pPr>
        <w:ind w:left="1260" w:right="139" w:firstLine="350"/>
        <w:spacing w:after="0" w:line="266" w:lineRule="auto"/>
        <w:rPr>
          <w:sz w:val="20"/>
          <w:szCs w:val="20"/>
          <w:color w:val="auto"/>
        </w:rPr>
      </w:pPr>
      <w:r>
        <w:rPr>
          <w:rFonts w:ascii="Arial" w:cs="Arial" w:eastAsia="Arial" w:hAnsi="Arial"/>
          <w:sz w:val="12"/>
          <w:szCs w:val="12"/>
          <w:color w:val="auto"/>
        </w:rPr>
        <w:t xml:space="preserve">14.10  </w:t>
      </w:r>
      <w:r>
        <w:rPr>
          <w:rFonts w:ascii="Arial" w:cs="Arial" w:eastAsia="Arial" w:hAnsi="Arial"/>
          <w:sz w:val="12"/>
          <w:szCs w:val="12"/>
          <w:u w:val="single" w:color="auto"/>
          <w:color w:val="auto"/>
        </w:rPr>
        <w:t>Section 409A</w:t>
      </w:r>
      <w:r>
        <w:rPr>
          <w:rFonts w:ascii="Arial" w:cs="Arial" w:eastAsia="Arial" w:hAnsi="Arial"/>
          <w:sz w:val="12"/>
          <w:szCs w:val="12"/>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42" w:lineRule="exact"/>
        <w:rPr>
          <w:sz w:val="20"/>
          <w:szCs w:val="20"/>
          <w:color w:val="auto"/>
        </w:rPr>
      </w:pPr>
    </w:p>
    <w:p>
      <w:pPr>
        <w:ind w:left="1260" w:right="219" w:firstLine="350"/>
        <w:spacing w:after="0" w:line="271" w:lineRule="auto"/>
        <w:rPr>
          <w:sz w:val="20"/>
          <w:szCs w:val="20"/>
          <w:color w:val="auto"/>
        </w:rPr>
      </w:pPr>
      <w:r>
        <w:rPr>
          <w:rFonts w:ascii="Arial" w:cs="Arial" w:eastAsia="Arial" w:hAnsi="Arial"/>
          <w:sz w:val="13"/>
          <w:szCs w:val="13"/>
          <w:color w:val="auto"/>
        </w:rPr>
        <w:t xml:space="preserve">14.11  </w:t>
      </w:r>
      <w:r>
        <w:rPr>
          <w:rFonts w:ascii="Arial" w:cs="Arial" w:eastAsia="Arial" w:hAnsi="Arial"/>
          <w:sz w:val="13"/>
          <w:szCs w:val="13"/>
          <w:u w:val="single" w:color="auto"/>
          <w:color w:val="auto"/>
        </w:rPr>
        <w:t>No Rights to Awards</w:t>
      </w:r>
      <w:r>
        <w:rPr>
          <w:rFonts w:ascii="Arial" w:cs="Arial" w:eastAsia="Arial" w:hAnsi="Arial"/>
          <w:sz w:val="13"/>
          <w:szCs w:val="13"/>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A-25</w:t>
      </w:r>
    </w:p>
    <w:p>
      <w:pPr>
        <w:sectPr>
          <w:pgSz w:w="11900" w:h="16838" w:orient="portrait"/>
          <w:cols w:equalWidth="0" w:num="1">
            <w:col w:w="10159"/>
          </w:cols>
          <w:pgMar w:left="300" w:top="412"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504815" cy="8655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5048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60" w:right="299" w:firstLine="350"/>
        <w:spacing w:after="0" w:line="256" w:lineRule="auto"/>
        <w:rPr>
          <w:sz w:val="20"/>
          <w:szCs w:val="20"/>
          <w:color w:val="auto"/>
        </w:rPr>
      </w:pPr>
      <w:r>
        <w:rPr>
          <w:rFonts w:ascii="Arial" w:cs="Arial" w:eastAsia="Arial" w:hAnsi="Arial"/>
          <w:sz w:val="13"/>
          <w:szCs w:val="13"/>
          <w:color w:val="auto"/>
        </w:rPr>
        <w:t xml:space="preserve">14.12  </w:t>
      </w:r>
      <w:r>
        <w:rPr>
          <w:rFonts w:ascii="Arial" w:cs="Arial" w:eastAsia="Arial" w:hAnsi="Arial"/>
          <w:sz w:val="13"/>
          <w:szCs w:val="13"/>
          <w:u w:val="single" w:color="auto"/>
          <w:color w:val="auto"/>
        </w:rPr>
        <w:t>Unfunded Status of Awards</w:t>
      </w:r>
      <w:r>
        <w:rPr>
          <w:rFonts w:ascii="Arial" w:cs="Arial" w:eastAsia="Arial" w:hAnsi="Arial"/>
          <w:sz w:val="13"/>
          <w:szCs w:val="13"/>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144" w:lineRule="exact"/>
        <w:rPr>
          <w:sz w:val="20"/>
          <w:szCs w:val="20"/>
          <w:color w:val="auto"/>
        </w:rPr>
      </w:pPr>
    </w:p>
    <w:p>
      <w:pPr>
        <w:ind w:left="1260" w:right="159" w:firstLine="350"/>
        <w:spacing w:after="0" w:line="245" w:lineRule="auto"/>
        <w:rPr>
          <w:sz w:val="20"/>
          <w:szCs w:val="20"/>
          <w:color w:val="auto"/>
        </w:rPr>
      </w:pPr>
      <w:r>
        <w:rPr>
          <w:rFonts w:ascii="Arial" w:cs="Arial" w:eastAsia="Arial" w:hAnsi="Arial"/>
          <w:sz w:val="13"/>
          <w:szCs w:val="13"/>
          <w:color w:val="auto"/>
        </w:rPr>
        <w:t xml:space="preserve">14.13  </w:t>
      </w:r>
      <w:r>
        <w:rPr>
          <w:rFonts w:ascii="Arial" w:cs="Arial" w:eastAsia="Arial" w:hAnsi="Arial"/>
          <w:sz w:val="13"/>
          <w:szCs w:val="13"/>
          <w:u w:val="single" w:color="auto"/>
          <w:color w:val="auto"/>
        </w:rPr>
        <w:t>Indemnification</w:t>
      </w:r>
      <w:r>
        <w:rPr>
          <w:rFonts w:ascii="Arial" w:cs="Arial" w:eastAsia="Arial" w:hAnsi="Arial"/>
          <w:sz w:val="13"/>
          <w:szCs w:val="13"/>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spacing w:after="0" w:line="152" w:lineRule="exact"/>
        <w:rPr>
          <w:sz w:val="20"/>
          <w:szCs w:val="20"/>
          <w:color w:val="auto"/>
        </w:rPr>
      </w:pPr>
    </w:p>
    <w:p>
      <w:pPr>
        <w:jc w:val="both"/>
        <w:ind w:left="1260" w:right="199" w:firstLine="350"/>
        <w:spacing w:after="0" w:line="256" w:lineRule="auto"/>
        <w:rPr>
          <w:sz w:val="20"/>
          <w:szCs w:val="20"/>
          <w:color w:val="auto"/>
        </w:rPr>
      </w:pPr>
      <w:r>
        <w:rPr>
          <w:rFonts w:ascii="Arial" w:cs="Arial" w:eastAsia="Arial" w:hAnsi="Arial"/>
          <w:sz w:val="13"/>
          <w:szCs w:val="13"/>
          <w:color w:val="auto"/>
        </w:rPr>
        <w:t xml:space="preserve">14.14  </w:t>
      </w:r>
      <w:r>
        <w:rPr>
          <w:rFonts w:ascii="Arial" w:cs="Arial" w:eastAsia="Arial" w:hAnsi="Arial"/>
          <w:sz w:val="13"/>
          <w:szCs w:val="13"/>
          <w:u w:val="single" w:color="auto"/>
          <w:color w:val="auto"/>
        </w:rPr>
        <w:t>Relationship to other Benefits</w:t>
      </w:r>
      <w:r>
        <w:rPr>
          <w:rFonts w:ascii="Arial" w:cs="Arial" w:eastAsia="Arial" w:hAnsi="Arial"/>
          <w:sz w:val="13"/>
          <w:szCs w:val="13"/>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xml:space="preserve">14.15   </w:t>
      </w:r>
      <w:r>
        <w:rPr>
          <w:rFonts w:ascii="Arial" w:cs="Arial" w:eastAsia="Arial" w:hAnsi="Arial"/>
          <w:sz w:val="13"/>
          <w:szCs w:val="13"/>
          <w:u w:val="single" w:color="auto"/>
          <w:color w:val="auto"/>
        </w:rPr>
        <w:t>Expenses</w:t>
      </w:r>
      <w:r>
        <w:rPr>
          <w:rFonts w:ascii="Arial" w:cs="Arial" w:eastAsia="Arial" w:hAnsi="Arial"/>
          <w:sz w:val="13"/>
          <w:szCs w:val="13"/>
          <w:color w:val="auto"/>
        </w:rPr>
        <w:t>. The expenses of administering the Plan shall be borne by the Company and its Affiliates.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A-26</w:t>
      </w:r>
    </w:p>
    <w:p>
      <w:pPr>
        <w:sectPr>
          <w:pgSz w:w="11900" w:h="16838" w:orient="portrait"/>
          <w:cols w:equalWidth="0" w:num="1">
            <w:col w:w="10159"/>
          </w:cols>
          <w:pgMar w:left="300" w:top="412"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722620" cy="73577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722620" cy="735774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173990</wp:posOffset>
            </wp:positionV>
            <wp:extent cx="5722620" cy="73577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22620" cy="735774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9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9630"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173990</wp:posOffset>
            </wp:positionV>
            <wp:extent cx="4953000" cy="64039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953000" cy="6403975"/>
                    </a:xfrm>
                    <a:prstGeom prst="rect">
                      <a:avLst/>
                    </a:prstGeom>
                    <a:noFill/>
                  </pic:spPr>
                </pic:pic>
              </a:graphicData>
            </a:graphic>
          </wp:anchor>
        </w:drawing>
      </w:r>
    </w:p>
    <w:p>
      <w:pPr>
        <w:sectPr>
          <w:pgSz w:w="11900" w:h="16838" w:orient="portrait"/>
          <w:cols w:equalWidth="0" w:num="1">
            <w:col w:w="10159"/>
          </w:cols>
          <w:pgMar w:left="300" w:top="412"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463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99630"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173990</wp:posOffset>
            </wp:positionV>
            <wp:extent cx="5055235" cy="65405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055235" cy="6540500"/>
                    </a:xfrm>
                    <a:prstGeom prst="rect">
                      <a:avLst/>
                    </a:prstGeom>
                    <a:noFill/>
                  </pic:spPr>
                </pic:pic>
              </a:graphicData>
            </a:graphic>
          </wp:anchor>
        </w:drawing>
      </w:r>
    </w:p>
    <w:sectPr>
      <w:pgSz w:w="11900" w:h="16838" w:orient="portrait"/>
      <w:cols w:equalWidth="0" w:num="1">
        <w:col w:w="10159"/>
      </w:cols>
      <w:pgMar w:left="300" w:top="4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decimal"/>
    </w:lvl>
    <w:lvl w:ilvl="1">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decimal"/>
      <w:start w:val="3"/>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3"/>
    </w:lvl>
    <w:lvl w:ilvl="1">
      <w:lvlJc w:val="left"/>
      <w:lvlText w:val="(%2)"/>
      <w:numFmt w:val="lowerRoman"/>
      <w:start w:val="1"/>
    </w:lvl>
  </w:abstractNum>
  <w:abstractNum w:abstractNumId="35">
    <w:nsid w:val="275AC794"/>
    <w:multiLevelType w:val="hybridMultilevel"/>
    <w:lvl w:ilvl="0">
      <w:lvlJc w:val="left"/>
      <w:lvlText w:val=" "/>
      <w:numFmt w:val="bullet"/>
      <w:start w:val="1"/>
    </w:lvl>
    <w:lvl w:ilvl="1">
      <w:lvlJc w:val="left"/>
      <w:lvlText w:val="(%2)"/>
      <w:numFmt w:val="lowerRoman"/>
      <w:start w:val="1"/>
    </w:lvl>
  </w:abstractNum>
  <w:abstractNum w:abstractNumId="36">
    <w:nsid w:val="39386575"/>
    <w:multiLevelType w:val="hybridMultilevel"/>
    <w:lvl w:ilvl="0">
      <w:lvlJc w:val="left"/>
      <w:lvlText w:val="(%1)"/>
      <w:numFmt w:val="decimal"/>
      <w:start w:val="5"/>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lowerRoman"/>
      <w:start w:val="2"/>
    </w:lvl>
  </w:abstractNum>
  <w:abstractNum w:abstractNumId="41">
    <w:nsid w:val="354FE9F9"/>
    <w:multiLevelType w:val="hybridMultilevel"/>
    <w:lvl w:ilvl="0">
      <w:lvlJc w:val="left"/>
      <w:lvlText w:val="(%1)"/>
      <w:numFmt w:val="lowerRoman"/>
      <w:start w:val="1"/>
    </w:lvl>
  </w:abstractNum>
  <w:abstractNum w:abstractNumId="42">
    <w:nsid w:val="15B5AF5C"/>
    <w:multiLevelType w:val="hybridMultilevel"/>
    <w:lvl w:ilvl="0">
      <w:lvlJc w:val="left"/>
      <w:lvlText w:val="(%1)"/>
      <w:numFmt w:val="lowerRoman"/>
      <w:start w:val="4"/>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2"/>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lowerLetter"/>
      <w:start w:val="3"/>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9"/>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lowerRoman"/>
      <w:start w:val="10"/>
    </w:lvl>
  </w:abstractNum>
  <w:abstractNum w:abstractNumId="60">
    <w:nsid w:val="100F8FCA"/>
    <w:multiLevelType w:val="hybridMultilevel"/>
    <w:lvl w:ilvl="0">
      <w:lvlJc w:val="left"/>
      <w:lvlText w:val="(%1)"/>
      <w:numFmt w:val="lowerRoman"/>
      <w:start w:val="18"/>
    </w:lvl>
  </w:abstractNum>
  <w:abstractNum w:abstractNumId="61">
    <w:nsid w:val="6590700B"/>
    <w:multiLevelType w:val="hybridMultilevel"/>
    <w:lvl w:ilvl="0">
      <w:lvlJc w:val="left"/>
      <w:lvlText w:val="(%1)"/>
      <w:numFmt w:val="lowerRoman"/>
      <w:start w:val="28"/>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lowerLetter"/>
      <w:start w:val="3"/>
    </w:lvl>
  </w:abstractNum>
  <w:abstractNum w:abstractNumId="67">
    <w:nsid w:val="42C296BD"/>
    <w:multiLevelType w:val="hybridMultilevel"/>
    <w:lvl w:ilvl="0">
      <w:lvlJc w:val="left"/>
      <w:lvlText w:val="(%1)"/>
      <w:numFmt w:val="lowerRoman"/>
      <w:start w:val="3"/>
    </w:lvl>
  </w:abstractNum>
  <w:abstractNum w:abstractNumId="68">
    <w:nsid w:val="168E121F"/>
    <w:multiLevelType w:val="hybridMultilevel"/>
    <w:lvl w:ilvl="0">
      <w:lvlJc w:val="left"/>
      <w:lvlText w:val="(%1)"/>
      <w:numFmt w:val="lowerLetter"/>
      <w:start w:val="5"/>
    </w:lvl>
  </w:abstractNum>
  <w:abstractNum w:abstractNumId="69">
    <w:nsid w:val="1EBA5D23"/>
    <w:multiLevelType w:val="hybridMultilevel"/>
    <w:lvl w:ilvl="0">
      <w:lvlJc w:val="left"/>
      <w:lvlText w:val="(%1)"/>
      <w:numFmt w:val="lowerRoman"/>
      <w:start w:val="2"/>
    </w:lvl>
  </w:abstractNum>
  <w:abstractNum w:abstractNumId="70">
    <w:nsid w:val="661E3F1E"/>
    <w:multiLevelType w:val="hybridMultilevel"/>
    <w:lvl w:ilvl="0">
      <w:lvlJc w:val="left"/>
      <w:lvlText w:val="(%1)"/>
      <w:numFmt w:val="lowerRoman"/>
      <w:start w:val="15"/>
    </w:lvl>
  </w:abstractNum>
  <w:abstractNum w:abstractNumId="71">
    <w:nsid w:val="5DC79EA8"/>
    <w:multiLevelType w:val="hybridMultilevel"/>
    <w:lvl w:ilvl="0">
      <w:lvlJc w:val="left"/>
      <w:lvlText w:val="(%1)"/>
      <w:numFmt w:val="lowerLetter"/>
      <w:start w:val="2"/>
    </w:lvl>
  </w:abstractNum>
  <w:abstractNum w:abstractNumId="72">
    <w:nsid w:val="540A471C"/>
    <w:multiLevelType w:val="hybridMultilevel"/>
    <w:lvl w:ilvl="0">
      <w:lvlJc w:val="left"/>
      <w:lvlText w:val="(%1)"/>
      <w:numFmt w:val="lowerLetter"/>
      <w:start w:val="3"/>
    </w:lvl>
  </w:abstractNum>
  <w:abstractNum w:abstractNumId="73">
    <w:nsid w:val="7BD3EE7B"/>
    <w:multiLevelType w:val="hybridMultilevel"/>
    <w:lvl w:ilvl="0">
      <w:lvlJc w:val="left"/>
      <w:lvlText w:val="(%1)"/>
      <w:numFmt w:val="lowerRoman"/>
      <w:start w:val="1"/>
    </w:lvl>
  </w:abstractNum>
  <w:abstractNum w:abstractNumId="74">
    <w:nsid w:val="51D9C564"/>
    <w:multiLevelType w:val="hybridMultilevel"/>
    <w:lvl w:ilvl="0">
      <w:lvlJc w:val="left"/>
      <w:lvlText w:val="(%1)"/>
      <w:numFmt w:val="lowerLetter"/>
      <w:start w:val="2"/>
    </w:lvl>
  </w:abstractNum>
  <w:abstractNum w:abstractNumId="75">
    <w:nsid w:val="613EFD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2026-03-25T15:59:12Z</dcterms:created>
  <dcterms:modified xsi:type="dcterms:W3CDTF">2026-03-25T15:59:12Z</dcterms:modified>
</cp:coreProperties>
</file>