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680" w:right="6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2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gridSpan w:val="7"/>
          </w:tcPr>
          <w:p>
            <w:pPr>
              <w:jc w:val="center"/>
              <w:ind w:right="2848"/>
              <w:spacing w:after="0"/>
              <w:rPr>
                <w:sz w:val="20"/>
                <w:szCs w:val="20"/>
                <w:color w:val="auto"/>
              </w:rPr>
            </w:pPr>
            <w:r>
              <w:rPr>
                <w:rFonts w:ascii="Times New Roman" w:cs="Times New Roman" w:eastAsia="Times New Roman" w:hAnsi="Times New Roman"/>
                <w:sz w:val="18"/>
                <w:szCs w:val="18"/>
                <w:b w:val="1"/>
                <w:bCs w:val="1"/>
                <w:color w:val="auto"/>
                <w:w w:val="99"/>
              </w:rPr>
              <w:t>Commission File No. 000-50028</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r>
      <w:tr>
        <w:trPr>
          <w:trHeight w:val="5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28"/>
              <w:spacing w:after="0"/>
              <w:rPr>
                <w:sz w:val="20"/>
                <w:szCs w:val="20"/>
                <w:color w:val="auto"/>
              </w:rPr>
            </w:pPr>
            <w:r>
              <w:rPr>
                <w:rFonts w:ascii="Times New Roman" w:cs="Times New Roman" w:eastAsia="Times New Roman" w:hAnsi="Times New Roman"/>
                <w:sz w:val="43"/>
                <w:szCs w:val="43"/>
                <w:b w:val="1"/>
                <w:bCs w:val="1"/>
                <w:color w:val="auto"/>
              </w:rPr>
              <w:t>WYNN RESORTS, LIMITED</w:t>
            </w:r>
          </w:p>
        </w:tc>
      </w:tr>
      <w:tr>
        <w:trPr>
          <w:trHeight w:val="238"/>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8"/>
          </w:tcPr>
          <w:p>
            <w:pPr>
              <w:jc w:val="center"/>
              <w:ind w:right="256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5"/>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540" w:type="dxa"/>
            <w:vAlign w:val="bottom"/>
            <w:gridSpan w:val="6"/>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gridSpan w:val="4"/>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6"/>
        </w:trPr>
        <w:tc>
          <w:tcPr>
            <w:tcW w:w="860" w:type="dxa"/>
            <w:vAlign w:val="bottom"/>
          </w:tcPr>
          <w:p>
            <w:pPr>
              <w:spacing w:after="0"/>
              <w:rPr>
                <w:sz w:val="12"/>
                <w:szCs w:val="12"/>
                <w:color w:val="auto"/>
              </w:rPr>
            </w:pPr>
          </w:p>
        </w:tc>
        <w:tc>
          <w:tcPr>
            <w:tcW w:w="5880" w:type="dxa"/>
            <w:vAlign w:val="bottom"/>
            <w:gridSpan w:val="7"/>
          </w:tcPr>
          <w:p>
            <w:pPr>
              <w:jc w:val="center"/>
              <w:ind w:right="204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60" w:type="dxa"/>
            <w:vAlign w:val="bottom"/>
          </w:tcPr>
          <w:p>
            <w:pPr>
              <w:spacing w:after="0"/>
              <w:rPr>
                <w:sz w:val="16"/>
                <w:szCs w:val="16"/>
                <w:color w:val="auto"/>
              </w:rPr>
            </w:pPr>
          </w:p>
        </w:tc>
        <w:tc>
          <w:tcPr>
            <w:tcW w:w="5880" w:type="dxa"/>
            <w:vAlign w:val="bottom"/>
            <w:gridSpan w:val="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88"/>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 - Las Vegas, Nevada 89109</w:t>
            </w: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255"/>
        </w:trPr>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80" w:type="dxa"/>
            <w:vAlign w:val="bottom"/>
            <w:gridSpan w:val="5"/>
          </w:tcPr>
          <w:p>
            <w:pPr>
              <w:jc w:val="center"/>
              <w:ind w:left="1628"/>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91"/>
        </w:trPr>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r>
      <w:tr>
        <w:trPr>
          <w:trHeight w:val="2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580" w:type="dxa"/>
            <w:vAlign w:val="bottom"/>
            <w:gridSpan w:val="9"/>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455"/>
        </w:trPr>
        <w:tc>
          <w:tcPr>
            <w:tcW w:w="6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90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8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2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WYNN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98"/>
        </w:trPr>
        <w:tc>
          <w:tcPr>
            <w:tcW w:w="1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w:t>
            </w:r>
          </w:p>
        </w:tc>
        <w:tc>
          <w:tcPr>
            <w:tcW w:w="2000" w:type="dxa"/>
            <w:vAlign w:val="bottom"/>
          </w:tcPr>
          <w:p>
            <w:pPr>
              <w:ind w:left="1060"/>
              <w:spacing w:after="0" w:line="198" w:lineRule="exact"/>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color w:val="auto"/>
              </w:rPr>
              <w:t>12b-2</w:t>
            </w:r>
          </w:p>
        </w:tc>
        <w:tc>
          <w:tcPr>
            <w:tcW w:w="132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of</w:t>
            </w:r>
          </w:p>
        </w:tc>
        <w:tc>
          <w:tcPr>
            <w:tcW w:w="92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the</w:t>
            </w:r>
          </w:p>
        </w:tc>
        <w:tc>
          <w:tcPr>
            <w:tcW w:w="2460" w:type="dxa"/>
            <w:vAlign w:val="bottom"/>
          </w:tcPr>
          <w:p>
            <w:pPr>
              <w:ind w:left="1060"/>
              <w:spacing w:after="0" w:line="198" w:lineRule="exact"/>
              <w:rPr>
                <w:sz w:val="20"/>
                <w:szCs w:val="20"/>
                <w:color w:val="auto"/>
              </w:rPr>
            </w:pPr>
            <w:r>
              <w:rPr>
                <w:rFonts w:ascii="Times New Roman" w:cs="Times New Roman" w:eastAsia="Times New Roman" w:hAnsi="Times New Roman"/>
                <w:sz w:val="18"/>
                <w:szCs w:val="18"/>
                <w:color w:val="auto"/>
              </w:rPr>
              <w:t>Exchange</w:t>
            </w:r>
          </w:p>
        </w:tc>
        <w:tc>
          <w:tcPr>
            <w:tcW w:w="8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w w:val="91"/>
              </w:rPr>
              <w:t>Act.</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8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5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234"/>
        </w:trPr>
        <w:tc>
          <w:tcPr>
            <w:tcW w:w="1124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r>
      <w:tr>
        <w:trPr>
          <w:trHeight w:val="175"/>
        </w:trPr>
        <w:tc>
          <w:tcPr>
            <w:tcW w:w="1800" w:type="dxa"/>
            <w:vAlign w:val="bottom"/>
          </w:tcPr>
          <w:p>
            <w:pPr>
              <w:spacing w:after="0"/>
              <w:rPr>
                <w:sz w:val="15"/>
                <w:szCs w:val="15"/>
                <w:color w:val="auto"/>
              </w:rPr>
            </w:pPr>
          </w:p>
        </w:tc>
        <w:tc>
          <w:tcPr>
            <w:tcW w:w="6920" w:type="dxa"/>
            <w:vAlign w:val="bottom"/>
            <w:gridSpan w:val="2"/>
          </w:tcPr>
          <w:p>
            <w:pPr>
              <w:jc w:val="center"/>
              <w:ind w:right="66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40" w:type="dxa"/>
            <w:vAlign w:val="bottom"/>
          </w:tcPr>
          <w:p>
            <w:pPr>
              <w:spacing w:after="0"/>
              <w:rPr>
                <w:sz w:val="15"/>
                <w:szCs w:val="15"/>
                <w:color w:val="auto"/>
              </w:rPr>
            </w:pPr>
          </w:p>
        </w:tc>
        <w:tc>
          <w:tcPr>
            <w:tcW w:w="2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Outstanding at May 1, 2024</w:t>
            </w:r>
          </w:p>
        </w:tc>
      </w:tr>
      <w:tr>
        <w:trPr>
          <w:trHeight w:val="20"/>
        </w:trPr>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8720" w:type="dxa"/>
            <w:vAlign w:val="bottom"/>
            <w:gridSpan w:val="3"/>
          </w:tcPr>
          <w:p>
            <w:pPr>
              <w:jc w:val="center"/>
              <w:ind w:right="482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9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112,070,861</w:t>
            </w:r>
          </w:p>
        </w:tc>
        <w:tc>
          <w:tcPr>
            <w:tcW w:w="580" w:type="dxa"/>
            <w:vAlign w:val="bottom"/>
          </w:tcPr>
          <w:p>
            <w:pPr>
              <w:spacing w:after="0"/>
              <w:rPr>
                <w:sz w:val="22"/>
                <w:szCs w:val="22"/>
                <w:color w:val="auto"/>
              </w:rPr>
            </w:pPr>
          </w:p>
        </w:tc>
      </w:tr>
      <w:tr>
        <w:trPr>
          <w:trHeight w:val="763"/>
        </w:trPr>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180" w:type="dxa"/>
            <w:vAlign w:val="bottom"/>
            <w:gridSpan w:val="15"/>
          </w:tcPr>
          <w:p>
            <w:pPr>
              <w:ind w:left="8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0180" w:type="dxa"/>
            <w:vAlign w:val="bottom"/>
            <w:gridSpan w:val="15"/>
          </w:tcPr>
          <w:p>
            <w:pPr>
              <w:ind w:left="800"/>
              <w:spacing w:after="0" w:line="194" w:lineRule="exact"/>
              <w:rPr>
                <w:sz w:val="20"/>
                <w:szCs w:val="20"/>
                <w:color w:val="auto"/>
              </w:rPr>
            </w:pPr>
            <w:r>
              <w:rPr>
                <w:rFonts w:ascii="Times New Roman" w:cs="Times New Roman" w:eastAsia="Times New Roman" w:hAnsi="Times New Roman"/>
                <w:sz w:val="18"/>
                <w:szCs w:val="18"/>
                <w:color w:val="0000FF"/>
              </w:rPr>
              <w:t>Financial Statements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2024 (unaudited) and December 31,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 - Three Months Ended March 31, 2024 and 2023</w:t>
            </w:r>
          </w:p>
        </w:tc>
        <w:tc>
          <w:tcPr>
            <w:tcW w:w="120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Three Months Ended March 31, 2024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30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and 2023</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 - Three Months Ended March 31, 2024 and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34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2023</w:t>
            </w:r>
          </w:p>
        </w:tc>
        <w:tc>
          <w:tcPr>
            <w:tcW w:w="3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6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 Three Months Ended March 31, 2024 and 2023</w:t>
            </w:r>
          </w:p>
        </w:tc>
        <w:tc>
          <w:tcPr>
            <w:tcW w:w="900" w:type="dxa"/>
            <w:vAlign w:val="bottom"/>
            <w:gridSpan w:val="3"/>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2.</w:t>
            </w:r>
          </w:p>
        </w:tc>
        <w:tc>
          <w:tcPr>
            <w:tcW w:w="10180" w:type="dxa"/>
            <w:vAlign w:val="bottom"/>
            <w:gridSpan w:val="15"/>
          </w:tcPr>
          <w:p>
            <w:pPr>
              <w:ind w:left="8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3.</w:t>
            </w:r>
          </w:p>
        </w:tc>
        <w:tc>
          <w:tcPr>
            <w:tcW w:w="10180" w:type="dxa"/>
            <w:vAlign w:val="bottom"/>
            <w:gridSpan w:val="15"/>
          </w:tcPr>
          <w:p>
            <w:pPr>
              <w:ind w:left="8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0180" w:type="dxa"/>
            <w:vAlign w:val="bottom"/>
            <w:gridSpan w:val="15"/>
          </w:tcPr>
          <w:p>
            <w:pPr>
              <w:ind w:left="8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Pr>
          <w:p>
            <w:pPr>
              <w:spacing w:after="0"/>
              <w:rPr>
                <w:sz w:val="20"/>
                <w:szCs w:val="20"/>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80" w:type="dxa"/>
            <w:vAlign w:val="bottom"/>
            <w:gridSpan w:val="2"/>
          </w:tcPr>
          <w:p>
            <w:pPr>
              <w:spacing w:after="0"/>
              <w:rPr>
                <w:sz w:val="16"/>
                <w:szCs w:val="16"/>
                <w:color w:val="auto"/>
              </w:rPr>
            </w:pPr>
          </w:p>
        </w:tc>
        <w:tc>
          <w:tcPr>
            <w:tcW w:w="10000" w:type="dxa"/>
            <w:vAlign w:val="bottom"/>
            <w:gridSpan w:val="8"/>
          </w:tcPr>
          <w:p>
            <w:pPr>
              <w:ind w:left="620"/>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Default Upon Senior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5.</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6.</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2,420,203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2,879,186</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848,732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845,192</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$40,622 and $40,075, respectively</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297,192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341,712</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73,686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75,552</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131,099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99,961</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3,770,912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4,241,621</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6,606,525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6,688,479</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90,146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90,208</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317,945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329,708</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1,823,043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1,832,896</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484,103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500,877</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378,062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312,434</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13,470,736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13,996,223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176,420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208,263</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deposits</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489,866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543,288</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Gaming taxes payable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183,741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172,832</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154,540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212,645</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141,902</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1,291,488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709,593</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211,193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211,931</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2,633,120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2,200,454</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9,920,130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11,028,744</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1,635,035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1,631,749</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228,831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236,210</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14,417,116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15,097,157</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2"/>
        </w:trPr>
        <w:tc>
          <w:tcPr>
            <w:tcW w:w="7960" w:type="dxa"/>
            <w:vAlign w:val="bottom"/>
          </w:tcPr>
          <w:p>
            <w:pPr>
              <w:ind w:left="360"/>
              <w:spacing w:after="0" w:line="152" w:lineRule="exact"/>
              <w:rPr>
                <w:sz w:val="20"/>
                <w:szCs w:val="20"/>
                <w:color w:val="auto"/>
              </w:rPr>
            </w:pPr>
            <w:r>
              <w:rPr>
                <w:rFonts w:ascii="Times New Roman" w:cs="Times New Roman" w:eastAsia="Times New Roman" w:hAnsi="Times New Roman"/>
                <w:sz w:val="16"/>
                <w:szCs w:val="16"/>
                <w:color w:val="auto"/>
              </w:rPr>
              <w:t>Common stock, par value $0.01; 400,000,000 shares authorized; 133,451,655 and 132,998,916 shares issued;</w:t>
            </w:r>
          </w:p>
        </w:tc>
        <w:tc>
          <w:tcPr>
            <w:tcW w:w="200" w:type="dxa"/>
            <w:vAlign w:val="bottom"/>
          </w:tcPr>
          <w:p>
            <w:pPr>
              <w:spacing w:after="0"/>
              <w:rPr>
                <w:sz w:val="13"/>
                <w:szCs w:val="13"/>
                <w:color w:val="auto"/>
              </w:rPr>
            </w:pPr>
          </w:p>
        </w:tc>
        <w:tc>
          <w:tcPr>
            <w:tcW w:w="1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1,335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112,071,149 and 111,737,245 shares outstanding,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at cost; 21,380,506 and 21,261,671 shares, respectively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(1,849,172)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(1,836,326)</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3,656,809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3,647,161</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(1,950,755)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(2,066,953)</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Wynn Resorts, Limited stockholders' deficit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(136,953)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(251,382)</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(809,427)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(849,552)</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(946,380)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(1,100,934)</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13,470,736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13,996,223</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1,121,466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766,992</w:t>
            </w:r>
          </w:p>
        </w:tc>
      </w:tr>
      <w:tr>
        <w:trPr>
          <w:trHeight w:val="229"/>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272,529</w:t>
            </w:r>
          </w:p>
        </w:tc>
      </w:tr>
      <w:tr>
        <w:trPr>
          <w:trHeight w:val="23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232,611</w:t>
            </w:r>
          </w:p>
        </w:tc>
      </w:tr>
      <w:tr>
        <w:trPr>
          <w:trHeight w:val="229"/>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151,547</w:t>
            </w:r>
          </w:p>
        </w:tc>
      </w:tr>
      <w:tr>
        <w:trPr>
          <w:trHeight w:val="223"/>
        </w:trPr>
        <w:tc>
          <w:tcPr>
            <w:tcW w:w="84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1,862,909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1,423,679</w:t>
            </w:r>
          </w:p>
        </w:tc>
      </w:tr>
      <w:tr>
        <w:trPr>
          <w:trHeight w:val="20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473,385</w:t>
            </w:r>
          </w:p>
        </w:tc>
      </w:tr>
      <w:tr>
        <w:trPr>
          <w:trHeight w:val="230"/>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72,702</w:t>
            </w:r>
          </w:p>
        </w:tc>
      </w:tr>
      <w:tr>
        <w:trPr>
          <w:trHeight w:val="229"/>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180,619</w:t>
            </w:r>
          </w:p>
        </w:tc>
      </w:tr>
      <w:tr>
        <w:trPr>
          <w:trHeight w:val="230"/>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92,482</w:t>
            </w:r>
          </w:p>
        </w:tc>
      </w:tr>
      <w:tr>
        <w:trPr>
          <w:trHeight w:val="229"/>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259,772</w:t>
            </w:r>
          </w:p>
        </w:tc>
      </w:tr>
      <w:tr>
        <w:trPr>
          <w:trHeight w:val="22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29"/>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168,812</w:t>
            </w:r>
          </w:p>
        </w:tc>
      </w:tr>
      <w:tr>
        <w:trPr>
          <w:trHeight w:val="229"/>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23"/>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1,499,968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1,254,164</w:t>
            </w:r>
          </w:p>
        </w:tc>
      </w:tr>
      <w:tr>
        <w:trPr>
          <w:trHeight w:val="22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362,941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169,515</w:t>
            </w:r>
          </w:p>
        </w:tc>
      </w:tr>
      <w:tr>
        <w:trPr>
          <w:trHeight w:val="21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40,193</w:t>
            </w:r>
          </w:p>
        </w:tc>
      </w:tr>
      <w:tr>
        <w:trPr>
          <w:trHeight w:val="229"/>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(187,740)</w:t>
            </w:r>
          </w:p>
        </w:tc>
      </w:tr>
      <w:tr>
        <w:trPr>
          <w:trHeight w:val="23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23,046</w:t>
            </w:r>
          </w:p>
        </w:tc>
      </w:tr>
      <w:tr>
        <w:trPr>
          <w:trHeight w:val="230"/>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r>
      <w:tr>
        <w:trPr>
          <w:trHeight w:val="230"/>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(30,614)</w:t>
            </w:r>
          </w:p>
        </w:tc>
      </w:tr>
      <w:tr>
        <w:trPr>
          <w:trHeight w:val="223"/>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(167,351)</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196,512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2,164</w:t>
            </w:r>
          </w:p>
        </w:tc>
      </w:tr>
      <w:tr>
        <w:trPr>
          <w:trHeight w:val="230"/>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176,498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r>
      <w:tr>
        <w:trPr>
          <w:trHeight w:val="230"/>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144,216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12,332</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income (loss) per common share:</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0"/>
        </w:trPr>
        <w:tc>
          <w:tcPr>
            <w:tcW w:w="8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112,753</w:t>
            </w:r>
          </w:p>
        </w:tc>
      </w:tr>
      <w:tr>
        <w:trPr>
          <w:trHeight w:val="230"/>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113,116</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16,309</w:t>
            </w:r>
          </w:p>
        </w:tc>
      </w:tr>
      <w:tr>
        <w:trPr>
          <w:trHeight w:val="230"/>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Wynn Resorts, Limited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23,211</w:t>
            </w:r>
          </w:p>
        </w:tc>
      </w:tr>
      <w:tr>
        <w:trPr>
          <w:trHeight w:val="21"/>
        </w:trPr>
        <w:tc>
          <w:tcPr>
            <w:tcW w:w="8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3"/>
                <w:szCs w:val="13"/>
                <w:b w:val="1"/>
                <w:bCs w:val="1"/>
                <w:color w:val="auto"/>
                <w:w w:val="95"/>
              </w:rPr>
              <w:t>For the Three Months Ended March 31, 2024</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6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4"/>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111,737,245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(1,836,326)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3,647,161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(2,066,953)</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(251,382)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(849,552)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(1,100,934)</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144,216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176,498</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439,668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8,015</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4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(12,846)</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(28,018)</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12,494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12,494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13,895</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March 31,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112,071,149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1,335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(1,849,172)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3,656,809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4,830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(1,950,755)</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(136,953)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(809,427)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(946,380)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3"/>
                <w:szCs w:val="13"/>
                <w:b w:val="1"/>
                <w:bCs w:val="1"/>
                <w:color w:val="auto"/>
                <w:w w:val="95"/>
              </w:rPr>
              <w:t>For the Three Months Ended March 31, 2023</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5"/>
                <w:szCs w:val="15"/>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113,369,439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(1,623,872)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3,583,923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(2,711,808)</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(750,838)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(889,527)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(1,640,365)</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10,879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15,163</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6,634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6,639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6,639</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4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(10,834)</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(4,502)</w:t>
            </w:r>
          </w:p>
        </w:tc>
        <w:tc>
          <w:tcPr>
            <w:tcW w:w="0" w:type="dxa"/>
            <w:vAlign w:val="bottom"/>
          </w:tcPr>
          <w:p>
            <w:pPr>
              <w:spacing w:after="0"/>
              <w:rPr>
                <w:sz w:val="1"/>
                <w:szCs w:val="1"/>
                <w:color w:val="auto"/>
              </w:rPr>
            </w:pPr>
          </w:p>
        </w:tc>
      </w:tr>
      <w:tr>
        <w:trPr>
          <w:trHeight w:val="127"/>
        </w:trPr>
        <w:tc>
          <w:tcPr>
            <w:tcW w:w="24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13,654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13,654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14,895</w:t>
            </w:r>
          </w:p>
        </w:tc>
        <w:tc>
          <w:tcPr>
            <w:tcW w:w="0" w:type="dxa"/>
            <w:vAlign w:val="bottom"/>
          </w:tcPr>
          <w:p>
            <w:pPr>
              <w:spacing w:after="0"/>
              <w:rPr>
                <w:sz w:val="1"/>
                <w:szCs w:val="1"/>
                <w:color w:val="auto"/>
              </w:rPr>
            </w:pPr>
          </w:p>
        </w:tc>
      </w:tr>
      <w:tr>
        <w:trPr>
          <w:trHeight w:val="200"/>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March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113,808,044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(1,634,706)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3,604,945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(2,699,476)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(717,434)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(898,936)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(1,616,370)</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176,498</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168,812</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14,710</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8,763</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debt financing transactions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derivatives fair value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33,072</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(11,048)</w:t>
            </w:r>
          </w:p>
        </w:tc>
      </w:tr>
      <w:tr>
        <w:trPr>
          <w:trHeight w:val="213"/>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Inventories, prepaid expenses and other</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(7,288)</w:t>
            </w: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Customer deposits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(13,316)</w:t>
            </w:r>
          </w:p>
        </w:tc>
      </w:tr>
      <w:tr>
        <w:trPr>
          <w:trHeight w:val="213"/>
        </w:trPr>
        <w:tc>
          <w:tcPr>
            <w:tcW w:w="7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(86,130)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(13,844)</w:t>
            </w:r>
          </w:p>
        </w:tc>
      </w:tr>
      <w:tr>
        <w:trPr>
          <w:trHeight w:val="212"/>
        </w:trPr>
        <w:tc>
          <w:tcPr>
            <w:tcW w:w="79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315,094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169,491</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(124,466)</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Investments in unconsolidated affiliate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intangible and 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w:t>
            </w:r>
          </w:p>
        </w:tc>
      </w:tr>
      <w:tr>
        <w:trPr>
          <w:trHeight w:val="213"/>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2"/>
        </w:trPr>
        <w:tc>
          <w:tcPr>
            <w:tcW w:w="79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(167,419)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(131,950)</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1,200,000</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(1,018,973)</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(10,834)</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 to noncontrolling interest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 payments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(31,330)</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w:t>
            </w:r>
          </w:p>
        </w:tc>
      </w:tr>
      <w:tr>
        <w:trPr>
          <w:trHeight w:val="208"/>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(604,363)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121,003</w:t>
            </w: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(2,567)</w:t>
            </w:r>
          </w:p>
        </w:tc>
      </w:tr>
      <w:tr>
        <w:trPr>
          <w:trHeight w:val="21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(Decrease) increase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(459,063)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155,977</w:t>
            </w:r>
          </w:p>
        </w:tc>
      </w:tr>
      <w:tr>
        <w:trPr>
          <w:trHeight w:val="214"/>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2,969,412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3,782,990</w:t>
            </w:r>
          </w:p>
        </w:tc>
      </w:tr>
      <w:tr>
        <w:trPr>
          <w:trHeight w:val="235"/>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2,510,349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3,938,967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w:t>
      </w:r>
    </w:p>
    <w:p>
      <w:pPr>
        <w:spacing w:after="0" w:line="2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a 40% equity interest in Island 3 AMI FZ-LLC, an unconsolidated affiliate, which is constructing an integrated resort property ("Wynn Al Marjan Island") in Ras Al Khaimah, United Arab Emirates, currently expected to open in 2027.</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tab/>
        <w:t>Basis of Presentation and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months ended March 31, 2024 are not necessarily indicative of results to be expected for any other interim period or the full fiscal year ending December 31, 2024. These condensed consolidated financial statements should be read in conjunction with the consolidated financial statements and notes thereto in the Company's Annual Report on Form 10-K for the year ended December 31,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If the entity does not qualify for consolidation and the Company has significant influence over the operating and financial decisions of the entity, the Company accounts for the entity under the equity method. All significant intercompany accounts and transactions have been eliminated. During the three months ended March 31, 2024, Wynn Interactive Ltd. no longer met the requirements for a reportable segment. As a result, its assets and results of operations are presented in Corporate and other and previous period amounts have been reclassified to be consistent with the current period presentation of the Company's reportable segments. These reclassifications had no effect on the previously reported net income or operating income (loss). For information on the Company's reportable segments, see Note 17, "Segment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Income. These taxes totaled $488.8 million and $310.4 million for the three months ended March 31, 2024 and 2023,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held $550.0 million in fixed deposits, recorded at fair value, and $298.7 million in debt securities, recorded at amortized cost within Investments on the Condensed Consolidated Balance Sheets. The estimated fair value of the Company's debt securities as of March 31, 2024 was approximately $298.6 million and the gross unrecognized holding loss was $0.1 million. As of March 31, 2024, the Company had $12.2 million in accrued interest on its debt securities, recorded in Investments on the Condensed Consolidated Balance Sheets.</w:t>
      </w:r>
    </w:p>
    <w:p>
      <w:pPr>
        <w:spacing w:after="0" w:line="193"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As of December 31, 2023, the Company held $550.0 million in fixed deposits, recorded at fair value, and $295.2 million in debt securities, recorded at amortized cost within Investments on the Condensed Consolidated Balance Sheets. The estimated fair value of the Company's debt securities as of December 31, 2023 was approximately $294.8 million and the gross unrecognized holding loss was $0.4 million. As of December 31, 2023, the Company had $8.7 million in accrued interest on its debt securities, recorded in Investments on the Condensed Consolidated Balance Sheets.</w:t>
      </w:r>
    </w:p>
    <w:p>
      <w:pPr>
        <w:spacing w:after="0" w:line="2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three months ended March 31, 2024 and 2023, no impairment was recognized.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the tangible and intangible assets acquired and the liabilities assumed. Goodwill is not amortized, but rather is subject to impairment testing annually, or more frequently if events or changes in circumstances indicate that this asset may be impaired. As of March 31, 2024 and December 31, 2023, the Company had a goodwill balance of $18.5 million, recorded in Goodwill and intangible assets, net on the Condensed Consolidated Balance Sheets. During the three months ended March 31, 2024, no impairment was recognized.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the recently issued, but not yet effective, accounting standards that have been issued or proposed by the Financial Accounting Standards Board or other standard-setting bodies through the filing date of these financial statements and does not believe the future adoption of any such pronouncements will have a material effect on the Company’s financial position, results of operations and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Cash, Cash Equivalents and Restricted Cash</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96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1,218,328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1,076,474</w:t>
            </w:r>
          </w:p>
        </w:tc>
      </w:tr>
      <w:tr>
        <w:trPr>
          <w:trHeight w:val="229"/>
        </w:trPr>
        <w:tc>
          <w:tcPr>
            <w:tcW w:w="796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1,802,712</w:t>
            </w:r>
          </w:p>
        </w:tc>
      </w:tr>
      <w:tr>
        <w:trPr>
          <w:trHeight w:val="22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2,420,203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2,879,186</w:t>
            </w:r>
          </w:p>
        </w:tc>
      </w:tr>
      <w:tr>
        <w:trPr>
          <w:trHeight w:val="229"/>
        </w:trPr>
        <w:tc>
          <w:tcPr>
            <w:tcW w:w="7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90,226</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2,510,349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2,969,412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-5080</wp:posOffset>
            </wp:positionV>
            <wp:extent cx="2082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220" w:hanging="194"/>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consists of cash on hand and bank deposits.</w:t>
      </w:r>
    </w:p>
    <w:p>
      <w:pPr>
        <w:spacing w:after="0" w:line="3" w:lineRule="exact"/>
        <w:rPr>
          <w:rFonts w:ascii="Times New Roman" w:cs="Times New Roman" w:eastAsia="Times New Roman" w:hAnsi="Times New Roman"/>
          <w:sz w:val="14"/>
          <w:szCs w:val="14"/>
          <w:color w:val="auto"/>
        </w:rPr>
      </w:pPr>
    </w:p>
    <w:p>
      <w:pPr>
        <w:ind w:left="220" w:hanging="194"/>
        <w:spacing w:after="0" w:line="201" w:lineRule="auto"/>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consist of bank time deposits and money market funds.</w:t>
      </w:r>
    </w:p>
    <w:p>
      <w:pPr>
        <w:ind w:left="240" w:hanging="214"/>
        <w:spacing w:after="0" w:line="221" w:lineRule="auto"/>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cash subject to certain contractual restrictions, cash collateral associated with obligations, cash held in a trust in accordance with WML's share award plan, and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-269240</wp:posOffset>
            </wp:positionV>
            <wp:extent cx="2082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ind w:left="180" w:right="20"/>
        <w:spacing w:after="0" w:line="239" w:lineRule="auto"/>
        <w:rPr>
          <w:sz w:val="20"/>
          <w:szCs w:val="20"/>
          <w:color w:val="auto"/>
        </w:rPr>
      </w:pPr>
      <w:r>
        <w:rPr>
          <w:rFonts w:ascii="Times New Roman" w:cs="Times New Roman" w:eastAsia="Times New Roman" w:hAnsi="Times New Roman"/>
          <w:sz w:val="14"/>
          <w:szCs w:val="14"/>
          <w:color w:val="auto"/>
        </w:rPr>
        <w:t>of March 31, 2024 and December 31, 2023 included $86.9 million and $87.0 million, respectively, in the form of a first demand bank guarantee in favor of the Macau government to support the legal and contractual obligations of Wynn Resorts (Macau) S.A. ("Wynn Macau SA") through the term of Wynn Macau SA's gaming concession contract.</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disclosures of the Company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181,667</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settled with shares of 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and construction payables related to property and equipment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42,911</w:t>
            </w:r>
          </w:p>
        </w:tc>
      </w:tr>
      <w:tr>
        <w:trPr>
          <w:trHeight w:val="229"/>
        </w:trPr>
        <w:tc>
          <w:tcPr>
            <w:tcW w:w="8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related to intangible assets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203,926</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included in accounts payable and other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r>
    </w:tbl>
    <w:p>
      <w:pPr>
        <w:spacing w:after="0" w:line="53" w:lineRule="exact"/>
        <w:rPr>
          <w:sz w:val="20"/>
          <w:szCs w:val="20"/>
          <w:color w:val="auto"/>
        </w:rPr>
      </w:pPr>
    </w:p>
    <w:p>
      <w:pPr>
        <w:ind w:left="180" w:hanging="172"/>
        <w:spacing w:after="0" w:line="302" w:lineRule="auto"/>
        <w:tabs>
          <w:tab w:leader="none" w:pos="2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2024 and 2023, included $196.9 million and $199.6 million related to the Macau gaming premium in connection with Wynn Macau SA's gaming concession contract.</w:t>
      </w:r>
    </w:p>
    <w:p>
      <w:pPr>
        <w:spacing w:after="0" w:line="18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tab/>
        <w:t>Receivables,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218,694</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54,596</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108,497</w:t>
            </w:r>
          </w:p>
        </w:tc>
      </w:tr>
      <w:tr>
        <w:trPr>
          <w:trHeight w:val="223"/>
        </w:trPr>
        <w:tc>
          <w:tcPr>
            <w:tcW w:w="7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337,814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381,787</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w:t>
            </w:r>
          </w:p>
        </w:tc>
      </w:tr>
      <w:tr>
        <w:trPr>
          <w:trHeight w:val="223"/>
        </w:trPr>
        <w:tc>
          <w:tcPr>
            <w:tcW w:w="79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297,192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341,712</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approximately 68.4% and 68.2%,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0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Company’s allowance for casino credit losses was 20.7% and 15.9% of gross casino receivables as of March 31, 2024 and December 31, 2023,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Company's allowance for credit losses recognized for receivables that occurred during the periods presented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right"/>
              <w:ind w:right="12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78,842</w:t>
            </w:r>
          </w:p>
        </w:tc>
        <w:tc>
          <w:tcPr>
            <w:tcW w:w="0" w:type="dxa"/>
            <w:vAlign w:val="bottom"/>
          </w:tcPr>
          <w:p>
            <w:pPr>
              <w:spacing w:after="0"/>
              <w:rPr>
                <w:sz w:val="1"/>
                <w:szCs w:val="1"/>
                <w:color w:val="auto"/>
              </w:rPr>
            </w:pPr>
          </w:p>
        </w:tc>
      </w:tr>
      <w:tr>
        <w:trPr>
          <w:trHeight w:val="23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w:t>
            </w:r>
          </w:p>
        </w:tc>
        <w:tc>
          <w:tcPr>
            <w:tcW w:w="0" w:type="dxa"/>
            <w:vAlign w:val="bottom"/>
          </w:tcPr>
          <w:p>
            <w:pPr>
              <w:spacing w:after="0"/>
              <w:rPr>
                <w:sz w:val="1"/>
                <w:szCs w:val="1"/>
                <w:color w:val="auto"/>
              </w:rPr>
            </w:pPr>
          </w:p>
        </w:tc>
      </w:tr>
      <w:tr>
        <w:trPr>
          <w:trHeight w:val="229"/>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receivables previously written off</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40,622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57,136</w:t>
            </w: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24"/>
                <w:szCs w:val="24"/>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8,457,299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8,459,085</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1,228,652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3,311,478</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13,334,376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13,272,430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(6,727,851)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(6,583,951)</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6,606,525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6,688,479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construction in progress consisted primarily of costs capitalized for various capital enhancements at the Company's properties.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$158.1 million and $154.1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WM Cayman II Revolver, due 2025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1,497,610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4 7/8% Senior Notes, due 2024</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2026</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2027</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5/8% Senior Notes, due 2028</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1/8% Senior Notes, due 2029</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WML 4 1/2% Convertible Bonds, due 2029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57"/>
        </w:trPr>
        <w:tc>
          <w:tcPr>
            <w:tcW w:w="7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WRF Credit Facilities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WRF Term Loan, due 2024</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73,683</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WRF Term Loan, due 2027</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730,692</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1,380,001</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5 1/8% Senior Notes, due 2029</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43"/>
        </w:trPr>
        <w:tc>
          <w:tcPr>
            <w:tcW w:w="782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Retail Term Loan, due 2025 </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615,000</w:t>
            </w:r>
          </w:p>
        </w:tc>
      </w:tr>
      <w:tr>
        <w:trPr>
          <w:trHeight w:val="223"/>
        </w:trPr>
        <w:tc>
          <w:tcPr>
            <w:tcW w:w="7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11,269,137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11,826,986</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original issue discounts and premium, net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(162,393)</w:t>
            </w:r>
          </w:p>
        </w:tc>
      </w:tr>
      <w:tr>
        <w:trPr>
          <w:trHeight w:val="223"/>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11,211,618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11,738,337</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(709,593)</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9,920,130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11,028,744</w:t>
            </w: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180" w:hanging="172"/>
        <w:spacing w:after="0" w:line="261" w:lineRule="auto"/>
        <w:tabs>
          <w:tab w:leader="none" w:pos="22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the borrowings under the WM Cayman II Revolver bear interest at the term secured overnight financing rate ("Term SOFR") plus a credit adjustment spread of 0.10% or HIBOR, in each case plus a margin of 1.875% to 2.875% per annum based on WM Cayman II’s leverage ratio on a consolidated basis. Approximately $281.3 million and $1.07 billion of the WM Cayman II Revolver bears interest at a rate of Term SOFR plus 1.975% per year and HIBOR plus 1.875% per year, respectively. As of March 31, 2024, the weighted average interest rate was approximately 6.80%. As of March 31, 2024, the available borrowing capacity under the WM Cayman II Revolver was $149.6 million.</w:t>
      </w:r>
    </w:p>
    <w:p>
      <w:pPr>
        <w:jc w:val="both"/>
        <w:ind w:left="180" w:hanging="172"/>
        <w:spacing w:after="0" w:line="261" w:lineRule="auto"/>
        <w:tabs>
          <w:tab w:leader="none" w:pos="22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the net carrying amount of the WML Convertible Bonds was $484.1 million, with unamortized debt discount and debt issuance costs of $115.9 million. The Company recorded contractual interest expense of $6.8 million and $1.8 million and amortization of discounts and issuance costs of $4.6 million and $1.1 million during the three months ended March 31, 2024 and 2023, respectively.</w:t>
      </w:r>
    </w:p>
    <w:p>
      <w:pPr>
        <w:spacing w:after="0" w:line="1" w:lineRule="exact"/>
        <w:rPr>
          <w:rFonts w:ascii="Times New Roman" w:cs="Times New Roman" w:eastAsia="Times New Roman" w:hAnsi="Times New Roman"/>
          <w:sz w:val="14"/>
          <w:szCs w:val="14"/>
          <w:color w:val="auto"/>
        </w:rPr>
      </w:pPr>
    </w:p>
    <w:p>
      <w:pPr>
        <w:ind w:left="180" w:hanging="172"/>
        <w:spacing w:after="0" w:line="251" w:lineRule="auto"/>
        <w:tabs>
          <w:tab w:leader="none" w:pos="22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WRF Credit Facilities bear interest at a rate of Term SOFR plus 1.85% per year. As of March 31, 2024, the weighted average interest rate was approximately 7.18%. Additionally, as of March 31, 2024, the available borrowing capacity under the WRF Revolver was $737.2 million, net of $12.8 million in outstanding letters of credit.</w:t>
      </w:r>
    </w:p>
    <w:p>
      <w:pPr>
        <w:ind w:left="220" w:hanging="212"/>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Retail Term Loan bears interest at a rate of adjusted daily simple secured overnight financing rate ("SOFR") plus 1.80% per year. As of March 31, 2024, the interest rate was 5.47%.</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WRF Senior Notes</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February 2024, Wynn Resorts Finance, LLC ("WRF") and its subsidiary, Wynn Resorts Capital Corp., issued an additional $400.0 million aggregate principal amount of 7 1/8% Senior Notes due 2031 (the "2031 WRF Add-On Senior Notes," and collectively with the 7 1/8% Senior Notes due 2031 (the "2031 WRF Senior Notes") and 5 1/8% Senior Notes due 2029 (the "2029 WRF Senior Notes"), the "WRF Senior Notes") pursuant to a supplemental indenture to the 2031 Senior Notes indenture dated as of February 16, 2023. The 2031 WRF Add-On Senior Notes were issued at a price equal to 103.00% of the principal amount plus accrued interest, resulting in net proceeds of $409.5 million. The net proceeds from the 2031 WRF Add-On Senior Notes, together with cash held by Wynn Resorts, were used to repurchase an aggregate $796.7 million of the outstanding principal amount of the 2025 WLV Senior Notes (as defined below) and to pay the applicable tender premium and related fees and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2031 WRF Add-On Senior Notes and the repurchase of the 2025 WLV Senior Notes (as further discussed below), the Company recognized a loss on debt financing transactions of $1.6 million within the accompanying Condensed Consolidated Statements of Income, and the Company recorded debt issuance costs of $5.6 million within the accompanying Condensed Consolidated Balance Sheet.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WLV Senior Notes</w:t>
      </w:r>
    </w:p>
    <w:p>
      <w:pPr>
        <w:spacing w:after="0" w:line="2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February and March 2024, Wynn Las Vegas repurchased $800.0 million aggregate principal amount of its 5 1/2% Senior Notes due 2025 (the "2025 WLV Senior Notes"), which consisted of i) $681.0 million validly tendered notes repurchased at a price equal to 97.2% of the principal amount, plus accrued interest and an early tender premium of $20.3 million and ii) $119.0 million of notes repurchased on a pro-rata basis at a price equal of 100% of the principal amount plus accrued interest under the terms of its indenture. Included in the $119.0 million repurchase was $3.3 million of 2025 WLV Senior Notes held by Wynn Resorts. The Company used the net proceeds from the 2031 WRF Add-On Senior Notes and cash held by WRF, to purchase such validly tendered 2025 WLV Senior Notes and to pay the tender premium and related fees and expenses.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management believes the Company was in compliance with all debt covenants.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March 31, 2024 and December 31, 2023, was approximately $11.04 billion and $11.49 billion, respectively, compared to its carrying value, excluding debt issuance costs and original issue discount and premium, of $11.27 billion and $11.83 billion, respectively. The estimated fair value of the Company's long-term debt is based on recent trades, if available, and indicative pricing from market information (Level 2 inputs).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WML Convertible Bond Conversion Option Derivative</w:t>
      </w:r>
    </w:p>
    <w:p>
      <w:pPr>
        <w:spacing w:after="0" w:line="256"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The conversion feature contained within the WML Convertible Bonds (the "WML Convertible Bond Conversion Option Derivative") is not indexed to WML's equity and, as such, is required to be bifurcated from the debt host contract and accounted for as a free-standing derivative, reported at fair value as of the end of each reporting period, with changes recognized in the Condensed Consolidated Statements of Income. The following table sets forth the inputs to the lattice models that were used to value the WML Convertible Bond Conversion Option Derivative: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0" w:type="dxa"/>
            <w:vAlign w:val="bottom"/>
          </w:tcPr>
          <w:p>
            <w:pPr>
              <w:spacing w:after="0"/>
              <w:rPr>
                <w:sz w:val="16"/>
                <w:szCs w:val="16"/>
                <w:color w:val="auto"/>
              </w:rPr>
            </w:pPr>
          </w:p>
        </w:tc>
        <w:tc>
          <w:tcPr>
            <w:tcW w:w="15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stock price</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volatility</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3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estimated fair value of the embedded derivative was a liability of $90.0 million and $73.7 million, respectively, recorded within Long-term debt within the accompanying Condensed Consolidated Balance Sheets. In connection with the change in fair value, the Company recorded a loss of $16.3 million and a gain of $24.9 million within Change in derivatives fair value in the accompanying Condensed Consolidated Statements of Income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Deficit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4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paid a cash dividend of $0.25 per share on its common stock during the three months ended March 31, 2024 and recorded $28.0 million against accumulated deficit.</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May 7, 2024, the Company's Board of Directors declared a cash dividend of $0.25 per share on its common stock, payable on May 31, 2024 to stockholders of record as of May 20,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Wynn Macau, Limited</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WML Board of Directors has recommended the payment of a final dividend of HK$0.075 per share on its common stock, for a total U.S. dollar equivalent of approximately $50.3 million, in respect of the year ended December 31, 2023. The payment of the final dividend is conditional upon shareholder approval at WML's 2024 Annual General Meeting to be held on May 30, 2024.</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WML Securities Lending Agreement</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WML Convertible Bonds, WM Cayman Holdings I Limited ("WM Cayman I"), a wholly owned subsidiary of the Company and holder of our approximate 72% ownership interest in WML, entered into a stock borrowing and lending agreement with Goldman Sachs International (the "WML Stock Borrower") on March 2, 2023 (as amended on March 30,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As of the date of this report, the WML Stock Borrower held 179,774,985 WML shares under the Securities Lending Agreement.</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Retail Joint Venture made aggregate distributions of approximately $6.0 million and $4.5 million, respectively, to its non-controlling interest holder. For more information on the Retail Joint Venture, see Note 16, "Retail Joint Venture."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6"/>
          </w:tcPr>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1,201,875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1,201,875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90,025</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90,025</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(see Note 7)</w:t>
            </w:r>
          </w:p>
        </w:tc>
        <w:tc>
          <w:tcPr>
            <w:tcW w:w="1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1,802,712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1,802,712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73,744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Note 7)</w:t>
            </w:r>
          </w:p>
        </w:tc>
        <w:tc>
          <w:tcPr>
            <w:tcW w:w="1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Customer Contract Liabilities</w:t>
      </w:r>
    </w:p>
    <w:p>
      <w:pPr>
        <w:spacing w:after="0" w:line="25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primary liabilities associated with customer contracts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2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66"/>
        </w:trPr>
        <w:tc>
          <w:tcPr>
            <w:tcW w:w="372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Casino outstanding chips and front money</w:t>
            </w: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433,269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376,911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Advance room deposits and ticket sales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gaming-related liabilities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Loyalty program and related liabilities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524,973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578,979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(54,006)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528,306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ind w:left="260" w:hanging="252"/>
        <w:spacing w:after="0" w:line="262" w:lineRule="auto"/>
        <w:tabs>
          <w:tab w:leader="none" w:pos="22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spacing w:after="0" w:line="1" w:lineRule="exact"/>
        <w:rPr>
          <w:rFonts w:ascii="Times New Roman" w:cs="Times New Roman" w:eastAsia="Times New Roman" w:hAnsi="Times New Roman"/>
          <w:sz w:val="14"/>
          <w:szCs w:val="14"/>
          <w:color w:val="auto"/>
        </w:rPr>
      </w:pPr>
    </w:p>
    <w:p>
      <w:pPr>
        <w:jc w:val="both"/>
        <w:ind w:left="260" w:hanging="252"/>
        <w:spacing w:after="0" w:line="260" w:lineRule="auto"/>
        <w:tabs>
          <w:tab w:leader="none" w:pos="23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60" w:hanging="252"/>
        <w:spacing w:after="0" w:line="254" w:lineRule="auto"/>
        <w:tabs>
          <w:tab w:leader="none" w:pos="22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78" w:lineRule="auto"/>
        <w:tabs>
          <w:tab w:leader="none" w:pos="22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14,710</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15,476</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expense of $20.0 million and $1.0 million for the three months ended March 31, 2024 and 2023, respectively, primarily related to its U.S.-based operating profits.</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difference between the statutory tax rate of 21% and the effective tax rate of 10.2% is due to the exemption from Macau’s 12% Complementary Tax on casino gaming profits that Wynn Macau SA received.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at the later of the date of issuance or beginning of the period presented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Other potentially dilutive securities include outstanding stock options and unvested restricted stock.</w:t>
      </w:r>
    </w:p>
    <w:p>
      <w:pPr>
        <w:spacing w:after="0" w:line="2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 - 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12,332</w:t>
            </w:r>
          </w:p>
        </w:tc>
        <w:tc>
          <w:tcPr>
            <w:tcW w:w="0" w:type="dxa"/>
            <w:vAlign w:val="bottom"/>
          </w:tcPr>
          <w:p>
            <w:pPr>
              <w:spacing w:after="0"/>
              <w:rPr>
                <w:sz w:val="1"/>
                <w:szCs w:val="1"/>
                <w:color w:val="auto"/>
              </w:rPr>
            </w:pPr>
          </w:p>
        </w:tc>
      </w:tr>
      <w:tr>
        <w:trPr>
          <w:trHeight w:val="20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 of Wynn Resorts, Limited subsidiaries: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Assumed conversion of WML Convertible Bonds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0" w:type="dxa"/>
            <w:vAlign w:val="bottom"/>
          </w:tcPr>
          <w:p>
            <w:pPr>
              <w:spacing w:after="0"/>
              <w:rPr>
                <w:sz w:val="1"/>
                <w:szCs w:val="1"/>
                <w:color w:val="auto"/>
              </w:rPr>
            </w:pPr>
          </w:p>
        </w:tc>
      </w:tr>
      <w:tr>
        <w:trPr>
          <w:trHeight w:val="223"/>
        </w:trPr>
        <w:tc>
          <w:tcPr>
            <w:tcW w:w="83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 attributable to Wynn Resorts, Limited - diluted</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112,753</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Potential dilutive effect of stock options, nonvested, and performance nonvested shares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common and common equivalent shares outstanding</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111,333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113,116</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 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Wynn Resorts, Limited per common share,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3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Anti-dilutive stock options, nonvested, and performance nonvested shares excluded from the calculation of</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minimum and contingent operating lease income for the periods presented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income</w:t>
            </w:r>
          </w:p>
        </w:tc>
        <w:tc>
          <w:tcPr>
            <w:tcW w:w="46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rental income</w:t>
            </w:r>
          </w:p>
        </w:tc>
        <w:tc>
          <w:tcPr>
            <w:tcW w:w="4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4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current CEO Craig Billings and the individual directors, and allowing other claims to proceed against the Company and several of the Company's former executive officers, including Matthew Maddox, Stephen A. Wynn, Kimmarie Sinatra, and Steven Cootey. On March 2, 2023, the court granted the plaintiffs' motion for class certification and appointed lead counsel. The parties are now proceeding with discovery.</w:t>
      </w:r>
    </w:p>
    <w:p>
      <w:pPr>
        <w:spacing w:after="0" w:line="2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defendants in this action intend to vigorously defend against the claims pleaded against them and believe that the claims are without merit. This action is in the preliminary stages and the Company has determined that based on proceedings to date, it is currently unable to determine the probability of the outcome of these actions or reasonably estimate the range of possible loss, if 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Investigation</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Retail Joint Venture</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Retail Joint Venture had total assets of $100.4 million and $102.5 million, respectively, and total liabilities of $622.3 million and $621.9 million, respectively. As of March 31, 2024 and December 31, 2023, the Retail Joint Venture's liabilities included long-term debt of $614.2 million and $614.1 million, respectively, net of debt issuance costs, related to the outstanding borrowings under the Retail Term Loan.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identified its reportable segments based on factors such as geography, regulatory environment, the information reviewed by its chief operating decision maker, and the Company's organizational and management reporting structure.</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 The assets and results of operations of Wynn Interactive are presented in Corporate and other.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473,781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270,687</w:t>
            </w: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46,910</w:t>
            </w: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w:t>
            </w:r>
          </w:p>
        </w:tc>
      </w:tr>
      <w:tr>
        <w:trPr>
          <w:trHeight w:val="229"/>
        </w:trPr>
        <w:tc>
          <w:tcPr>
            <w:tcW w:w="84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w:t>
            </w:r>
          </w:p>
        </w:tc>
      </w:tr>
      <w:tr>
        <w:trPr>
          <w:trHeight w:val="223"/>
        </w:trPr>
        <w:tc>
          <w:tcPr>
            <w:tcW w:w="8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586,901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369,363</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176,383</w:t>
            </w: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w:t>
            </w: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w:t>
            </w:r>
          </w:p>
        </w:tc>
      </w:tr>
      <w:tr>
        <w:trPr>
          <w:trHeight w:val="230"/>
        </w:trPr>
        <w:tc>
          <w:tcPr>
            <w:tcW w:w="84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w:t>
            </w:r>
          </w:p>
        </w:tc>
      </w:tr>
      <w:tr>
        <w:trPr>
          <w:trHeight w:val="223"/>
        </w:trPr>
        <w:tc>
          <w:tcPr>
            <w:tcW w:w="8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411,744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230,726</w:t>
            </w:r>
          </w:p>
        </w:tc>
      </w:tr>
      <w:tr>
        <w:trPr>
          <w:trHeight w:val="223"/>
        </w:trPr>
        <w:tc>
          <w:tcPr>
            <w:tcW w:w="8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998,645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600,089</w:t>
            </w:r>
          </w:p>
        </w:tc>
      </w:tr>
      <w:tr>
        <w:trPr>
          <w:trHeight w:val="250"/>
        </w:trPr>
        <w:tc>
          <w:tcPr>
            <w:tcW w:w="8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154,530</w:t>
            </w: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185,109</w:t>
            </w: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172,483</w:t>
            </w:r>
          </w:p>
        </w:tc>
      </w:tr>
      <w:tr>
        <w:trPr>
          <w:trHeight w:val="230"/>
        </w:trPr>
        <w:tc>
          <w:tcPr>
            <w:tcW w:w="84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74,642</w:t>
            </w:r>
          </w:p>
        </w:tc>
      </w:tr>
      <w:tr>
        <w:trPr>
          <w:trHeight w:val="223"/>
        </w:trPr>
        <w:tc>
          <w:tcPr>
            <w:tcW w:w="840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Las Vegas Operations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636,548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586,764</w:t>
            </w:r>
          </w:p>
        </w:tc>
      </w:tr>
      <w:tr>
        <w:trPr>
          <w:trHeight w:val="250"/>
        </w:trPr>
        <w:tc>
          <w:tcPr>
            <w:tcW w:w="8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165,392</w:t>
            </w: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w:t>
            </w: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r>
      <w:tr>
        <w:trPr>
          <w:trHeight w:val="230"/>
        </w:trPr>
        <w:tc>
          <w:tcPr>
            <w:tcW w:w="840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10,102</w:t>
            </w:r>
          </w:p>
        </w:tc>
      </w:tr>
      <w:tr>
        <w:trPr>
          <w:trHeight w:val="223"/>
        </w:trPr>
        <w:tc>
          <w:tcPr>
            <w:tcW w:w="8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Encore Boston Harbor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217,784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216,306</w:t>
            </w:r>
          </w:p>
        </w:tc>
      </w:tr>
      <w:tr>
        <w:trPr>
          <w:trHeight w:val="250"/>
        </w:trPr>
        <w:tc>
          <w:tcPr>
            <w:tcW w:w="8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w:t>
            </w:r>
          </w:p>
        </w:tc>
      </w:tr>
      <w:tr>
        <w:trPr>
          <w:trHeight w:val="223"/>
        </w:trPr>
        <w:tc>
          <w:tcPr>
            <w:tcW w:w="8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Corporate and 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20,520</w:t>
            </w:r>
          </w:p>
        </w:tc>
      </w:tr>
      <w:tr>
        <w:trPr>
          <w:trHeight w:val="250"/>
        </w:trPr>
        <w:tc>
          <w:tcPr>
            <w:tcW w:w="84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1,862,909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1,423,679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lease revenue accounted for under lease accounting guidance. For more information on leases, see Note 14, "Leases."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4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Macau Operations: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111,058</w:t>
            </w:r>
          </w:p>
        </w:tc>
      </w:tr>
      <w:tr>
        <w:trPr>
          <w:trHeight w:val="229"/>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137,186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44,745</w:t>
            </w:r>
          </w:p>
        </w:tc>
      </w:tr>
      <w:tr>
        <w:trPr>
          <w:trHeight w:val="223"/>
        </w:trPr>
        <w:tc>
          <w:tcPr>
            <w:tcW w:w="8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339,556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155,803</w:t>
            </w:r>
          </w:p>
        </w:tc>
      </w:tr>
      <w:tr>
        <w:trPr>
          <w:trHeight w:val="22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Las Vegas Operations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231,597</w:t>
            </w:r>
          </w:p>
        </w:tc>
      </w:tr>
      <w:tr>
        <w:trPr>
          <w:trHeight w:val="230"/>
        </w:trPr>
        <w:tc>
          <w:tcPr>
            <w:tcW w:w="8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Encore Boston Harbor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63,414</w:t>
            </w:r>
          </w:p>
        </w:tc>
      </w:tr>
      <w:tr>
        <w:trPr>
          <w:trHeight w:val="229"/>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(21,068)</w:t>
            </w:r>
          </w:p>
        </w:tc>
      </w:tr>
      <w:tr>
        <w:trPr>
          <w:trHeight w:val="223"/>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646,535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429,746</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2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168,812</w:t>
            </w:r>
          </w:p>
        </w:tc>
      </w:tr>
      <w:tr>
        <w:trPr>
          <w:trHeight w:val="22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30"/>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34,490</w:t>
            </w:r>
          </w:p>
        </w:tc>
      </w:tr>
      <w:tr>
        <w:trPr>
          <w:trHeight w:val="22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r>
      <w:tr>
        <w:trPr>
          <w:trHeight w:val="229"/>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Triple-net operating lease rent expense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35,283</w:t>
            </w:r>
          </w:p>
        </w:tc>
      </w:tr>
      <w:tr>
        <w:trPr>
          <w:trHeight w:val="223"/>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283,594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260,231</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362,941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169,515</w:t>
            </w: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40,193</w:t>
            </w:r>
          </w:p>
        </w:tc>
      </w:tr>
      <w:tr>
        <w:trPr>
          <w:trHeight w:val="23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(187,740)</w:t>
            </w:r>
          </w:p>
        </w:tc>
      </w:tr>
      <w:tr>
        <w:trPr>
          <w:trHeight w:val="22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23,046</w:t>
            </w:r>
          </w:p>
        </w:tc>
      </w:tr>
      <w:tr>
        <w:trPr>
          <w:trHeight w:val="23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r>
      <w:tr>
        <w:trPr>
          <w:trHeight w:val="230"/>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(30,614)</w:t>
            </w:r>
          </w:p>
        </w:tc>
      </w:tr>
      <w:tr>
        <w:trPr>
          <w:trHeight w:val="223"/>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(167,351)</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196,512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2,164</w:t>
            </w:r>
          </w:p>
        </w:tc>
      </w:tr>
      <w:tr>
        <w:trPr>
          <w:trHeight w:val="23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176,498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r>
      <w:tr>
        <w:trPr>
          <w:trHeight w:val="23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144,216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12,332</w:t>
            </w: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260" w:hanging="252"/>
        <w:spacing w:after="0" w:line="260" w:lineRule="auto"/>
        <w:tabs>
          <w:tab w:leader="none" w:pos="23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EBITDAR" is net income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2,936,264</w:t>
            </w: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1,864,211</w:t>
            </w: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Macau</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886,175</w:t>
            </w:r>
          </w:p>
        </w:tc>
      </w:tr>
      <w:tr>
        <w:trPr>
          <w:trHeight w:val="223"/>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5,596,491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5,686,650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3,173,247</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2,006,565</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2,786,406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3,129,761</w:t>
            </w:r>
          </w:p>
        </w:tc>
      </w:tr>
      <w:tr>
        <w:trPr>
          <w:trHeight w:val="223"/>
        </w:trPr>
        <w:tc>
          <w:tcPr>
            <w:tcW w:w="77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13,470,736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13,996,223</w:t>
            </w:r>
          </w:p>
        </w:tc>
      </w:tr>
      <w:tr>
        <w:trPr>
          <w:trHeight w:val="21"/>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unaudited condensed consolidated financial statements and the notes thereto included elsewhere in this Quarterly Report on Form 10-Q and the audited consolidated financial statements appearing in our Annual Report on Form 10-K for the year ended December 31, 2023.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2023 and other factors we describe from time to time in our periodic filings with the Securities and Exchange Commission ("SEC"), such as:</w:t>
      </w:r>
    </w:p>
    <w:p>
      <w:pPr>
        <w:spacing w:after="0" w:line="207"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investigations, litigation and other disputes;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managers and employees;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 and comply with applicable gaming law;</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relations, national security policies, anticorruption campaigns and other geopolitical events, which may impact the number of visitors to our properties and the amount of money they are willing to spend;</w:t>
      </w:r>
    </w:p>
    <w:p>
      <w:pPr>
        <w:jc w:val="both"/>
        <w:ind w:left="1300" w:hanging="644"/>
        <w:spacing w:after="0" w:line="250" w:lineRule="auto"/>
        <w:tabs>
          <w:tab w:leader="none" w:pos="129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mass shootings, riots, demonstrations, extreme weather patterns or natural disasters, military conflicts, civil unrest, and any future security alerts or terrorist attacks;</w:t>
      </w: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resorts and the level of service we provide;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 rates for our gaming operations;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regulatory risks associated with our current and future construction projects or co-investments in such projects;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various anti-money laundering laws or the Foreign Corrupt Practices Act;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environmental requirements and potential cleanup responsibility and liability as an owner or operator of property;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incidents or adverse publicity concerning our resorts or our corporate responsibilities;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gaming laws or regulations in the various jurisdictions in which we operate;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related to taxation, including changes in the rates of taxation;</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use of personal data and our level of compliance with applicable governmental regulations, credit card industry standards and other applicable data security standards;</w:t>
      </w:r>
    </w:p>
    <w:p>
      <w:pPr>
        <w:ind w:left="130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actions and other labor problems;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specifically associated with our Macau Operations;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indebtedness and our ability to meet our debt service obligations (including sensitivity to fluctuations in interest rates); and</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covenants in our debt agreements.</w:t>
      </w: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The results of Wynn Interactive Ltd. ("Wynn Interactive") are included in Corporate and other.</w:t>
      </w:r>
    </w:p>
    <w:p>
      <w:pPr>
        <w:spacing w:after="0" w:line="21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a 40% equity interest in Island 3 AMI FZ-LLC, an unconsolidated affiliate, which is constructing an integrated resort property ("Wynn Al Marjan Island") in Ras Al Khaimah, United Arab Emirates.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5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the Condensed Consolidated Statements of Income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04" w:lineRule="exact"/>
        <w:rPr>
          <w:sz w:val="20"/>
          <w:szCs w:val="20"/>
          <w:color w:val="auto"/>
        </w:rPr>
      </w:pPr>
    </w:p>
    <w:p>
      <w:pPr>
        <w:ind w:left="1300" w:hanging="644"/>
        <w:spacing w:after="0" w:line="261"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in mass market for our Macau Operations is the amount of cash that is deposited in a gaming table's drop box plus cash chips purchased at the casino cage.</w:t>
      </w: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Encore Boston Harbor is the amount of cash and gross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Times New Roman" w:cs="Times New Roman" w:eastAsia="Times New Roman" w:hAnsi="Times New Roman"/>
          <w:sz w:val="18"/>
          <w:szCs w:val="18"/>
          <w:color w:val="auto"/>
        </w:rPr>
      </w:pPr>
    </w:p>
    <w:p>
      <w:pPr>
        <w:ind w:left="1300" w:hanging="644"/>
        <w:spacing w:after="0" w:line="26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Poker rake is the portion of cash wagered by patrons in our poker rooms that is retained by the casino as a service fee, after adjustment for progressive accruals, but before the allocation of casino revenues to rooms,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food and beverage and other revenues for services provided to casino customers on a complimentary basis. Poker tables are not included in our measure of average number of table games.</w:t>
      </w:r>
    </w:p>
    <w:p>
      <w:pPr>
        <w:ind w:left="1300" w:right="2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first quarter 2024 results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(dollars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1,862,909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439,230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131,884</w:t>
            </w:r>
          </w:p>
        </w:tc>
        <w:tc>
          <w:tcPr>
            <w:tcW w:w="10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operating revenues for the three months ended March 31, 2024 was primarily driven by increases of $217.5 million and $181.0 million from Wynn Palace and Wynn Macau, respectively, resulting from an increase in gaming volumes, hotel occupancy, and covers at our restaurants. Since the elimination of COVID-19 related protective measures by Macau authorities in January 2023, visitation to Macau and to our Macau Operations has improved, resulting in increased business volumes at our Macau Operations for the three months ended March 31, 2024.</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net income attributable to Wynn Resorts, Limited for the three months ended March 31, 2024 was primarily due to increased operating revenues at our Macau Operations, partially offset by an increase in operating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March 31, 2024 compared to the three months ended March 31,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217,538</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181,018</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398,556</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30"/>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49,784</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Encore Boston Harbor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1,423,679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439,230</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line="15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1,121,466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766,992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354,474</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54,885</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34,327</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30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741,443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656,687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84,756</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1,862,909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1,423,679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439,230</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revenues for the three months ended March 31, 2024 were 60.2% of operating revenues, compared to 53.9% for the same period of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Non-casino revenues for the three months ended March 31, 2024 were 39.8% of operating revenues, compared to 46.1% for the same period of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Casino revenues increased primarily due to higher gaming volumes at our Macau Operations following the elimination of COVID-19 related protective measures by Macau authorities in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(dollars in thousands, except for win per unit per day):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473,781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270,687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3,921,085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2,293,358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1,627,727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1,782,184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1,181,998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600,186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437,323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260,865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595,621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546,598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30,970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25,425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346,353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1,589,685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1,144,224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445,461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1,683,151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989,988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693,163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326,320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730,389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469,769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26,192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4"/>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135,163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154,530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604,174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600,746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156,611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1,496,078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1,572,735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99,756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4,522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166,169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165,392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366,812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366,041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82,978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1,402,847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1,296,427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104,665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104,073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4"/>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5,781</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Palace</w:t>
            </w:r>
            <w:r>
              <w:rPr>
                <w:rFonts w:ascii="Times New Roman" w:cs="Times New Roman" w:eastAsia="Times New Roman" w:hAnsi="Times New Roman"/>
                <w:sz w:val="14"/>
                <w:szCs w:val="14"/>
                <w:color w:val="auto"/>
              </w:rPr>
              <w: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53,936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46,910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28,619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21,971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224,076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20,783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Room revenues increased $54.9 million, primarily due to higher ADR at all of our properties and higher occupancy at our Macau Operations.</w:t>
      </w:r>
    </w:p>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$34.3 million, primarily due to increased restaurant covers at our Las Vegas Operations and our Macau Operations.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decreased $4.5 million, primarily due to decreased operating revenues at Wynn Interactive following the closure of WynnBET, Wynn Interactive's digital sports betting and casino gaming business,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245,804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total operating expenses was primarily due to increased operating costs associated with higher business volumes at each of our properties, partially offset by decreased entertainment, retail and other expenses related to Wynn Interactive following the closure of WynnBET, Wynn Interactive's digital sports betting and casino gaming business, in certain jurisdictions.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Casino expenses increased $111.1 million and $83.3 million at Wynn Palace and Wynn Macau, respectively. These increases resulted from higher operating costs, including $102.3 million and $78.6 million in incremental gaming tax expense at Wynn Palace and Wynn Macau, respectively, driven by the increase in casino revenues.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Room expenses increased $7.9 million at our Las Vegas Operations as a result of higher payroll and other operational costs, commensurate with the increase in room revenues.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$17.9 million and $4.9 million at our Las Vegas Operations and Wynn Palace, respectively. These increases resulted from higher operating costs related to an increase in food and beverage revenues at our Las Vegas Operations and Wynn Palace, respectively.</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decreased $28.1 million at Corporate and other as a result of decreased marketing and other operational costs relating to Wynn Interactive.</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primarily due to increases of $5.5 million and $2.5 million at Wynn Palace and our Las Vegas Operations, respectively, attributable to payroll and other general and administrative expenses required to support higher business volumes.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Property charges and other expenses for the three months ended March 31, 2024 consisted primarily of asset abandonments of $11.4 million at Wynn Palace and contract termination and other expenses of $5.1 million related to Wynn Interactive. Property charges and other expenses for the three months ended March 31, 2023 consisted primarily of asset abandonments of $2.2 million at Wynn Palace.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Interest expense, net of capitalized interest, decreased $5.3 million primarily due to a decrease in the weighted average debt balance, from $12.61 billion for the three months ended March 31, 2023, to $11.92 billion for the three months ended March 31, 2024, the effect of which was partially offset by an increase in the weighted average interest rate from 5.95% for the three months ended March 31, 2023, to 6.11% for the three months ended March 31, 2024.</w:t>
      </w:r>
    </w:p>
    <w:p>
      <w:pPr>
        <w:spacing w:after="0" w:line="20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recorded interest income of $40.2 million in each of the three months ended March 31, 2024 and 2023, respectively, primarily related to interest earned on cash and cash equivalents held at financial institutions.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a foreign currency remeasurement loss of $4.7 million and $30.6 million for the three months ended March 31, 2024 and 2023,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loss of $17.9 million and a gain of $23.0 million for the three months ended March 31, 2024 and 2023, respectively, from change in derivatives fair value, primarily related to the conversion feature of the WML Convertible Bonds.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recorded a $1.6 million loss on debt financing transactions for the three months ended March 31, 2024, primarily related to the issuance of the 2031 Add-On WRF Senior Notes and the repurchase of the 2025 WLV Senior Notes. We recorded a $12.2 million loss on debt financing transactions for the three months ended March 31, 2023, primarily related to the issuance of the 2031 WRF Senior Notes and the repurchase of the 2025 WRF Senior Notes.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an income tax expense of $20.0 million and $1.0 million for the three months ended March 31, 2024 and 2023, respectively, primarily related to our U.S.-based operating profits.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interests</w:t>
      </w:r>
    </w:p>
    <w:p>
      <w:pPr>
        <w:spacing w:after="0" w:line="25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$32.3 million and net loss attributable to noncontrolling interest was $11.2 million for the three months ended March 31, 2024 and 2023, respectively. These amounts are primarily related to the noncontrolling interests' share of net income (loss) attributable to WML.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5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As further described in Item 1—"Notes to Condensed Consolidated Financial Statements," Note 17, "Segment Information," we use Adjusted Property EBITDAR to manage the operating results of our segments. Adjusted Property EBITDAR is net income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Property EBITDAR. Also, our calculation of Adjusted Property EBITDAR may be different from the calculation methods used by other companies and, therefore, comparability may be limited.</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Adjusted Property EBITDAR (dollars in thousands) for Wynn Palace, Wynn Macau, Las Vegas Operations, Encore Boston Harbor, and Corporate and other as reviewed by management and summarized in Item 1—"Notes to Condensed Consolidated Financial Statements," Note 17, "Segment Information." That footnote also presents a reconciliation of Adjusted Property EBITDAR to net income attributable to Wynn Resorts, Limited.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Adjusted Property EBITDAR at Wynn Palace and Wynn Macau increased $91.3 million and $92.4 million for the three months ended March 31, 2024, respectively, primarily due to an increase in operating revenues of $217.5 million and $181.0 million for the three months ended March 31, 2024, respectively, partially offset by an increase in operating expenses. Since the elimination of COVID-19 related protective measures by Macau authorities in January 2023, visitation to Macau and to our Macau Operations has improved, resulting in increased business volumes at our Macau Operations for the three months ended March 31, 2024.</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Adjusted Property EBITDAR at our Las Vegas Operations increased $14.7 million for the three months ended March 31, 2024, primarily due to an increase in revenues from room and food and beverage operations of $39.0 million and $21.1 million, respectively, partially offset by an increase in operating expenses.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Adjusted Property EBITDAR at Corporate and other increased $18.6 million for the three months ended March 31, 2024, primarily due to a decrease in marketing and promotional expense of $28.1 million related to Wynn Interactive following our decision, announced in August 2023, to close WynnBET, Wynn Interactive's digital sports betting and casino gaming business, in certain jurisdictions.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 Summary</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169,491</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intangible and other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 and 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(167,419)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(131,950)</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(1,018,973)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payments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r>
        <w:trPr>
          <w:trHeight w:val="223"/>
        </w:trPr>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(604,363)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121,003</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cash equivalents and restricted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(2,567)</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cash equivalents and restricted cash</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155,977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increase in cash flows from operating activities was primarily due to increased revenues from our Macau Operations and our Las Vegas Operations, which was partially offset by an increase in operating expenses associated with higher business volumes. During the three months ended March 31, 2023, the increase in cash flows from operating activities was primarily due to increased revenues from our Macau Operations, our Las Vegas Operations, and Encore Boston Harbor, which was partially offset by an increase in operating expenses associated with higher business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175"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During the three months ended March 31, 2024, we incurred capital expenditures of $24.7 million at our Las Vegas Operations, $11.8 million at Encore Boston Harbor, $29.5 million at Wynn Palace, and $17.3 million at Wynn Macau primarily related to maintenance capital expenditures, and $14.4 million at Corporate and other primarily related to future development projects. In addition, during the three months ended March 31, 2024, we made $69.9 million of investments in Island 3 AMI FZ-LLC, an unconsolidated affiliate which is constructing Wynn Al Marjan Island.</w:t>
      </w:r>
    </w:p>
    <w:p>
      <w:pPr>
        <w:spacing w:after="0" w:line="2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we incurred capital expenditures of $38.5 million at our Las Vegas Operations, $30.1 million at Encore Boston Harbor, $6.4 million at Wynn Palace, and $3.0 million at Wynn Macau primarily related to maintenance capital expenditures, and $46.5 million at Corporate and other primarily related to future development projects.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table presents proceeds from the issuance, repayments, and repurchases of the specified debt instruments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Proceeds from issuance</w:t>
            </w:r>
          </w:p>
        </w:tc>
        <w:tc>
          <w:tcPr>
            <w:tcW w:w="200" w:type="dxa"/>
            <w:vAlign w:val="bottom"/>
          </w:tcPr>
          <w:p>
            <w:pPr>
              <w:spacing w:after="0"/>
              <w:rPr>
                <w:sz w:val="13"/>
                <w:szCs w:val="13"/>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Repayments and</w:t>
            </w:r>
          </w:p>
        </w:tc>
        <w:tc>
          <w:tcPr>
            <w:tcW w:w="0" w:type="dxa"/>
            <w:vAlign w:val="bottom"/>
          </w:tcPr>
          <w:p>
            <w:pPr>
              <w:spacing w:after="0"/>
              <w:rPr>
                <w:sz w:val="1"/>
                <w:szCs w:val="1"/>
                <w:color w:val="auto"/>
              </w:rPr>
            </w:pPr>
          </w:p>
        </w:tc>
      </w:tr>
      <w:tr>
        <w:trPr>
          <w:trHeight w:val="196"/>
        </w:trPr>
        <w:tc>
          <w:tcPr>
            <w:tcW w:w="794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0" w:type="dxa"/>
            <w:vAlign w:val="bottom"/>
          </w:tcPr>
          <w:p>
            <w:pPr>
              <w:spacing w:after="0"/>
              <w:rPr>
                <w:sz w:val="1"/>
                <w:szCs w:val="1"/>
                <w:color w:val="auto"/>
              </w:rPr>
            </w:pPr>
          </w:p>
        </w:tc>
      </w:tr>
      <w:tr>
        <w:trPr>
          <w:trHeight w:val="229"/>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 Cayman II Revolver, due 2025</w:t>
            </w:r>
          </w:p>
        </w:tc>
        <w:tc>
          <w:tcPr>
            <w:tcW w:w="5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796,691</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Credit Facilities:</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WRF Term Loan, due 2024</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WRF Term Loan, due 2027</w:t>
            </w:r>
          </w:p>
        </w:tc>
        <w:tc>
          <w:tcPr>
            <w:tcW w:w="5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956,666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table presents proceeds from the issuance, repayments, and repurchases of the specified debt instruments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Proceeds from issuance</w:t>
            </w:r>
          </w:p>
        </w:tc>
        <w:tc>
          <w:tcPr>
            <w:tcW w:w="200" w:type="dxa"/>
            <w:vAlign w:val="bottom"/>
          </w:tcPr>
          <w:p>
            <w:pPr>
              <w:spacing w:after="0"/>
              <w:rPr>
                <w:sz w:val="13"/>
                <w:szCs w:val="13"/>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Repayments and</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0" w:type="dxa"/>
            <w:vAlign w:val="bottom"/>
          </w:tcPr>
          <w:p>
            <w:pPr>
              <w:spacing w:after="0"/>
              <w:rPr>
                <w:sz w:val="1"/>
                <w:szCs w:val="1"/>
                <w:color w:val="auto"/>
              </w:rPr>
            </w:pPr>
          </w:p>
        </w:tc>
      </w:tr>
      <w:tr>
        <w:trPr>
          <w:trHeight w:val="22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4 1/2% Convertible Bonds, due 2029</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3/4% Senior Notes, due 2025</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506,473</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Las Vegas 4 1/4% Senior Notes, due 2023</w:t>
            </w:r>
          </w:p>
        </w:tc>
        <w:tc>
          <w:tcPr>
            <w:tcW w:w="4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Term Loan, due 2024</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1,200,000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1,018,973</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unrestricted cash and cash equivalents, investments, and available revolver borrowing capacity, excluding capacity under intercompany loan agreements, presented by significant financing entity as of March 31, 2024 (in thousands):</w:t>
      </w:r>
    </w:p>
    <w:p>
      <w:pPr>
        <w:sectPr>
          <w:pgSz w:w="11900" w:h="16838" w:orient="portrait"/>
          <w:cols w:equalWidth="0" w:num="1">
            <w:col w:w="11240"/>
          </w:cols>
          <w:pgMar w:left="320" w:top="118" w:right="339" w:bottom="1440" w:gutter="0" w:footer="0" w:header="0"/>
        </w:sectPr>
      </w:pP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 Cash and Cash</w:t>
            </w:r>
          </w:p>
        </w:tc>
        <w:tc>
          <w:tcPr>
            <w:tcW w:w="200" w:type="dxa"/>
            <w:vAlign w:val="bottom"/>
          </w:tcPr>
          <w:p>
            <w:pPr>
              <w:spacing w:after="0"/>
              <w:rPr>
                <w:sz w:val="13"/>
                <w:szCs w:val="13"/>
                <w:color w:val="auto"/>
              </w:rPr>
            </w:pPr>
          </w:p>
        </w:tc>
      </w:tr>
      <w:tr>
        <w:trPr>
          <w:trHeight w:val="194"/>
        </w:trPr>
        <w:tc>
          <w:tcPr>
            <w:tcW w:w="6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6"/>
                <w:szCs w:val="16"/>
                <w:color w:val="auto"/>
              </w:rPr>
            </w:pPr>
          </w:p>
        </w:tc>
      </w:tr>
      <w:tr>
        <w:trPr>
          <w:trHeight w:val="22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Wynn Macau, Limited and subsidiaries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626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Wynn Resorts Finance, LLC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405,538</w:t>
            </w:r>
          </w:p>
        </w:tc>
        <w:tc>
          <w:tcPr>
            <w:tcW w:w="200" w:type="dxa"/>
            <w:vAlign w:val="bottom"/>
          </w:tcPr>
          <w:p>
            <w:pPr>
              <w:spacing w:after="0"/>
              <w:rPr>
                <w:sz w:val="20"/>
                <w:szCs w:val="20"/>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Limited and other</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712,402</w:t>
            </w:r>
          </w:p>
        </w:tc>
        <w:tc>
          <w:tcPr>
            <w:tcW w:w="200" w:type="dxa"/>
            <w:vAlign w:val="bottom"/>
          </w:tcPr>
          <w:p>
            <w:pPr>
              <w:spacing w:after="0"/>
              <w:rPr>
                <w:sz w:val="20"/>
                <w:szCs w:val="20"/>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2,420,203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2"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 of investments in United States treasury bills and fixed deposits maturing in less than one year.</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Wynn Macau, Limited and subsidiaries.</w:t>
      </w:r>
    </w:p>
    <w:p>
      <w:pPr>
        <w:spacing w:after="0" w:line="20" w:lineRule="exact"/>
        <w:rPr>
          <w:sz w:val="20"/>
          <w:szCs w:val="20"/>
          <w:color w:val="auto"/>
        </w:rPr>
      </w:pPr>
      <w:r>
        <w:rPr>
          <w:sz w:val="20"/>
          <w:szCs w:val="20"/>
          <w:color w:val="auto"/>
        </w:rPr>
        <w:br w:type="column"/>
      </w:r>
    </w:p>
    <w:p>
      <w:pPr>
        <w:ind w:left="1520" w:hanging="743"/>
        <w:spacing w:after="0" w:line="185" w:lineRule="auto"/>
        <w:tabs>
          <w:tab w:leader="none" w:pos="1520" w:val="left"/>
        </w:tabs>
        <w:numPr>
          <w:ilvl w:val="0"/>
          <w:numId w:val="13"/>
        </w:numPr>
        <w:rPr>
          <w:rFonts w:ascii="Times New Roman" w:cs="Times New Roman" w:eastAsia="Times New Roman" w:hAnsi="Times New Roman"/>
          <w:sz w:val="19"/>
          <w:szCs w:val="19"/>
          <w:b w:val="1"/>
          <w:bCs w:val="1"/>
          <w:color w:val="auto"/>
          <w:vertAlign w:val="subscript"/>
        </w:rPr>
      </w:pPr>
      <w:r>
        <w:rPr>
          <w:rFonts w:ascii="Times New Roman" w:cs="Times New Roman" w:eastAsia="Times New Roman" w:hAnsi="Times New Roman"/>
          <w:sz w:val="12"/>
          <w:szCs w:val="12"/>
          <w:b w:val="1"/>
          <w:bCs w:val="1"/>
          <w:color w:val="auto"/>
        </w:rPr>
        <w:t>Revolver Borrowing</w:t>
      </w:r>
    </w:p>
    <w:p>
      <w:pPr>
        <w:spacing w:after="0"/>
        <w:rPr>
          <w:rFonts w:ascii="Times New Roman" w:cs="Times New Roman" w:eastAsia="Times New Roman" w:hAnsi="Times New Roman"/>
          <w:sz w:val="19"/>
          <w:szCs w:val="19"/>
          <w:b w:val="1"/>
          <w:bCs w:val="1"/>
          <w:color w:val="auto"/>
          <w:vertAlign w:val="subscript"/>
        </w:rPr>
      </w:pPr>
      <w:r>
        <w:rPr>
          <w:rFonts w:ascii="Times New Roman" w:cs="Times New Roman" w:eastAsia="Times New Roman" w:hAnsi="Times New Roman"/>
          <w:sz w:val="14"/>
          <w:szCs w:val="14"/>
          <w:b w:val="1"/>
          <w:bCs w:val="1"/>
          <w:color w:val="auto"/>
        </w:rPr>
        <w:t>InvestmentsCapacity</w:t>
      </w:r>
    </w:p>
    <w:p>
      <w:pPr>
        <w:spacing w:after="0" w:line="43" w:lineRule="exact"/>
        <w:rPr>
          <w:sz w:val="20"/>
          <w:szCs w:val="20"/>
          <w:color w:val="auto"/>
        </w:rPr>
      </w:pPr>
    </w:p>
    <w:p>
      <w:pPr>
        <w:jc w:val="right"/>
        <w:ind w:right="80"/>
        <w:spacing w:after="0"/>
        <w:tabs>
          <w:tab w:leader="none" w:pos="1480" w:val="left"/>
          <w:tab w:leader="none" w:pos="560" w:val="left"/>
        </w:tabs>
        <w:rPr>
          <w:sz w:val="20"/>
          <w:szCs w:val="20"/>
          <w:color w:val="auto"/>
        </w:rPr>
      </w:pPr>
      <w:r>
        <w:rPr>
          <w:rFonts w:ascii="Times New Roman" w:cs="Times New Roman" w:eastAsia="Times New Roman" w:hAnsi="Times New Roman"/>
          <w:sz w:val="18"/>
          <w:szCs w:val="18"/>
          <w:color w:val="auto"/>
        </w:rPr>
        <w:t>699,649</w:t>
        <w:tab/>
        <w:t>$</w:t>
      </w:r>
      <w:r>
        <w:rPr>
          <w:sz w:val="20"/>
          <w:szCs w:val="20"/>
          <w:color w:val="auto"/>
        </w:rPr>
        <w:tab/>
      </w:r>
      <w:r>
        <w:rPr>
          <w:rFonts w:ascii="Times New Roman" w:cs="Times New Roman" w:eastAsia="Times New Roman" w:hAnsi="Times New Roman"/>
          <w:sz w:val="17"/>
          <w:szCs w:val="17"/>
          <w:color w:val="auto"/>
        </w:rPr>
        <w:t>149,639</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737,227</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149,083—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14605</wp:posOffset>
            </wp:positionV>
            <wp:extent cx="20828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7" w:lineRule="exact"/>
        <w:rPr>
          <w:sz w:val="20"/>
          <w:szCs w:val="20"/>
          <w:color w:val="auto"/>
        </w:rPr>
      </w:pPr>
    </w:p>
    <w:p>
      <w:pPr>
        <w:jc w:val="right"/>
        <w:ind w:right="80"/>
        <w:spacing w:after="0"/>
        <w:tabs>
          <w:tab w:leader="none" w:pos="1480" w:val="left"/>
          <w:tab w:leader="none" w:pos="560" w:val="left"/>
        </w:tabs>
        <w:rPr>
          <w:sz w:val="20"/>
          <w:szCs w:val="20"/>
          <w:color w:val="auto"/>
        </w:rPr>
      </w:pPr>
      <w:r>
        <w:rPr>
          <w:rFonts w:ascii="Times New Roman" w:cs="Times New Roman" w:eastAsia="Times New Roman" w:hAnsi="Times New Roman"/>
          <w:sz w:val="18"/>
          <w:szCs w:val="18"/>
          <w:b w:val="1"/>
          <w:bCs w:val="1"/>
          <w:color w:val="auto"/>
        </w:rPr>
        <w:t>848,732</w:t>
        <w:tab/>
        <w:t>$</w:t>
      </w:r>
      <w:r>
        <w:rPr>
          <w:sz w:val="20"/>
          <w:szCs w:val="20"/>
          <w:color w:val="auto"/>
        </w:rPr>
        <w:tab/>
      </w:r>
      <w:r>
        <w:rPr>
          <w:rFonts w:ascii="Times New Roman" w:cs="Times New Roman" w:eastAsia="Times New Roman" w:hAnsi="Times New Roman"/>
          <w:sz w:val="17"/>
          <w:szCs w:val="17"/>
          <w:b w:val="1"/>
          <w:bCs w:val="1"/>
          <w:color w:val="auto"/>
        </w:rPr>
        <w:t>886,866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19685</wp:posOffset>
            </wp:positionV>
            <wp:extent cx="208280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82800" cy="34290"/>
                    </a:xfrm>
                    <a:prstGeom prst="rect">
                      <a:avLst/>
                    </a:prstGeom>
                    <a:noFill/>
                  </pic:spPr>
                </pic:pic>
              </a:graphicData>
            </a:graphic>
          </wp:anchor>
        </w:drawing>
      </w:r>
    </w:p>
    <w:p>
      <w:pPr>
        <w:spacing w:after="0" w:line="696" w:lineRule="exact"/>
        <w:rPr>
          <w:sz w:val="20"/>
          <w:szCs w:val="20"/>
          <w:color w:val="auto"/>
        </w:rPr>
      </w:pPr>
    </w:p>
    <w:p>
      <w:pPr>
        <w:sectPr>
          <w:pgSz w:w="11900" w:h="16838" w:orient="portrait"/>
          <w:cols w:equalWidth="0" w:num="2">
            <w:col w:w="8060" w:space="240"/>
            <w:col w:w="2940"/>
          </w:cols>
          <w:pgMar w:left="320" w:top="118" w:right="339" w:bottom="1440" w:gutter="0" w:footer="0" w:header="0"/>
          <w:type w:val="continuous"/>
        </w:sectPr>
      </w:pPr>
    </w:p>
    <w:p>
      <w:pPr>
        <w:spacing w:after="0" w:line="44"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Wynn Macau, Limited and subsidiaries</w:t>
      </w:r>
      <w:r>
        <w:rPr>
          <w:rFonts w:ascii="Times New Roman" w:cs="Times New Roman" w:eastAsia="Times New Roman" w:hAnsi="Times New Roman"/>
          <w:sz w:val="18"/>
          <w:szCs w:val="18"/>
          <w:color w:val="auto"/>
        </w:rPr>
        <w:t>. WML generates cash from our Macau Operations. We expect to use this cash to fund working capital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 requirements at WML and our Macau Operations, and to service our WML Senior Notes, WM Cayman II Revolver, and WML Convertible Bonds. WML paid no dividends during 2023 or the three months ended March 31, 2024.</w:t>
      </w:r>
    </w:p>
    <w:p>
      <w:pPr>
        <w:spacing w:after="0" w:line="20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WML board of directors has recommended the payment of a final dividend of HK$0.075 per share on its common stock, for a total U.S. dollar equivalent of approximately $50.3 million, in respect of the year ended December 31, 2023. The payment of the final dividend is conditional upon shareholder approval at WML's 2024 Annual General Meeting to be held on May 30, 2024.</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our portion of cash available for repatriation was repatriated on March 31, 2024, it would be subject to minimal U.S. taxes.</w:t>
      </w:r>
    </w:p>
    <w:p>
      <w:pPr>
        <w:spacing w:after="0" w:line="25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Wynn Resorts Finance, LLC and subsidiaries. </w:t>
      </w:r>
      <w:r>
        <w:rPr>
          <w:rFonts w:ascii="Times New Roman" w:cs="Times New Roman" w:eastAsia="Times New Roman" w:hAnsi="Times New Roman"/>
          <w:sz w:val="18"/>
          <w:szCs w:val="18"/>
          <w:color w:val="auto"/>
        </w:rPr>
        <w:t>Wynn Resorts Finance, LLC ("WRF" or "Wynn Resorts Finance") generates cash from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spacing w:after="0" w:line="20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WRF is a holding company and, as a result, its ability to pay dividends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February 2024, WRF issued an additional $400.0 million aggregate principal amount of 7 1/8% Senior Notes due 2031 (the "2031 WRF Add-On Senior Notes") in a private offering. The 2031 WRF Add-On Senior Notes were issued at a price equal to 103.0% of the principal amount, for net proceeds of approximately $409.5 million.</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February and March 2024, we repurchased $800.0 million aggregate principal amount of our 5 1/2% Senior Notes due 2025 (the "2025 WLV Senior Notes"), which consisted of i) $681.0 million validly tendered notes repurchased at a price equal to 97.2% of the principal amount, plus accrued interest and an early tender premium of $20.3 million and ii) $119.0 million of notes repurchased on a pro-rata basis at a price equal of 100% of the principal amount plus accrued interest under the terms of its indenture. Included in the $119.0 million repurchase was $3.3 million of 2025 WLV Senior Notes held by Wynn Resorts. We used the net proceeds from the 2031 WRF Add-On Senior Notes and cash held by WRF, to purchase such validly tendered 2025 WLV Senior Notes and to pay the tender premium and related fees and expenses.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Wynn Resorts, Limited and other subsidiaries. </w:t>
      </w:r>
      <w:r>
        <w:rPr>
          <w:rFonts w:ascii="Times New Roman" w:cs="Times New Roman" w:eastAsia="Times New Roman" w:hAnsi="Times New Roman"/>
          <w:sz w:val="18"/>
          <w:szCs w:val="18"/>
          <w:color w:val="auto"/>
        </w:rPr>
        <w:t>Wynn Resorts, Limited is a holding company and, as a result, our ability to pay dividends is 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$140.0 million for the year ending December 31, 2024. We expect to use cash held by Wynn Resorts, Limited and other to service our Retail Term Loan, to fund working capital needs of our subsidiaries, pay dividends, make required capital contributions to the entity which owns the Wynn Al Marjan Island development, and for general corporate purposes.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paid a cash dividend of $0.25 per share in the quarter ended March 31, 2024 and recorded $28.0 million against accumulated deficit.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2024, the Company declared a cash dividend of $0.25 per share, payable on May 31, 2024 to stockholders of record as of May 20, 2024.</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refinance all or a portion of our indebtedness on or before maturity. We cannot assure you that we will be able to refinance any of the indebtedness on acceptable terms or at all.</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April 2016, our Board of Directors authorized an equity repurchase program of up to $1.00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As of March 31, 2024, we had $433.4 million in repurchase authority remaining under the program.</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Contractual Commitments</w:t>
      </w:r>
    </w:p>
    <w:p>
      <w:pPr>
        <w:spacing w:after="0" w:line="2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except as described below, there have been no material changes to the contractual obligations previously reported in our Annual Report on Form 10-K for the year ended December 31, 2023.</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our fixed interest rate long-term debt obligations decreased by a net amount of $396.7 million, as a result of $796.7 million in debt repayments in connection with the repurchase of the 2025 WLV Senior Notes, net of $400.0 million in long-term debt issuances in connection with the issuance of the 2031 Add-On Senior Notes, as described above. As a result, our annual fixed interest payments are expected to decrease $12.5 million for the remainder of 2024, and increase $21.2 million in 2025, $28.5 million in each of 2026, 2027, and 2028, and $60.6 million thereafter.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these policies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related disclosure in Note 2, "Basis of Presentation and Significant Accounting Policies" of Part I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89"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our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5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41"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As of March 31, 2024, approximately 76% of our long-term debt was based on fixed rates. Based on our outstanding borrowings as of March 31, 2024 and an interest rate collar on the Retail Term Loan, an assumed 100 basis point change in the variable rates would cause our annual interest expense to change by $21.4 million.</w:t>
      </w:r>
    </w:p>
    <w:p>
      <w:pPr>
        <w:spacing w:after="0" w:line="2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order to mitigate exposure to interest rate fluctuations on the Retail Term Loan, the Company entered into an interest rate collar with a notional value of $615.0 million. The interest rate collar establishes a range whereby the Company will pay the counterparty if one-month SOFR falls below the established floor rate of 1.00%, and the counterparty will pay the Company if one-month SOFR exceeds the ceiling rate of 3.67%.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March 31, 2024, an assumed 1% change in the U.S. dollar/Hong Kong dollar exchange rate would cause a foreign currency transaction gain/loss of $46.4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furnishes under the Exchange Act and were effective in ensuring that information required to be disclosed by the Company in the reports that it files or furnishes under the Exchange Act is accumulated and communicated to the Company's management, including the Company's CEO and CFO, as appropriate to allow timely decisions regarding required disclosure.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Part I of our Annual Report on Form 10-K for the year ended December 31, 2023. There were no material changes to those risk factors during the three months ended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There were no share repurchases as part of a publicly announced program during the three months ended March 31, 2024. The following table summarizes the share repurchases made by the Company in satisfaction of employee tax withholding obligations on vested restricted stock relating to our stock incentive plans during the three months ended March 31, 2024:</w:t>
      </w:r>
    </w:p>
    <w:p>
      <w:pPr>
        <w:sectPr>
          <w:pgSz w:w="11900" w:h="16838" w:orient="portrait"/>
          <w:cols w:equalWidth="0" w:num="1">
            <w:col w:w="11240"/>
          </w:cols>
          <w:pgMar w:left="320" w:top="118" w:right="339" w:bottom="1440" w:gutter="0" w:footer="0" w:header="0"/>
        </w:sectPr>
      </w:pP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60" w:type="dxa"/>
            <w:vAlign w:val="bottom"/>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6"/>
        </w:trPr>
        <w:tc>
          <w:tcPr>
            <w:tcW w:w="1640" w:type="dxa"/>
            <w:vAlign w:val="bottom"/>
          </w:tcPr>
          <w:p>
            <w:pPr>
              <w:spacing w:after="0"/>
              <w:rPr>
                <w:sz w:val="12"/>
                <w:szCs w:val="12"/>
                <w:color w:val="auto"/>
              </w:rPr>
            </w:pPr>
          </w:p>
        </w:tc>
        <w:tc>
          <w:tcPr>
            <w:tcW w:w="2960" w:type="dxa"/>
            <w:vAlign w:val="bottom"/>
            <w:vMerge w:val="restart"/>
          </w:tcPr>
          <w:p>
            <w:pPr>
              <w:jc w:val="center"/>
              <w:ind w:left="911"/>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60" w:type="dxa"/>
            <w:vAlign w:val="bottom"/>
          </w:tcPr>
          <w:p>
            <w:pPr>
              <w:spacing w:after="0"/>
              <w:rPr>
                <w:sz w:val="12"/>
                <w:szCs w:val="12"/>
                <w:color w:val="auto"/>
              </w:rPr>
            </w:pPr>
          </w:p>
        </w:tc>
        <w:tc>
          <w:tcPr>
            <w:tcW w:w="2060" w:type="dxa"/>
            <w:vAlign w:val="bottom"/>
          </w:tcPr>
          <w:p>
            <w:pPr>
              <w:jc w:val="center"/>
              <w:ind w:left="91"/>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0" w:type="dxa"/>
            <w:vAlign w:val="bottom"/>
          </w:tcPr>
          <w:p>
            <w:pPr>
              <w:spacing w:after="0"/>
              <w:rPr>
                <w:sz w:val="1"/>
                <w:szCs w:val="1"/>
                <w:color w:val="auto"/>
              </w:rPr>
            </w:pPr>
          </w:p>
        </w:tc>
      </w:tr>
      <w:tr>
        <w:trPr>
          <w:trHeight w:val="135"/>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960" w:type="dxa"/>
            <w:vAlign w:val="bottom"/>
            <w:vMerge w:val="continue"/>
          </w:tcPr>
          <w:p>
            <w:pPr>
              <w:spacing w:after="0"/>
              <w:rPr>
                <w:sz w:val="11"/>
                <w:szCs w:val="11"/>
                <w:color w:val="auto"/>
              </w:rPr>
            </w:pPr>
          </w:p>
        </w:tc>
        <w:tc>
          <w:tcPr>
            <w:tcW w:w="22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060" w:type="dxa"/>
            <w:vAlign w:val="bottom"/>
          </w:tcPr>
          <w:p>
            <w:pPr>
              <w:jc w:val="center"/>
              <w:ind w:left="91"/>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0" w:type="dxa"/>
            <w:vAlign w:val="bottom"/>
          </w:tcPr>
          <w:p>
            <w:pPr>
              <w:spacing w:after="0"/>
              <w:rPr>
                <w:sz w:val="1"/>
                <w:szCs w:val="1"/>
                <w:color w:val="auto"/>
              </w:rPr>
            </w:pPr>
          </w:p>
        </w:tc>
      </w:tr>
      <w:tr>
        <w:trPr>
          <w:trHeight w:val="189"/>
        </w:trPr>
        <w:tc>
          <w:tcPr>
            <w:tcW w:w="1640" w:type="dxa"/>
            <w:vAlign w:val="bottom"/>
            <w:vMerge w:val="continue"/>
          </w:tcPr>
          <w:p>
            <w:pPr>
              <w:spacing w:after="0"/>
              <w:rPr>
                <w:sz w:val="16"/>
                <w:szCs w:val="16"/>
                <w:color w:val="auto"/>
              </w:rPr>
            </w:pPr>
          </w:p>
        </w:tc>
        <w:tc>
          <w:tcPr>
            <w:tcW w:w="2960" w:type="dxa"/>
            <w:vAlign w:val="bottom"/>
          </w:tcPr>
          <w:p>
            <w:pPr>
              <w:jc w:val="center"/>
              <w:ind w:left="911"/>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21"/>
                <w:szCs w:val="21"/>
                <w:b w:val="1"/>
                <w:bCs w:val="1"/>
                <w:color w:val="auto"/>
                <w:vertAlign w:val="superscript"/>
              </w:rPr>
              <w:t>(1) (2)</w:t>
            </w:r>
          </w:p>
        </w:tc>
        <w:tc>
          <w:tcPr>
            <w:tcW w:w="2260" w:type="dxa"/>
            <w:vAlign w:val="bottom"/>
            <w:vMerge w:val="continue"/>
          </w:tcPr>
          <w:p>
            <w:pPr>
              <w:spacing w:after="0"/>
              <w:rPr>
                <w:sz w:val="16"/>
                <w:szCs w:val="16"/>
                <w:color w:val="auto"/>
              </w:rPr>
            </w:pPr>
          </w:p>
        </w:tc>
        <w:tc>
          <w:tcPr>
            <w:tcW w:w="2060" w:type="dxa"/>
            <w:vAlign w:val="bottom"/>
          </w:tcPr>
          <w:p>
            <w:pPr>
              <w:jc w:val="center"/>
              <w:ind w:left="91"/>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ind w:left="200"/>
        <w:spacing w:after="0" w:line="209"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jc w:val="center"/>
        <w:ind w:right="140"/>
        <w:spacing w:after="0" w:line="239" w:lineRule="auto"/>
        <w:rPr>
          <w:sz w:val="20"/>
          <w:szCs w:val="20"/>
          <w:color w:val="auto"/>
        </w:rPr>
      </w:pPr>
      <w:r>
        <w:rPr>
          <w:rFonts w:ascii="Times New Roman" w:cs="Times New Roman" w:eastAsia="Times New Roman" w:hAnsi="Times New Roman"/>
          <w:sz w:val="14"/>
          <w:szCs w:val="14"/>
          <w:b w:val="1"/>
          <w:bCs w:val="1"/>
          <w:color w:val="auto"/>
        </w:rPr>
        <w:t>Purchased Under the Plans or Programs (in thousands)</w:t>
      </w:r>
    </w:p>
    <w:p>
      <w:pPr>
        <w:spacing w:after="0" w:line="24" w:lineRule="exact"/>
        <w:rPr>
          <w:sz w:val="20"/>
          <w:szCs w:val="20"/>
          <w:color w:val="auto"/>
        </w:rPr>
      </w:pPr>
    </w:p>
    <w:p>
      <w:pPr>
        <w:sectPr>
          <w:pgSz w:w="11900" w:h="16838" w:orient="portrait"/>
          <w:cols w:equalWidth="0" w:num="2">
            <w:col w:w="8940" w:space="320"/>
            <w:col w:w="19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460" w:type="dxa"/>
            <w:vAlign w:val="bottom"/>
            <w:tcBorders>
              <w:top w:val="single" w:sz="8" w:color="auto"/>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January 1, 2024 to</w:t>
            </w:r>
          </w:p>
        </w:tc>
        <w:tc>
          <w:tcPr>
            <w:tcW w:w="1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0</w:t>
            </w:r>
          </w:p>
        </w:tc>
        <w:tc>
          <w:tcPr>
            <w:tcW w:w="2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99,642</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vMerge w:val="restart"/>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8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vMerge w:val="restart"/>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vMerge w:val="restart"/>
            <w:shd w:val="clear" w:color="auto" w:fill="CCEEFF"/>
          </w:tcPr>
          <w:p>
            <w:pPr>
              <w:spacing w:after="0"/>
              <w:rPr>
                <w:sz w:val="14"/>
                <w:szCs w:val="14"/>
                <w:color w:val="auto"/>
              </w:rPr>
            </w:pPr>
          </w:p>
        </w:tc>
        <w:tc>
          <w:tcPr>
            <w:tcW w:w="780" w:type="dxa"/>
            <w:vAlign w:val="bottom"/>
            <w:tcBorders>
              <w:top w:val="single" w:sz="8" w:color="auto"/>
            </w:tcBorders>
            <w:vMerge w:val="restart"/>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433,359</w:t>
            </w:r>
          </w:p>
        </w:tc>
        <w:tc>
          <w:tcPr>
            <w:tcW w:w="0" w:type="dxa"/>
            <w:vAlign w:val="bottom"/>
          </w:tcPr>
          <w:p>
            <w:pPr>
              <w:spacing w:after="0"/>
              <w:rPr>
                <w:sz w:val="1"/>
                <w:szCs w:val="1"/>
                <w:color w:val="auto"/>
              </w:rPr>
            </w:pPr>
          </w:p>
        </w:tc>
      </w:tr>
      <w:tr>
        <w:trPr>
          <w:trHeight w:val="149"/>
        </w:trPr>
        <w:tc>
          <w:tcPr>
            <w:tcW w:w="24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31, 2024</w:t>
            </w:r>
          </w:p>
        </w:tc>
        <w:tc>
          <w:tcPr>
            <w:tcW w:w="120" w:type="dxa"/>
            <w:vAlign w:val="bottom"/>
            <w:vMerge w:val="continue"/>
            <w:shd w:val="clear" w:color="auto" w:fill="CCEEFF"/>
          </w:tcPr>
          <w:p>
            <w:pPr>
              <w:spacing w:after="0"/>
              <w:rPr>
                <w:sz w:val="12"/>
                <w:szCs w:val="12"/>
                <w:color w:val="auto"/>
              </w:rPr>
            </w:pPr>
          </w:p>
        </w:tc>
        <w:tc>
          <w:tcPr>
            <w:tcW w:w="2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February 1, 2024 to</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Pr>
          <w:p>
            <w:pPr>
              <w:spacing w:after="0"/>
              <w:rPr>
                <w:sz w:val="15"/>
                <w:szCs w:val="15"/>
                <w:color w:val="auto"/>
              </w:rPr>
            </w:pPr>
          </w:p>
        </w:tc>
        <w:tc>
          <w:tcPr>
            <w:tcW w:w="8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80" w:type="dxa"/>
            <w:vAlign w:val="bottom"/>
          </w:tcPr>
          <w:p>
            <w:pPr>
              <w:spacing w:after="0"/>
              <w:rPr>
                <w:sz w:val="15"/>
                <w:szCs w:val="15"/>
                <w:color w:val="auto"/>
              </w:rPr>
            </w:pPr>
          </w:p>
        </w:tc>
        <w:tc>
          <w:tcPr>
            <w:tcW w:w="220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433,359</w:t>
            </w:r>
          </w:p>
        </w:tc>
        <w:tc>
          <w:tcPr>
            <w:tcW w:w="0" w:type="dxa"/>
            <w:vAlign w:val="bottom"/>
          </w:tcPr>
          <w:p>
            <w:pPr>
              <w:spacing w:after="0"/>
              <w:rPr>
                <w:sz w:val="1"/>
                <w:szCs w:val="1"/>
                <w:color w:val="auto"/>
              </w:rPr>
            </w:pPr>
          </w:p>
        </w:tc>
      </w:tr>
      <w:tr>
        <w:trPr>
          <w:trHeight w:val="148"/>
        </w:trPr>
        <w:tc>
          <w:tcPr>
            <w:tcW w:w="2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February 29, 2024</w:t>
            </w:r>
          </w:p>
        </w:tc>
        <w:tc>
          <w:tcPr>
            <w:tcW w:w="12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March 1, 2024 to</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0</w:t>
            </w:r>
          </w:p>
        </w:tc>
        <w:tc>
          <w:tcPr>
            <w:tcW w:w="2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80" w:type="dxa"/>
            <w:vAlign w:val="bottom"/>
            <w:shd w:val="clear" w:color="auto" w:fill="CCEEFF"/>
          </w:tcPr>
          <w:p>
            <w:pPr>
              <w:spacing w:after="0"/>
              <w:rPr>
                <w:sz w:val="15"/>
                <w:szCs w:val="15"/>
                <w:color w:val="auto"/>
              </w:rPr>
            </w:pPr>
          </w:p>
        </w:tc>
        <w:tc>
          <w:tcPr>
            <w:tcW w:w="2200" w:type="dxa"/>
            <w:vAlign w:val="bottom"/>
            <w:gridSpan w:val="2"/>
            <w:vMerge w:val="restart"/>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433,359</w:t>
            </w:r>
          </w:p>
        </w:tc>
        <w:tc>
          <w:tcPr>
            <w:tcW w:w="0" w:type="dxa"/>
            <w:vAlign w:val="bottom"/>
          </w:tcPr>
          <w:p>
            <w:pPr>
              <w:spacing w:after="0"/>
              <w:rPr>
                <w:sz w:val="1"/>
                <w:szCs w:val="1"/>
                <w:color w:val="auto"/>
              </w:rPr>
            </w:pPr>
          </w:p>
        </w:tc>
      </w:tr>
      <w:tr>
        <w:trPr>
          <w:trHeight w:val="149"/>
        </w:trPr>
        <w:tc>
          <w:tcPr>
            <w:tcW w:w="24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vMerge w:val="continue"/>
            <w:shd w:val="clear" w:color="auto" w:fill="CCEEFF"/>
          </w:tcPr>
          <w:p>
            <w:pPr>
              <w:spacing w:after="0"/>
              <w:rPr>
                <w:sz w:val="12"/>
                <w:szCs w:val="12"/>
                <w:color w:val="auto"/>
              </w:rPr>
            </w:pPr>
          </w:p>
        </w:tc>
        <w:tc>
          <w:tcPr>
            <w:tcW w:w="2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13 to our Consolidated Financial Statements included in our 2023 Form 10-K for additional details on our stock incentive plans.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20, 2016, the Company announced that the Board of Directors authorized an equity repurchase program of up to $1.0 billion of our common stock, with no expiration. Under the</w:t>
      </w:r>
    </w:p>
    <w:p>
      <w:pPr>
        <w:spacing w:after="0" w:line="1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4"/>
          <w:szCs w:val="14"/>
          <w:color w:val="auto"/>
        </w:rPr>
        <w:t>program, repurchases may be made at the discretion of the Company from time to time on the open market or in privately negotiated transactions. The Company is not obligated to make any repurchases, and the repurchase program may be discontinued at any time. Any shares acquired are held as treasury shares and available for general corporate purposes.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February 26, 2024, Betsy Atkins, Director, Wynn Resorts, Limited, adopted a trading plan intended to satisfy the affirmative defense conditions under Rule 10b5-1(c) under the Exchange Act. The plan covers the sale of up to 2,446 shares of the Company's common stock at an established limit price. The plan expires on the earlier of the date all the shares under the plan are sold and December 31, 2024.</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Except as disclosed above, none of the Company’s directors or officers (as defined in Section 16 of the Exchange Act) adopted or terminated a “Rule 10b5-1 trading arrangement” or a “non-Rule 10b5-1 trading arrangement” (each as defined in Item 408(a) and (c) of Regulation S-K) during the Company’s fiscal quarter ended March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4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8" w:lineRule="exact"/>
        <w:rPr>
          <w:sz w:val="20"/>
          <w:szCs w:val="20"/>
          <w:color w:val="auto"/>
        </w:rPr>
      </w:pPr>
    </w:p>
    <w:p>
      <w:pPr>
        <w:ind w:left="86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57">
        <w:r>
          <w:rPr>
            <w:rFonts w:ascii="Times New Roman" w:cs="Times New Roman" w:eastAsia="Times New Roman" w:hAnsi="Times New Roman"/>
            <w:sz w:val="18"/>
            <w:szCs w:val="18"/>
            <w:u w:val="single" w:color="auto"/>
            <w:color w:val="0000FF"/>
          </w:rPr>
          <w:t>Third Amended and Restated Articles of Incorporation of the Registrant. (Incorporated by reference from the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40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1220"/>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10-Q filed by the Registrant on May 8, 2015.)</w:t>
        </w:r>
      </w:hyperlink>
    </w:p>
    <w:p>
      <w:pPr>
        <w:spacing w:after="0" w:line="7" w:lineRule="exact"/>
        <w:rPr>
          <w:sz w:val="20"/>
          <w:szCs w:val="20"/>
          <w:color w:val="auto"/>
        </w:rPr>
      </w:pPr>
    </w:p>
    <w:p>
      <w:pPr>
        <w:ind w:left="1220" w:right="340" w:hanging="368"/>
        <w:spacing w:after="0" w:line="24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59">
        <w:r>
          <w:rPr>
            <w:rFonts w:ascii="Times New Roman" w:cs="Times New Roman" w:eastAsia="Times New Roman" w:hAnsi="Times New Roman"/>
            <w:sz w:val="18"/>
            <w:szCs w:val="18"/>
            <w:u w:val="single" w:color="auto"/>
            <w:color w:val="0000FF"/>
          </w:rPr>
          <w:t>Ninth Amended and Restated Bylaws of the Registrant. (Incorporated by reference from the Annual Report on Form 10-K filed by the</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Registrant on February 28, 2020.)</w:t>
        </w:r>
      </w:hyperlink>
    </w:p>
    <w:p>
      <w:pPr>
        <w:ind w:left="86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60">
        <w:r>
          <w:rPr>
            <w:rFonts w:ascii="Times New Roman" w:cs="Times New Roman" w:eastAsia="Times New Roman" w:hAnsi="Times New Roman"/>
            <w:sz w:val="17"/>
            <w:szCs w:val="17"/>
            <w:u w:val="single" w:color="auto"/>
            <w:color w:val="0000FF"/>
          </w:rPr>
          <w:t>Supplemental Indenture, dated February 23, 2024, by and among Wynn Resorts Finance, LLC, and Wynn Resorts Capital Corp., as joint</w:t>
        </w:r>
      </w:hyperlink>
    </w:p>
    <w:p>
      <w:pPr>
        <w:spacing w:after="0" w:line="1" w:lineRule="exact"/>
        <w:rPr>
          <w:sz w:val="20"/>
          <w:szCs w:val="20"/>
          <w:color w:val="auto"/>
        </w:rPr>
      </w:pPr>
    </w:p>
    <w:p>
      <w:pPr>
        <w:ind w:left="1220" w:right="260"/>
        <w:spacing w:after="0" w:line="226" w:lineRule="auto"/>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and several obligors and the Guarantors named therein and U.S. Bank National Association, as trustee. (Incorporated by reference from</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the Current Report on Form 8-K filed by the Registrant on February 8, 2024).</w:t>
        </w:r>
      </w:hyperlink>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of Periodic Report Pursuant to Rule 13a – 14(a) and Rule 15d – 14(a).</w:t>
      </w:r>
    </w:p>
    <w:p>
      <w:pPr>
        <w:spacing w:after="0" w:line="23" w:lineRule="exact"/>
        <w:rPr>
          <w:sz w:val="20"/>
          <w:szCs w:val="20"/>
          <w:color w:val="auto"/>
        </w:rPr>
      </w:pPr>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of Periodic Report Pursuant to Rule 13a – 14(a) and Rule 15d – 14(a).</w:t>
      </w:r>
    </w:p>
    <w:p>
      <w:pPr>
        <w:spacing w:after="0" w:line="23" w:lineRule="exact"/>
        <w:rPr>
          <w:sz w:val="20"/>
          <w:szCs w:val="20"/>
          <w:color w:val="auto"/>
        </w:rPr>
      </w:pPr>
    </w:p>
    <w:p>
      <w:pPr>
        <w:ind w:left="1220" w:hanging="316"/>
        <w:spacing w:after="0"/>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(furnished herewith).</w:t>
      </w:r>
    </w:p>
    <w:p>
      <w:pPr>
        <w:spacing w:after="0" w:line="23" w:lineRule="exact"/>
        <w:rPr>
          <w:sz w:val="20"/>
          <w:szCs w:val="20"/>
          <w:color w:val="auto"/>
        </w:rPr>
      </w:pPr>
    </w:p>
    <w:p>
      <w:pPr>
        <w:jc w:val="both"/>
        <w:ind w:left="1220" w:right="20" w:hanging="406"/>
        <w:spacing w:after="0" w:line="216" w:lineRule="auto"/>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Wynn Resorts, Limited's Quarterly Report on Form 10-Q, formatted in Inline XBRL (Inline Extensible Business Reporting Language): (i) the Condensed Consolidated Balance Sheets as of March 31, 2024 and December 31, 2023; (ii) the Condensed Consolidated Statements of Income for the three months ended March 31, 2024 and 2023; (iii) the Condensed Consolidated Statements of Comprehensive Income for the three months ended March 31, 2024 and 2023; (iv) the Condensed Consolidated Statements of Stockholders' Deficit for the three months ended March 31, 2024 and 2023; (v) the Condensed Consolidated Statements of Cash Flows for the three months ended March 31, 2024 and 2023; and (vi) Notes to Condensed Consolidated Financial Statements. The instance document does not appear in the Interactive Data File because its XBRL tags are embedded within the Inline XBRL document.</w:t>
      </w:r>
    </w:p>
    <w:p>
      <w:pPr>
        <w:spacing w:after="0" w:line="5" w:lineRule="exact"/>
        <w:rPr>
          <w:sz w:val="20"/>
          <w:szCs w:val="20"/>
          <w:color w:val="auto"/>
        </w:rPr>
      </w:pPr>
    </w:p>
    <w:p>
      <w:pPr>
        <w:ind w:left="820"/>
        <w:spacing w:after="0"/>
        <w:tabs>
          <w:tab w:leader="none" w:pos="1200" w:val="left"/>
        </w:tabs>
        <w:rPr>
          <w:sz w:val="20"/>
          <w:szCs w:val="20"/>
          <w:color w:val="auto"/>
        </w:rPr>
      </w:pPr>
      <w:r>
        <w:rPr>
          <w:rFonts w:ascii="Times New Roman" w:cs="Times New Roman" w:eastAsia="Times New Roman" w:hAnsi="Times New Roman"/>
          <w:sz w:val="18"/>
          <w:szCs w:val="18"/>
          <w:color w:val="auto"/>
        </w:rPr>
        <w:t>104</w:t>
        <w:tab/>
        <w:t>Cover Page Interactive Data File - The cover page XBRL tags are embedded within the Inline XBRL document.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35"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WYNN RESORTS, LIMITED</w:t>
            </w:r>
          </w:p>
        </w:tc>
      </w:tr>
      <w:tr>
        <w:trPr>
          <w:trHeight w:val="28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2024</w:t>
            </w:r>
          </w:p>
        </w:tc>
        <w:tc>
          <w:tcPr>
            <w:tcW w:w="3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r>
      <w:tr>
        <w:trPr>
          <w:trHeight w:val="218"/>
        </w:trPr>
        <w:tc>
          <w:tcPr>
            <w:tcW w:w="3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r>
      <w:tr>
        <w:trPr>
          <w:trHeight w:val="229"/>
        </w:trPr>
        <w:tc>
          <w:tcPr>
            <w:tcW w:w="3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04"/>
        </w:trPr>
        <w:tc>
          <w:tcPr>
            <w:tcW w:w="3480" w:type="dxa"/>
            <w:vAlign w:val="bottom"/>
          </w:tcPr>
          <w:p>
            <w:pPr>
              <w:spacing w:after="0"/>
              <w:rPr>
                <w:sz w:val="24"/>
                <w:szCs w:val="24"/>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41</w:t>
            </w:r>
          </w:p>
        </w:tc>
        <w:tc>
          <w:tcPr>
            <w:tcW w:w="416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63"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980" w:right="20" w:hanging="972"/>
        <w:spacing w:after="0" w:line="28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hanging="972"/>
        <w:spacing w:after="0" w:line="276" w:lineRule="auto"/>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960" w:hanging="980"/>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980" w:right="140" w:hanging="972"/>
        <w:spacing w:after="0" w:line="298" w:lineRule="auto"/>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980"/>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 Billings</w:t>
            </w:r>
          </w:p>
        </w:tc>
        <w:tc>
          <w:tcPr>
            <w:tcW w:w="100" w:type="dxa"/>
            <w:vAlign w:val="bottom"/>
          </w:tcPr>
          <w:p>
            <w:pPr>
              <w:spacing w:after="0"/>
              <w:rPr>
                <w:sz w:val="18"/>
                <w:szCs w:val="18"/>
                <w:color w:val="auto"/>
              </w:rPr>
            </w:pPr>
          </w:p>
        </w:tc>
      </w:tr>
      <w:tr>
        <w:trPr>
          <w:trHeight w:val="196"/>
        </w:trPr>
        <w:tc>
          <w:tcPr>
            <w:tcW w:w="586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Craig S. Billings</w:t>
            </w:r>
          </w:p>
        </w:tc>
      </w:tr>
      <w:tr>
        <w:trPr>
          <w:trHeight w:val="175"/>
        </w:trPr>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ectPr>
          <w:pgSz w:w="11900" w:h="16838" w:orient="portrait"/>
          <w:cols w:equalWidth="0" w:num="1">
            <w:col w:w="11240"/>
          </w:cols>
          <w:pgMar w:left="320" w:top="104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Cameron-Doe, certify that:</w:t>
      </w:r>
    </w:p>
    <w:p>
      <w:pPr>
        <w:spacing w:after="0" w:line="63" w:lineRule="exact"/>
        <w:rPr>
          <w:sz w:val="20"/>
          <w:szCs w:val="20"/>
          <w:color w:val="auto"/>
        </w:rPr>
      </w:pPr>
    </w:p>
    <w:p>
      <w:pPr>
        <w:ind w:left="980" w:hanging="97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63"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980" w:right="20" w:hanging="972"/>
        <w:spacing w:after="0" w:line="28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hanging="972"/>
        <w:spacing w:after="0" w:line="276" w:lineRule="auto"/>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960" w:hanging="980"/>
        <w:spacing w:after="0" w:line="266" w:lineRule="auto"/>
        <w:tabs>
          <w:tab w:leader="none" w:pos="19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980" w:right="140" w:hanging="972"/>
        <w:spacing w:after="0" w:line="298" w:lineRule="auto"/>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980"/>
        <w:spacing w:after="0" w:line="266" w:lineRule="auto"/>
        <w:tabs>
          <w:tab w:leader="none" w:pos="19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Cameron-Doe</w:t>
            </w:r>
          </w:p>
        </w:tc>
        <w:tc>
          <w:tcPr>
            <w:tcW w:w="1040" w:type="dxa"/>
            <w:vAlign w:val="bottom"/>
          </w:tcPr>
          <w:p>
            <w:pPr>
              <w:spacing w:after="0"/>
              <w:rPr>
                <w:sz w:val="18"/>
                <w:szCs w:val="18"/>
                <w:color w:val="auto"/>
              </w:rPr>
            </w:pPr>
          </w:p>
        </w:tc>
      </w:tr>
      <w:tr>
        <w:trPr>
          <w:trHeight w:val="196"/>
        </w:trPr>
        <w:tc>
          <w:tcPr>
            <w:tcW w:w="5860" w:type="dxa"/>
            <w:vAlign w:val="bottom"/>
          </w:tcPr>
          <w:p>
            <w:pPr>
              <w:spacing w:after="0"/>
              <w:rPr>
                <w:sz w:val="17"/>
                <w:szCs w:val="17"/>
                <w:color w:val="auto"/>
              </w:rPr>
            </w:pPr>
          </w:p>
        </w:tc>
        <w:tc>
          <w:tcPr>
            <w:tcW w:w="3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Julie Cameron-Doe</w:t>
            </w:r>
          </w:p>
        </w:tc>
      </w:tr>
      <w:tr>
        <w:trPr>
          <w:trHeight w:val="175"/>
        </w:trPr>
        <w:tc>
          <w:tcPr>
            <w:tcW w:w="5860" w:type="dxa"/>
            <w:vAlign w:val="bottom"/>
          </w:tcPr>
          <w:p>
            <w:pPr>
              <w:spacing w:after="0"/>
              <w:rPr>
                <w:sz w:val="15"/>
                <w:szCs w:val="15"/>
                <w:color w:val="auto"/>
              </w:rPr>
            </w:pPr>
          </w:p>
        </w:tc>
        <w:tc>
          <w:tcPr>
            <w:tcW w:w="3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6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104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and the Chief Financial Officer Pursuant to 18 U.S.C. Section 1350, as Adopted Pursuant to Section 906 of the Sarbanes-Oxley Act of 2002</w:t>
      </w:r>
    </w:p>
    <w:p>
      <w:pPr>
        <w:spacing w:after="0" w:line="132" w:lineRule="exact"/>
        <w:rPr>
          <w:sz w:val="20"/>
          <w:szCs w:val="20"/>
          <w:color w:val="auto"/>
        </w:rPr>
      </w:pPr>
    </w:p>
    <w:p>
      <w:pPr>
        <w:ind w:right="160" w:firstLine="97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March 31, 2024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980" w:hanging="972"/>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80" w:right="600" w:hanging="972"/>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emdash "/>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32"/>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61" Type="http://schemas.openxmlformats.org/officeDocument/2006/relationships/image" Target="media/image51.png"/><Relationship Id="rId57" Type="http://schemas.openxmlformats.org/officeDocument/2006/relationships/hyperlink" Target="https://www.sec.gov/Archives/edgar/data/1174922/000117492215000044/ex-31.htm" TargetMode="External"/><Relationship Id="rId59" Type="http://schemas.openxmlformats.org/officeDocument/2006/relationships/hyperlink" Target="https://www.sec.gov/Archives/edgar/data/1174922/000117492220000024/ex32-bylaws.htm" TargetMode="External"/><Relationship Id="rId60" Type="http://schemas.openxmlformats.org/officeDocument/2006/relationships/hyperlink" Target="https://www.sec.gov/ix?doc=/Archives/edgar/data/1174922/000117492224000044/wynn-202402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2024-05-07T16:44:16Z</dcterms:created>
  <dcterms:modified xsi:type="dcterms:W3CDTF">2024-05-07T16:44:16Z</dcterms:modified>
</cp:coreProperties>
</file>