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7,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$517,511,500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$67,501,500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Includes $531 paid with the filing of this Amendment No. 4 and $47,081 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Subject to Completion, Dated October 7,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20,455,000 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20,455,000 shares of our common stock. We anticipate that the initial public offering price will be between $21.00 and $23.00 per share. We have filed an application to have our common stock approved for quotation on The Nasdaq National Market under the symbol "WYNN."</w:t>
      </w:r>
    </w:p>
    <w:p>
      <w:pPr>
        <w:spacing w:after="0" w:line="19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$340 million in aggregate principal amount of second mortgage notes and Wynn Las Vegas is entering into credit facilities providing for borrowings of up to $1 billion and a $188.5 million loan facility for the purchase of certain furniture, fixtures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3,068,250 additional shares of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6540" w:type="dxa"/>
            <w:vAlign w:val="bottom"/>
            <w:gridSpan w:val="4"/>
          </w:tcPr>
          <w:p>
            <w:pPr>
              <w:jc w:val="center"/>
              <w:ind w:left="1559"/>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4880" w:type="dxa"/>
            <w:vAlign w:val="bottom"/>
          </w:tcPr>
          <w:p>
            <w:pPr>
              <w:ind w:left="180"/>
              <w:spacing w:after="0"/>
              <w:rPr>
                <w:sz w:val="20"/>
                <w:szCs w:val="20"/>
                <w:color w:val="auto"/>
              </w:rPr>
            </w:pPr>
            <w:r>
              <w:rPr>
                <w:rFonts w:ascii="Arial" w:cs="Arial" w:eastAsia="Arial" w:hAnsi="Arial"/>
                <w:sz w:val="22"/>
                <w:szCs w:val="22"/>
                <w:b w:val="1"/>
                <w:bCs w:val="1"/>
                <w:color w:val="auto"/>
              </w:rPr>
              <w:t>Banc of America Securities LLC</w:t>
            </w:r>
          </w:p>
        </w:tc>
      </w:tr>
      <w:tr>
        <w:trPr>
          <w:trHeight w:val="216"/>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2640" w:type="dxa"/>
            <w:vAlign w:val="bottom"/>
          </w:tcPr>
          <w:p>
            <w:pPr>
              <w:spacing w:after="0"/>
              <w:rPr>
                <w:sz w:val="24"/>
                <w:szCs w:val="24"/>
                <w:color w:val="auto"/>
              </w:rPr>
            </w:pPr>
          </w:p>
        </w:tc>
        <w:tc>
          <w:tcPr>
            <w:tcW w:w="1960" w:type="dxa"/>
            <w:vAlign w:val="bottom"/>
          </w:tcPr>
          <w:p>
            <w:pPr>
              <w:jc w:val="center"/>
              <w:ind w:left="862"/>
              <w:spacing w:after="0"/>
              <w:rPr>
                <w:sz w:val="20"/>
                <w:szCs w:val="20"/>
                <w:color w:val="auto"/>
              </w:rPr>
            </w:pPr>
            <w:r>
              <w:rPr>
                <w:rFonts w:ascii="Arial" w:cs="Arial" w:eastAsia="Arial" w:hAnsi="Arial"/>
                <w:sz w:val="22"/>
                <w:szCs w:val="22"/>
                <w:b w:val="1"/>
                <w:bCs w:val="1"/>
                <w:color w:val="auto"/>
                <w:w w:val="93"/>
              </w:rPr>
              <w:t>JPMorgan</w:t>
            </w:r>
          </w:p>
        </w:tc>
        <w:tc>
          <w:tcPr>
            <w:tcW w:w="68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46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4600" w:type="dxa"/>
            <w:vAlign w:val="bottom"/>
            <w:gridSpan w:val="2"/>
          </w:tcPr>
          <w:p>
            <w:pPr>
              <w:jc w:val="right"/>
              <w:ind w:right="102"/>
              <w:spacing w:after="0"/>
              <w:rPr>
                <w:sz w:val="20"/>
                <w:szCs w:val="20"/>
                <w:color w:val="auto"/>
              </w:rPr>
            </w:pPr>
            <w:r>
              <w:rPr>
                <w:rFonts w:ascii="Arial" w:cs="Arial" w:eastAsia="Arial" w:hAnsi="Arial"/>
                <w:sz w:val="22"/>
                <w:szCs w:val="22"/>
                <w:b w:val="1"/>
                <w:bCs w:val="1"/>
                <w:color w:val="auto"/>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4880" w:type="dxa"/>
            <w:vAlign w:val="bottom"/>
          </w:tcPr>
          <w:p>
            <w:pPr>
              <w:ind w:left="160"/>
              <w:spacing w:after="0"/>
              <w:rPr>
                <w:sz w:val="20"/>
                <w:szCs w:val="20"/>
                <w:color w:val="auto"/>
              </w:rPr>
            </w:pPr>
            <w:r>
              <w:rPr>
                <w:rFonts w:ascii="Arial" w:cs="Arial" w:eastAsia="Arial" w:hAnsi="Arial"/>
                <w:sz w:val="22"/>
                <w:szCs w:val="22"/>
                <w:b w:val="1"/>
                <w:bCs w:val="1"/>
                <w:color w:val="auto"/>
              </w:rPr>
              <w:t>Thomas Weisel Partners LLC</w:t>
            </w:r>
          </w:p>
        </w:tc>
      </w:tr>
      <w:tr>
        <w:trPr>
          <w:trHeight w:val="420"/>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960" w:type="dxa"/>
            <w:vAlign w:val="bottom"/>
          </w:tcPr>
          <w:p>
            <w:pPr>
              <w:jc w:val="right"/>
              <w:ind w:right="822"/>
              <w:spacing w:after="0"/>
              <w:rPr>
                <w:sz w:val="20"/>
                <w:szCs w:val="20"/>
                <w:color w:val="auto"/>
              </w:rPr>
            </w:pPr>
            <w:r>
              <w:rPr>
                <w:rFonts w:ascii="Arial" w:cs="Arial" w:eastAsia="Arial" w:hAnsi="Arial"/>
                <w:sz w:val="18"/>
                <w:szCs w:val="18"/>
                <w:color w:val="auto"/>
              </w:rPr>
              <w:t>, 2002.</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-1180465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-734695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-734695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pacing w:after="0" w:line="19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368" w:right="239" w:bottom="244"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Overview</w:t>
      </w:r>
    </w:p>
    <w:p>
      <w:pPr>
        <w:sectPr>
          <w:pgSz w:w="11900" w:h="16838" w:orient="portrait"/>
          <w:cols w:equalWidth="0" w:num="1">
            <w:col w:w="11420"/>
          </w:cols>
          <w:pgMar w:left="240" w:top="368" w:right="239" w:bottom="244" w:gutter="0" w:footer="0" w:header="0"/>
          <w:type w:val="continuous"/>
        </w:sectPr>
      </w:pPr>
    </w:p>
    <w:bookmarkStart w:id="2" w:name="page3"/>
    <w:bookmarkEnd w:id="2"/>
    <w:p>
      <w:pPr>
        <w:spacing w:after="0" w:line="2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the Le Rêve land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establishments, an exclusive on-site 18-hole championship golf course and a new water-based entertainment production. We have scheduled groundbreaking to occur in October 2002, with an opening to the general public scheduled for April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Open the First New Major Hotel Casino Resort on the Las Vegas Strip in Almost Five Years. </w:t>
      </w:r>
      <w:r>
        <w:rPr>
          <w:rFonts w:ascii="Arial" w:cs="Arial" w:eastAsia="Arial" w:hAnsi="Arial"/>
          <w:sz w:val="18"/>
          <w:szCs w:val="18"/>
          <w:color w:val="auto"/>
        </w:rPr>
        <w:t>We believe that, at the time of Le Rêve's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in April 2005, it will have been almost</w:t>
      </w:r>
    </w:p>
    <w:p>
      <w:pPr>
        <w:spacing w:after="0" w:line="185" w:lineRule="exact"/>
        <w:rPr>
          <w:rFonts w:ascii="Arial" w:cs="Arial" w:eastAsia="Arial" w:hAnsi="Arial"/>
          <w:sz w:val="18"/>
          <w:szCs w:val="18"/>
          <w:color w:val="auto"/>
        </w:rPr>
      </w:pPr>
    </w:p>
    <w:p>
      <w:pPr>
        <w:ind w:left="1080" w:right="220"/>
        <w:spacing w:after="0" w:line="268" w:lineRule="auto"/>
        <w:rPr>
          <w:rFonts w:ascii="Arial" w:cs="Arial" w:eastAsia="Arial" w:hAnsi="Arial"/>
          <w:sz w:val="18"/>
          <w:szCs w:val="18"/>
          <w:color w:val="auto"/>
        </w:rPr>
      </w:pPr>
      <w:r>
        <w:rPr>
          <w:rFonts w:ascii="Arial" w:cs="Arial" w:eastAsia="Arial" w:hAnsi="Arial"/>
          <w:sz w:val="18"/>
          <w:szCs w:val="18"/>
          <w:color w:val="auto"/>
        </w:rPr>
        <w:t>five years since a major new hotel casino resort opened on the Las Vegas Strip. As a result, we expect that there will be a high level of customer anticipation for Le Rêve.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ectPr>
          <w:pgSz w:w="11900" w:h="16866"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type w:val="continuous"/>
        </w:sectPr>
      </w:pPr>
    </w:p>
    <w:bookmarkStart w:id="3" w:name="page4"/>
    <w:bookmarkEnd w:id="3"/>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approximately 2,700 richly furnished, spacious guest rooms and suites;</w:t>
      </w:r>
    </w:p>
    <w:p>
      <w:pPr>
        <w:spacing w:after="0" w:line="239" w:lineRule="exact"/>
        <w:rPr>
          <w:sz w:val="20"/>
          <w:szCs w:val="20"/>
          <w:color w:val="auto"/>
        </w:rPr>
      </w:pPr>
    </w:p>
    <w:p>
      <w:pPr>
        <w:ind w:left="1620" w:right="3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212"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212"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6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right="34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right="40" w:hanging="532"/>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38" w:lineRule="exact"/>
        <w:rPr>
          <w:rFonts w:ascii="Arial" w:cs="Arial" w:eastAsia="Arial" w:hAnsi="Arial"/>
          <w:sz w:val="18"/>
          <w:szCs w:val="18"/>
          <w:color w:val="auto"/>
        </w:rPr>
      </w:pPr>
    </w:p>
    <w:p>
      <w:pPr>
        <w:ind w:left="1620" w:right="8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$36.8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If the financing arrangements for the construction of the initial phase of the casino resort are completed and if certain necessary legislative changes have been enacted by the Macau government, we expect that Wynn Macau will begin construction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our first Macau casino.</w:t>
      </w:r>
    </w:p>
    <w:p>
      <w:pPr>
        <w:spacing w:after="0" w:line="172"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ectPr>
          <w:pgSz w:w="11900" w:h="16920" w:orient="portrait"/>
          <w:cols w:equalWidth="0" w:num="1">
            <w:col w:w="11420"/>
          </w:cols>
          <w:pgMar w:left="240" w:top="131" w:right="239" w:bottom="0" w:gutter="0" w:footer="0" w:header="0"/>
        </w:sectPr>
      </w:pPr>
    </w:p>
    <w:bookmarkStart w:id="4" w:name="page5"/>
    <w:bookmarkEnd w:id="4"/>
    <w:p>
      <w:pPr>
        <w:ind w:right="120" w:firstLine="348"/>
        <w:spacing w:after="0" w:line="306"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in addition to approximately $23.8 million we have already expended in or committed to Wynn Macau. Wynn Macau has begun preliminary discussions to arrange the additional financing that would be required to complete the initial phase of Wynn Macau's first casino resort.</w:t>
      </w:r>
    </w:p>
    <w:p>
      <w:pPr>
        <w:spacing w:after="0" w:line="16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34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$340 million in aggregate principal amount of second mortgage notes.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 $713.2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 Consummation of this offering is conditioned on consummation of the offering of the second mortgage notes and on Wynn Las Vegas entering into the agreements governing the credit facilities and FF&amp;E facility.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if it incurs, or becomes a guarantor on, other indebtedness in excess of $10 million in the aggregate.</w:t>
      </w:r>
    </w:p>
    <w:p>
      <w:pPr>
        <w:spacing w:after="0" w:line="20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Wynn Macau has committed to allow certain minority partners to invest in the Macau-related entities, after which we expect that Wynn Resorts will indirectly own an approximately 82.5% economic interest in Wynn Macau. A more detailed corporate chart relating to the Macau-related entities appears under the heading "Business—The Macau Opportunity—Ownership Structure of the Macau-Related Entities."</w:t>
      </w:r>
    </w:p>
    <w:p>
      <w:pPr>
        <w:sectPr>
          <w:pgSz w:w="11900" w:h="16838" w:orient="portrait"/>
          <w:cols w:equalWidth="0" w:num="1">
            <w:col w:w="11420"/>
          </w:cols>
          <w:pgMar w:left="240" w:top="131" w:right="2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w:t>
      </w:r>
    </w:p>
    <w:p>
      <w:pPr>
        <w:ind w:left="540" w:hanging="532"/>
        <w:spacing w:after="0" w:line="197" w:lineRule="auto"/>
        <w:tabs>
          <w:tab w:leader="none" w:pos="540" w:val="left"/>
        </w:tabs>
        <w:numPr>
          <w:ilvl w:val="0"/>
          <w:numId w:val="8"/>
        </w:numPr>
        <w:rPr>
          <w:rFonts w:ascii="Arial" w:cs="Arial" w:eastAsia="Arial" w:hAnsi="Arial"/>
          <w:sz w:val="10"/>
          <w:szCs w:val="10"/>
          <w:color w:val="auto"/>
          <w:vertAlign w:val="subscript"/>
        </w:rPr>
      </w:pPr>
      <w:r>
        <w:rPr>
          <w:rFonts w:ascii="Arial" w:cs="Arial" w:eastAsia="Arial" w:hAnsi="Arial"/>
          <w:sz w:val="8"/>
          <w:szCs w:val="8"/>
          <w:color w:val="auto"/>
        </w:rPr>
        <w:t>Consists of shares held by Baron Asset Fund on behalf of the Baron Asset Fund Series and the Baron Growth Fund Series.</w:t>
      </w:r>
    </w:p>
    <w:p>
      <w:pPr>
        <w:ind w:left="540" w:hanging="532"/>
        <w:spacing w:after="0" w:line="187"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2.1% of Wynn Resorts' outstanding shares, and the percentage ownership interests of Mr. Wynn, Aruze USA, Baron Asset Fund, Kenneth R. Wynn Family Trust and the public stockholders would be approximately 30.7%, 30.7%, 3.2%, 0.1% and 33.1%, respectively.</w:t>
      </w:r>
    </w:p>
    <w:p>
      <w:pPr>
        <w:spacing w:after="0" w:line="2" w:lineRule="exact"/>
        <w:rPr>
          <w:rFonts w:ascii="Arial" w:cs="Arial" w:eastAsia="Arial" w:hAnsi="Arial"/>
          <w:sz w:val="24"/>
          <w:szCs w:val="24"/>
          <w:color w:val="auto"/>
          <w:vertAlign w:val="subscript"/>
        </w:rPr>
      </w:pPr>
    </w:p>
    <w:p>
      <w:pPr>
        <w:ind w:left="540" w:hanging="532"/>
        <w:spacing w:after="0" w:line="187" w:lineRule="auto"/>
        <w:tabs>
          <w:tab w:leader="none" w:pos="540" w:val="left"/>
        </w:tabs>
        <w:numPr>
          <w:ilvl w:val="0"/>
          <w:numId w:val="8"/>
        </w:numPr>
        <w:rPr>
          <w:rFonts w:ascii="Arial" w:cs="Arial" w:eastAsia="Arial" w:hAnsi="Arial"/>
          <w:sz w:val="12"/>
          <w:szCs w:val="12"/>
          <w:color w:val="auto"/>
          <w:vertAlign w:val="subscript"/>
        </w:rPr>
      </w:pPr>
      <w:r>
        <w:rPr>
          <w:rFonts w:ascii="Arial" w:cs="Arial" w:eastAsia="Arial" w:hAnsi="Arial"/>
          <w:sz w:val="8"/>
          <w:szCs w:val="8"/>
          <w:color w:val="auto"/>
        </w:rPr>
        <w:t>Based on the number of shares proposed to be issued in this offering, excluding any shares that may be issued pursuant to the exercise of the underwriters' over-allotment option.</w:t>
      </w:r>
    </w:p>
    <w:p>
      <w:pPr>
        <w:ind w:left="540" w:right="80" w:hanging="532"/>
        <w:spacing w:after="0" w:line="184" w:lineRule="auto"/>
        <w:tabs>
          <w:tab w:leader="none" w:pos="540" w:val="left"/>
        </w:tabs>
        <w:numPr>
          <w:ilvl w:val="0"/>
          <w:numId w:val="8"/>
        </w:numPr>
        <w:rPr>
          <w:rFonts w:ascii="Arial" w:cs="Arial" w:eastAsia="Arial" w:hAnsi="Arial"/>
          <w:sz w:val="23"/>
          <w:szCs w:val="23"/>
          <w:color w:val="auto"/>
          <w:vertAlign w:val="subscript"/>
        </w:rPr>
      </w:pPr>
      <w:r>
        <w:rPr>
          <w:rFonts w:ascii="Arial" w:cs="Arial" w:eastAsia="Arial" w:hAnsi="Arial"/>
          <w:sz w:val="12"/>
          <w:szCs w:val="12"/>
          <w:color w:val="auto"/>
        </w:rPr>
        <w:t>The shaded area shows the entities that will be issuers or other restricted entities with respect to the second mortgage notes and borrowers or other restricted entities with respect to the revolving credit facility, delay draw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40"/>
        <w:spacing w:after="0" w:line="239" w:lineRule="auto"/>
        <w:rPr>
          <w:sz w:val="20"/>
          <w:szCs w:val="20"/>
          <w:color w:val="auto"/>
        </w:rPr>
      </w:pPr>
      <w:r>
        <w:rPr>
          <w:rFonts w:ascii="Arial" w:cs="Arial" w:eastAsia="Arial" w:hAnsi="Arial"/>
          <w:sz w:val="14"/>
          <w:szCs w:val="14"/>
          <w:color w:val="auto"/>
        </w:rPr>
        <w:t>term loan facility and FF&amp;E facility. These entities will also be the guarantors under these debt facilities. Wynn Resorts' subsidiaries that will develop the Macau opportunity will not be issuers, borrowers, guarantors or restricted entities with respect to the financing of Le Rêve.</w:t>
      </w:r>
    </w:p>
    <w:p>
      <w:pPr>
        <w:spacing w:after="0" w:line="23" w:lineRule="exact"/>
        <w:rPr>
          <w:sz w:val="20"/>
          <w:szCs w:val="20"/>
          <w:color w:val="auto"/>
        </w:rPr>
      </w:pPr>
    </w:p>
    <w:p>
      <w:pPr>
        <w:ind w:left="540" w:hanging="532"/>
        <w:spacing w:after="0"/>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Includes a number of wholly owned and partially owned entities. Once certain minority investors acquire interests in Wynn Resorts' Macau-related entities, Wynn Resorts will own an approximately</w:t>
      </w:r>
    </w:p>
    <w:p>
      <w:pPr>
        <w:ind w:left="540" w:right="60"/>
        <w:spacing w:after="0" w:line="181" w:lineRule="auto"/>
        <w:rPr>
          <w:rFonts w:ascii="Arial" w:cs="Arial" w:eastAsia="Arial" w:hAnsi="Arial"/>
          <w:sz w:val="24"/>
          <w:szCs w:val="24"/>
          <w:color w:val="auto"/>
          <w:vertAlign w:val="subscript"/>
        </w:rPr>
      </w:pPr>
      <w:r>
        <w:rPr>
          <w:rFonts w:ascii="Arial" w:cs="Arial" w:eastAsia="Arial" w:hAnsi="Arial"/>
          <w:sz w:val="14"/>
          <w:szCs w:val="14"/>
          <w:color w:val="auto"/>
        </w:rPr>
        <w:t>82.5% economic interest in, and will effectively control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9"/>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hanging="532"/>
        <w:spacing w:after="0" w:line="190"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Desert Inn Improvement Co. will not be a guarantor or a restricted entity under these debt facilities. However, Desert Inn Water Company, LLC, the parent company of Desert Inn Improvement Co., has agreed not to allow Desert Inn Improvement Co. to engage in specified actions such as pledging its assets or incurring indebtedness. In addition, if Desert Inn Improvement Co. obtains the approval of the Public Utilities Commission of Nevada, it will pledge certain water rights and real property interests it holds to the lenders under the credit facilities and the second mortgage note holders.</w:t>
      </w:r>
    </w:p>
    <w:p>
      <w:pPr>
        <w:ind w:left="540" w:right="120" w:hanging="532"/>
        <w:spacing w:after="0"/>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We will contribute $30 million of the net proceeds of this offering to Wynn Las Vegas to be held in a liquidity reserve account to support Wynn Las Vegas' obligation to complete the Le Rêve project. See "Use of Proceeds."</w:t>
      </w:r>
    </w:p>
    <w:p>
      <w:pPr>
        <w:spacing w:after="0" w:line="1" w:lineRule="exact"/>
        <w:rPr>
          <w:rFonts w:ascii="Arial" w:cs="Arial" w:eastAsia="Arial" w:hAnsi="Arial"/>
          <w:sz w:val="21"/>
          <w:szCs w:val="21"/>
          <w:color w:val="auto"/>
          <w:vertAlign w:val="subscript"/>
        </w:rPr>
      </w:pPr>
    </w:p>
    <w:p>
      <w:pPr>
        <w:jc w:val="both"/>
        <w:ind w:left="540" w:right="240" w:hanging="532"/>
        <w:spacing w:after="0" w:line="183"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00"/>
          </w:cols>
          <w:pgMar w:left="240" w:top="131" w:right="25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r>
      <w:tr>
        <w:trPr>
          <w:trHeight w:val="22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20,455,000 shares</w:t>
            </w:r>
          </w:p>
        </w:tc>
      </w:tr>
      <w:tr>
        <w:trPr>
          <w:trHeight w:val="424"/>
        </w:trPr>
        <w:tc>
          <w:tcPr>
            <w:tcW w:w="2880" w:type="dxa"/>
            <w:vAlign w:val="bottom"/>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60,455,000 shares</w:t>
            </w: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r>
      <w:tr>
        <w:trPr>
          <w:trHeight w:val="424"/>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$374.7 million of net proceeds from this</w:t>
            </w:r>
          </w:p>
        </w:tc>
      </w:tr>
      <w:tr>
        <w:trPr>
          <w:trHeight w:val="216"/>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r>
      <w:tr>
        <w:trPr>
          <w:trHeight w:val="216"/>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r>
      <w:tr>
        <w:trPr>
          <w:trHeight w:val="223"/>
        </w:trPr>
        <w:tc>
          <w:tcPr>
            <w:tcW w:w="288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r>
      <w:tr>
        <w:trPr>
          <w:trHeight w:val="425"/>
        </w:trPr>
        <w:tc>
          <w:tcPr>
            <w:tcW w:w="28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r>
      <w:tr>
        <w:trPr>
          <w:trHeight w:val="216"/>
        </w:trPr>
        <w:tc>
          <w:tcPr>
            <w:tcW w:w="2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r>
      <w:tr>
        <w:trPr>
          <w:trHeight w:val="224"/>
        </w:trPr>
        <w:tc>
          <w:tcPr>
            <w:tcW w:w="288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r>
      <w:tr>
        <w:trPr>
          <w:trHeight w:val="431"/>
        </w:trPr>
        <w:tc>
          <w:tcPr>
            <w:tcW w:w="288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$374.7 million we will contribute to Wynn Las Vegas:</w:t>
            </w:r>
          </w:p>
        </w:tc>
      </w:tr>
      <w:tr>
        <w:trPr>
          <w:trHeight w:val="425"/>
        </w:trPr>
        <w:tc>
          <w:tcPr>
            <w:tcW w:w="28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r>
      <w:tr>
        <w:trPr>
          <w:trHeight w:val="216"/>
        </w:trPr>
        <w:tc>
          <w:tcPr>
            <w:tcW w:w="2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r>
      <w:tr>
        <w:trPr>
          <w:trHeight w:val="224"/>
        </w:trPr>
        <w:tc>
          <w:tcPr>
            <w:tcW w:w="288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r>
      <w:tr>
        <w:trPr>
          <w:trHeight w:val="424"/>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r>
      <w:tr>
        <w:trPr>
          <w:trHeight w:val="223"/>
        </w:trPr>
        <w:tc>
          <w:tcPr>
            <w:tcW w:w="288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r>
      <w:tr>
        <w:trPr>
          <w:trHeight w:val="425"/>
        </w:trPr>
        <w:tc>
          <w:tcPr>
            <w:tcW w:w="288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r>
      <w:tr>
        <w:trPr>
          <w:trHeight w:val="216"/>
        </w:trPr>
        <w:tc>
          <w:tcPr>
            <w:tcW w:w="28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r>
      <w:tr>
        <w:trPr>
          <w:trHeight w:val="224"/>
        </w:trPr>
        <w:tc>
          <w:tcPr>
            <w:tcW w:w="288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r>
      <w:tr>
        <w:trPr>
          <w:trHeight w:val="424"/>
        </w:trPr>
        <w:tc>
          <w:tcPr>
            <w:tcW w:w="288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r>
      <w:tr>
        <w:trPr>
          <w:trHeight w:val="216"/>
        </w:trPr>
        <w:tc>
          <w:tcPr>
            <w:tcW w:w="288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r>
      <w:tr>
        <w:trPr>
          <w:trHeight w:val="216"/>
        </w:trPr>
        <w:tc>
          <w:tcPr>
            <w:tcW w:w="288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r>
      <w:tr>
        <w:trPr>
          <w:trHeight w:val="223"/>
        </w:trPr>
        <w:tc>
          <w:tcPr>
            <w:tcW w:w="288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r>
      <w:tr>
        <w:trPr>
          <w:trHeight w:val="42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We have filed an application to have Wynn Resorts' common stock approved for</w:t>
            </w:r>
          </w:p>
        </w:tc>
      </w:tr>
      <w:tr>
        <w:trPr>
          <w:trHeight w:val="224"/>
        </w:trPr>
        <w:tc>
          <w:tcPr>
            <w:tcW w:w="288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quotation on The Nasdaq National Market under the symbol "WYNN."</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620" w:hanging="532"/>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issuance of up to 3,068,250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 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closing, Wynn Resorts will contribute $374.7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 under the credit facilities or the FF&amp;E facility until it has applied all of the proceeds of the second mortgage notes offering, which is expected to be approximately 16 to 19 months after the closing of this offering.</w:t>
      </w:r>
    </w:p>
    <w:p>
      <w:pPr>
        <w:sectPr>
          <w:pgSz w:w="11900" w:h="16838" w:orient="portrait"/>
          <w:cols w:equalWidth="0" w:num="1">
            <w:col w:w="11420"/>
          </w:cols>
          <w:pgMar w:left="240" w:top="140" w:right="239" w:bottom="41" w:gutter="0" w:footer="0" w:header="0"/>
        </w:sectPr>
      </w:pPr>
    </w:p>
    <w:bookmarkStart w:id="7" w:name="page8"/>
    <w:bookmarkEnd w:id="7"/>
    <w:p>
      <w:pPr>
        <w:ind w:right="16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2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6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them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ectPr>
          <w:pgSz w:w="11900" w:h="16838" w:orient="portrait"/>
          <w:cols w:equalWidth="0" w:num="1">
            <w:col w:w="11400"/>
          </w:cols>
          <w:pgMar w:left="240" w:top="131" w:right="259" w:bottom="0" w:gutter="0" w:footer="0" w:header="0"/>
        </w:sectPr>
      </w:pPr>
    </w:p>
    <w:bookmarkStart w:id="8" w:name="page9"/>
    <w:bookmarkEnd w:id="8"/>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w:t>
      </w:r>
    </w:p>
    <w:p>
      <w:pPr>
        <w:sectPr>
          <w:pgSz w:w="11900" w:h="16838" w:orient="portrait"/>
          <w:cols w:equalWidth="0" w:num="1">
            <w:col w:w="11420"/>
          </w:cols>
          <w:pgMar w:left="240" w:top="131" w:right="239" w:bottom="0" w:gutter="0" w:footer="0" w:header="0"/>
        </w:sectPr>
      </w:pPr>
    </w:p>
    <w:bookmarkStart w:id="9" w:name="page10"/>
    <w:bookmarkEnd w:id="9"/>
    <w:p>
      <w:pPr>
        <w:ind w:right="100"/>
        <w:spacing w:after="0" w:line="298" w:lineRule="auto"/>
        <w:rPr>
          <w:sz w:val="20"/>
          <w:szCs w:val="20"/>
          <w:color w:val="auto"/>
        </w:rPr>
      </w:pPr>
      <w:r>
        <w:rPr>
          <w:rFonts w:ascii="Arial" w:cs="Arial" w:eastAsia="Arial" w:hAnsi="Arial"/>
          <w:sz w:val="16"/>
          <w:szCs w:val="16"/>
          <w:color w:val="auto"/>
        </w:rPr>
        <w:t>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a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right="14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Wynn Las Vegas does not complete construction of Le Rêve by the scheduled completion date, which may be extended in accordance with the disbursement agreement, but not beyond September 30, 2005,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 These rights and remedies include the rights to:</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jc w:val="both"/>
        <w:ind w:left="1080" w:right="80" w:hanging="532"/>
        <w:spacing w:after="0" w:line="370"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Once Le Rêve is operating, Wynn Las Vegas will be required to use a substantial portion of its cash flow from operations to service and amortize its indebtedness, which will reduce the available cash flow to fund working capital, capital expenditures and other general corporate purposes and</w:t>
      </w:r>
    </w:p>
    <w:p>
      <w:pPr>
        <w:sectPr>
          <w:pgSz w:w="11900" w:h="16838" w:orient="portrait"/>
          <w:cols w:equalWidth="0" w:num="1">
            <w:col w:w="11400"/>
          </w:cols>
          <w:pgMar w:left="240" w:top="131" w:right="259" w:bottom="0" w:gutter="0" w:footer="0" w:header="0"/>
        </w:sectPr>
      </w:pPr>
    </w:p>
    <w:bookmarkStart w:id="10" w:name="page11"/>
    <w:bookmarkEnd w:id="10"/>
    <w:p>
      <w:pPr>
        <w:ind w:left="1080"/>
        <w:spacing w:after="0"/>
        <w:rPr>
          <w:sz w:val="20"/>
          <w:szCs w:val="20"/>
          <w:color w:val="auto"/>
        </w:rPr>
      </w:pPr>
      <w:r>
        <w:rPr>
          <w:rFonts w:ascii="Arial" w:cs="Arial" w:eastAsia="Arial" w:hAnsi="Arial"/>
          <w:sz w:val="18"/>
          <w:szCs w:val="18"/>
          <w:color w:val="auto"/>
        </w:rPr>
        <w:t>distributions up to Wynn Resorts;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Wynn Resorts incurs or guarantees other indebtedness in excess of $10 million in the aggregate, it will be required to become a guarantor of the indebtedness under the credit facilities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 limited management fees to Wynn Resorts if Wynn Las Vegas achieves certain financial ratios,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to have any significant cash flow at Wynn Resorts from Wynn Las Vegas for a considerable period of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 scheduled opening date or at all, or that it will be able to generate sufficient cash flow to meet its expenses, including its debt service requirements. Wynn Las Vegas' ability to generate cash flow will depend upon many factors, including:</w:t>
      </w:r>
    </w:p>
    <w:p>
      <w:pPr>
        <w:spacing w:after="0" w:line="19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ectPr>
          <w:pgSz w:w="11900" w:h="16838" w:orient="portrait"/>
          <w:cols w:equalWidth="0" w:num="1">
            <w:col w:w="11400"/>
          </w:cols>
          <w:pgMar w:left="240" w:top="131" w:right="259" w:bottom="0" w:gutter="0" w:footer="0" w:header="0"/>
        </w:sectPr>
      </w:pPr>
    </w:p>
    <w:bookmarkStart w:id="11" w:name="page12"/>
    <w:bookmarkEnd w:id="11"/>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 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ectPr>
          <w:pgSz w:w="11900" w:h="16838" w:orient="portrait"/>
          <w:cols w:equalWidth="0" w:num="1">
            <w:col w:w="11400"/>
          </w:cols>
          <w:pgMar w:left="240" w:top="131" w:right="259" w:bottom="0" w:gutter="0" w:footer="0" w:header="0"/>
        </w:sectPr>
      </w:pPr>
    </w:p>
    <w:bookmarkStart w:id="12" w:name="page13"/>
    <w:bookmarkEnd w:id="12"/>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8"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will also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 w:right="239" w:bottom="0" w:gutter="0" w:footer="0" w:header="0"/>
          <w:type w:val="continuous"/>
        </w:sectPr>
      </w:pPr>
    </w:p>
    <w:bookmarkStart w:id="13" w:name="page14"/>
    <w:bookmarkEnd w:id="13"/>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ectPr>
          <w:pgSz w:w="11900" w:h="16838" w:orient="portrait"/>
          <w:cols w:equalWidth="0" w:num="1">
            <w:col w:w="11400"/>
          </w:cols>
          <w:pgMar w:left="240" w:top="725" w:right="259" w:bottom="95" w:gutter="0" w:footer="0" w:header="0"/>
        </w:sectPr>
      </w:pPr>
    </w:p>
    <w:bookmarkStart w:id="14" w:name="page15"/>
    <w:bookmarkEnd w:id="14"/>
    <w:p>
      <w:pPr>
        <w:spacing w:after="0" w:line="10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immediately before the closing of this offering, will own approximately 47.4% of Wynn Resorts' common stock. Under the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7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w:t>
      </w:r>
    </w:p>
    <w:p>
      <w:pPr>
        <w:sectPr>
          <w:pgSz w:w="11900" w:h="16939" w:orient="portrait"/>
          <w:cols w:equalWidth="0" w:num="1">
            <w:col w:w="11420"/>
          </w:cols>
          <w:pgMar w:left="240" w:top="131" w:right="239" w:bottom="0" w:gutter="0" w:footer="0" w:header="0"/>
        </w:sectPr>
      </w:pPr>
    </w:p>
    <w:bookmarkStart w:id="15" w:name="page16"/>
    <w:bookmarkEnd w:id="15"/>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economic conditions in the countries in which these customers reside could cause a reduction in the frequency of visits and revenue generated by these customers.</w:t>
      </w:r>
    </w:p>
    <w:p>
      <w:pPr>
        <w:spacing w:after="0" w:line="26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98"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significantly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w:t>
      </w:r>
    </w:p>
    <w:p>
      <w:pPr>
        <w:sectPr>
          <w:pgSz w:w="11900" w:h="16918" w:orient="portrait"/>
          <w:cols w:equalWidth="0" w:num="1">
            <w:col w:w="11400"/>
          </w:cols>
          <w:pgMar w:left="240" w:top="131" w:right="259" w:bottom="0" w:gutter="0" w:footer="0" w:header="0"/>
        </w:sectPr>
      </w:pPr>
    </w:p>
    <w:bookmarkStart w:id="16" w:name="page17"/>
    <w:bookmarkEnd w:id="16"/>
    <w:p>
      <w:pPr>
        <w:spacing w:after="0" w:line="2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the Macau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expended or committed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sectPr>
      </w:pPr>
    </w:p>
    <w:bookmarkStart w:id="17" w:name="page18"/>
    <w:bookmarkEnd w:id="17"/>
    <w:p>
      <w:pPr>
        <w:ind w:left="1080"/>
        <w:spacing w:after="0"/>
        <w:rPr>
          <w:sz w:val="20"/>
          <w:szCs w:val="20"/>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2" w:lineRule="exact"/>
        <w:rPr>
          <w:sz w:val="20"/>
          <w:szCs w:val="20"/>
          <w:color w:val="auto"/>
        </w:rPr>
      </w:pPr>
    </w:p>
    <w:p>
      <w:pPr>
        <w:ind w:left="1080" w:right="1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97"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 w:right="239" w:bottom="0" w:gutter="0" w:footer="0" w:header="0"/>
          <w:type w:val="continuous"/>
        </w:sectPr>
      </w:pPr>
    </w:p>
    <w:bookmarkStart w:id="18" w:name="page19"/>
    <w:bookmarkEnd w:id="18"/>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-1456055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w:t>
      </w:r>
    </w:p>
    <w:p>
      <w:pPr>
        <w:sectPr>
          <w:pgSz w:w="11900" w:h="16913" w:orient="portrait"/>
          <w:cols w:equalWidth="0" w:num="1">
            <w:col w:w="11420"/>
          </w:cols>
          <w:pgMar w:left="240" w:top="725" w:right="239" w:bottom="0" w:gutter="0" w:footer="0" w:header="0"/>
        </w:sectPr>
      </w:pPr>
    </w:p>
    <w:bookmarkStart w:id="19" w:name="page20"/>
    <w:bookmarkEnd w:id="19"/>
    <w:p>
      <w:pPr>
        <w:ind w:right="40"/>
        <w:spacing w:after="0" w:line="306" w:lineRule="auto"/>
        <w:rPr>
          <w:sz w:val="20"/>
          <w:szCs w:val="20"/>
          <w:color w:val="auto"/>
        </w:rPr>
      </w:pPr>
      <w:r>
        <w:rPr>
          <w:rFonts w:ascii="Arial" w:cs="Arial" w:eastAsia="Arial" w:hAnsi="Arial"/>
          <w:sz w:val="16"/>
          <w:szCs w:val="16"/>
          <w:color w:val="auto"/>
        </w:rPr>
        <w:t>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fewer gaming customers might visit Macau and the results of operations of Wynn Macau's casinos could be negatively affected.</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ectPr>
          <w:pgSz w:w="11900" w:h="16838" w:orient="portrait"/>
          <w:cols w:equalWidth="0" w:num="1">
            <w:col w:w="11400"/>
          </w:cols>
          <w:pgMar w:left="240" w:top="131" w:right="259" w:bottom="0" w:gutter="0" w:footer="0" w:header="0"/>
        </w:sectPr>
      </w:pPr>
    </w:p>
    <w:bookmarkStart w:id="20" w:name="page21"/>
    <w:bookmarkEnd w:id="20"/>
    <w:p>
      <w:pPr>
        <w:spacing w:after="0" w:line="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31.4%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31.4%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the initial public offering price to be substantially higher than the net tangible book value per share of the outstanding common stock. If you purchase shares of our common stock, you will incur immediate and substantial dilution in the amount of $6.25 in pro forma net tangible book value per share, based on an assumed initial public offering price of $22.00 per share, which is the mid-point of the initial public offering price range set forth on the cover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 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ectPr>
          <w:pgSz w:w="11900" w:h="16906" w:orient="portrait"/>
          <w:cols w:equalWidth="0" w:num="1">
            <w:col w:w="11400"/>
          </w:cols>
          <w:pgMar w:left="240" w:top="131" w:right="259" w:bottom="0" w:gutter="0" w:footer="0" w:header="0"/>
        </w:sectPr>
      </w:pPr>
    </w:p>
    <w:bookmarkStart w:id="21" w:name="page22"/>
    <w:bookmarkEnd w:id="21"/>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ectPr>
          <w:pgSz w:w="11900" w:h="16838" w:orient="portrait"/>
          <w:cols w:equalWidth="0" w:num="1">
            <w:col w:w="11400"/>
          </w:cols>
          <w:pgMar w:left="240" w:top="361" w:right="259" w:bottom="0" w:gutter="0" w:footer="0" w:header="0"/>
        </w:sectPr>
      </w:pPr>
    </w:p>
    <w:bookmarkStart w:id="22" w:name="page23"/>
    <w:bookmarkEnd w:id="22"/>
    <w:p>
      <w:pPr>
        <w:spacing w:after="0" w:line="5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expect to receive approximately $414.7 million in net proceeds from the sale of shares of our common stock in this offering based on the sale of 20,455,000 shares at an assumed initial public offering price of $22.00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$477.5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52" w:lineRule="exact"/>
        <w:rPr>
          <w:sz w:val="20"/>
          <w:szCs w:val="20"/>
          <w:color w:val="auto"/>
        </w:rPr>
      </w:pPr>
    </w:p>
    <w:p>
      <w:pPr>
        <w:jc w:val="both"/>
        <w:ind w:left="1080" w:right="20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$326.0 million in net proceeds from the second mortgage note offering, after deducting underwriting discounts and commissions and estimated offering expenses; and</w:t>
      </w:r>
    </w:p>
    <w:p>
      <w:pPr>
        <w:spacing w:after="0" w:line="207"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We intend to contribute to Wynn Las Vegas approximately $374.7 million of the net proceeds from this offering together with, if necessary, all or a part of the existing cash on hand held by Valvino. Wynn Las Vegas intends to use those contributions together with the net proceeds from the second mortgage notes</w:t>
      </w:r>
    </w:p>
    <w:p>
      <w:pPr>
        <w:sectPr>
          <w:pgSz w:w="11900" w:h="16894" w:orient="portrait"/>
          <w:cols w:equalWidth="0" w:num="1">
            <w:col w:w="11380"/>
          </w:cols>
          <w:pgMar w:left="240" w:top="145" w:right="279" w:bottom="0" w:gutter="0" w:footer="0" w:header="0"/>
        </w:sectPr>
      </w:pPr>
    </w:p>
    <w:bookmarkStart w:id="23" w:name="page24"/>
    <w:bookmarkEnd w:id="23"/>
    <w:p>
      <w:pPr>
        <w:spacing w:after="0" w:line="6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offering and borrowings under the revolving credit facility, delay draw term loan facility and FF&amp;E facility to design, develop, construct, equip and open Le Rêve.</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Substantial Indebtedness," "Management's Discussion and Analysis of Financial Condition and Results of Operations" and our financial statements and the accompanying notes.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$374.7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$374.7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$294.7 million of the $374.7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 on October 1, 2002. For purposes of calculating total construction costs, the revolving credit facility balance and interest and commitment fees, this table also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includes certain final construction cost payments that we assume will be made after the opening of Le Rêve.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20" w:type="dxa"/>
            <w:vAlign w:val="bottom"/>
          </w:tcPr>
          <w:p>
            <w:pPr>
              <w:ind w:left="1520"/>
              <w:spacing w:after="0"/>
              <w:rPr>
                <w:sz w:val="20"/>
                <w:szCs w:val="20"/>
                <w:color w:val="auto"/>
              </w:rPr>
            </w:pPr>
            <w:r>
              <w:rPr>
                <w:rFonts w:ascii="Arial" w:cs="Arial" w:eastAsia="Arial" w:hAnsi="Arial"/>
                <w:sz w:val="14"/>
                <w:szCs w:val="14"/>
                <w:b w:val="1"/>
                <w:bCs w:val="1"/>
                <w:color w:val="auto"/>
              </w:rPr>
              <w:t>Sources (in millions)</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713.2</w:t>
            </w: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costs: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Delay draw term loan facility</w:t>
            </w:r>
          </w:p>
        </w:tc>
        <w:tc>
          <w:tcPr>
            <w:tcW w:w="5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12"/>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Second mortgage notes</w:t>
            </w:r>
          </w:p>
        </w:tc>
        <w:tc>
          <w:tcPr>
            <w:tcW w:w="5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1,036.1</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income (2)</w:t>
            </w:r>
          </w:p>
        </w:tc>
        <w:tc>
          <w:tcPr>
            <w:tcW w:w="5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320" w:type="dxa"/>
            <w:vAlign w:val="bottom"/>
          </w:tcPr>
          <w:p>
            <w:pPr>
              <w:spacing w:after="0"/>
              <w:rPr>
                <w:sz w:val="18"/>
                <w:szCs w:val="18"/>
                <w:color w:val="auto"/>
              </w:rPr>
            </w:pPr>
          </w:p>
        </w:tc>
        <w:tc>
          <w:tcPr>
            <w:tcW w:w="1800" w:type="dxa"/>
            <w:vAlign w:val="bottom"/>
          </w:tcPr>
          <w:p>
            <w:pPr>
              <w:jc w:val="right"/>
              <w:ind w:right="1112"/>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-1085850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-1085850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-1085850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24" w:name="page25"/>
    <w:bookmarkEnd w:id="24"/>
    <w:p>
      <w:pPr>
        <w:spacing w:after="0" w:line="209" w:lineRule="auto"/>
        <w:framePr w:w="240" w:h="120" w:wrap="auto" w:vAnchor="page" w:hAnchor="page" w:x="200" w:y="7083"/>
        <w:rPr>
          <w:rFonts w:ascii="Arial" w:cs="Arial" w:eastAsia="Arial" w:hAnsi="Arial"/>
          <w:sz w:val="9"/>
          <w:szCs w:val="9"/>
          <w:color w:val="auto"/>
        </w:rPr>
      </w:pPr>
      <w:r>
        <w:rPr>
          <w:rFonts w:ascii="Arial" w:cs="Arial" w:eastAsia="Arial" w:hAnsi="Arial"/>
          <w:sz w:val="13"/>
          <w:szCs w:val="13"/>
          <w:color w:val="auto"/>
          <w:vertAlign w:val="subscript"/>
        </w:rPr>
        <w:t>(1)</w:t>
      </w:r>
    </w:p>
    <w:p>
      <w:pPr>
        <w:spacing w:after="0" w:line="209" w:lineRule="auto"/>
        <w:framePr w:w="9180" w:h="120" w:wrap="auto" w:vAnchor="page" w:hAnchor="page" w:x="740" w:y="7029"/>
        <w:rPr>
          <w:rFonts w:ascii="Arial" w:cs="Arial" w:eastAsia="Arial" w:hAnsi="Arial"/>
          <w:sz w:val="12"/>
          <w:szCs w:val="12"/>
          <w:color w:val="auto"/>
        </w:rPr>
      </w:pPr>
      <w:r>
        <w:rPr>
          <w:rFonts w:ascii="Arial" w:cs="Arial" w:eastAsia="Arial" w:hAnsi="Arial"/>
          <w:sz w:val="12"/>
          <w:szCs w:val="12"/>
          <w:color w:val="auto"/>
        </w:rPr>
        <w:t>Includes (a) Valvino member net contributions of approximately $586.1 million and (b) the anticipated gross proceeds from this offering of approximately $450 million.</w:t>
      </w:r>
    </w:p>
    <w:p>
      <w:pPr>
        <w:jc w:val="both"/>
        <w:spacing w:after="0" w:line="242" w:lineRule="auto"/>
        <w:framePr w:w="240" w:h="108" w:wrap="auto" w:vAnchor="page" w:hAnchor="page" w:x="200" w:y="7326"/>
        <w:rPr>
          <w:rFonts w:ascii="Arial" w:cs="Arial" w:eastAsia="Arial" w:hAnsi="Arial"/>
          <w:sz w:val="14"/>
          <w:szCs w:val="14"/>
          <w:color w:val="auto"/>
        </w:rPr>
      </w:pPr>
      <w:r>
        <w:rPr>
          <w:rFonts w:ascii="Arial" w:cs="Arial" w:eastAsia="Arial" w:hAnsi="Arial"/>
          <w:sz w:val="27"/>
          <w:szCs w:val="27"/>
          <w:color w:val="auto"/>
          <w:vertAlign w:val="subscript"/>
        </w:rPr>
        <w:t>(2)</w:t>
      </w:r>
    </w:p>
    <w:p>
      <w:pPr>
        <w:jc w:val="both"/>
        <w:spacing w:after="0" w:line="242" w:lineRule="auto"/>
        <w:framePr w:w="10880" w:h="417" w:wrap="auto" w:vAnchor="page" w:hAnchor="page" w:x="740" w:y="7285"/>
        <w:rPr>
          <w:rFonts w:ascii="Arial" w:cs="Arial" w:eastAsia="Arial" w:hAnsi="Arial"/>
          <w:sz w:val="12"/>
          <w:szCs w:val="12"/>
          <w:color w:val="auto"/>
        </w:rPr>
      </w:pPr>
      <w:r>
        <w:rPr>
          <w:rFonts w:ascii="Arial" w:cs="Arial" w:eastAsia="Arial" w:hAnsi="Arial"/>
          <w:sz w:val="12"/>
          <w:szCs w:val="12"/>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233" w:lineRule="auto"/>
        <w:framePr w:w="240" w:h="95" w:wrap="auto" w:vAnchor="page" w:hAnchor="page" w:x="200" w:y="7880"/>
        <w:rPr>
          <w:rFonts w:ascii="Arial" w:cs="Arial" w:eastAsia="Arial" w:hAnsi="Arial"/>
          <w:sz w:val="14"/>
          <w:szCs w:val="14"/>
          <w:color w:val="auto"/>
        </w:rPr>
      </w:pPr>
      <w:r>
        <w:rPr>
          <w:rFonts w:ascii="Arial" w:cs="Arial" w:eastAsia="Arial" w:hAnsi="Arial"/>
          <w:sz w:val="27"/>
          <w:szCs w:val="27"/>
          <w:color w:val="auto"/>
          <w:vertAlign w:val="subscript"/>
        </w:rPr>
        <w:t>(3)</w:t>
      </w:r>
    </w:p>
    <w:p>
      <w:pPr>
        <w:spacing w:after="0" w:line="233" w:lineRule="auto"/>
        <w:framePr w:w="10780" w:h="269" w:wrap="auto" w:vAnchor="page" w:hAnchor="page" w:x="740" w:y="7826"/>
        <w:rPr>
          <w:rFonts w:ascii="Arial" w:cs="Arial" w:eastAsia="Arial" w:hAnsi="Arial"/>
          <w:sz w:val="12"/>
          <w:szCs w:val="12"/>
          <w:color w:val="auto"/>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200" w:lineRule="auto"/>
        <w:framePr w:w="240" w:h="95" w:wrap="auto" w:vAnchor="page" w:hAnchor="page" w:x="200" w:y="8271"/>
        <w:rPr>
          <w:rFonts w:ascii="Arial" w:cs="Arial" w:eastAsia="Arial" w:hAnsi="Arial"/>
          <w:sz w:val="14"/>
          <w:szCs w:val="14"/>
          <w:color w:val="auto"/>
        </w:rPr>
      </w:pPr>
      <w:r>
        <w:rPr>
          <w:rFonts w:ascii="Arial" w:cs="Arial" w:eastAsia="Arial" w:hAnsi="Arial"/>
          <w:sz w:val="27"/>
          <w:szCs w:val="27"/>
          <w:color w:val="auto"/>
          <w:vertAlign w:val="subscript"/>
        </w:rPr>
        <w:t>(4)</w:t>
      </w:r>
    </w:p>
    <w:p>
      <w:pPr>
        <w:spacing w:after="0" w:line="200" w:lineRule="auto"/>
        <w:framePr w:w="10940" w:h="269" w:wrap="auto" w:vAnchor="page" w:hAnchor="page" w:x="740" w:y="8217"/>
        <w:rPr>
          <w:rFonts w:ascii="Arial" w:cs="Arial" w:eastAsia="Arial" w:hAnsi="Arial"/>
          <w:sz w:val="14"/>
          <w:szCs w:val="14"/>
          <w:color w:val="auto"/>
        </w:rPr>
      </w:pPr>
      <w:r>
        <w:rPr>
          <w:rFonts w:ascii="Arial" w:cs="Arial" w:eastAsia="Arial" w:hAnsi="Arial"/>
          <w:sz w:val="14"/>
          <w:szCs w:val="14"/>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spacing w:after="0" w:line="209" w:lineRule="auto"/>
        <w:framePr w:w="240" w:h="120" w:wrap="auto" w:vAnchor="page" w:hAnchor="page" w:x="200" w:y="8663"/>
        <w:rPr>
          <w:rFonts w:ascii="Arial" w:cs="Arial" w:eastAsia="Arial" w:hAnsi="Arial"/>
          <w:sz w:val="9"/>
          <w:szCs w:val="9"/>
          <w:color w:val="auto"/>
        </w:rPr>
      </w:pPr>
      <w:r>
        <w:rPr>
          <w:rFonts w:ascii="Arial" w:cs="Arial" w:eastAsia="Arial" w:hAnsi="Arial"/>
          <w:sz w:val="13"/>
          <w:szCs w:val="13"/>
          <w:color w:val="auto"/>
          <w:vertAlign w:val="subscript"/>
        </w:rPr>
        <w:t>(5)</w:t>
      </w:r>
    </w:p>
    <w:p>
      <w:pPr>
        <w:spacing w:after="0" w:line="209" w:lineRule="auto"/>
        <w:framePr w:w="7640" w:h="120" w:wrap="auto" w:vAnchor="page" w:hAnchor="page" w:x="740" w:y="8622"/>
        <w:rPr>
          <w:rFonts w:ascii="Arial" w:cs="Arial" w:eastAsia="Arial" w:hAnsi="Arial"/>
          <w:sz w:val="12"/>
          <w:szCs w:val="12"/>
          <w:color w:val="auto"/>
        </w:rPr>
      </w:pPr>
      <w:r>
        <w:rPr>
          <w:rFonts w:ascii="Arial" w:cs="Arial" w:eastAsia="Arial" w:hAnsi="Arial"/>
          <w:sz w:val="12"/>
          <w:szCs w:val="12"/>
          <w:color w:val="auto"/>
        </w:rPr>
        <w:t>Represents amounts previously expended to acquire land for the Le Rêve project, including the golf course land, buildings and water rights.</w:t>
      </w:r>
    </w:p>
    <w:p>
      <w:pPr>
        <w:spacing w:after="0" w:line="204" w:lineRule="auto"/>
        <w:framePr w:w="260" w:h="156" w:wrap="auto" w:vAnchor="page" w:hAnchor="page" w:x="5820" w:y="8992"/>
        <w:rPr>
          <w:rFonts w:ascii="Arial" w:cs="Arial" w:eastAsia="Arial" w:hAnsi="Arial"/>
          <w:sz w:val="16"/>
          <w:szCs w:val="16"/>
          <w:color w:val="auto"/>
        </w:rPr>
      </w:pPr>
      <w:r>
        <w:rPr>
          <w:rFonts w:ascii="Arial" w:cs="Arial" w:eastAsia="Arial" w:hAnsi="Arial"/>
          <w:sz w:val="16"/>
          <w:szCs w:val="16"/>
          <w:color w:val="auto"/>
        </w:rPr>
        <w:t>41</w:t>
      </w:r>
    </w:p>
    <w:p>
      <w:pPr>
        <w:spacing w:after="0" w:line="209" w:lineRule="auto"/>
        <w:framePr w:w="240" w:h="120" w:wrap="auto" w:vAnchor="page" w:hAnchor="page" w:x="200" w:y="9662"/>
        <w:rPr>
          <w:rFonts w:ascii="Arial" w:cs="Arial" w:eastAsia="Arial" w:hAnsi="Arial"/>
          <w:sz w:val="9"/>
          <w:szCs w:val="9"/>
          <w:color w:val="auto"/>
        </w:rPr>
      </w:pPr>
      <w:r>
        <w:rPr>
          <w:rFonts w:ascii="Arial" w:cs="Arial" w:eastAsia="Arial" w:hAnsi="Arial"/>
          <w:sz w:val="13"/>
          <w:szCs w:val="13"/>
          <w:color w:val="auto"/>
          <w:vertAlign w:val="subscript"/>
        </w:rPr>
        <w:t>(6)</w:t>
      </w:r>
    </w:p>
    <w:p>
      <w:pPr>
        <w:spacing w:after="0" w:line="209" w:lineRule="auto"/>
        <w:framePr w:w="7800" w:h="120" w:wrap="auto" w:vAnchor="page" w:hAnchor="page" w:x="740" w:y="9608"/>
        <w:rPr>
          <w:rFonts w:ascii="Arial" w:cs="Arial" w:eastAsia="Arial" w:hAnsi="Arial"/>
          <w:sz w:val="12"/>
          <w:szCs w:val="12"/>
          <w:color w:val="auto"/>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242" w:lineRule="auto"/>
        <w:framePr w:w="240" w:h="95" w:wrap="auto" w:vAnchor="page" w:hAnchor="page" w:x="200" w:y="9905"/>
        <w:rPr>
          <w:rFonts w:ascii="Arial" w:cs="Arial" w:eastAsia="Arial" w:hAnsi="Arial"/>
          <w:sz w:val="14"/>
          <w:szCs w:val="14"/>
          <w:color w:val="auto"/>
        </w:rPr>
      </w:pPr>
      <w:r>
        <w:rPr>
          <w:rFonts w:ascii="Arial" w:cs="Arial" w:eastAsia="Arial" w:hAnsi="Arial"/>
          <w:sz w:val="27"/>
          <w:szCs w:val="27"/>
          <w:color w:val="auto"/>
          <w:vertAlign w:val="subscript"/>
        </w:rPr>
        <w:t>(7)</w:t>
      </w:r>
    </w:p>
    <w:p>
      <w:pPr>
        <w:spacing w:after="0" w:line="242" w:lineRule="auto"/>
        <w:framePr w:w="10600" w:h="417" w:wrap="auto" w:vAnchor="page" w:hAnchor="page" w:x="740" w:y="9851"/>
        <w:rPr>
          <w:rFonts w:ascii="Arial" w:cs="Arial" w:eastAsia="Arial" w:hAnsi="Arial"/>
          <w:sz w:val="12"/>
          <w:szCs w:val="12"/>
          <w:color w:val="auto"/>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242" w:lineRule="auto"/>
        <w:framePr w:w="240" w:h="108" w:wrap="auto" w:vAnchor="page" w:hAnchor="page" w:x="200" w:y="10446"/>
        <w:rPr>
          <w:rFonts w:ascii="Arial" w:cs="Arial" w:eastAsia="Arial" w:hAnsi="Arial"/>
          <w:sz w:val="14"/>
          <w:szCs w:val="14"/>
          <w:color w:val="auto"/>
        </w:rPr>
      </w:pPr>
      <w:r>
        <w:rPr>
          <w:rFonts w:ascii="Arial" w:cs="Arial" w:eastAsia="Arial" w:hAnsi="Arial"/>
          <w:sz w:val="27"/>
          <w:szCs w:val="27"/>
          <w:color w:val="auto"/>
          <w:vertAlign w:val="subscript"/>
        </w:rPr>
        <w:t>(8)</w:t>
      </w:r>
    </w:p>
    <w:p>
      <w:pPr>
        <w:spacing w:after="0" w:line="242" w:lineRule="auto"/>
        <w:framePr w:w="10940" w:h="417" w:wrap="auto" w:vAnchor="page" w:hAnchor="page" w:x="740" w:y="10405"/>
        <w:rPr>
          <w:rFonts w:ascii="Arial" w:cs="Arial" w:eastAsia="Arial" w:hAnsi="Arial"/>
          <w:sz w:val="12"/>
          <w:szCs w:val="12"/>
          <w:color w:val="auto"/>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spacing w:after="0" w:line="200" w:lineRule="auto"/>
        <w:framePr w:w="240" w:h="95" w:wrap="auto" w:vAnchor="page" w:hAnchor="page" w:x="200" w:y="10999"/>
        <w:rPr>
          <w:rFonts w:ascii="Arial" w:cs="Arial" w:eastAsia="Arial" w:hAnsi="Arial"/>
          <w:sz w:val="14"/>
          <w:szCs w:val="14"/>
          <w:color w:val="auto"/>
        </w:rPr>
      </w:pPr>
      <w:r>
        <w:rPr>
          <w:rFonts w:ascii="Arial" w:cs="Arial" w:eastAsia="Arial" w:hAnsi="Arial"/>
          <w:sz w:val="27"/>
          <w:szCs w:val="27"/>
          <w:color w:val="auto"/>
          <w:vertAlign w:val="subscript"/>
        </w:rPr>
        <w:t>(9)</w:t>
      </w:r>
    </w:p>
    <w:p>
      <w:pPr>
        <w:spacing w:after="0" w:line="200" w:lineRule="auto"/>
        <w:framePr w:w="10940" w:h="269" w:wrap="auto" w:vAnchor="page" w:hAnchor="page" w:x="740" w:y="10945"/>
        <w:rPr>
          <w:rFonts w:ascii="Arial" w:cs="Arial" w:eastAsia="Arial" w:hAnsi="Arial"/>
          <w:sz w:val="14"/>
          <w:szCs w:val="14"/>
          <w:color w:val="auto"/>
        </w:rPr>
      </w:pPr>
      <w:r>
        <w:rPr>
          <w:rFonts w:ascii="Arial" w:cs="Arial" w:eastAsia="Arial" w:hAnsi="Arial"/>
          <w:sz w:val="14"/>
          <w:szCs w:val="14"/>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spacing w:after="0" w:line="209" w:lineRule="auto"/>
        <w:framePr w:w="320" w:h="120" w:wrap="auto" w:vAnchor="page" w:hAnchor="page" w:x="200" w:y="11391"/>
        <w:rPr>
          <w:rFonts w:ascii="Arial" w:cs="Arial" w:eastAsia="Arial" w:hAnsi="Arial"/>
          <w:sz w:val="9"/>
          <w:szCs w:val="9"/>
          <w:color w:val="auto"/>
        </w:rPr>
      </w:pPr>
      <w:r>
        <w:rPr>
          <w:rFonts w:ascii="Arial" w:cs="Arial" w:eastAsia="Arial" w:hAnsi="Arial"/>
          <w:sz w:val="13"/>
          <w:szCs w:val="13"/>
          <w:color w:val="auto"/>
          <w:vertAlign w:val="subscript"/>
        </w:rPr>
        <w:t>(10)</w:t>
      </w:r>
    </w:p>
    <w:p>
      <w:pPr>
        <w:spacing w:after="0" w:line="209" w:lineRule="auto"/>
        <w:framePr w:w="7760" w:h="120" w:wrap="auto" w:vAnchor="page" w:hAnchor="page" w:x="740" w:y="11337"/>
        <w:rPr>
          <w:rFonts w:ascii="Arial" w:cs="Arial" w:eastAsia="Arial" w:hAnsi="Arial"/>
          <w:sz w:val="12"/>
          <w:szCs w:val="12"/>
          <w:color w:val="auto"/>
        </w:rPr>
      </w:pPr>
      <w:r>
        <w:rPr>
          <w:rFonts w:ascii="Arial" w:cs="Arial" w:eastAsia="Arial" w:hAnsi="Arial"/>
          <w:sz w:val="12"/>
          <w:szCs w:val="12"/>
          <w:color w:val="auto"/>
        </w:rPr>
        <w:t>We intend to invest up to $40 million of the net proceeds from this offering in Wynn Macau as part of the financing of the Macau opportunity.</w:t>
      </w:r>
    </w:p>
    <w:p>
      <w:pPr>
        <w:spacing w:after="0" w:line="209" w:lineRule="auto"/>
        <w:framePr w:w="300" w:h="120" w:wrap="auto" w:vAnchor="page" w:hAnchor="page" w:x="200" w:y="11634"/>
        <w:rPr>
          <w:rFonts w:ascii="Arial" w:cs="Arial" w:eastAsia="Arial" w:hAnsi="Arial"/>
          <w:sz w:val="9"/>
          <w:szCs w:val="9"/>
          <w:color w:val="auto"/>
        </w:rPr>
      </w:pPr>
      <w:r>
        <w:rPr>
          <w:rFonts w:ascii="Arial" w:cs="Arial" w:eastAsia="Arial" w:hAnsi="Arial"/>
          <w:sz w:val="13"/>
          <w:szCs w:val="13"/>
          <w:color w:val="auto"/>
          <w:vertAlign w:val="subscript"/>
        </w:rPr>
        <w:t>(11)</w:t>
      </w:r>
    </w:p>
    <w:p>
      <w:pPr>
        <w:spacing w:after="0" w:line="209" w:lineRule="auto"/>
        <w:framePr w:w="10060" w:h="120" w:wrap="auto" w:vAnchor="page" w:hAnchor="page" w:x="740" w:y="11594"/>
        <w:rPr>
          <w:rFonts w:ascii="Arial" w:cs="Arial" w:eastAsia="Arial" w:hAnsi="Arial"/>
          <w:sz w:val="12"/>
          <w:szCs w:val="12"/>
          <w:color w:val="auto"/>
        </w:rPr>
      </w:pPr>
      <w:r>
        <w:rPr>
          <w:rFonts w:ascii="Arial" w:cs="Arial" w:eastAsia="Arial" w:hAnsi="Arial"/>
          <w:sz w:val="12"/>
          <w:szCs w:val="12"/>
          <w:color w:val="auto"/>
        </w:rPr>
        <w:t>Includes fees and expenses related to (a) this offering, (b) the second mortgage note offering and (c) the revolving credit facility, the delay draw term loan facility and the FF&amp;E facility.</w:t>
      </w:r>
    </w:p>
    <w:p>
      <w:pPr>
        <w:spacing w:after="0" w:line="204" w:lineRule="auto"/>
        <w:framePr w:w="260" w:h="156" w:wrap="auto" w:vAnchor="page" w:hAnchor="page" w:x="5820" w:y="11963"/>
        <w:rPr>
          <w:rFonts w:ascii="Arial" w:cs="Arial" w:eastAsia="Arial" w:hAnsi="Arial"/>
          <w:sz w:val="16"/>
          <w:szCs w:val="16"/>
          <w:color w:val="auto"/>
        </w:rPr>
      </w:pPr>
      <w:r>
        <w:rPr>
          <w:rFonts w:ascii="Arial" w:cs="Arial" w:eastAsia="Arial" w:hAnsi="Arial"/>
          <w:sz w:val="16"/>
          <w:szCs w:val="16"/>
          <w:color w:val="auto"/>
        </w:rPr>
        <w:t>42</w:t>
      </w:r>
    </w:p>
    <w:p>
      <w:pPr>
        <w:spacing w:after="0" w:line="181" w:lineRule="auto"/>
        <w:framePr w:w="1700" w:h="156" w:wrap="auto" w:vAnchor="page" w:hAnchor="page" w:x="5080" w:y="12854"/>
        <w:rPr>
          <w:rFonts w:ascii="Arial" w:cs="Arial" w:eastAsia="Arial" w:hAnsi="Arial"/>
          <w:sz w:val="18"/>
          <w:szCs w:val="18"/>
          <w:b w:val="1"/>
          <w:bCs w:val="1"/>
          <w:color w:val="auto"/>
        </w:rPr>
      </w:pPr>
      <w:r>
        <w:rPr>
          <w:rFonts w:ascii="Arial" w:cs="Arial" w:eastAsia="Arial" w:hAnsi="Arial"/>
          <w:sz w:val="18"/>
          <w:szCs w:val="18"/>
          <w:b w:val="1"/>
          <w:bCs w:val="1"/>
          <w:color w:val="auto"/>
        </w:rPr>
        <w:t>DIVIDEND POLICY</w:t>
      </w:r>
    </w:p>
    <w:p>
      <w:pPr>
        <w:ind w:firstLine="348"/>
        <w:spacing w:after="0" w:line="270" w:lineRule="auto"/>
        <w:framePr w:w="11460" w:h="1453" w:wrap="auto" w:vAnchor="page" w:hAnchor="page" w:x="200" w:y="13286"/>
        <w:rPr>
          <w:rFonts w:ascii="Arial" w:cs="Arial" w:eastAsia="Arial" w:hAnsi="Arial"/>
          <w:sz w:val="16"/>
          <w:szCs w:val="16"/>
          <w:b w:val="1"/>
          <w:bCs w:val="1"/>
          <w:color w:val="auto"/>
        </w:rPr>
      </w:pPr>
      <w:r>
        <w:rPr>
          <w:rFonts w:ascii="Arial" w:cs="Arial" w:eastAsia="Arial" w:hAnsi="Arial"/>
          <w:sz w:val="16"/>
          <w:szCs w:val="16"/>
          <w:b w:val="1"/>
          <w:bCs w:val="1"/>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ind w:firstLine="348"/>
        <w:spacing w:after="0" w:line="270" w:lineRule="auto"/>
        <w:framePr w:w="11460" w:h="1453" w:wrap="auto" w:vAnchor="page" w:hAnchor="page" w:x="200" w:y="15015"/>
        <w:rPr>
          <w:rFonts w:ascii="Arial" w:cs="Arial" w:eastAsia="Arial" w:hAnsi="Arial"/>
          <w:sz w:val="18"/>
          <w:szCs w:val="18"/>
          <w:b w:val="1"/>
          <w:bCs w:val="1"/>
          <w:color w:val="auto"/>
        </w:rPr>
      </w:pPr>
      <w:r>
        <w:rPr>
          <w:rFonts w:ascii="Arial" w:cs="Arial" w:eastAsia="Arial" w:hAnsi="Arial"/>
          <w:sz w:val="18"/>
          <w:szCs w:val="18"/>
          <w:b w:val="1"/>
          <w:bCs w:val="1"/>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5541010</wp:posOffset>
            </wp:positionH>
            <wp:positionV relativeFrom="page">
              <wp:posOffset>1534160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4983480</wp:posOffset>
            </wp:positionH>
            <wp:positionV relativeFrom="page">
              <wp:posOffset>1534160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2830830</wp:posOffset>
            </wp:positionH>
            <wp:positionV relativeFrom="page">
              <wp:posOffset>3883660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2162175</wp:posOffset>
            </wp:positionH>
            <wp:positionV relativeFrom="page">
              <wp:posOffset>3883660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6304280</wp:posOffset>
            </wp:positionH>
            <wp:positionV relativeFrom="page">
              <wp:posOffset>3883660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5609590</wp:posOffset>
            </wp:positionH>
            <wp:positionV relativeFrom="page">
              <wp:posOffset>3883660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2830830</wp:posOffset>
            </wp:positionH>
            <wp:positionV relativeFrom="page">
              <wp:posOffset>4192270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2162175</wp:posOffset>
            </wp:positionH>
            <wp:positionV relativeFrom="page">
              <wp:posOffset>4192270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6304280</wp:posOffset>
            </wp:positionH>
            <wp:positionV relativeFrom="page">
              <wp:posOffset>4192270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5609590</wp:posOffset>
            </wp:positionH>
            <wp:positionV relativeFrom="page">
              <wp:posOffset>4192270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4346575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4346575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7393305</wp:posOffset>
            </wp:positionH>
            <wp:positionV relativeFrom="page">
              <wp:posOffset>5984875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5984875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188" w:lineRule="exact"/>
        <w:rPr>
          <w:rFonts w:ascii="Arial" w:cs="Arial" w:eastAsia="Arial" w:hAnsi="Arial"/>
          <w:sz w:val="18"/>
          <w:szCs w:val="18"/>
          <w:b w:val="1"/>
          <w:bCs w:val="1"/>
          <w:color w:val="auto"/>
        </w:rPr>
      </w:pPr>
    </w:p>
    <w:p>
      <w:pPr>
        <w:spacing w:after="0" w:line="81" w:lineRule="exact"/>
        <w:rPr>
          <w:rFonts w:ascii="Arial" w:cs="Arial" w:eastAsia="Arial" w:hAnsi="Arial"/>
          <w:sz w:val="18"/>
          <w:szCs w:val="18"/>
          <w:b w:val="1"/>
          <w:bCs w:val="1"/>
          <w:color w:val="auto"/>
        </w:rPr>
      </w:pPr>
    </w:p>
    <w:p>
      <w:pPr>
        <w:spacing w:after="0" w:line="122" w:lineRule="exact"/>
        <w:rPr>
          <w:rFonts w:ascii="Arial" w:cs="Arial" w:eastAsia="Arial" w:hAnsi="Arial"/>
          <w:sz w:val="18"/>
          <w:szCs w:val="18"/>
          <w:b w:val="1"/>
          <w:bCs w:val="1"/>
          <w:color w:val="auto"/>
        </w:rPr>
      </w:pPr>
    </w:p>
    <w:p>
      <w:pPr>
        <w:spacing w:after="0" w:line="122"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164" w:lineRule="exact"/>
        <w:rPr>
          <w:rFonts w:ascii="Arial" w:cs="Arial" w:eastAsia="Arial" w:hAnsi="Arial"/>
          <w:sz w:val="18"/>
          <w:szCs w:val="18"/>
          <w:b w:val="1"/>
          <w:bCs w:val="1"/>
          <w:color w:val="auto"/>
        </w:rPr>
      </w:pPr>
    </w:p>
    <w:p>
      <w:pPr>
        <w:spacing w:after="0" w:line="135" w:lineRule="exact"/>
        <w:rPr>
          <w:rFonts w:ascii="Arial" w:cs="Arial" w:eastAsia="Arial" w:hAnsi="Arial"/>
          <w:sz w:val="18"/>
          <w:szCs w:val="18"/>
          <w:b w:val="1"/>
          <w:bCs w:val="1"/>
          <w:color w:val="auto"/>
        </w:rPr>
      </w:pPr>
    </w:p>
    <w:p>
      <w:pPr>
        <w:spacing w:after="0" w:line="122"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178"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tbl>
      <w:tblPr>
        <w:tblLayout w:type="fixed"/>
        <w:tblInd w:w="0" w:type="dxa"/>
        <w:tblCellMar>
          <w:top w:w="0" w:type="dxa"/>
          <w:left w:w="0" w:type="dxa"/>
          <w:bottom w:w="0" w:type="dxa"/>
          <w:right w:w="0" w:type="dxa"/>
        </w:tblCellMar>
      </w:tblPr>
      <w:tr>
        <w:trPr>
          <w:trHeight w:val="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Golf course</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21.5</w:t>
            </w: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Parking garage</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11.5</w:t>
            </w: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approvals &amp;</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13.8</w:t>
            </w: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permits</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13.9</w:t>
            </w: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capital</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23.8</w:t>
            </w: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projects</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Construction period</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utilities &amp; security</w:t>
            </w: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contingency (4)</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26.7</w:t>
            </w:r>
          </w:p>
        </w:tc>
        <w:tc>
          <w:tcPr>
            <w:tcW w:w="7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540"/>
              <w:spacing w:after="0"/>
              <w:rPr>
                <w:sz w:val="20"/>
                <w:szCs w:val="20"/>
                <w:color w:val="auto"/>
              </w:rPr>
            </w:pPr>
            <w:r>
              <w:rPr>
                <w:rFonts w:ascii="Arial" w:cs="Arial" w:eastAsia="Arial" w:hAnsi="Arial"/>
                <w:sz w:val="18"/>
                <w:szCs w:val="18"/>
                <w:color w:val="auto"/>
              </w:rPr>
              <w:t>Total construction costs</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1,407.2</w:t>
            </w: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Pre-opening costs</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Entertainment production costs</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acquisition and</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720" w:type="dxa"/>
            <w:vAlign w:val="bottom"/>
          </w:tcPr>
          <w:p>
            <w:pPr>
              <w:spacing w:after="0" w:line="20" w:lineRule="exact"/>
              <w:rPr>
                <w:sz w:val="1"/>
                <w:szCs w:val="1"/>
                <w:color w:val="auto"/>
              </w:rPr>
            </w:pPr>
          </w:p>
        </w:tc>
      </w:tr>
      <w:tr>
        <w:trPr>
          <w:trHeight w:val="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loan repayment (7)</w:t>
            </w: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capital needs at opening</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Liquidity reserve</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Reserved for future investment in Macau (10)</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720" w:type="dxa"/>
            <w:vAlign w:val="bottom"/>
          </w:tcPr>
          <w:p>
            <w:pPr>
              <w:spacing w:after="0" w:line="20" w:lineRule="exact"/>
              <w:rPr>
                <w:sz w:val="1"/>
                <w:szCs w:val="1"/>
                <w:color w:val="auto"/>
              </w:rPr>
            </w:pPr>
          </w:p>
        </w:tc>
      </w:tr>
      <w:tr>
        <w:trPr>
          <w:trHeight w:val="0"/>
        </w:trPr>
        <w:tc>
          <w:tcPr>
            <w:tcW w:w="3160" w:type="dxa"/>
            <w:vAlign w:val="bottom"/>
            <w:shd w:val="clear" w:color="auto" w:fill="808080"/>
          </w:tcPr>
          <w:p>
            <w:pPr>
              <w:ind w:left="200"/>
              <w:spacing w:after="0"/>
              <w:rPr>
                <w:sz w:val="20"/>
                <w:szCs w:val="20"/>
                <w:color w:val="auto"/>
              </w:rPr>
            </w:pPr>
            <w:r>
              <w:rPr>
                <w:rFonts w:ascii="Arial" w:cs="Arial" w:eastAsia="Arial" w:hAnsi="Arial"/>
                <w:sz w:val="18"/>
                <w:szCs w:val="18"/>
                <w:color w:val="auto"/>
              </w:rPr>
              <w:t>Total Sources</w:t>
            </w:r>
          </w:p>
        </w:tc>
        <w:tc>
          <w:tcPr>
            <w:tcW w:w="320" w:type="dxa"/>
            <w:vAlign w:val="bottom"/>
            <w:shd w:val="clear" w:color="auto" w:fill="808080"/>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808080"/>
          </w:tcPr>
          <w:p>
            <w:pPr>
              <w:jc w:val="right"/>
              <w:spacing w:after="0"/>
              <w:rPr>
                <w:sz w:val="20"/>
                <w:szCs w:val="20"/>
                <w:color w:val="auto"/>
              </w:rPr>
            </w:pPr>
            <w:r>
              <w:rPr>
                <w:rFonts w:ascii="Arial" w:cs="Arial" w:eastAsia="Arial" w:hAnsi="Arial"/>
                <w:sz w:val="18"/>
                <w:szCs w:val="18"/>
                <w:color w:val="auto"/>
              </w:rPr>
              <w:t>2,557.2</w:t>
            </w:r>
          </w:p>
        </w:tc>
        <w:tc>
          <w:tcPr>
            <w:tcW w:w="3680" w:type="dxa"/>
            <w:vAlign w:val="bottom"/>
            <w:shd w:val="clear" w:color="auto" w:fill="808080"/>
          </w:tcPr>
          <w:p>
            <w:pPr>
              <w:ind w:left="360"/>
              <w:spacing w:after="0"/>
              <w:rPr>
                <w:sz w:val="20"/>
                <w:szCs w:val="20"/>
                <w:color w:val="auto"/>
              </w:rPr>
            </w:pPr>
            <w:r>
              <w:rPr>
                <w:rFonts w:ascii="Arial" w:cs="Arial" w:eastAsia="Arial" w:hAnsi="Arial"/>
                <w:sz w:val="18"/>
                <w:szCs w:val="18"/>
                <w:color w:val="auto"/>
              </w:rPr>
              <w:t>Total Uses</w:t>
            </w:r>
          </w:p>
        </w:tc>
        <w:tc>
          <w:tcPr>
            <w:tcW w:w="1020" w:type="dxa"/>
            <w:vAlign w:val="bottom"/>
            <w:shd w:val="clear" w:color="auto" w:fill="808080"/>
          </w:tcPr>
          <w:p>
            <w:pPr>
              <w:jc w:val="right"/>
              <w:ind w:right="172"/>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808080"/>
          </w:tcPr>
          <w:p>
            <w:pPr>
              <w:jc w:val="right"/>
              <w:ind w:right="1720"/>
              <w:spacing w:after="0"/>
              <w:rPr>
                <w:sz w:val="20"/>
                <w:szCs w:val="20"/>
                <w:color w:val="auto"/>
              </w:rPr>
            </w:pPr>
            <w:r>
              <w:rPr>
                <w:rFonts w:ascii="Arial" w:cs="Arial" w:eastAsia="Arial" w:hAnsi="Arial"/>
                <w:sz w:val="18"/>
                <w:szCs w:val="18"/>
                <w:color w:val="auto"/>
              </w:rPr>
              <w:t>2,557.2</w:t>
            </w:r>
          </w:p>
        </w:tc>
      </w:tr>
      <w:tr>
        <w:trPr>
          <w:trHeight w:val="240"/>
        </w:trPr>
        <w:tc>
          <w:tcPr>
            <w:tcW w:w="31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3680" w:type="dxa"/>
            <w:vAlign w:val="bottom"/>
            <w:tcBorders>
              <w:bottom w:val="single" w:sz="8" w:color="808080"/>
            </w:tcBorders>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1720" w:type="dxa"/>
            <w:vAlign w:val="bottom"/>
            <w:tcBorders>
              <w:bottom w:val="single" w:sz="8" w:color="808080"/>
            </w:tcBorders>
          </w:tcPr>
          <w:p>
            <w:pPr>
              <w:spacing w:after="0"/>
              <w:rPr>
                <w:sz w:val="20"/>
                <w:szCs w:val="20"/>
                <w:color w:val="auto"/>
              </w:rPr>
            </w:pPr>
          </w:p>
        </w:tc>
      </w:tr>
    </w:tbl>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80" w:hanging="532"/>
        <w:spacing w:after="0" w:line="255"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20,455,000 shares of Wynn Resorts' common stock in this offering at an assumed initial public offering price of $22.00 per share, which is the mid-point of the initial public offering price range set forth on the cover of this prospectus, the expected concurrent sale of $340 million in aggregate principal amount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80" w:hanging="532"/>
        <w:spacing w:after="0" w:line="256"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$713.2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544.9(3)</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959.6(4)(5)</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959.6(4)(5)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-2613025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-2613025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-1986915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260" w:hanging="532"/>
        <w:spacing w:after="0" w:line="186" w:lineRule="auto"/>
        <w:tabs>
          <w:tab w:leader="none" w:pos="540" w:val="left"/>
        </w:tabs>
        <w:numPr>
          <w:ilvl w:val="0"/>
          <w:numId w:val="33"/>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which will become a wholly owned subsidiary of Wynn Las Vegas prior to the consummation of this offering.</w:t>
      </w:r>
    </w:p>
    <w:p>
      <w:pPr>
        <w:spacing w:after="0" w:line="70" w:lineRule="exact"/>
        <w:rPr>
          <w:rFonts w:ascii="Arial" w:cs="Arial" w:eastAsia="Arial" w:hAnsi="Arial"/>
          <w:sz w:val="24"/>
          <w:szCs w:val="24"/>
          <w:color w:val="auto"/>
          <w:vertAlign w:val="subscript"/>
        </w:rPr>
      </w:pPr>
    </w:p>
    <w:p>
      <w:pPr>
        <w:ind w:left="540" w:right="140" w:hanging="532"/>
        <w:spacing w:after="0" w:line="188" w:lineRule="auto"/>
        <w:tabs>
          <w:tab w:leader="none" w:pos="540" w:val="left"/>
        </w:tabs>
        <w:numPr>
          <w:ilvl w:val="0"/>
          <w:numId w:val="33"/>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320"/>
        <w:spacing w:after="0" w:line="239" w:lineRule="auto"/>
        <w:rPr>
          <w:sz w:val="20"/>
          <w:szCs w:val="20"/>
          <w:color w:val="auto"/>
        </w:rPr>
      </w:pPr>
      <w:r>
        <w:rPr>
          <w:rFonts w:ascii="Arial" w:cs="Arial" w:eastAsia="Arial" w:hAnsi="Arial"/>
          <w:sz w:val="14"/>
          <w:szCs w:val="14"/>
          <w:color w:val="auto"/>
        </w:rPr>
        <w:t>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ind w:left="540" w:hanging="532"/>
        <w:spacing w:after="0"/>
        <w:tabs>
          <w:tab w:leader="none" w:pos="540" w:val="left"/>
        </w:tabs>
        <w:numPr>
          <w:ilvl w:val="0"/>
          <w:numId w:val="34"/>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84" w:lineRule="exact"/>
        <w:rPr>
          <w:rFonts w:ascii="Arial" w:cs="Arial" w:eastAsia="Arial" w:hAnsi="Arial"/>
          <w:sz w:val="27"/>
          <w:szCs w:val="27"/>
          <w:color w:val="auto"/>
          <w:vertAlign w:val="subscript"/>
        </w:rPr>
      </w:pPr>
    </w:p>
    <w:p>
      <w:pPr>
        <w:ind w:left="540" w:right="12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($41.1) million and (c) expected net proceeds from this offering of $414.7 million.</w:t>
      </w:r>
    </w:p>
    <w:p>
      <w:pPr>
        <w:spacing w:after="0" w:line="70" w:lineRule="exact"/>
        <w:rPr>
          <w:rFonts w:ascii="Arial" w:cs="Arial" w:eastAsia="Arial" w:hAnsi="Arial"/>
          <w:sz w:val="24"/>
          <w:szCs w:val="24"/>
          <w:color w:val="auto"/>
          <w:vertAlign w:val="subscript"/>
        </w:rPr>
      </w:pPr>
    </w:p>
    <w:p>
      <w:pPr>
        <w:ind w:left="540" w:right="40" w:hanging="532"/>
        <w:spacing w:after="0" w:line="188" w:lineRule="auto"/>
        <w:tabs>
          <w:tab w:leader="none" w:pos="540" w:val="left"/>
        </w:tabs>
        <w:numPr>
          <w:ilvl w:val="0"/>
          <w:numId w:val="34"/>
        </w:numPr>
        <w:rPr>
          <w:rFonts w:ascii="Arial" w:cs="Arial" w:eastAsia="Arial" w:hAnsi="Arial"/>
          <w:sz w:val="26"/>
          <w:szCs w:val="26"/>
          <w:color w:val="auto"/>
          <w:vertAlign w:val="subscript"/>
        </w:rPr>
      </w:pPr>
      <w:r>
        <w:rPr>
          <w:rFonts w:ascii="Arial" w:cs="Arial" w:eastAsia="Arial" w:hAnsi="Arial"/>
          <w:sz w:val="13"/>
          <w:szCs w:val="13"/>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60,455,000 shares issued and outstanding, (c) additional paid in capital of $414.5 million and (d) deficit accumulated during the development stage of $(41.1)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net tangible book value of our common stock on June 30, 2002 was $537.5 million, or approximately $13.44 per share. Net tangible book value per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 represents the amount of our total tangible assets less total liabilities (not including any indebtedness being incurred concurrently with this offering), divided</w:t>
      </w:r>
    </w:p>
    <w:p>
      <w:pPr>
        <w:sectPr>
          <w:pgSz w:w="11900" w:h="16838" w:orient="portrait"/>
          <w:cols w:equalWidth="0" w:num="1">
            <w:col w:w="11420"/>
          </w:cols>
          <w:pgMar w:left="240" w:top="131" w:right="239" w:bottom="0" w:gutter="0" w:footer="0" w:header="0"/>
        </w:sectPr>
      </w:pPr>
    </w:p>
    <w:bookmarkStart w:id="26" w:name="page27"/>
    <w:bookmarkEnd w:id="26"/>
    <w:p>
      <w:pPr>
        <w:ind w:right="20"/>
        <w:spacing w:after="0" w:line="290" w:lineRule="auto"/>
        <w:rPr>
          <w:sz w:val="20"/>
          <w:szCs w:val="20"/>
          <w:color w:val="auto"/>
        </w:rPr>
      </w:pPr>
      <w:r>
        <w:rPr>
          <w:rFonts w:ascii="Arial" w:cs="Arial" w:eastAsia="Arial" w:hAnsi="Arial"/>
          <w:sz w:val="16"/>
          <w:szCs w:val="16"/>
          <w:color w:val="auto"/>
        </w:rPr>
        <w:t>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 offering price of $22.00 per share, which is the mid-point of the initial public offering price range set forth on the cover of this prospectus, and after deducting estimated underwriting discounts and commissions and offering expenses payable by us, our net tangible book value at June 30, 2002 would have been approximately $952.2 million, or $15.75 per share. This represents an immediate increase in net tangible book value of $2.31 per share to existing stockholders and an immediate dilution in net tangible book value of $6.25 per share to new investors purchasing shares of common stock in this offering. The following table illustrates this dilution on a per share basis:</w:t>
      </w:r>
    </w:p>
    <w:p>
      <w:pPr>
        <w:spacing w:after="0" w:line="18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center"/>
              <w:ind w:left="380"/>
              <w:spacing w:after="0"/>
              <w:rPr>
                <w:sz w:val="20"/>
                <w:szCs w:val="20"/>
                <w:color w:val="auto"/>
              </w:rPr>
            </w:pPr>
            <w:r>
              <w:rPr>
                <w:rFonts w:ascii="Arial" w:cs="Arial" w:eastAsia="Arial" w:hAnsi="Arial"/>
                <w:sz w:val="18"/>
                <w:szCs w:val="18"/>
                <w:color w:val="auto"/>
                <w:w w:val="89"/>
              </w:rPr>
              <w:t>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center"/>
              <w:ind w:left="420"/>
              <w:spacing w:after="0"/>
              <w:rPr>
                <w:sz w:val="20"/>
                <w:szCs w:val="20"/>
                <w:color w:val="auto"/>
              </w:rPr>
            </w:pPr>
            <w:r>
              <w:rPr>
                <w:rFonts w:ascii="Arial" w:cs="Arial" w:eastAsia="Arial" w:hAnsi="Arial"/>
                <w:sz w:val="18"/>
                <w:szCs w:val="18"/>
                <w:color w:val="auto"/>
                <w:w w:val="85"/>
              </w:rPr>
              <w:t>20.5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center"/>
              <w:ind w:left="420"/>
              <w:spacing w:after="0"/>
              <w:rPr>
                <w:sz w:val="20"/>
                <w:szCs w:val="20"/>
                <w:color w:val="auto"/>
              </w:rPr>
            </w:pPr>
            <w:r>
              <w:rPr>
                <w:rFonts w:ascii="Arial" w:cs="Arial" w:eastAsia="Arial" w:hAnsi="Arial"/>
                <w:sz w:val="18"/>
                <w:szCs w:val="18"/>
                <w:color w:val="auto"/>
                <w:w w:val="85"/>
              </w:rPr>
              <w:t>60.5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1" w:lineRule="exact"/>
        <w:rPr>
          <w:sz w:val="20"/>
          <w:szCs w:val="20"/>
          <w:color w:val="auto"/>
        </w:rPr>
      </w:pPr>
    </w:p>
    <w:p>
      <w:pPr>
        <w:ind w:left="540" w:right="120" w:hanging="532"/>
        <w:spacing w:after="0" w:line="188" w:lineRule="auto"/>
        <w:tabs>
          <w:tab w:leader="none" w:pos="54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have reserved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4"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3, 2002, Aruze Corp. had a market capitalization of approximately ¥164 billion, or approximately $1.3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w:t>
      </w:r>
    </w:p>
    <w:p>
      <w:pPr>
        <w:sectPr>
          <w:pgSz w:w="11900" w:h="16838" w:orient="portrait"/>
          <w:cols w:equalWidth="0" w:num="1">
            <w:col w:w="11420"/>
          </w:cols>
          <w:pgMar w:left="240" w:top="131" w:right="239" w:bottom="0" w:gutter="0" w:footer="0" w:header="0"/>
        </w:sectPr>
      </w:pPr>
    </w:p>
    <w:bookmarkStart w:id="27" w:name="page28"/>
    <w:bookmarkEnd w:id="27"/>
    <w:p>
      <w:pPr>
        <w:ind w:right="40"/>
        <w:spacing w:after="0" w:line="370" w:lineRule="auto"/>
        <w:rPr>
          <w:sz w:val="20"/>
          <w:szCs w:val="20"/>
          <w:color w:val="auto"/>
        </w:rPr>
      </w:pPr>
      <w:r>
        <w:rPr>
          <w:rFonts w:ascii="Arial" w:cs="Arial" w:eastAsia="Arial" w:hAnsi="Arial"/>
          <w:sz w:val="15"/>
          <w:szCs w:val="15"/>
          <w:color w:val="auto"/>
        </w:rPr>
        <w:t>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1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ectPr>
          <w:pgSz w:w="11900" w:h="16838" w:orient="portrait"/>
          <w:cols w:equalWidth="0" w:num="1">
            <w:col w:w="11420"/>
          </w:cols>
          <w:pgMar w:left="240" w:top="131" w:right="239" w:bottom="0" w:gutter="0" w:footer="0" w:header="0"/>
        </w:sectPr>
      </w:pPr>
    </w:p>
    <w:bookmarkStart w:id="28" w:name="page29"/>
    <w:bookmarkEnd w:id="28"/>
    <w:p>
      <w:pPr>
        <w:spacing w:after="0" w:line="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 of a corporate aircraft, are included in Valvino's financial statements. Moreover, we continue to operate an art gallery displaying works from The Wynn Collection, which consists of artwork from the personal art collection of Stephen and Elaine Wynn. Until summer 2002, we also operated the golf course located on the site of the former Desert Inn Resort &amp; Casino. Valvino's historical operating results will not be indicative of future operating results.</w:t>
      </w:r>
    </w:p>
    <w:p>
      <w:pPr>
        <w:spacing w:after="0" w:line="167"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4,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ectPr>
          <w:pgSz w:w="11900" w:h="16881" w:orient="portrait"/>
          <w:cols w:equalWidth="0" w:num="1">
            <w:col w:w="11400"/>
          </w:cols>
          <w:pgMar w:left="240" w:top="131" w:right="259" w:bottom="0" w:gutter="0" w:footer="0" w:header="0"/>
        </w:sectPr>
      </w:pPr>
    </w:p>
    <w:bookmarkStart w:id="29" w:name="page30"/>
    <w:bookmarkEnd w:id="29"/>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ectPr>
          <w:pgSz w:w="11900" w:h="16838" w:orient="portrait"/>
          <w:cols w:equalWidth="0" w:num="1">
            <w:col w:w="11380"/>
          </w:cols>
          <w:pgMar w:left="240" w:top="131" w:right="279" w:bottom="103" w:gutter="0" w:footer="0" w:header="0"/>
        </w:sectPr>
      </w:pPr>
    </w:p>
    <w:bookmarkStart w:id="30" w:name="page31"/>
    <w:bookmarkEnd w:id="30"/>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ectPr>
          <w:pgSz w:w="11900" w:h="16838" w:orient="portrait"/>
          <w:cols w:equalWidth="0" w:num="1">
            <w:col w:w="11380"/>
          </w:cols>
          <w:pgMar w:left="240" w:top="131" w:right="279" w:bottom="360" w:gutter="0" w:footer="0" w:header="0"/>
        </w:sectPr>
      </w:pP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360" w:gutter="0" w:footer="0" w:header="0"/>
          <w:type w:val="continuous"/>
        </w:sectPr>
      </w:pPr>
    </w:p>
    <w:bookmarkStart w:id="31" w:name="page32"/>
    <w:bookmarkEnd w:id="31"/>
    <w:p>
      <w:pPr>
        <w:ind w:left="1080"/>
        <w:spacing w:after="0" w:line="256" w:lineRule="auto"/>
        <w:rPr>
          <w:sz w:val="20"/>
          <w:szCs w:val="20"/>
          <w:color w:val="auto"/>
        </w:rPr>
      </w:pPr>
      <w:r>
        <w:rPr>
          <w:rFonts w:ascii="Arial" w:cs="Arial" w:eastAsia="Arial" w:hAnsi="Arial"/>
          <w:sz w:val="18"/>
          <w:szCs w:val="18"/>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 47% ownership interest in Valvino, after these contributions, reflects the fair value of his investment in Wynn Macau relative to the fair value of the contributions from Aruze USA and Baron Asset Fund;</w:t>
      </w:r>
    </w:p>
    <w:p>
      <w:pPr>
        <w:spacing w:after="0" w:line="21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0"/>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0"/>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20" w:hanging="532"/>
        <w:spacing w:after="0" w:line="186" w:lineRule="auto"/>
        <w:tabs>
          <w:tab w:leader="none" w:pos="540" w:val="left"/>
        </w:tabs>
        <w:numPr>
          <w:ilvl w:val="0"/>
          <w:numId w:val="40"/>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05"/>
        </w:trPr>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241"/>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left="172"/>
              <w:spacing w:after="0"/>
              <w:rPr>
                <w:sz w:val="20"/>
                <w:szCs w:val="20"/>
                <w:color w:val="auto"/>
              </w:rPr>
            </w:pPr>
            <w:r>
              <w:rPr>
                <w:rFonts w:ascii="Arial" w:cs="Arial" w:eastAsia="Arial" w:hAnsi="Arial"/>
                <w:sz w:val="14"/>
                <w:szCs w:val="14"/>
                <w:b w:val="1"/>
                <w:bCs w:val="1"/>
                <w:color w:val="auto"/>
                <w:w w:val="82"/>
              </w:rPr>
              <w:t>Less than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After</w:t>
            </w: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Long-Term Indebtedness</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900" w:type="dxa"/>
            <w:vAlign w:val="bottom"/>
          </w:tcPr>
          <w:p>
            <w:pPr>
              <w:jc w:val="center"/>
              <w:ind w:left="172"/>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5 Years</w:t>
            </w:r>
          </w:p>
        </w:tc>
      </w:tr>
      <w:tr>
        <w:trPr>
          <w:trHeight w:val="105"/>
        </w:trPr>
        <w:tc>
          <w:tcPr>
            <w:tcW w:w="3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266"/>
        </w:trPr>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millions)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-526415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-526415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-183515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-183515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-183515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-183515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-183515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-183515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-183515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-183515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-183515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-183515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-183515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p>
      <w:pPr>
        <w:spacing w:after="0" w:line="222" w:lineRule="exact"/>
        <w:rPr>
          <w:sz w:val="20"/>
          <w:szCs w:val="20"/>
          <w:color w:val="auto"/>
        </w:rPr>
      </w:pPr>
    </w:p>
    <w:p>
      <w:pPr>
        <w:spacing w:after="0"/>
        <w:tabs>
          <w:tab w:leader="none" w:pos="4140" w:val="left"/>
          <w:tab w:leader="none" w:pos="4800" w:val="left"/>
          <w:tab w:leader="none" w:pos="6380" w:val="left"/>
          <w:tab w:leader="none" w:pos="7440" w:val="left"/>
          <w:tab w:leader="none" w:pos="8540" w:val="left"/>
          <w:tab w:leader="none" w:pos="9620" w:val="left"/>
        </w:tabs>
        <w:rPr>
          <w:sz w:val="20"/>
          <w:szCs w:val="20"/>
          <w:color w:val="auto"/>
        </w:rPr>
      </w:pPr>
      <w:r>
        <w:rPr>
          <w:rFonts w:ascii="Arial" w:cs="Arial" w:eastAsia="Arial" w:hAnsi="Arial"/>
          <w:sz w:val="18"/>
          <w:szCs w:val="18"/>
          <w:color w:val="auto"/>
        </w:rPr>
        <w:t>Revolving credit facility(1)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713.2</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 $</w:t>
      </w:r>
      <w:r>
        <w:rPr>
          <w:sz w:val="20"/>
          <w:szCs w:val="20"/>
          <w:color w:val="auto"/>
        </w:rPr>
        <w:tab/>
      </w:r>
      <w:r>
        <w:rPr>
          <w:rFonts w:ascii="Arial" w:cs="Arial" w:eastAsia="Arial" w:hAnsi="Arial"/>
          <w:sz w:val="16"/>
          <w:szCs w:val="16"/>
          <w:color w:val="auto"/>
        </w:rPr>
        <w:t>713.2(1)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51764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Delay draw term loan facility(2)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4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1,492.0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1,491.8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15"/>
          </w:tcPr>
          <w:p>
            <w:pPr>
              <w:jc w:val="center"/>
              <w:ind w:right="4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2"/>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4"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We anticipate that we will draw down approximately $713.2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w:t>
      </w:r>
    </w:p>
    <w:p>
      <w:pPr>
        <w:spacing w:after="0" w:line="192" w:lineRule="exact"/>
        <w:rPr>
          <w:rFonts w:ascii="Arial" w:cs="Arial" w:eastAsia="Arial" w:hAnsi="Arial"/>
          <w:sz w:val="24"/>
          <w:szCs w:val="24"/>
          <w:color w:val="auto"/>
          <w:vertAlign w:val="subscript"/>
        </w:rPr>
      </w:pPr>
    </w:p>
    <w:p>
      <w:pPr>
        <w:ind w:left="540" w:right="160"/>
        <w:spacing w:after="0" w:line="239" w:lineRule="auto"/>
        <w:rPr>
          <w:rFonts w:ascii="Arial" w:cs="Arial" w:eastAsia="Arial" w:hAnsi="Arial"/>
          <w:sz w:val="24"/>
          <w:szCs w:val="24"/>
          <w:color w:val="auto"/>
          <w:vertAlign w:val="subscript"/>
        </w:rPr>
      </w:pPr>
      <w:r>
        <w:rPr>
          <w:rFonts w:ascii="Arial" w:cs="Arial" w:eastAsia="Arial" w:hAnsi="Arial"/>
          <w:sz w:val="14"/>
          <w:szCs w:val="14"/>
          <w:color w:val="auto"/>
        </w:rPr>
        <w:t>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152" w:lineRule="exact"/>
        <w:rPr>
          <w:rFonts w:ascii="Arial" w:cs="Arial" w:eastAsia="Arial" w:hAnsi="Arial"/>
          <w:sz w:val="24"/>
          <w:szCs w:val="24"/>
          <w:color w:val="auto"/>
          <w:vertAlign w:val="subscript"/>
        </w:rPr>
      </w:pPr>
    </w:p>
    <w:p>
      <w:pPr>
        <w:ind w:left="540" w:right="40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hanging="532"/>
        <w:spacing w:after="0" w:line="214"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which will become a wholly owned subsidiary of Wynn Las Vegas prior to the consummation of this offering. The Bank of America loan is secured by an aircraft mortgage on World Travel's Bombardier Global Express aircraft and calls for 47 monthly principal payments of $158,333 commencing March 1, 2003 and the payment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40"/>
        <w:spacing w:after="0" w:line="239" w:lineRule="auto"/>
        <w:rPr>
          <w:sz w:val="20"/>
          <w:szCs w:val="20"/>
          <w:color w:val="auto"/>
        </w:rPr>
      </w:pPr>
      <w:r>
        <w:rPr>
          <w:rFonts w:ascii="Arial" w:cs="Arial" w:eastAsia="Arial" w:hAnsi="Arial"/>
          <w:sz w:val="14"/>
          <w:szCs w:val="14"/>
          <w:color w:val="auto"/>
        </w:rPr>
        <w:t>approximately $21.1 million remaining principal on March 1, 2007. See "Certain Relationships and Related Transactions—Aircraft Arrangements." World Travel intends to issue Wynn Las Vegas an intercompany note in the amount of the funds received by it to repay the Bank of America loan.</w:t>
      </w:r>
    </w:p>
    <w:p>
      <w:pPr>
        <w:spacing w:after="0" w:line="152" w:lineRule="exact"/>
        <w:rPr>
          <w:sz w:val="20"/>
          <w:szCs w:val="20"/>
          <w:color w:val="auto"/>
        </w:rPr>
      </w:pPr>
    </w:p>
    <w:p>
      <w:pPr>
        <w:ind w:left="540" w:right="8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85" w:lineRule="exact"/>
        <w:rPr>
          <w:rFonts w:ascii="Arial" w:cs="Arial" w:eastAsia="Arial" w:hAnsi="Arial"/>
          <w:sz w:val="27"/>
          <w:szCs w:val="27"/>
          <w:color w:val="auto"/>
          <w:vertAlign w:val="subscript"/>
        </w:rPr>
      </w:pPr>
    </w:p>
    <w:p>
      <w:pPr>
        <w:ind w:left="540" w:right="320" w:hanging="532"/>
        <w:spacing w:after="0" w:line="188" w:lineRule="auto"/>
        <w:tabs>
          <w:tab w:leader="none" w:pos="540" w:val="left"/>
        </w:tabs>
        <w:numPr>
          <w:ilvl w:val="0"/>
          <w:numId w:val="44"/>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4,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credit facilities), initially 75%, reducing to 50% and then to 0% as Wynn Las Vegas meets certain leverage ratios. The availability of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is subject to certain conditions, including the negotiation and execution of definitive agreements, the progress of the construction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customary funding conditions for facilities of this kind.</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facility will provide financing or refinancing for furniture, fixtures and</w:t>
      </w:r>
    </w:p>
    <w:p>
      <w:pPr>
        <w:sectPr>
          <w:pgSz w:w="11900" w:h="16838" w:orient="portrait"/>
          <w:cols w:equalWidth="0" w:num="1">
            <w:col w:w="11400"/>
          </w:cols>
          <w:pgMar w:left="240" w:top="131" w:right="259" w:bottom="26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65" w:gutter="0" w:footer="0" w:header="0"/>
          <w:type w:val="continuous"/>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Wynn Las Vegas may use additional proceeds of the FF&amp;E facility to purchase other furniture, fixtures or equipment or refinance other furniture, fixtures or equipment purchased with proceeds of this offering or other funds.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$340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Resorts and its domestic and foreign subsidiaries related to the Macau opportunity will not be guarantors and will not be subject to the covenants in the second mortgage notes or the credit facilities. However, Wynn Resorts itself may become a guarantor, but will not be bound by the covenants, under the second mortgage notes and the credit facilities if Wynn Resorts incurs, or becomes a guarantor on, other indebtedness in excess of $10 million in the aggregate,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Similarly, if Wynn Resorts pledges assets to secure guarantees of other specified indebtedness prior to meeting prescribed leverage ratio and debt rating tests, then the second mortgage notes may be secured by comparable liens on the same Wynn Resorts' assets. The security interests in these assets may be released if the leverage ratio and debt ratings tests are subsequently met.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borrow under the credit facilities or the FF&amp;E facility for approximately 16 to 19 months after the closing.</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second mortgage notes;</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31" w:right="259" w:bottom="0" w:gutter="0" w:footer="0" w:header="0"/>
          <w:type w:val="continuous"/>
        </w:sectPr>
      </w:pPr>
    </w:p>
    <w:bookmarkStart w:id="34" w:name="page35"/>
    <w:bookmarkEnd w:id="34"/>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1080" w:right="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21"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80"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 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if Wynn Resorts becomes a guarantor of the indebtedness under the credit facilities and the second mortgage notes, or if liens on assets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Wynn Resorts secure the credit facilities or the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and, if Wynn Resorts incurs indebtedness exceeding $10 million to do this, subject to certain limited exceptions, it may be required to guarantee the second mortgage notes, the credit facilities, and the FF&amp;E facility. Similarly, if Wynn Resorts pledges assets to secure guarantees of other specified indebtedness prior to meeting prescribed leverage ratio and debt rating tests, then the credit facilities and second mortgage notes may be secured by liens on Wynn Resorts' assets. We cannot assure you that we will be able to refinance any of the indebtedness, including the credit facilities, the FF&amp;E facility or the second mortgage notes on acceptable terms or at all. See "Risk Factors—Risks Related to Our Substantial Indebtedness—Our subsidiaries may not generate sufficient cash flow to meet their substantial debt service and other obligations."</w:t>
      </w:r>
    </w:p>
    <w:p>
      <w:pPr>
        <w:spacing w:after="0" w:line="17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jc w:val="both"/>
        <w:ind w:right="40" w:firstLine="351"/>
        <w:spacing w:after="0" w:line="323" w:lineRule="auto"/>
        <w:rPr>
          <w:sz w:val="20"/>
          <w:szCs w:val="20"/>
          <w:color w:val="auto"/>
        </w:rPr>
      </w:pPr>
      <w:r>
        <w:rPr>
          <w:rFonts w:ascii="Arial" w:cs="Arial" w:eastAsia="Arial" w:hAnsi="Arial"/>
          <w:sz w:val="15"/>
          <w:szCs w:val="15"/>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develop 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w:t>
      </w:r>
    </w:p>
    <w:p>
      <w:pPr>
        <w:sectPr>
          <w:pgSz w:w="11900" w:h="16899" w:orient="portrait"/>
          <w:cols w:equalWidth="0" w:num="1">
            <w:col w:w="11420"/>
          </w:cols>
          <w:pgMar w:left="240" w:top="388"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20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We do not expect financing for any such project to be provided by or through any of the issuers or guarantors of the second mortgage notes (except for Wynn Resorts, if it becomes a guarantor) or any other financing relating to the Le Rêve project.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ectPr>
          <w:pgSz w:w="11900" w:h="16838" w:orient="portrait"/>
          <w:cols w:equalWidth="0" w:num="1">
            <w:col w:w="11420"/>
          </w:cols>
          <w:pgMar w:left="240" w:top="131" w:right="239" w:bottom="59" w:gutter="0" w:footer="0" w:header="0"/>
        </w:sectPr>
      </w:pPr>
    </w:p>
    <w:bookmarkStart w:id="36" w:name="page37"/>
    <w:bookmarkEnd w:id="36"/>
    <w:p>
      <w:pPr>
        <w:spacing w:after="0" w:line="30"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4, 2002 exchange rate)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82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Mirage(1)</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Bellagio(1)</w:t>
            </w: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1998(2)</w:t>
            </w: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-353695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-353695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-353695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-353695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-353695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-353695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Total Hotel Rooms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3,044</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3,005</w:t>
            </w:r>
          </w:p>
        </w:tc>
        <w:tc>
          <w:tcPr>
            <w:tcW w:w="1680" w:type="dxa"/>
            <w:vAlign w:val="bottom"/>
          </w:tcPr>
          <w:p>
            <w:pPr>
              <w:ind w:left="660"/>
              <w:spacing w:after="0"/>
              <w:rPr>
                <w:sz w:val="20"/>
                <w:szCs w:val="20"/>
                <w:color w:val="auto"/>
              </w:rPr>
            </w:pPr>
            <w:r>
              <w:rPr>
                <w:rFonts w:ascii="Arial" w:cs="Arial" w:eastAsia="Arial" w:hAnsi="Arial"/>
                <w:sz w:val="18"/>
                <w:szCs w:val="18"/>
                <w:color w:val="auto"/>
                <w:w w:val="89"/>
              </w:rPr>
              <w:t>Approx. 2,700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107,200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155,000</w:t>
            </w:r>
          </w:p>
        </w:tc>
        <w:tc>
          <w:tcPr>
            <w:tcW w:w="1680" w:type="dxa"/>
            <w:vAlign w:val="bottom"/>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2,433</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35,000(2)</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92,160(6)</w:t>
            </w:r>
          </w:p>
        </w:tc>
        <w:tc>
          <w:tcPr>
            <w:tcW w:w="1680" w:type="dxa"/>
            <w:vAlign w:val="bottom"/>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170,000(8)</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125,000(6)</w:t>
            </w:r>
          </w:p>
        </w:tc>
        <w:tc>
          <w:tcPr>
            <w:tcW w:w="1680" w:type="dxa"/>
            <w:vAlign w:val="bottom"/>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Approx. Showroom Seating (#)</w:t>
            </w:r>
          </w:p>
        </w:tc>
        <w:tc>
          <w:tcPr>
            <w:tcW w:w="4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2,769(8)</w:t>
            </w:r>
          </w:p>
        </w:tc>
        <w:tc>
          <w:tcPr>
            <w:tcW w:w="2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1,800(6)</w:t>
            </w:r>
          </w:p>
        </w:tc>
        <w:tc>
          <w:tcPr>
            <w:tcW w:w="168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12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54 ft. erupting</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volcano</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Dolphin habitat</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du Soleil)</w:t>
            </w:r>
          </w:p>
        </w:tc>
        <w:tc>
          <w:tcPr>
            <w:tcW w:w="1680" w:type="dxa"/>
            <w:vAlign w:val="bottom"/>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100 ft. atrium with</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tropical garden</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conservatory</w:t>
            </w:r>
          </w:p>
        </w:tc>
        <w:tc>
          <w:tcPr>
            <w:tcW w:w="1680" w:type="dxa"/>
            <w:vAlign w:val="bottom"/>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Siegfried &amp; Roy</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 Art gallery</w:t>
            </w:r>
          </w:p>
        </w:tc>
        <w:tc>
          <w:tcPr>
            <w:tcW w:w="1680" w:type="dxa"/>
            <w:vAlign w:val="bottom"/>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Shadow Creek golf</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course(9)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Danny Gans 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dealership(11)</w:t>
            </w:r>
          </w:p>
        </w:tc>
      </w:tr>
      <w:tr>
        <w:trPr>
          <w:trHeight w:val="120"/>
        </w:trPr>
        <w:tc>
          <w:tcPr>
            <w:tcW w:w="68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80" w:hanging="532"/>
        <w:spacing w:after="0" w:line="191"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jc w:val="both"/>
        <w:ind w:right="62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38" w:name="page39"/>
    <w:bookmarkEnd w:id="38"/>
    <w:p>
      <w:pPr>
        <w:spacing w:after="0" w:line="9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62" w:lineRule="exact"/>
        <w:rPr>
          <w:sz w:val="20"/>
          <w:szCs w:val="20"/>
          <w:color w:val="auto"/>
        </w:rPr>
      </w:pPr>
    </w:p>
    <w:p>
      <w:pPr>
        <w:ind w:left="1080" w:right="3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ectPr>
          <w:pgSz w:w="11900" w:h="16933" w:orient="portrait"/>
          <w:cols w:equalWidth="0" w:num="1">
            <w:col w:w="11420"/>
          </w:cols>
          <w:pgMar w:left="240" w:top="131" w:right="239" w:bottom="0" w:gutter="0" w:footer="0" w:header="0"/>
        </w:sectPr>
      </w:pPr>
    </w:p>
    <w:bookmarkStart w:id="39" w:name="page40"/>
    <w:bookmarkEnd w:id="39"/>
    <w:p>
      <w:pPr>
        <w:ind w:left="1080" w:right="2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4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ectPr>
          <w:pgSz w:w="11900" w:h="16838" w:orient="portrait"/>
          <w:cols w:equalWidth="0" w:num="1">
            <w:col w:w="11420"/>
          </w:cols>
          <w:pgMar w:left="240" w:top="361" w:right="239" w:bottom="187" w:gutter="0" w:footer="0" w:header="0"/>
        </w:sectPr>
      </w:pPr>
    </w:p>
    <w:bookmarkStart w:id="40" w:name="page41"/>
    <w:bookmarkEnd w:id="40"/>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$36.8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5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ectPr>
          <w:pgSz w:w="11900" w:h="16838" w:orient="portrait"/>
          <w:cols w:equalWidth="0" w:num="1">
            <w:col w:w="11420"/>
          </w:cols>
          <w:pgMar w:left="240" w:top="131" w:right="239" w:bottom="0" w:gutter="0" w:footer="0" w:header="0"/>
        </w:sectPr>
      </w:pPr>
    </w:p>
    <w:bookmarkStart w:id="41" w:name="page42"/>
    <w:bookmarkEnd w:id="41"/>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1993 and received</w:t>
      </w:r>
      <w:r>
        <w:rPr>
          <w:rFonts w:ascii="Arial" w:cs="Arial" w:eastAsia="Arial" w:hAnsi="Arial"/>
          <w:sz w:val="18"/>
          <w:szCs w:val="18"/>
          <w:i w:val="1"/>
          <w:iCs w:val="1"/>
          <w:color w:val="auto"/>
        </w:rPr>
        <w:t xml:space="preserve"> Gourmet Magazine's </w:t>
      </w:r>
      <w:r>
        <w:rPr>
          <w:rFonts w:ascii="Arial" w:cs="Arial" w:eastAsia="Arial" w:hAnsi="Arial"/>
          <w:sz w:val="18"/>
          <w:szCs w:val="18"/>
          <w:color w:val="auto"/>
        </w:rPr>
        <w:t>"Top Table" award in 1997.</w:t>
      </w:r>
    </w:p>
    <w:p>
      <w:pPr>
        <w:spacing w:after="0" w:line="225"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ectPr>
          <w:pgSz w:w="11900" w:h="16838" w:orient="portrait"/>
          <w:cols w:equalWidth="0" w:num="1">
            <w:col w:w="11420"/>
          </w:cols>
          <w:pgMar w:left="240" w:top="131" w:right="239" w:bottom="0" w:gutter="0" w:footer="0" w:header="0"/>
        </w:sectPr>
      </w:pPr>
    </w:p>
    <w:bookmarkStart w:id="42" w:name="page43"/>
    <w:bookmarkEnd w:id="42"/>
    <w:p>
      <w:pPr>
        <w:spacing w:after="0" w:line="25"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as amended, with Ferrari North America, Inc. and Maserati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to open an 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letters of intent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 stock by Aruze USA.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15 years of experience in the construction industry through his employment by Marnell Corrao, where he had direct supervisory capacity over the</w:t>
      </w:r>
    </w:p>
    <w:p>
      <w:pPr>
        <w:sectPr>
          <w:pgSz w:w="11900" w:h="16863" w:orient="portrait"/>
          <w:cols w:equalWidth="0" w:num="1">
            <w:col w:w="11400"/>
          </w:cols>
          <w:pgMar w:left="240" w:top="131" w:right="259" w:bottom="0" w:gutter="0" w:footer="0" w:header="0"/>
        </w:sectPr>
      </w:pPr>
    </w:p>
    <w:bookmarkStart w:id="43" w:name="page44"/>
    <w:bookmarkEnd w:id="43"/>
    <w:p>
      <w:pPr>
        <w:ind w:left="1080" w:right="460"/>
        <w:spacing w:after="0" w:line="254" w:lineRule="auto"/>
        <w:rPr>
          <w:sz w:val="20"/>
          <w:szCs w:val="20"/>
          <w:color w:val="auto"/>
        </w:rPr>
      </w:pPr>
      <w:r>
        <w:rPr>
          <w:rFonts w:ascii="Arial" w:cs="Arial" w:eastAsia="Arial" w:hAnsi="Arial"/>
          <w:sz w:val="18"/>
          <w:szCs w:val="18"/>
          <w:color w:val="auto"/>
        </w:rPr>
        <w:t>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sz w:val="20"/>
          <w:szCs w:val="20"/>
          <w:color w:val="auto"/>
        </w:rPr>
      </w:pPr>
    </w:p>
    <w:p>
      <w:pPr>
        <w:ind w:left="1080" w:right="60" w:hanging="532"/>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 w:lineRule="exact"/>
        <w:rPr>
          <w:rFonts w:ascii="Arial" w:cs="Arial" w:eastAsia="Arial" w:hAnsi="Arial"/>
          <w:sz w:val="18"/>
          <w:szCs w:val="18"/>
          <w:color w:val="auto"/>
        </w:rPr>
      </w:pPr>
    </w:p>
    <w:p>
      <w:pPr>
        <w:ind w:left="1080" w:right="20" w:hanging="532"/>
        <w:spacing w:after="0" w:line="252"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7"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w:t>
      </w:r>
    </w:p>
    <w:p>
      <w:pPr>
        <w:sectPr>
          <w:pgSz w:w="11900" w:h="16838" w:orient="portrait"/>
          <w:cols w:equalWidth="0" w:num="1">
            <w:col w:w="11380"/>
          </w:cols>
          <w:pgMar w:left="240" w:top="131" w:right="279" w:bottom="0" w:gutter="0" w:footer="0" w:header="0"/>
        </w:sectPr>
      </w:pPr>
    </w:p>
    <w:bookmarkStart w:id="44" w:name="page45"/>
    <w:bookmarkEnd w:id="44"/>
    <w:p>
      <w:pPr>
        <w:ind w:right="180"/>
        <w:spacing w:after="0" w:line="332" w:lineRule="auto"/>
        <w:rPr>
          <w:sz w:val="20"/>
          <w:szCs w:val="20"/>
          <w:color w:val="auto"/>
        </w:rPr>
      </w:pPr>
      <w:r>
        <w:rPr>
          <w:rFonts w:ascii="Arial" w:cs="Arial" w:eastAsia="Arial" w:hAnsi="Arial"/>
          <w:sz w:val="16"/>
          <w:szCs w:val="16"/>
          <w:color w:val="auto"/>
        </w:rPr>
        <w:t>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39"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75" w:lineRule="exact"/>
        <w:rPr>
          <w:sz w:val="20"/>
          <w:szCs w:val="20"/>
          <w:color w:val="auto"/>
        </w:rPr>
      </w:pPr>
    </w:p>
    <w:p>
      <w:pPr>
        <w:ind w:left="1080" w:right="2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 Risks Related to Our Substantial Indebtedness—We are highly leveraged and future cash flow may not be sufficient for our subsidiaries to meet their obligations, and we might have difficulty obtaining more financing."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revenue. The show's net revenue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revenue.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the license agreement prior to the end of its term. In addition, it is contemplated that the agreement, as amended, will provide Wynn Las Vegas with an option to renew the agreement for an additional five-year term. The production services agreement will be terminable upon termination of the license agreement.</w:t>
      </w:r>
    </w:p>
    <w:p>
      <w:pPr>
        <w:sectPr>
          <w:pgSz w:w="11900" w:h="16838" w:orient="portrait"/>
          <w:cols w:equalWidth="0" w:num="1">
            <w:col w:w="11400"/>
          </w:cols>
          <w:pgMar w:left="240" w:top="131" w:right="259" w:bottom="481"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81" w:gutter="0" w:footer="0" w:header="0"/>
          <w:type w:val="continuous"/>
        </w:sectPr>
      </w:pPr>
    </w:p>
    <w:bookmarkStart w:id="45" w:name="page46"/>
    <w:bookmarkEnd w:id="45"/>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148590</wp:posOffset>
            </wp:positionV>
            <wp:extent cx="5668645" cy="25298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ectPr>
          <w:pgSz w:w="11900" w:h="16838" w:orient="portrait"/>
          <w:cols w:equalWidth="0" w:num="1">
            <w:col w:w="11420"/>
          </w:cols>
          <w:pgMar w:left="240" w:top="131"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8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2"/>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-1212850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-1212850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-1212850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-1212850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-1212850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-1212850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-1212850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-1212850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-1212850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-1212850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-1212850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-1212850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-1212850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-1212850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rPr>
              <w:t>Las Vegas Hotel/Motel</w:t>
            </w:r>
          </w:p>
        </w:tc>
        <w:tc>
          <w:tcPr>
            <w:tcW w:w="1500" w:type="dxa"/>
            <w:vAlign w:val="bottom"/>
          </w:tcPr>
          <w:p>
            <w:pPr>
              <w:jc w:val="right"/>
              <w:ind w:right="392"/>
              <w:spacing w:after="0"/>
              <w:rPr>
                <w:sz w:val="20"/>
                <w:szCs w:val="20"/>
                <w:color w:val="auto"/>
              </w:rPr>
            </w:pPr>
            <w:r>
              <w:rPr>
                <w:rFonts w:ascii="Arial" w:cs="Arial" w:eastAsia="Arial" w:hAnsi="Arial"/>
                <w:sz w:val="14"/>
                <w:szCs w:val="14"/>
                <w:color w:val="auto"/>
              </w:rPr>
              <w:t>99,072</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105,347</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109,365</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120,294</w:t>
            </w: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124,270</w:t>
            </w:r>
          </w:p>
        </w:tc>
        <w:tc>
          <w:tcPr>
            <w:tcW w:w="1540" w:type="dxa"/>
            <w:vAlign w:val="bottom"/>
          </w:tcPr>
          <w:p>
            <w:pPr>
              <w:jc w:val="right"/>
              <w:ind w:right="552"/>
              <w:spacing w:after="0"/>
              <w:rPr>
                <w:sz w:val="20"/>
                <w:szCs w:val="20"/>
                <w:color w:val="auto"/>
              </w:rPr>
            </w:pPr>
            <w:r>
              <w:rPr>
                <w:rFonts w:ascii="Arial" w:cs="Arial" w:eastAsia="Arial" w:hAnsi="Arial"/>
                <w:sz w:val="14"/>
                <w:szCs w:val="14"/>
                <w:color w:val="auto"/>
              </w:rPr>
              <w:t>126,610</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1940" w:type="dxa"/>
            <w:vAlign w:val="bottom"/>
            <w:gridSpan w:val="2"/>
          </w:tcPr>
          <w:p>
            <w:pPr>
              <w:spacing w:after="0"/>
              <w:rPr>
                <w:sz w:val="20"/>
                <w:szCs w:val="20"/>
                <w:color w:val="auto"/>
              </w:rPr>
            </w:pPr>
            <w:r>
              <w:rPr>
                <w:rFonts w:ascii="Arial" w:cs="Arial" w:eastAsia="Arial" w:hAnsi="Arial"/>
                <w:sz w:val="14"/>
                <w:szCs w:val="14"/>
                <w:color w:val="auto"/>
              </w:rPr>
              <w:t>Room Supply</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05"/>
        </w:trPr>
        <w:tc>
          <w:tcPr>
            <w:tcW w:w="68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0"/>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Business—The casino, hotel, convention and other facilities at Le Rêve will face intense competition."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ectPr>
          <w:pgSz w:w="11900" w:h="16838" w:orient="portrait"/>
          <w:cols w:equalWidth="0" w:num="1">
            <w:col w:w="11420"/>
          </w:cols>
          <w:pgMar w:left="240" w:top="265" w:right="239" w:bottom="0" w:gutter="0" w:footer="0" w:header="0"/>
        </w:sectPr>
      </w:pPr>
    </w:p>
    <w:bookmarkStart w:id="48" w:name="page49"/>
    <w:bookmarkEnd w:id="48"/>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additional casino resorts. If Wynn Macau does not invest 4 billion patacas in casino projects by June 26, 2009, it is obligated to invest the remaining amount in projects related to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4, 2002, as reported by the Monetary Authority of Macau).</w:t>
      </w:r>
    </w:p>
    <w:p>
      <w:pPr>
        <w:spacing w:after="0" w:line="16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If the financing arrangements for the construction of the initial phase of the casino resort are completed and if certain necessary legislative changes have been enacted by the Macau government, we expect that Wynn Macau will begin construction of its first casino resort in 2003. Accordingly, Wynn Macau could complete construction of the first phase of the casino resort and begin casino operations as early as 2004. Wynn Macau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our first Macau casino.</w:t>
      </w:r>
    </w:p>
    <w:p>
      <w:pPr>
        <w:spacing w:after="0" w:line="172"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in addition to approximately $23.8 million we have already expended in or committed to Wynn Macau. Wynn Macau has begun preliminary discussions to arrange the additional financing that would be required to complete the initial phase of Wynn Macau's first casino resort.</w:t>
      </w:r>
    </w:p>
    <w:p>
      <w:pPr>
        <w:spacing w:after="0" w:line="161" w:lineRule="exact"/>
        <w:rPr>
          <w:sz w:val="20"/>
          <w:szCs w:val="20"/>
          <w:color w:val="auto"/>
        </w:rPr>
      </w:pPr>
    </w:p>
    <w:p>
      <w:pPr>
        <w:jc w:val="both"/>
        <w:ind w:right="44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chart illustrates the anticipated organizational structure of Wynn Resorts' Macau-related subsidiaries immediately after both the consummation of this offering and the completion of restructuring transactions relating to the Macau-related entities described below.</w:t>
      </w:r>
    </w:p>
    <w:p>
      <w:pPr>
        <w:sectPr>
          <w:pgSz w:w="11900" w:h="16838" w:orient="portrait"/>
          <w:cols w:equalWidth="0" w:num="1">
            <w:col w:w="11420"/>
          </w:cols>
          <w:pgMar w:left="240" w:top="131" w:right="239" w:bottom="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099175" cy="59023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will hold one share of Wynn Resorts (Macau), Limited as nominee for Wynn Resorts (Macau) Holdings, Ltd.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indirectly, a 90% economic interest in Wynn Macau. A series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designed to bring certain minority partners into the ownership structure is currently being implemented. Once the restructuring transactions currently underway are completed, we expect that Wynn Resorts will own an approximately 82.5% economic interest in Wynn Macau indirectly through various subsidiaries and will effectively control 90% of the vote of Wynn Macau. In the aggregate, Wynn Resorts will have contributed approximately $23.8 million, including shares of Wynn Macau with an aggregate par value of approximately $337,500, to the Macau-related entities.</w:t>
      </w:r>
    </w:p>
    <w:p>
      <w:pPr>
        <w:spacing w:after="0" w:line="170"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will hold certain shares of Wynn Macau directly, representing approximately 39% of the capital and voting power and approximately 49% of the dividends and other distributions in excess of capital contributed. Wynn Resorts International will also own approximately 33.5% of the capital and dividend participation and will effectively control approximately 51% of the vote of Wynn Macau indirectly through its majority-owned subsidiary, Wynn Resorts (Macau) Holdings, Ltd., a Manx company. We expect that Wynn Resorts International will be entitled to a liquidation preference in Wynn Resorts (Macau) Holdings that effectively represents an additional 10% interest in the capital of Wynn Macau. Wynn Resorts (Macau) Holdings owns 100% of Wynn Resorts (Macau), Limited, a Hong Kong company. Wynn Resorts (Macau), Limited in turn will own approximately 51% of Wynn Macau.</w:t>
      </w:r>
    </w:p>
    <w:p>
      <w:pPr>
        <w:spacing w:after="0" w:line="172"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Minority Ownership of the Macau-Related Entities. </w:t>
      </w:r>
      <w:r>
        <w:rPr>
          <w:rFonts w:ascii="Arial" w:cs="Arial" w:eastAsia="Arial" w:hAnsi="Arial"/>
          <w:sz w:val="18"/>
          <w:szCs w:val="18"/>
          <w:color w:val="auto"/>
        </w:rPr>
        <w:t>Once the restructuring transactions currently underway are completed, we expect that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own approximately 82.5% of the rights to capital and dividends and effectively control approximately 90% of the vote of Wynn Macau indirectly through various subsidiaries. Mr. Wong Chi Seng, who is the executive director of Wynn Macau, will own, in the aggregate, approximately 10% of the rights to capital and dividends and effectively control approximately 10% of the vote of Wynn Macau. Other investors will own, indirectly, approximately 7.5% of the rights to dividends and capital of Wynn Macau.</w:t>
      </w:r>
    </w:p>
    <w:p>
      <w:pPr>
        <w:spacing w:after="0" w:line="197"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direct and indirect minority interests of Wynn Macau will be at two levels: at the Wynn Resorts (Macau) Holdings level and directly at the Wynn Macau level. Mr. Wong Chi Seng will indirectly own shares representing approximately 11.8% of the voting power and 19.6% of the capital and dividend participation in Wynn Resorts (Macau) Holdings. In exchange for these shares, Mr. Wong will contribute to Wynn Resorts (Macau) Holdings approximately $385,000, including shares of Wynn Macau with an aggregate par value of approximately $37,500. According to Macau law, the position of executive director and at least 10% of the</w:t>
      </w:r>
    </w:p>
    <w:p>
      <w:pPr>
        <w:sectPr>
          <w:pgSz w:w="11900" w:h="16925" w:orient="portrait"/>
          <w:cols w:equalWidth="0" w:num="1">
            <w:col w:w="11400"/>
          </w:cols>
          <w:pgMar w:left="240" w:top="1440" w:right="259" w:bottom="0" w:gutter="0" w:footer="0" w:header="0"/>
        </w:sectPr>
      </w:pPr>
    </w:p>
    <w:bookmarkStart w:id="50" w:name="page51"/>
    <w:bookmarkEnd w:id="50"/>
    <w:p>
      <w:pPr>
        <w:jc w:val="both"/>
        <w:ind w:right="20"/>
        <w:spacing w:after="0" w:line="256" w:lineRule="auto"/>
        <w:rPr>
          <w:sz w:val="20"/>
          <w:szCs w:val="20"/>
          <w:color w:val="auto"/>
        </w:rPr>
      </w:pPr>
      <w:r>
        <w:rPr>
          <w:rFonts w:ascii="Arial" w:cs="Arial" w:eastAsia="Arial" w:hAnsi="Arial"/>
          <w:sz w:val="18"/>
          <w:szCs w:val="18"/>
          <w:color w:val="auto"/>
        </w:rPr>
        <w:t>voting shares and capital of Wynn Macau must be held by a resident of Macau. Mr. Wong, a Macau resident, serves as the executive director of Wynn Macau and will purchase his shares in Wynn Macau for an aggregate of approximately $2.5 million. Mr. Wong's shares will have the same voting rights as do the other shares in Wynn Macau, but they will be limited in their participation in dividends to up to one pataca per year, in the aggregate, and limited in other distributions to their share of the capital contributed.</w:t>
      </w:r>
    </w:p>
    <w:p>
      <w:pPr>
        <w:spacing w:after="0" w:line="197" w:lineRule="exact"/>
        <w:rPr>
          <w:sz w:val="20"/>
          <w:szCs w:val="20"/>
          <w:color w:val="auto"/>
        </w:rPr>
      </w:pPr>
    </w:p>
    <w:p>
      <w:pPr>
        <w:ind w:right="1020" w:firstLine="351"/>
        <w:spacing w:after="0" w:line="332" w:lineRule="auto"/>
        <w:rPr>
          <w:sz w:val="20"/>
          <w:szCs w:val="20"/>
          <w:color w:val="auto"/>
        </w:rPr>
      </w:pPr>
      <w:r>
        <w:rPr>
          <w:rFonts w:ascii="Arial" w:cs="Arial" w:eastAsia="Arial" w:hAnsi="Arial"/>
          <w:sz w:val="16"/>
          <w:szCs w:val="16"/>
          <w:color w:val="auto"/>
        </w:rPr>
        <w:t>Other investors, who are related to each other, collectively will contribute cash of approximately $2.2 million and will own shares representing approximately 8.9% of the voting power and 14.7% of capital and dividend participation in Wynn Resorts (Macau) 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111125</wp:posOffset>
            </wp:positionV>
            <wp:extent cx="4039235" cy="5617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ectPr>
          <w:pgSz w:w="11900" w:h="16838" w:orient="portrait"/>
          <w:cols w:equalWidth="0" w:num="1">
            <w:col w:w="11420"/>
          </w:cols>
          <w:pgMar w:left="240" w:top="131" w:right="239" w:bottom="0" w:gutter="0" w:footer="0" w:header="0"/>
        </w:sectPr>
      </w:pPr>
    </w:p>
    <w:bookmarkStart w:id="51" w:name="page52"/>
    <w:bookmarkEnd w:id="51"/>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pacing w:after="0" w:line="20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ectPr>
          <w:pgSz w:w="11900" w:h="16838" w:orient="portrait"/>
          <w:cols w:equalWidth="0" w:num="1">
            <w:col w:w="11420"/>
          </w:cols>
          <w:pgMar w:left="240" w:top="131" w:right="239" w:bottom="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31" w:right="239" w:bottom="0" w:gutter="0" w:footer="0" w:header="0"/>
          <w:type w:val="continuous"/>
        </w:sectPr>
      </w:pPr>
    </w:p>
    <w:bookmarkStart w:id="52" w:name="page53"/>
    <w:bookmarkEnd w:id="5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Penghu, Taiwan are successful or if the reported large-scale new casino entertainment complex proposed in Manila is developed, Wynn Macau will face additional regional competition.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ectPr>
          <w:pgSz w:w="11900" w:h="16838" w:orient="portrait"/>
          <w:cols w:equalWidth="0" w:num="1">
            <w:col w:w="11420"/>
          </w:cols>
          <w:pgMar w:left="240" w:top="725" w:right="239" w:bottom="0" w:gutter="0" w:footer="0" w:header="0"/>
        </w:sectPr>
      </w:pPr>
    </w:p>
    <w:bookmarkStart w:id="53" w:name="page54"/>
    <w:bookmarkEnd w:id="53"/>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22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ectPr>
          <w:pgSz w:w="11900" w:h="16838" w:orient="portrait"/>
          <w:cols w:equalWidth="0" w:num="1">
            <w:col w:w="11420"/>
          </w:cols>
          <w:pgMar w:left="240" w:top="131"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4763"/>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10795"/>
                    </a:xfrm>
                    <a:prstGeom prst="rect">
                      <a:avLst/>
                    </a:prstGeom>
                    <a:noFill/>
                  </pic:spPr>
                </pic:pic>
              </a:graphicData>
            </a:graphic>
          </wp:anchor>
        </w:drawing>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w:t>
      </w:r>
    </w:p>
    <w:p>
      <w:pPr>
        <w:sectPr>
          <w:pgSz w:w="11900" w:h="16838" w:orient="portrait"/>
          <w:cols w:equalWidth="0" w:num="1">
            <w:col w:w="11400"/>
          </w:cols>
          <w:pgMar w:left="240" w:top="571" w:right="259" w:bottom="0" w:gutter="0" w:footer="0" w:header="0"/>
        </w:sectPr>
      </w:pPr>
    </w:p>
    <w:bookmarkStart w:id="55" w:name="page56"/>
    <w:bookmarkEnd w:id="55"/>
    <w:p>
      <w:pPr>
        <w:ind w:right="380"/>
        <w:spacing w:after="0" w:line="259" w:lineRule="auto"/>
        <w:rPr>
          <w:sz w:val="20"/>
          <w:szCs w:val="20"/>
          <w:color w:val="auto"/>
        </w:rPr>
      </w:pPr>
      <w:r>
        <w:rPr>
          <w:rFonts w:ascii="Arial" w:cs="Arial" w:eastAsia="Arial" w:hAnsi="Arial"/>
          <w:sz w:val="18"/>
          <w:szCs w:val="18"/>
          <w:color w:val="auto"/>
        </w:rPr>
        <w:t>construction costs, plus required contingency, in accordance with our construction budget. Accordingly, if Marnell Corrao spends greater amounts than anticipated in respect of any component of the work, Wynn Las Vegas may be denied further access to the proceeds of the second mortgage notes and further drawings under the credit facilities.</w:t>
      </w:r>
    </w:p>
    <w:p>
      <w:pPr>
        <w:spacing w:after="0" w:line="194"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ectPr>
          <w:pgSz w:w="11900" w:h="16838" w:orient="portrait"/>
          <w:cols w:equalWidth="0" w:num="1">
            <w:col w:w="11420"/>
          </w:cols>
          <w:pgMar w:left="240" w:top="131" w:right="239" w:bottom="0" w:gutter="0" w:footer="0" w:header="0"/>
        </w:sectPr>
      </w:pPr>
    </w:p>
    <w:bookmarkStart w:id="56" w:name="page57"/>
    <w:bookmarkEnd w:id="56"/>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70" w:lineRule="auto"/>
        <w:tabs>
          <w:tab w:leader="none" w:pos="10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ectPr>
          <w:pgSz w:w="11900" w:h="16838" w:orient="portrait"/>
          <w:cols w:equalWidth="0" w:num="1">
            <w:col w:w="11400"/>
          </w:cols>
          <w:pgMar w:left="240" w:top="125" w:right="259" w:bottom="0" w:gutter="0" w:footer="0" w:header="0"/>
        </w:sectPr>
      </w:pPr>
    </w:p>
    <w:bookmarkStart w:id="57" w:name="page58"/>
    <w:bookmarkEnd w:id="57"/>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58" w:name="page59"/>
    <w:bookmarkEnd w:id="58"/>
    <w:p>
      <w:pPr>
        <w:ind w:left="1080"/>
        <w:spacing w:after="0"/>
        <w:rPr>
          <w:sz w:val="20"/>
          <w:szCs w:val="20"/>
          <w:color w:val="auto"/>
        </w:rPr>
      </w:pPr>
      <w:r>
        <w:rPr>
          <w:rFonts w:ascii="Arial" w:cs="Arial" w:eastAsia="Arial" w:hAnsi="Arial"/>
          <w:sz w:val="18"/>
          <w:szCs w:val="18"/>
          <w:color w:val="auto"/>
        </w:rPr>
        <w:t>any infringement of third party rights, including copyright and patent rights;</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ectPr>
          <w:pgSz w:w="11900" w:h="16838" w:orient="portrait"/>
          <w:cols w:equalWidth="0" w:num="1">
            <w:col w:w="11420"/>
          </w:cols>
          <w:pgMar w:left="240" w:top="131" w:right="239" w:bottom="0" w:gutter="0" w:footer="0" w:header="0"/>
        </w:sectPr>
      </w:pPr>
    </w:p>
    <w:bookmarkStart w:id="59" w:name="page60"/>
    <w:bookmarkEnd w:id="59"/>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4,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Wynn Macau currently is an indirect, 90%-owned subsidiary of Wynn Resorts. Wynn Macau has committed to allow certain minority partners to invest in certain Macau-related entities, after which Wynn Resorts is expected to indirectly own an approximately 82.5% economic interest in Wynn Macau before giving effect to any financing for the Macau opportunity.</w:t>
      </w:r>
    </w:p>
    <w:p>
      <w:pPr>
        <w:spacing w:after="0" w:line="19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Wynn Macau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 $500 million) in one or more casino projects in Macau by June 26, 2009, and to commence operations of its first permanent casino resort in Macau no later than December 2006.</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recreational facilities, spa and personal care facilities and related facilities, so long as they are part of an integrated project which offers casino gaming.</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ectPr>
          <w:pgSz w:w="11900" w:h="16838" w:orient="portrait"/>
          <w:cols w:equalWidth="0" w:num="1">
            <w:col w:w="11380"/>
          </w:cols>
          <w:pgMar w:left="240" w:top="131" w:right="279" w:bottom="0" w:gutter="0" w:footer="0" w:header="0"/>
        </w:sectPr>
      </w:pPr>
    </w:p>
    <w:bookmarkStart w:id="60" w:name="page61"/>
    <w:bookmarkEnd w:id="60"/>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 gaming revenue to one or more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beneficiaries for urban development, promotion of tourism and social security in Macau. Under the concession agreement, Wynn Macau may, with government consent, allocate up to one-half of this second contribution to project(s) Wynn Macau designates. The other one-half 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 Deposit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 This sum has been deposited in a Macau bank and will be credited as paid-in capital as soon as the restructuring transactions of Wynn Macau are completed. See "Business— The Macau Opportunity—Ownership Structure of Macau-Related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at the guarantee amount. This bank guarantee is also intended to satisfy the requirement imposed by Macau law that a controlling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stockholder of Wynn Macau obtain a bank guarantee for the benefit of the government of Macau. The purpose of this bank guarantee is to guarantee Wynn Macau's:</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ectPr>
          <w:pgSz w:w="11900" w:h="16838" w:orient="portrait"/>
          <w:cols w:equalWidth="0" w:num="1">
            <w:col w:w="11400"/>
          </w:cols>
          <w:pgMar w:left="240" w:top="125" w:right="259" w:bottom="0" w:gutter="0" w:footer="0" w:header="0"/>
        </w:sectPr>
      </w:pPr>
    </w:p>
    <w:bookmarkStart w:id="61" w:name="page62"/>
    <w:bookmarkEnd w:id="61"/>
    <w:p>
      <w:pPr>
        <w:spacing w:after="0" w:line="46"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Wynn Macau is required to have an executive director who is a Macau resident and holds at least 10% of the voting shares and capital in Wynn Macau. The appointment, scope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ectPr>
          <w:pgSz w:w="11900" w:h="16885" w:orient="portrait"/>
          <w:cols w:equalWidth="0" w:num="1">
            <w:col w:w="11400"/>
          </w:cols>
          <w:pgMar w:left="240" w:top="145" w:right="25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 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ectPr>
          <w:pgSz w:w="11900" w:h="16838" w:orient="portrait"/>
          <w:cols w:equalWidth="0" w:num="1">
            <w:col w:w="11420"/>
          </w:cols>
          <w:pgMar w:left="240" w:top="131" w:right="239" w:bottom="0" w:gutter="0" w:footer="0" w:header="0"/>
        </w:sectPr>
      </w:pPr>
    </w:p>
    <w:bookmarkStart w:id="63" w:name="page64"/>
    <w:bookmarkEnd w:id="63"/>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5580" w:right="5120" w:hanging="5032"/>
        <w:spacing w:after="0" w:line="613" w:lineRule="auto"/>
        <w:tabs>
          <w:tab w:leader="none" w:pos="1083" w:val="left"/>
        </w:tabs>
        <w:numPr>
          <w:ilvl w:val="0"/>
          <w:numId w:val="78"/>
        </w:numPr>
        <w:rPr>
          <w:rFonts w:ascii="Arial" w:cs="Arial" w:eastAsia="Arial" w:hAnsi="Arial"/>
          <w:sz w:val="16"/>
          <w:szCs w:val="16"/>
          <w:color w:val="auto"/>
        </w:rPr>
      </w:pPr>
      <w:r>
        <w:rPr>
          <w:rFonts w:ascii="Arial" w:cs="Arial" w:eastAsia="Arial" w:hAnsi="Arial"/>
          <w:sz w:val="16"/>
          <w:szCs w:val="16"/>
          <w:color w:val="auto"/>
        </w:rPr>
        <w:t>engages in serious fraudulent activity, damaging to the public interest; or 112</w:t>
      </w:r>
    </w:p>
    <w:p>
      <w:pPr>
        <w:spacing w:after="0" w:line="181"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Land Concession</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Macau government has granted to Wynn Macau the right to lease a parcel of land located in the outer harbor of downtown Macau opposite the Hotel Lisboa, on which Wynn Macau currently plans to build its first permanent casino. For more information on this land concession, see "Business—Properties— Macau Lease."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ectPr>
          <w:pgSz w:w="11900" w:h="16838" w:orient="portrait"/>
          <w:cols w:equalWidth="0" w:num="1">
            <w:col w:w="11320"/>
          </w:cols>
          <w:pgMar w:left="240" w:top="145" w:right="339" w:bottom="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4"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immediately before the closing of this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31" w:right="239" w:bottom="0" w:gutter="0" w:footer="0" w:header="0"/>
          <w:type w:val="continuous"/>
        </w:sectPr>
      </w:pPr>
    </w:p>
    <w:bookmarkStart w:id="65" w:name="page66"/>
    <w:bookmarkEnd w:id="65"/>
    <w:p>
      <w:pPr>
        <w:ind w:right="100" w:firstLine="35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ectPr>
          <w:pgSz w:w="11900" w:h="16838" w:orient="portrait"/>
          <w:cols w:equalWidth="0" w:num="1">
            <w:col w:w="11420"/>
          </w:cols>
          <w:pgMar w:left="240" w:top="725" w:right="239" w:bottom="0" w:gutter="0" w:footer="0" w:header="0"/>
        </w:sectPr>
      </w:pPr>
    </w:p>
    <w:bookmarkStart w:id="66" w:name="page67"/>
    <w:bookmarkEnd w:id="66"/>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83"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Wynn Resorts'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213"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ectPr>
          <w:pgSz w:w="11900" w:h="16838" w:orient="portrait"/>
          <w:cols w:equalWidth="0" w:num="1">
            <w:col w:w="11380"/>
          </w:cols>
          <w:pgMar w:left="240" w:top="145" w:right="279" w:bottom="188" w:gutter="0" w:footer="0" w:header="0"/>
        </w:sectPr>
      </w:pPr>
    </w:p>
    <w:bookmarkStart w:id="67" w:name="page68"/>
    <w:bookmarkEnd w:id="67"/>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conduct of gaming activities and the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disciplinary action could, and revocation would, have a substantial negative impact upon our operations.</w:t>
      </w:r>
    </w:p>
    <w:p>
      <w:pPr>
        <w:sectPr>
          <w:pgSz w:w="11900" w:h="16838" w:orient="portrait"/>
          <w:cols w:equalWidth="0" w:num="1">
            <w:col w:w="11420"/>
          </w:cols>
          <w:pgMar w:left="240" w:top="131" w:right="239" w:bottom="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420"/>
          </w:cols>
          <w:pgMar w:left="240" w:top="125" w:right="239" w:bottom="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Roger P. Thomas</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President—Design, Wynn Design &amp;</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-2686685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-2686685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-2686685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-2686685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-2686685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-2686685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our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our board. Mr. Okada founded Aruze Corp., a Japanese manufacturer of pachislot and pachinko</w:t>
      </w:r>
      <w:r>
        <w:rPr>
          <w:rFonts w:ascii="Arial" w:cs="Arial" w:eastAsia="Arial" w:hAnsi="Arial"/>
          <w:sz w:val="16"/>
          <w:szCs w:val="16"/>
          <w:i w:val="1"/>
          <w:iCs w:val="1"/>
          <w:color w:val="auto"/>
        </w:rPr>
        <w:t xml:space="preserve"> </w:t>
      </w:r>
      <w:r>
        <w:rPr>
          <w:rFonts w:ascii="Arial" w:cs="Arial" w:eastAsia="Arial" w:hAnsi="Arial"/>
          <w:sz w:val="16"/>
          <w:szCs w:val="16"/>
          <w:color w:val="auto"/>
        </w:rPr>
        <w:t>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Ronald J. Kramer </w:t>
      </w:r>
      <w:r>
        <w:rPr>
          <w:rFonts w:ascii="Arial" w:cs="Arial" w:eastAsia="Arial" w:hAnsi="Arial"/>
          <w:sz w:val="18"/>
          <w:szCs w:val="18"/>
          <w:color w:val="auto"/>
        </w:rPr>
        <w:t>has agreed to serve as President and as a director. Mr. Kramer has served as President of Wynn Resorts Holdings, a wholly 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 of TMP Worldwide, Inc., Griffon Corporation, Lakes Entertainment, Inc. and New Valley Corporation.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agreed to serve as a director. Robert J. Miller has been a partner of the Nevada law firm of Jones Vargas since January 1999. He is also</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A. Moran </w:t>
      </w:r>
      <w:r>
        <w:rPr>
          <w:rFonts w:ascii="Arial" w:cs="Arial" w:eastAsia="Arial" w:hAnsi="Arial"/>
          <w:sz w:val="16"/>
          <w:szCs w:val="16"/>
          <w:color w:val="auto"/>
        </w:rPr>
        <w:t>has agreed to serve as a director. Mr. Moran is the retired Chairman of Dyson-Kissner-Moran Corporation, a private investment entity.</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Mrs. Wynn has served as Co-Chairperson of the Greater Las Vegas Inner-City Games Foundation since</w:t>
      </w:r>
    </w:p>
    <w:p>
      <w:pPr>
        <w:spacing w:after="0" w:line="38"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3"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i w:val="1"/>
          <w:iCs w:val="1"/>
          <w:color w:val="auto"/>
        </w:rPr>
        <w:t xml:space="preserve">Stanley R. Zax </w:t>
      </w:r>
      <w:r>
        <w:rPr>
          <w:rFonts w:ascii="Arial" w:cs="Arial" w:eastAsia="Arial" w:hAnsi="Arial"/>
          <w:sz w:val="15"/>
          <w:szCs w:val="15"/>
          <w:color w:val="auto"/>
        </w:rPr>
        <w:t>has agreed to serve as a director. Since 1977, Mr. Zax has served as Chairman of the Board, and, since 1978, has served as President, CEO</w:t>
      </w:r>
      <w:r>
        <w:rPr>
          <w:rFonts w:ascii="Arial" w:cs="Arial" w:eastAsia="Arial" w:hAnsi="Arial"/>
          <w:sz w:val="15"/>
          <w:szCs w:val="15"/>
          <w:i w:val="1"/>
          <w:iCs w:val="1"/>
          <w:color w:val="auto"/>
        </w:rPr>
        <w:t xml:space="preserve"> </w:t>
      </w:r>
      <w:r>
        <w:rPr>
          <w:rFonts w:ascii="Arial" w:cs="Arial" w:eastAsia="Arial" w:hAnsi="Arial"/>
          <w:sz w:val="15"/>
          <w:szCs w:val="15"/>
          <w:color w:val="auto"/>
        </w:rPr>
        <w:t>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4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agreed to serve as a director. Mr. Zeman has served as chairman of Lan Kwai Fong Holdings Limited, a company engaged in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ectPr>
          <w:pgSz w:w="11900" w:h="16838" w:orient="portrait"/>
          <w:cols w:equalWidth="0" w:num="1">
            <w:col w:w="11360"/>
          </w:cols>
          <w:pgMar w:left="240" w:top="125" w:right="299" w:bottom="0" w:gutter="0" w:footer="0" w:header="0"/>
        </w:sectPr>
      </w:pPr>
    </w:p>
    <w:bookmarkStart w:id="70" w:name="page71"/>
    <w:bookmarkEnd w:id="70"/>
    <w:p>
      <w:pPr>
        <w:jc w:val="both"/>
        <w:ind w:right="60" w:firstLine="351"/>
        <w:spacing w:after="0" w:line="306" w:lineRule="auto"/>
        <w:rPr>
          <w:sz w:val="20"/>
          <w:szCs w:val="20"/>
          <w:color w:val="auto"/>
        </w:rPr>
      </w:pPr>
      <w:r>
        <w:rPr>
          <w:rFonts w:ascii="Arial" w:cs="Arial" w:eastAsia="Arial" w:hAnsi="Arial"/>
          <w:sz w:val="16"/>
          <w:szCs w:val="16"/>
          <w:i w:val="1"/>
          <w:iCs w:val="1"/>
          <w:color w:val="auto"/>
        </w:rPr>
        <w:t xml:space="preserve">John Strzemp </w:t>
      </w:r>
      <w:r>
        <w:rPr>
          <w:rFonts w:ascii="Arial" w:cs="Arial" w:eastAsia="Arial" w:hAnsi="Arial"/>
          <w:sz w:val="16"/>
          <w:szCs w:val="16"/>
          <w:color w:val="auto"/>
        </w:rPr>
        <w:t>serves as Executive Vice President—Chief Financial Officer. Since November 2001, Mr. Strzemp has served as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then a wholly owned subsidiary of Mirage Resorts, from January 1997 to April 1998.</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Marc H. Rubinstein </w:t>
      </w:r>
      <w:r>
        <w:rPr>
          <w:rFonts w:ascii="Arial" w:cs="Arial" w:eastAsia="Arial" w:hAnsi="Arial"/>
          <w:sz w:val="18"/>
          <w:szCs w:val="18"/>
          <w:color w:val="auto"/>
        </w:rPr>
        <w:t>serves as Senior Vice President—General Counsel. Since April 2001, Mr. Rubinstein has served as Senior Vice President—General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Roger P. Thomas </w:t>
      </w:r>
      <w:r>
        <w:rPr>
          <w:rFonts w:ascii="Arial" w:cs="Arial" w:eastAsia="Arial" w:hAnsi="Arial"/>
          <w:sz w:val="18"/>
          <w:szCs w:val="18"/>
          <w:color w:val="auto"/>
        </w:rPr>
        <w:t>has served as Executive Vice President—Design of Wynn Design &amp; Development since June 2000. From 1983 until 2000, Mr. Thomas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President—Design of Atlandia Design &amp; Furnishings.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 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7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ectPr>
          <w:pgSz w:w="11900" w:h="16838" w:orient="portrait"/>
          <w:cols w:equalWidth="0" w:num="1">
            <w:col w:w="11400"/>
          </w:cols>
          <w:pgMar w:left="240" w:top="131" w:right="259" w:bottom="0" w:gutter="0" w:footer="0" w:header="0"/>
        </w:sectPr>
      </w:pPr>
    </w:p>
    <w:bookmarkStart w:id="71" w:name="page72"/>
    <w:bookmarkEnd w:id="71"/>
    <w:p>
      <w:pPr>
        <w:spacing w:after="0" w:line="84"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H. Rubinstein(9)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286,279</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11,847</w:t>
            </w:r>
          </w:p>
        </w:tc>
        <w:tc>
          <w:tcPr>
            <w:tcW w:w="0" w:type="dxa"/>
            <w:vAlign w:val="bottom"/>
          </w:tcPr>
          <w:p>
            <w:pPr>
              <w:spacing w:after="0"/>
              <w:rPr>
                <w:sz w:val="1"/>
                <w:szCs w:val="1"/>
                <w:color w:val="auto"/>
              </w:rPr>
            </w:pPr>
          </w:p>
        </w:tc>
      </w:tr>
      <w:tr>
        <w:trPr>
          <w:trHeight w:val="172"/>
        </w:trPr>
        <w:tc>
          <w:tcPr>
            <w:tcW w:w="3840" w:type="dxa"/>
            <w:vAlign w:val="bottom"/>
            <w:gridSpan w:val="3"/>
          </w:tcPr>
          <w:p>
            <w:pPr>
              <w:spacing w:after="0"/>
              <w:rPr>
                <w:sz w:val="20"/>
                <w:szCs w:val="20"/>
                <w:color w:val="auto"/>
              </w:rPr>
            </w:pPr>
            <w:r>
              <w:rPr>
                <w:rFonts w:ascii="Arial" w:cs="Arial" w:eastAsia="Arial" w:hAnsi="Arial"/>
                <w:sz w:val="14"/>
                <w:szCs w:val="14"/>
                <w:color w:val="auto"/>
                <w:w w:val="87"/>
              </w:rPr>
              <w:t>Senior Vice President and General Counsel of Wynn Resorts Holdings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-2303780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-2303780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-1960880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-1960880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-1960880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-1960880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-1960880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-1960880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-1960880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-1960880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-1960880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-1960880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-1960880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9"/>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right="40" w:hanging="532"/>
        <w:spacing w:after="0"/>
        <w:tabs>
          <w:tab w:leader="none" w:pos="540" w:val="left"/>
        </w:tabs>
        <w:numPr>
          <w:ilvl w:val="0"/>
          <w:numId w:val="89"/>
        </w:numPr>
        <w:rPr>
          <w:rFonts w:ascii="Arial" w:cs="Arial" w:eastAsia="Arial" w:hAnsi="Arial"/>
          <w:sz w:val="21"/>
          <w:szCs w:val="21"/>
          <w:color w:val="auto"/>
          <w:vertAlign w:val="subscript"/>
        </w:rPr>
      </w:pPr>
      <w:r>
        <w:rPr>
          <w:rFonts w:ascii="Arial" w:cs="Arial" w:eastAsia="Arial" w:hAnsi="Arial"/>
          <w:sz w:val="11"/>
          <w:szCs w:val="11"/>
          <w:color w:val="auto"/>
        </w:rPr>
        <w:t>Stephen A. Wynn served as managing member of Valvino from its inception to September 2002 and has served as Chief Executive Officer and President of Wynn Resorts Holdings since September 17, 2001.</w:t>
      </w:r>
    </w:p>
    <w:p>
      <w:pPr>
        <w:spacing w:after="0" w:line="1" w:lineRule="exact"/>
        <w:rPr>
          <w:rFonts w:ascii="Arial" w:cs="Arial" w:eastAsia="Arial" w:hAnsi="Arial"/>
          <w:sz w:val="21"/>
          <w:szCs w:val="21"/>
          <w:color w:val="auto"/>
          <w:vertAlign w:val="subscript"/>
        </w:rPr>
      </w:pPr>
    </w:p>
    <w:p>
      <w:pPr>
        <w:ind w:left="540" w:hanging="532"/>
        <w:spacing w:after="0" w:line="197" w:lineRule="auto"/>
        <w:tabs>
          <w:tab w:leader="none" w:pos="540" w:val="left"/>
        </w:tabs>
        <w:numPr>
          <w:ilvl w:val="0"/>
          <w:numId w:val="89"/>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9"/>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9"/>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9"/>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9"/>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9"/>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9"/>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w:t>
      </w:r>
    </w:p>
    <w:p>
      <w:pPr>
        <w:sectPr>
          <w:pgSz w:w="11900" w:h="16923" w:orient="portrait"/>
          <w:cols w:equalWidth="0" w:num="1">
            <w:col w:w="11420"/>
          </w:cols>
          <w:pgMar w:left="240" w:top="131" w:right="239" w:bottom="0" w:gutter="0" w:footer="0" w:header="0"/>
        </w:sectPr>
      </w:pPr>
    </w:p>
    <w:bookmarkStart w:id="72" w:name="page73"/>
    <w:bookmarkEnd w:id="72"/>
    <w:p>
      <w:pPr>
        <w:spacing w:after="0" w:line="20"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color w:val="auto"/>
        </w:rPr>
        <w:t>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Marc H. Rubinstein, John Strzemp, DeRuyter O. Butler and Kenneth R. Wynn. Prior to the completion of this offering, we intend to enter into an employment contract with Marc D. Schorr.</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Stephen A. Wynn's employment agreement, the annual base salary is $1,250,000 for the first year and will increase by $500,000 each year to a maximum of $2,750,000. Under Mr. Schorr's employment agreement, the annual base salary will be $750,000 for the first year and $1,000,000 thereafter. Under Mr. Butler's employment agreement, the annual base salary is $350,000. The annual base salary is $360,000 for Mr. Rubinstein, $459,000 for Mr. Strzemp and $250,000 for Kenneth Wynn.</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other terms of the employment contracts are or will be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base salary and bonuses, each executive will participate in all of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74"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w:t>
      </w:r>
    </w:p>
    <w:p>
      <w:pPr>
        <w:sectPr>
          <w:pgSz w:w="11900" w:h="16859" w:orient="portrait"/>
          <w:cols w:equalWidth="0" w:num="1">
            <w:col w:w="11420"/>
          </w:cols>
          <w:pgMar w:left="240" w:top="131" w:right="239" w:bottom="0" w:gutter="0" w:footer="0" w:header="0"/>
        </w:sectPr>
      </w:pPr>
    </w:p>
    <w:bookmarkStart w:id="73" w:name="page74"/>
    <w:bookmarkEnd w:id="73"/>
    <w:p>
      <w:pPr>
        <w:spacing w:after="0" w:line="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 In addition,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8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ectPr>
          <w:pgSz w:w="11900" w:h="16893" w:orient="portrait"/>
          <w:cols w:equalWidth="0" w:num="1">
            <w:col w:w="11400"/>
          </w:cols>
          <w:pgMar w:left="240" w:top="131" w:right="259" w:bottom="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02"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20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w:t>
      </w:r>
    </w:p>
    <w:p>
      <w:pPr>
        <w:sectPr>
          <w:pgSz w:w="11900" w:h="16838" w:orient="portrait"/>
          <w:cols w:equalWidth="0" w:num="1">
            <w:col w:w="11420"/>
          </w:cols>
          <w:pgMar w:left="240" w:top="125" w:right="239" w:bottom="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Development. Wynn Design &amp; Development is the only client of the Butler/Ashworth firm and pays the salaries and benefits of Messrs. Butler and Ashworth.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Mr. Wynn has an ownership interest in Butler/Ashworth.</w:t>
      </w:r>
    </w:p>
    <w:p>
      <w:pPr>
        <w:spacing w:after="0" w:line="219" w:lineRule="exact"/>
        <w:rPr>
          <w:sz w:val="20"/>
          <w:szCs w:val="20"/>
          <w:color w:val="auto"/>
        </w:rPr>
      </w:pPr>
    </w:p>
    <w:p>
      <w:pPr>
        <w:ind w:right="10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39"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May 30, 2002, Mr. Wynn sold World Travel and Las Vegas Jet to Valvino for approximately $38.2 million (consisting of approximately $9.7 million in cash and the release of Mr. Wynn from a guarantee on the approximately $28.5 million of remaining indebtedness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an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ectPr>
          <w:pgSz w:w="11900" w:h="16838" w:orient="portrait"/>
          <w:cols w:equalWidth="0" w:num="1">
            <w:col w:w="11420"/>
          </w:cols>
          <w:pgMar w:left="240" w:top="131" w:right="239" w:bottom="0" w:gutter="0" w:footer="0" w:header="0"/>
        </w:sectPr>
      </w:pPr>
    </w:p>
    <w:bookmarkStart w:id="76" w:name="page77"/>
    <w:bookmarkEnd w:id="76"/>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this offering and a joint book-running manager in the offering of the second mortgage notes by Wynn Las Vegas and Wynn Capital. In addition, affiliates of Dresdner Kleinwort Wasserstein may participate in the credit facilities and/or FF&amp;E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60,455,000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38,002,915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7" w:name="page78"/>
    <w:bookmarkEnd w:id="77"/>
    <w:p>
      <w:pPr>
        <w:spacing w:after="0" w:line="101" w:lineRule="exact"/>
        <w:rPr>
          <w:sz w:val="20"/>
          <w:szCs w:val="20"/>
          <w:color w:val="auto"/>
        </w:rPr>
      </w:pPr>
    </w:p>
    <w:p>
      <w:pPr>
        <w:ind w:left="540" w:hanging="532"/>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40" w:right="400" w:hanging="532"/>
        <w:spacing w:after="0" w:line="186" w:lineRule="auto"/>
        <w:tabs>
          <w:tab w:leader="none" w:pos="540" w:val="left"/>
        </w:tabs>
        <w:numPr>
          <w:ilvl w:val="0"/>
          <w:numId w:val="96"/>
        </w:numPr>
        <w:rPr>
          <w:rFonts w:ascii="Arial" w:cs="Arial" w:eastAsia="Arial" w:hAnsi="Arial"/>
          <w:sz w:val="27"/>
          <w:szCs w:val="27"/>
          <w:color w:val="auto"/>
          <w:vertAlign w:val="subscript"/>
        </w:rPr>
      </w:pPr>
      <w:r>
        <w:rPr>
          <w:rFonts w:ascii="Arial" w:cs="Arial" w:eastAsia="Arial" w:hAnsi="Arial"/>
          <w:sz w:val="14"/>
          <w:szCs w:val="14"/>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w:t>
      </w:r>
    </w:p>
    <w:p>
      <w:pPr>
        <w:spacing w:after="0" w:line="87" w:lineRule="exact"/>
        <w:rPr>
          <w:rFonts w:ascii="Arial" w:cs="Arial" w:eastAsia="Arial" w:hAnsi="Arial"/>
          <w:sz w:val="27"/>
          <w:szCs w:val="27"/>
          <w:color w:val="auto"/>
          <w:vertAlign w:val="subscript"/>
        </w:rPr>
      </w:pPr>
    </w:p>
    <w:p>
      <w:pPr>
        <w:ind w:left="540" w:right="40" w:hanging="532"/>
        <w:spacing w:after="0" w:line="188" w:lineRule="auto"/>
        <w:tabs>
          <w:tab w:leader="none" w:pos="540" w:val="left"/>
        </w:tabs>
        <w:numPr>
          <w:ilvl w:val="0"/>
          <w:numId w:val="96"/>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220" w:hanging="532"/>
        <w:spacing w:after="0" w:line="186"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87" w:lineRule="auto"/>
        <w:tabs>
          <w:tab w:leader="none" w:pos="540" w:val="left"/>
        </w:tabs>
        <w:numPr>
          <w:ilvl w:val="0"/>
          <w:numId w:val="97"/>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85" w:lineRule="exact"/>
        <w:rPr>
          <w:rFonts w:ascii="Arial" w:cs="Arial" w:eastAsia="Arial" w:hAnsi="Arial"/>
          <w:sz w:val="27"/>
          <w:szCs w:val="27"/>
          <w:color w:val="auto"/>
          <w:vertAlign w:val="subscript"/>
        </w:rPr>
      </w:pPr>
    </w:p>
    <w:p>
      <w:pPr>
        <w:ind w:left="540" w:right="240" w:hanging="532"/>
        <w:spacing w:after="0" w:line="186"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registration and piggyback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w:t>
      </w:r>
    </w:p>
    <w:p>
      <w:pPr>
        <w:sectPr>
          <w:pgSz w:w="11900" w:h="16940" w:orient="portrait"/>
          <w:cols w:equalWidth="0" w:num="1">
            <w:col w:w="11420"/>
          </w:cols>
          <w:pgMar w:left="240" w:top="129" w:right="239" w:bottom="0" w:gutter="0" w:footer="0" w:header="0"/>
        </w:sectPr>
      </w:pPr>
    </w:p>
    <w:bookmarkStart w:id="78" w:name="page79"/>
    <w:bookmarkEnd w:id="78"/>
    <w:p>
      <w:pPr>
        <w:ind w:right="40"/>
        <w:spacing w:after="0" w:line="294" w:lineRule="auto"/>
        <w:rPr>
          <w:sz w:val="20"/>
          <w:szCs w:val="20"/>
          <w:color w:val="auto"/>
        </w:rPr>
      </w:pPr>
      <w:r>
        <w:rPr>
          <w:rFonts w:ascii="Arial" w:cs="Arial" w:eastAsia="Arial" w:hAnsi="Arial"/>
          <w:sz w:val="16"/>
          <w:szCs w:val="16"/>
          <w:color w:val="auto"/>
        </w:rPr>
        <w:t>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are owned or controlled by an unsuitable person or an affiliate of an unsuitable person are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ectPr>
          <w:pgSz w:w="11900" w:h="16838" w:orient="portrait"/>
          <w:cols w:equalWidth="0" w:num="1">
            <w:col w:w="11380"/>
          </w:cols>
          <w:pgMar w:left="240" w:top="131" w:right="279" w:bottom="0" w:gutter="0" w:footer="0" w:header="0"/>
        </w:sectPr>
      </w:pPr>
    </w:p>
    <w:bookmarkStart w:id="79" w:name="page80"/>
    <w:bookmarkEnd w:id="79"/>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39"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88" w:lineRule="exact"/>
        <w:rPr>
          <w:sz w:val="20"/>
          <w:szCs w:val="20"/>
          <w:color w:val="auto"/>
        </w:rPr>
      </w:pPr>
    </w:p>
    <w:p>
      <w:pPr>
        <w:jc w:val="both"/>
        <w:ind w:right="360" w:firstLine="432"/>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filed an application to have our common stock approved for quotation on The Nasdaq National Market under the symbol "WYNN."</w:t>
      </w:r>
    </w:p>
    <w:p>
      <w:pPr>
        <w:sectPr>
          <w:pgSz w:w="11900" w:h="16838" w:orient="portrait"/>
          <w:cols w:equalWidth="0" w:num="1">
            <w:col w:w="11420"/>
          </w:cols>
          <w:pgMar w:left="240" w:top="131" w:right="23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210" w:lineRule="exact"/>
        <w:rPr>
          <w:sz w:val="20"/>
          <w:szCs w:val="20"/>
          <w:color w:val="auto"/>
        </w:rPr>
      </w:pPr>
    </w:p>
    <w:p>
      <w:pPr>
        <w:jc w:val="both"/>
        <w:ind w:left="1080" w:right="360" w:hanging="532"/>
        <w:spacing w:after="0" w:line="284"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total of $713.2 million of the proceeds of the credit facilities will be available to us to finance development and construction of Le Rêve and to meet our pre-opening expenses and debt service obligations with an additional $36.8 million of such proceeds being available to us for debt service in the event that it takes us longer to complete Le Rêve than we expect. After Le Rêve opens, the issuers and the restricted entities may use any remaining revolving credit availability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 term loans or (ii) the reserve adjusted Eurodollar Rate plus 4.00% per annum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revolving loans or the reserve adjusted Eurodollar Rate plus 4.25% per annum for term loans; and</w:t>
      </w:r>
    </w:p>
    <w:p>
      <w:pPr>
        <w:spacing w:after="0" w:line="239" w:lineRule="exact"/>
        <w:rPr>
          <w:sz w:val="20"/>
          <w:szCs w:val="20"/>
          <w:color w:val="auto"/>
        </w:rPr>
      </w:pPr>
    </w:p>
    <w:p>
      <w:pPr>
        <w:ind w:left="1080" w:right="3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ectPr>
          <w:pgSz w:w="11900" w:h="16838" w:orient="portrait"/>
          <w:cols w:equalWidth="0" w:num="1">
            <w:col w:w="11420"/>
          </w:cols>
          <w:pgMar w:left="240" w:top="341" w:right="239" w:bottom="73" w:gutter="0" w:footer="0" w:header="0"/>
        </w:sectPr>
      </w:pPr>
    </w:p>
    <w:bookmarkStart w:id="81" w:name="page82"/>
    <w:bookmarkEnd w:id="81"/>
    <w:p>
      <w:pPr>
        <w:ind w:firstLine="351"/>
        <w:spacing w:after="0" w:line="291" w:lineRule="auto"/>
        <w:rPr>
          <w:sz w:val="20"/>
          <w:szCs w:val="20"/>
          <w:color w:val="auto"/>
        </w:rPr>
      </w:pPr>
      <w:r>
        <w:rPr>
          <w:rFonts w:ascii="Arial" w:cs="Arial" w:eastAsia="Arial" w:hAnsi="Arial"/>
          <w:sz w:val="16"/>
          <w:szCs w:val="16"/>
          <w:color w:val="auto"/>
        </w:rPr>
        <w:t>Under the credit facilities, Wynn Las Vegas, its subsidiaries and certain of its affiliates will be considered restricted entities and will guarantee the obligations of Wynn Las Vegas under the credit facilities. In the event that Wynn Resorts guarantees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pari passu in right of payment with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existing and future senior indebtedness of the guarantors. In addition, each guarantee will rank senior in right of payment to all of the existing and future subordinated indebtedness of each guarantor.</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second priority interest on the furniture, fixtures and equipment securing the FF&amp;E facility, excluding the aircraft. See "—FF&amp;E Facility."</w:t>
      </w: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capital expenditures.</w:t>
      </w:r>
    </w:p>
    <w:p>
      <w:pPr>
        <w:sectPr>
          <w:pgSz w:w="11900" w:h="16838" w:orient="portrait"/>
          <w:cols w:equalWidth="0" w:num="1">
            <w:col w:w="11420"/>
          </w:cols>
          <w:pgMar w:left="240" w:top="131" w:right="239" w:bottom="0" w:gutter="0" w:footer="0" w:header="0"/>
        </w:sectPr>
      </w:pPr>
    </w:p>
    <w:bookmarkStart w:id="82" w:name="page83"/>
    <w:bookmarkEnd w:id="82"/>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 Disbursement Agreement." Events of default will apply to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Northwest, National Association as trustee, pursuant to which the issuers will issue second mortgage notes with an aggregate principal amount of $340 million. The second mortgage notes will:</w:t>
      </w:r>
    </w:p>
    <w:p>
      <w:pPr>
        <w:spacing w:after="0" w:line="221"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2" w:lineRule="exact"/>
        <w:rPr>
          <w:rFonts w:ascii="Arial" w:cs="Arial" w:eastAsia="Arial" w:hAnsi="Arial"/>
          <w:sz w:val="18"/>
          <w:szCs w:val="18"/>
          <w:color w:val="auto"/>
        </w:rPr>
      </w:pPr>
    </w:p>
    <w:p>
      <w:pPr>
        <w:ind w:left="1080" w:right="240" w:hanging="532"/>
        <w:spacing w:after="0" w:line="25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7" w:lineRule="exact"/>
        <w:rPr>
          <w:rFonts w:ascii="Arial" w:cs="Arial" w:eastAsia="Arial" w:hAnsi="Arial"/>
          <w:sz w:val="18"/>
          <w:szCs w:val="18"/>
          <w:color w:val="auto"/>
        </w:rPr>
      </w:pPr>
    </w:p>
    <w:p>
      <w:pPr>
        <w:jc w:val="both"/>
        <w:ind w:left="1080" w:right="300" w:hanging="532"/>
        <w:spacing w:after="0" w:line="283"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23"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In the event that Wynn Resorts incurs indebtedness or provides guarantees of other specified indebtedness in excess of $10 million in the aggregate prior to meeting a prescribed leverage ratio and debt rating test, then Wynn Resorts will also be required to guarantee the second mortgage notes, subject to certain limited exceptions.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ectPr>
          <w:pgSz w:w="11900" w:h="16838" w:orient="portrait"/>
          <w:cols w:equalWidth="0" w:num="1">
            <w:col w:w="11400"/>
          </w:cols>
          <w:pgMar w:left="240" w:top="131" w:right="259" w:bottom="0" w:gutter="0" w:footer="0" w:header="0"/>
        </w:sectPr>
      </w:pPr>
    </w:p>
    <w:bookmarkStart w:id="83" w:name="page84"/>
    <w:bookmarkEnd w:id="83"/>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pacing w:after="0" w:line="262" w:lineRule="exact"/>
        <w:rPr>
          <w:sz w:val="20"/>
          <w:szCs w:val="20"/>
          <w:color w:val="auto"/>
        </w:rPr>
      </w:pPr>
    </w:p>
    <w:p>
      <w:pPr>
        <w:ind w:left="1080" w:right="500" w:hanging="532"/>
        <w:spacing w:after="0" w:line="254"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21"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 four full consecutive quarters after Le Rêve opens, any remaining amounts in the liquidity reserve account will be used to reduce the outstanding balance of the revolving credit facility;</w:t>
      </w:r>
    </w:p>
    <w:p>
      <w:pPr>
        <w:spacing w:after="0" w:line="8"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4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requirements and minimum credit ratings after opening, in each case as may be applicable;</w:t>
      </w:r>
    </w:p>
    <w:p>
      <w:pPr>
        <w:spacing w:after="0" w:line="252" w:lineRule="exact"/>
        <w:rPr>
          <w:sz w:val="20"/>
          <w:szCs w:val="20"/>
          <w:color w:val="auto"/>
        </w:rPr>
      </w:pPr>
    </w:p>
    <w:p>
      <w:pPr>
        <w:ind w:left="1080" w:right="16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After ,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ectPr>
          <w:pgSz w:w="11900" w:h="16838" w:orient="portrait"/>
          <w:cols w:equalWidth="0" w:num="1">
            <w:col w:w="11420"/>
          </w:cols>
          <w:pgMar w:left="240" w:top="131" w:right="239" w:bottom="0" w:gutter="0" w:footer="0" w:header="0"/>
        </w:sectPr>
      </w:pPr>
    </w:p>
    <w:bookmarkStart w:id="84" w:name="page85"/>
    <w:bookmarkEnd w:id="84"/>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that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purchase other furniture, fixtures or equipment or refinance other furniture, fixtures or equipment purchased with proceeds of this offering or other funds.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74"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Wynn Las Vegas, Wynn Capital and Wynn Design &amp; Development will enter into a disbursement agreement with Deutsche Bank Trust Company Americas, as the bank agent, Wells Fargo Bank Northwest, National Association, as the second mortgage note trustee, Wells Fargo Bank Northwest, National Association, as the FF&amp;E facility agent, and Deutsche Bank Trust Company Americas, as the disbursement agent. This summary is qualified in its entirety by reference to the contract itself.</w:t>
      </w:r>
    </w:p>
    <w:p>
      <w:pPr>
        <w:sectPr>
          <w:pgSz w:w="11900" w:h="16838" w:orient="portrait"/>
          <w:cols w:equalWidth="0" w:num="1">
            <w:col w:w="11420"/>
          </w:cols>
          <w:pgMar w:left="240" w:top="145" w:right="239" w:bottom="10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01" w:gutter="0" w:footer="0" w:header="0"/>
          <w:type w:val="continuous"/>
        </w:sectPr>
      </w:pPr>
    </w:p>
    <w:bookmarkStart w:id="85" w:name="page86"/>
    <w:bookmarkEnd w:id="85"/>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notes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w:t>
      </w:r>
    </w:p>
    <w:p>
      <w:pPr>
        <w:sectPr>
          <w:pgSz w:w="11900" w:h="16952" w:orient="portrait"/>
          <w:cols w:equalWidth="0" w:num="1">
            <w:col w:w="11400"/>
          </w:cols>
          <w:pgMar w:left="240" w:top="125" w:right="259" w:bottom="0" w:gutter="0" w:footer="0" w:header="0"/>
        </w:sectPr>
      </w:pPr>
    </w:p>
    <w:bookmarkStart w:id="86" w:name="page87"/>
    <w:bookmarkEnd w:id="86"/>
    <w:p>
      <w:pPr>
        <w:ind w:right="600"/>
        <w:spacing w:after="0" w:line="259" w:lineRule="auto"/>
        <w:rPr>
          <w:sz w:val="20"/>
          <w:szCs w:val="20"/>
          <w:color w:val="auto"/>
        </w:rPr>
      </w:pPr>
      <w:r>
        <w:rPr>
          <w:rFonts w:ascii="Arial" w:cs="Arial" w:eastAsia="Arial" w:hAnsi="Arial"/>
          <w:sz w:val="18"/>
          <w:szCs w:val="18"/>
          <w:color w:val="auto"/>
        </w:rPr>
        <w:t>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ectPr>
          <w:pgSz w:w="11900" w:h="16838" w:orient="portrait"/>
          <w:cols w:equalWidth="0" w:num="1">
            <w:col w:w="11400"/>
          </w:cols>
          <w:pgMar w:left="240" w:top="131" w:right="259" w:bottom="0" w:gutter="0" w:footer="0" w:header="0"/>
        </w:sectPr>
      </w:pPr>
    </w:p>
    <w:bookmarkStart w:id="87" w:name="page88"/>
    <w:bookmarkEnd w:id="87"/>
    <w:p>
      <w:pPr>
        <w:spacing w:after="0" w:line="30"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66"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60,455,000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ectPr>
          <w:pgSz w:w="11900" w:h="16868" w:orient="portrait"/>
          <w:cols w:equalWidth="0" w:num="1">
            <w:col w:w="11400"/>
          </w:cols>
          <w:pgMar w:left="240" w:top="145" w:right="259" w:bottom="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Grants Under the 2002 Stock Incentive Plan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w:t>
      </w:r>
    </w:p>
    <w:p>
      <w:pPr>
        <w:sectPr>
          <w:pgSz w:w="11900" w:h="16838" w:orient="portrait"/>
          <w:cols w:equalWidth="0" w:num="1">
            <w:col w:w="11400"/>
          </w:cols>
          <w:pgMar w:left="240" w:top="125" w:right="259" w:bottom="0" w:gutter="0" w:footer="0" w:header="0"/>
        </w:sectPr>
      </w:pPr>
    </w:p>
    <w:bookmarkStart w:id="89" w:name="page90"/>
    <w:bookmarkEnd w:id="89"/>
    <w:p>
      <w:pPr>
        <w:spacing w:after="0" w:line="294" w:lineRule="auto"/>
        <w:rPr>
          <w:sz w:val="20"/>
          <w:szCs w:val="20"/>
          <w:color w:val="auto"/>
        </w:rPr>
      </w:pPr>
      <w:r>
        <w:rPr>
          <w:rFonts w:ascii="Arial" w:cs="Arial" w:eastAsia="Arial" w:hAnsi="Arial"/>
          <w:sz w:val="16"/>
          <w:szCs w:val="16"/>
          <w:color w:val="auto"/>
        </w:rPr>
        <w:t>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165735</wp:posOffset>
            </wp:positionV>
            <wp:extent cx="4562475" cy="787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562475" cy="787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0" w:name="page91"/>
    <w:bookmarkEnd w:id="90"/>
    <w:p>
      <w:pPr>
        <w:ind w:left="212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offering price set forth on the cover of this prospectus and to dealers at a price that represents a concession not in excess of $[ ] per share under the public offering price. The underwriters may allow, and these dealers may re-allow, a concession of not more than $[ ] per share to other dealers. After the initial</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public offering, representatives of the underwriters may change the offering price and other selling terms. We have filed an application to have our common stock approved for quotation on The Nasdaq National Market under the symbol "WYNN."</w:t>
      </w:r>
    </w:p>
    <w:p>
      <w:pPr>
        <w:spacing w:after="0" w:line="19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3,068,250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w:t>
      </w:r>
    </w:p>
    <w:p>
      <w:pPr>
        <w:sectPr>
          <w:pgSz w:w="11900" w:h="16838" w:orient="portrait"/>
          <w:cols w:equalWidth="0" w:num="1">
            <w:col w:w="11420"/>
          </w:cols>
          <w:pgMar w:left="240" w:top="131" w:right="239" w:bottom="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representatives of the underwriters have repurchased shares sold by or for the account of that underwriter in stabilizing or short covering transactions.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300,000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J.P. Morgan Securities Inc. will act as joint documentation agent,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6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which will become a wholly owned subsidiary of Wynn Las Vegas prior to the consummation of this offering. See "Description of Certain Indebtedness—FF&amp;E Facility."</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2" w:lineRule="exact"/>
        <w:rPr>
          <w:rFonts w:ascii="Arial" w:cs="Arial" w:eastAsia="Arial" w:hAnsi="Arial"/>
          <w:sz w:val="18"/>
          <w:szCs w:val="18"/>
          <w:color w:val="auto"/>
        </w:rPr>
      </w:pPr>
    </w:p>
    <w:p>
      <w:pPr>
        <w:ind w:left="1080" w:right="700" w:hanging="532"/>
        <w:spacing w:after="0" w:line="254"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It is expected that delivery of the shares will be made against payment therefor on the date specified on the cover page of this prospectus, which will be the fifth business day following the date of pricing of the shares. Under Rule 15c6-1 under the Exchange Act, trades in the secondary market generally are required to settle in three business days, unless the parties to any such trade expressly agree otherwise. Accordingly, purchasers who wish to trade the shares on the date of pricing or the next succeeding four business days will be required by virtue of the fact that the shares initially will settle in five business days to specify an alternate settlement cycle at the time of any such trade to prevent failed settlement. Purchasers of the shares who wish to trade the shares on the date of pricing or the next succeeding four business days should consult their own advisor.</w:t>
      </w:r>
    </w:p>
    <w:p>
      <w:pPr>
        <w:sectPr>
          <w:pgSz w:w="11900" w:h="16838" w:orient="portrait"/>
          <w:cols w:equalWidth="0" w:num="1">
            <w:col w:w="11420"/>
          </w:cols>
          <w:pgMar w:left="240" w:top="131" w:right="239" w:bottom="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 w:lineRule="exact"/>
        <w:rPr>
          <w:sz w:val="20"/>
          <w:szCs w:val="20"/>
          <w:color w:val="auto"/>
        </w:rPr>
      </w:pPr>
    </w:p>
    <w:p>
      <w:pPr>
        <w:sectPr>
          <w:pgSz w:w="11900" w:h="16838" w:orient="portrait"/>
          <w:cols w:equalWidth="0" w:num="1">
            <w:col w:w="11420"/>
          </w:cols>
          <w:pgMar w:left="240" w:top="125" w:right="239" w:bottom="0" w:gutter="0" w:footer="0" w:header="0"/>
          <w:type w:val="continuous"/>
        </w:sectPr>
      </w:pPr>
    </w:p>
    <w:bookmarkStart w:id="93" w:name="page94"/>
    <w:bookmarkEnd w:id="9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F-2</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840" w:type="dxa"/>
            <w:vAlign w:val="bottom"/>
          </w:tcPr>
          <w:p>
            <w:pPr>
              <w:spacing w:after="0"/>
              <w:rPr>
                <w:sz w:val="24"/>
                <w:szCs w:val="24"/>
                <w:color w:val="auto"/>
              </w:rPr>
            </w:pPr>
          </w:p>
        </w:tc>
        <w:tc>
          <w:tcPr>
            <w:tcW w:w="6580" w:type="dxa"/>
            <w:vAlign w:val="bottom"/>
            <w:gridSpan w:val="2"/>
          </w:tcPr>
          <w:p>
            <w:pPr>
              <w:ind w:left="760"/>
              <w:spacing w:after="0"/>
              <w:rPr>
                <w:sz w:val="20"/>
                <w:szCs w:val="20"/>
                <w:color w:val="auto"/>
              </w:rPr>
            </w:pPr>
            <w:r>
              <w:rPr>
                <w:rFonts w:ascii="Arial" w:cs="Arial" w:eastAsia="Arial" w:hAnsi="Arial"/>
                <w:sz w:val="18"/>
                <w:szCs w:val="18"/>
                <w:color w:val="auto"/>
              </w:rPr>
              <w:t>F-1</w:t>
            </w: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(As restated, see Note 12)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See Note 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38"/>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322,696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-2612390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-2612390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-2080895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-2080895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-2080895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-2080895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-2080895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-2080895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-2080895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-2080895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-442595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-442595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-442595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-442595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-442595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-442595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94" w:name="page95"/>
    <w:bookmarkEnd w:id="9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-4199255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-4199255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-4199255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-4199255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-4199255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-4199255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-2741295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-2741295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-2741295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-2741295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-2741295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-2741295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88"/>
              </w:rPr>
              <w:t>F-3</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7"/>
          </w:tcPr>
          <w:p>
            <w:pPr>
              <w:jc w:val="center"/>
              <w:ind w:left="34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7"/>
          </w:tcPr>
          <w:p>
            <w:pPr>
              <w:jc w:val="center"/>
              <w:ind w:left="329"/>
              <w:spacing w:after="0"/>
              <w:rPr>
                <w:sz w:val="20"/>
                <w:szCs w:val="20"/>
                <w:color w:val="auto"/>
              </w:rPr>
            </w:pPr>
            <w:r>
              <w:rPr>
                <w:rFonts w:ascii="Arial" w:cs="Arial" w:eastAsia="Arial" w:hAnsi="Arial"/>
                <w:sz w:val="18"/>
                <w:szCs w:val="18"/>
                <w:b w:val="1"/>
                <w:bCs w:val="1"/>
                <w:color w:val="auto"/>
                <w:w w:val="97"/>
              </w:rPr>
              <w:t>(A DEVELOPMENT STAGE COMPANY)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29"/>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7"/>
          </w:tcPr>
          <w:p>
            <w:pPr>
              <w:jc w:val="center"/>
              <w:ind w:left="329"/>
              <w:spacing w:after="0"/>
              <w:rPr>
                <w:sz w:val="20"/>
                <w:szCs w:val="20"/>
                <w:color w:val="auto"/>
              </w:rPr>
            </w:pPr>
            <w:r>
              <w:rPr>
                <w:rFonts w:ascii="Arial" w:cs="Arial" w:eastAsia="Arial" w:hAnsi="Arial"/>
                <w:sz w:val="18"/>
                <w:szCs w:val="18"/>
                <w:b w:val="1"/>
                <w:bCs w:val="1"/>
                <w:color w:val="auto"/>
                <w:w w:val="86"/>
              </w:rPr>
              <w:t>(In thousands, except share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(As restated, see Note 12)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From Inception 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June 30, 2002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2001</w:t>
            </w: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December 31, 2000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Airplane</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480" w:type="dxa"/>
            <w:vAlign w:val="bottom"/>
            <w:gridSpan w:val="3"/>
          </w:tcPr>
          <w:p>
            <w:pPr>
              <w:jc w:val="right"/>
              <w:ind w:right="40"/>
              <w:spacing w:after="0"/>
              <w:rPr>
                <w:sz w:val="20"/>
                <w:szCs w:val="20"/>
                <w:color w:val="auto"/>
              </w:rPr>
            </w:pPr>
            <w:r>
              <w:rPr>
                <w:rFonts w:ascii="Arial" w:cs="Arial" w:eastAsia="Arial" w:hAnsi="Arial"/>
                <w:sz w:val="14"/>
                <w:szCs w:val="14"/>
                <w:color w:val="auto"/>
              </w:rPr>
              <w:t>1,077 $</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7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26,610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16,807</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w w:val="91"/>
              </w:rPr>
              <w:t>Loss on sale of fixed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499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649</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1,579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14,348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10,456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47,685</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-4936490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-4936490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-3521075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-3521075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-3178175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-3178175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-3178175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-3178175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-3178175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-3178175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-3178175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-3178175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-3178175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-3178175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-2063750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-2063750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-2063750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-2063750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-2063750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-2063750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-2063750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-2063750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-2063750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-2063750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-382905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-382905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-382905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-382905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-382905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-382905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-382905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-382905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-382905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-382905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-133985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-133985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-133985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-133985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-133985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-133985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-133985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-133985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-133985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-133985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4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(453)</w:t>
            </w: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4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52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Minority Interest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Net loss accumulated during</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the development stage</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9"/>
              </w:rPr>
              <w:t>Pro Forma Share Information: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-1735455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-1735455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-1735455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-1735455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-1735455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-1735455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-1735455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-1735455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-1735455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-1735455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-1392555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-1392555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-1392555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-1392555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-1392555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-1392555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-1392555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-1392555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-1392555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-1392555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0840"/>
          </w:cols>
          <w:pgMar w:left="240" w:top="140" w:right="819" w:bottom="0" w:gutter="0" w:footer="0" w:header="0"/>
        </w:sectPr>
      </w:pPr>
    </w:p>
    <w:bookmarkStart w:id="96" w:name="page97"/>
    <w:bookmarkEnd w:id="96"/>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(As restated, see Note 12)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(8,234)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200"/>
              <w:spacing w:after="0" w:line="138" w:lineRule="exact"/>
              <w:rPr>
                <w:sz w:val="20"/>
                <w:szCs w:val="20"/>
                <w:color w:val="auto"/>
              </w:rPr>
            </w:pPr>
            <w:r>
              <w:rPr>
                <w:rFonts w:ascii="Arial" w:cs="Arial" w:eastAsia="Arial" w:hAnsi="Arial"/>
                <w:sz w:val="14"/>
                <w:szCs w:val="14"/>
                <w:color w:val="auto"/>
                <w:w w:val="96"/>
              </w:rPr>
              <w:t>Capital expenditures, net of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00" w:type="dxa"/>
            <w:vAlign w:val="bottom"/>
          </w:tcPr>
          <w:p>
            <w:pPr>
              <w:spacing w:after="0"/>
              <w:rPr>
                <w:sz w:val="13"/>
                <w:szCs w:val="13"/>
                <w:color w:val="auto"/>
              </w:rPr>
            </w:pP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10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-5123180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-5123180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-4780280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-4780280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-4780280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-4780280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-4780280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-4780280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-4780280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-4780280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-4780280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-4780280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ectPr>
          <w:pgSz w:w="11900" w:h="16838" w:orient="portrait"/>
          <w:cols w:equalWidth="0" w:num="1">
            <w:col w:w="11160"/>
          </w:cols>
          <w:pgMar w:left="240" w:top="341" w:right="499" w:bottom="0" w:gutter="0" w:footer="0" w:header="0"/>
        </w:sectPr>
      </w:pPr>
    </w:p>
    <w:bookmarkStart w:id="97" w:name="page98"/>
    <w:bookmarkEnd w:id="97"/>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52"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left="540"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left="540"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540"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Cash and Cash Equivalents</w:t>
      </w:r>
    </w:p>
    <w:p>
      <w:pPr>
        <w:sectPr>
          <w:pgSz w:w="11900" w:h="16838" w:orient="portrait"/>
          <w:cols w:equalWidth="0" w:num="1">
            <w:col w:w="11420"/>
          </w:cols>
          <w:pgMar w:left="240" w:top="129" w:right="239" w:bottom="0" w:gutter="0" w:footer="0" w:header="0"/>
        </w:sectPr>
      </w:pPr>
    </w:p>
    <w:bookmarkStart w:id="98" w:name="page99"/>
    <w:bookmarkEnd w:id="98"/>
    <w:p>
      <w:pPr>
        <w:ind w:right="20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75"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2"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w:t>
      </w:r>
    </w:p>
    <w:p>
      <w:pPr>
        <w:sectPr>
          <w:pgSz w:w="11900" w:h="16838" w:orient="portrait"/>
          <w:cols w:equalWidth="0" w:num="1">
            <w:col w:w="10840"/>
          </w:cols>
          <w:pgMar w:left="780" w:top="131" w:right="279" w:bottom="0" w:gutter="0" w:footer="0" w:header="0"/>
        </w:sectPr>
      </w:pPr>
    </w:p>
    <w:bookmarkStart w:id="99" w:name="page100"/>
    <w:bookmarkEnd w:id="99"/>
    <w:p>
      <w:pPr>
        <w:ind w:right="160"/>
        <w:spacing w:after="0" w:line="290" w:lineRule="auto"/>
        <w:rPr>
          <w:sz w:val="20"/>
          <w:szCs w:val="20"/>
          <w:color w:val="auto"/>
        </w:rPr>
      </w:pPr>
      <w:r>
        <w:rPr>
          <w:rFonts w:ascii="Arial" w:cs="Arial" w:eastAsia="Arial" w:hAnsi="Arial"/>
          <w:sz w:val="16"/>
          <w:szCs w:val="16"/>
          <w:color w:val="auto"/>
        </w:rPr>
        <w:t>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w:t>
      </w:r>
    </w:p>
    <w:p>
      <w:pPr>
        <w:sectPr>
          <w:pgSz w:w="11900" w:h="16838" w:orient="portrait"/>
          <w:cols w:equalWidth="0" w:num="1">
            <w:col w:w="10860"/>
          </w:cols>
          <w:pgMar w:left="780" w:top="131" w:right="259" w:bottom="0" w:gutter="0" w:footer="0" w:header="0"/>
        </w:sectPr>
      </w:pPr>
    </w:p>
    <w:bookmarkStart w:id="100" w:name="page101"/>
    <w:bookmarkEnd w:id="100"/>
    <w:p>
      <w:pPr>
        <w:ind w:left="540" w:right="420"/>
        <w:spacing w:after="0" w:line="332" w:lineRule="auto"/>
        <w:rPr>
          <w:sz w:val="20"/>
          <w:szCs w:val="20"/>
          <w:color w:val="auto"/>
        </w:rPr>
      </w:pPr>
      <w:r>
        <w:rPr>
          <w:rFonts w:ascii="Arial" w:cs="Arial" w:eastAsia="Arial" w:hAnsi="Arial"/>
          <w:sz w:val="16"/>
          <w:szCs w:val="16"/>
          <w:color w:val="auto"/>
        </w:rPr>
        <w:t>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39"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Property and Equipment</w:t>
      </w:r>
    </w:p>
    <w:p>
      <w:pPr>
        <w:sectPr>
          <w:pgSz w:w="11900" w:h="16838" w:orient="portrait"/>
          <w:cols w:equalWidth="0" w:num="1">
            <w:col w:w="11400"/>
          </w:cols>
          <w:pgMar w:left="240" w:top="131" w:right="259" w:bottom="0" w:gutter="0" w:footer="0" w:header="0"/>
          <w:type w:val="continuous"/>
        </w:sectPr>
      </w:pPr>
    </w:p>
    <w:bookmarkStart w:id="101" w:name="page102"/>
    <w:bookmarkEnd w:id="101"/>
    <w:p>
      <w:pPr>
        <w:ind w:left="360"/>
        <w:spacing w:after="0"/>
        <w:rPr>
          <w:sz w:val="20"/>
          <w:szCs w:val="20"/>
          <w:color w:val="auto"/>
        </w:rPr>
      </w:pPr>
      <w:r>
        <w:rPr>
          <w:rFonts w:ascii="Arial" w:cs="Arial" w:eastAsia="Arial" w:hAnsi="Arial"/>
          <w:sz w:val="18"/>
          <w:szCs w:val="18"/>
          <w:color w:val="auto"/>
        </w:rPr>
        <w:t>Property and equipment as of December 31 consisted of the following:</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Airplane</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88"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08"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52"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Litigation</w:t>
      </w:r>
    </w:p>
    <w:p>
      <w:pPr>
        <w:sectPr>
          <w:pgSz w:w="11900" w:h="16838" w:orient="portrait"/>
          <w:cols w:equalWidth="0" w:num="1">
            <w:col w:w="11400"/>
          </w:cols>
          <w:pgMar w:left="240" w:top="131" w:right="259" w:bottom="202" w:gutter="0" w:footer="0" w:header="0"/>
        </w:sectPr>
      </w:pPr>
    </w:p>
    <w:bookmarkStart w:id="102" w:name="page103"/>
    <w:bookmarkEnd w:id="102"/>
    <w:p>
      <w:pPr>
        <w:ind w:left="540" w:right="24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2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19"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94"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39"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4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75"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306"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w:t>
      </w:r>
    </w:p>
    <w:p>
      <w:pPr>
        <w:sectPr>
          <w:pgSz w:w="11900" w:h="16838" w:orient="portrait"/>
          <w:cols w:equalWidth="0" w:num="1">
            <w:col w:w="11380"/>
          </w:cols>
          <w:pgMar w:left="240" w:top="131" w:right="279" w:bottom="0" w:gutter="0" w:footer="0" w:header="0"/>
        </w:sectPr>
      </w:pPr>
    </w:p>
    <w:bookmarkStart w:id="103" w:name="page104"/>
    <w:bookmarkEnd w:id="103"/>
    <w:p>
      <w:pPr>
        <w:ind w:right="400"/>
        <w:spacing w:after="0" w:line="306" w:lineRule="auto"/>
        <w:rPr>
          <w:sz w:val="20"/>
          <w:szCs w:val="20"/>
          <w:color w:val="auto"/>
        </w:rPr>
      </w:pPr>
      <w:r>
        <w:rPr>
          <w:rFonts w:ascii="Arial" w:cs="Arial" w:eastAsia="Arial" w:hAnsi="Arial"/>
          <w:sz w:val="16"/>
          <w:szCs w:val="16"/>
          <w:color w:val="auto"/>
        </w:rPr>
        <w:t>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74"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660" w:hanging="301"/>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ectPr>
          <w:pgSz w:w="11900" w:h="16838" w:orient="portrait"/>
          <w:cols w:equalWidth="0" w:num="1">
            <w:col w:w="10880"/>
          </w:cols>
          <w:pgMar w:left="780" w:top="131" w:right="239" w:bottom="0" w:gutter="0" w:footer="0" w:header="0"/>
        </w:sectPr>
      </w:pPr>
    </w:p>
    <w:bookmarkStart w:id="104" w:name="page105"/>
    <w:bookmarkEnd w:id="104"/>
    <w:p>
      <w:pPr>
        <w:ind w:left="540" w:right="50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83"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60" w:firstLine="348"/>
        <w:spacing w:after="0" w:line="287"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Wynn Resorts, Limited will not guarantee the second mortgage notes unless Wynn Resorts, Limited either incurs or guarantees certain indebtedness in excess of $10.0 million in the aggregate.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7" w:lineRule="exact"/>
        <w:rPr>
          <w:sz w:val="20"/>
          <w:szCs w:val="20"/>
          <w:color w:val="auto"/>
        </w:rPr>
      </w:pPr>
    </w:p>
    <w:p>
      <w:pPr>
        <w:ind w:right="740" w:firstLine="348"/>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following consolidating financial statements are not indicative of the financial position of the guarantors after the expected transfer.</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-3063875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-3063875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-3063875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-3063875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-3063875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-3063875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-3063875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-3063875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-3063875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-3063875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-3063875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-3063875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-1537335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-1537335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-1537335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-1537335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-1537335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-1537335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-1537335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-1537335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-1537335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-1537335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-1537335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-1537335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-542925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-542925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-542925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-542925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-542925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-542925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-542925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-542925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-542925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-542925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-542925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-542925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sectPr>
      </w:pPr>
    </w:p>
    <w:bookmarkStart w:id="105" w:name="page106"/>
    <w:bookmarkEnd w:id="105"/>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310120" cy="1371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310120" cy="13716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60"/>
              <w:spacing w:after="0"/>
              <w:rPr>
                <w:sz w:val="20"/>
                <w:szCs w:val="20"/>
                <w:color w:val="auto"/>
              </w:rPr>
            </w:pPr>
            <w:r>
              <w:rPr>
                <w:rFonts w:ascii="Arial" w:cs="Arial" w:eastAsia="Arial" w:hAnsi="Arial"/>
                <w:sz w:val="18"/>
                <w:szCs w:val="18"/>
                <w:color w:val="auto"/>
                <w:w w:val="91"/>
              </w:rPr>
              <w:t>F-22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-2518410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-2518410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-2518410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-2518410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-2518410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-2518410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-2518410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-1249045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-1249045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-1249045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-1249045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-1249045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-1249045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-5311775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-5311775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-5311775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-5311775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-5311775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-5311775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-5311775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-5311775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-5311775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-5311775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-5311775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-5311775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-3923030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-3923030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-3923030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-3923030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-3923030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-3923030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-3923030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-3923030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-3923030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-3923030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-3923030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-3923030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-2653665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-2653665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-2653665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-2653665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-2653665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-2653665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-2653665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-2653665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-2653665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-2653665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-2653665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-2653665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-1195705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-1195705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-1195705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-1195705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-1195705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-1195705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-1195705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-1195705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-1195705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-1195705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-1195705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-1195705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520"/>
          </w:cols>
          <w:pgMar w:left="240" w:top="125" w:right="139" w:bottom="0" w:gutter="0" w:footer="0" w:header="0"/>
        </w:sectPr>
      </w:pPr>
    </w:p>
    <w:bookmarkStart w:id="106" w:name="page107"/>
    <w:bookmarkEnd w:id="106"/>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1905000</wp:posOffset>
            </wp:positionH>
            <wp:positionV relativeFrom="page">
              <wp:posOffset>88900</wp:posOffset>
            </wp:positionV>
            <wp:extent cx="5458460" cy="190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45846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7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4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19"/>
                <w:szCs w:val="19"/>
                <w:color w:val="auto"/>
              </w:rPr>
            </w:pPr>
          </w:p>
        </w:tc>
      </w:tr>
      <w:tr>
        <w:trPr>
          <w:trHeight w:val="120"/>
        </w:trPr>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8"/>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Members'</w:t>
            </w:r>
          </w:p>
        </w:tc>
        <w:tc>
          <w:tcPr>
            <w:tcW w:w="5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19"/>
                <w:szCs w:val="19"/>
                <w:color w:val="auto"/>
              </w:rPr>
            </w:pPr>
          </w:p>
        </w:tc>
      </w:tr>
      <w:tr>
        <w:trPr>
          <w:trHeight w:val="105"/>
        </w:trPr>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2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gridSpan w:val="4"/>
          </w:tcPr>
          <w:p>
            <w:pPr>
              <w:jc w:val="right"/>
              <w:ind w:right="343"/>
              <w:spacing w:after="0"/>
              <w:rPr>
                <w:sz w:val="20"/>
                <w:szCs w:val="20"/>
                <w:color w:val="auto"/>
              </w:rPr>
            </w:pPr>
            <w:r>
              <w:rPr>
                <w:rFonts w:ascii="Arial" w:cs="Arial" w:eastAsia="Arial" w:hAnsi="Arial"/>
                <w:sz w:val="18"/>
                <w:szCs w:val="18"/>
                <w:color w:val="auto"/>
              </w:rPr>
              <w:t>F-23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-957580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-957580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-957580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-6892290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-6892290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-6892290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-6892290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-6892290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-6892290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-6892290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-6892290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-6892290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-5571490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-5571490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-5571490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-5571490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-5571490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-5571490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-5571490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-5571490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-5571490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-5571490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-4422140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-4422140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-4422140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-4422140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-4422140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-4422140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-4422140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-4422140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-4422140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-4422140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-2809875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-2809875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-2809875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-2809875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-2809875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-2809875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-2809875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-2809875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-2809875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-2809875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ectPr>
          <w:pgSz w:w="11900" w:h="16874" w:orient="portrait"/>
          <w:cols w:equalWidth="0" w:num="1">
            <w:col w:w="11420"/>
          </w:cols>
          <w:pgMar w:left="240" w:top="347" w:right="239" w:bottom="0" w:gutter="0" w:footer="0" w:header="0"/>
        </w:sectPr>
      </w:pPr>
    </w:p>
    <w:bookmarkStart w:id="107" w:name="page108"/>
    <w:bookmarkEnd w:id="107"/>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8"/>
                <w:szCs w:val="18"/>
                <w:color w:val="auto"/>
              </w:rPr>
              <w:t>F-25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-5520055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-5520055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-5520055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-5520055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-5520055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-5520055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-5520055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-5520055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-5520055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-5520055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-5520055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-5520055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-4610735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-4610735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-4610735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-4610735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-4610735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-4610735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-4610735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-4610735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-4610735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-4610735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-4610735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-4610735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All Other</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Non-Guarantors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3,279</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-1560195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-1560195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-1560195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-1560195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-1560195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-1560195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-1560195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-1560195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-1560195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-1560195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-1560195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-1560195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-959485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-959485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-959485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-959485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-959485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-959485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-959485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-959485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-959485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-959485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-959485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-959485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3" w:orient="portrait"/>
          <w:cols w:equalWidth="0" w:num="1">
            <w:col w:w="11420"/>
          </w:cols>
          <w:pgMar w:left="240" w:top="341" w:right="2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Selling, General &amp; Administrative</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8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-2689860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-5417185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-5417185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-5417185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-5417185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-5417185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-5417185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-5417185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-5417185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-5417185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-5417185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-5417185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-5417185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-4507865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-4507865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-4507865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-4507865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-4507865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-4507865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-4507865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-4507865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-4507865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-4507865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-4507865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-4507865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-2484120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-2484120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-2484120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-2484120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-2484120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-2484120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-2484120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-2484120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-2484120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-2484120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-2484120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-2484120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-2175510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-2175510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-2175510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-2175510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-2175510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-2175510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-2175510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-2175510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-2175510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-2175510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-2175510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-2175510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-1043305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-1043305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-1043305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-1043305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-1043305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-1043305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-1043305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-1043305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-1043305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-1043305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-1043305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-1043305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-734695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-734695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-734695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-734695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-734695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-734695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-734695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-734695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-734695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-734695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-734695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-734695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09" w:name="page110"/>
    <w:bookmarkEnd w:id="10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772"/>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3"/>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Interest Expense, Net of Amounts</w:t>
            </w: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140" w:type="dxa"/>
            <w:vAlign w:val="bottom"/>
            <w:gridSpan w:val="5"/>
          </w:tcPr>
          <w:p>
            <w:pPr>
              <w:ind w:left="440"/>
              <w:spacing w:after="0"/>
              <w:rPr>
                <w:sz w:val="20"/>
                <w:szCs w:val="20"/>
                <w:color w:val="auto"/>
              </w:rPr>
            </w:pPr>
            <w:r>
              <w:rPr>
                <w:rFonts w:ascii="Arial" w:cs="Arial" w:eastAsia="Arial" w:hAnsi="Arial"/>
                <w:sz w:val="18"/>
                <w:szCs w:val="18"/>
                <w:color w:val="auto"/>
              </w:rPr>
              <w:t>Net Loss Accumulated During the</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132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gridSpan w:val="6"/>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7"/>
          </w:tcPr>
          <w:p>
            <w:pPr>
              <w:jc w:val="center"/>
              <w:ind w:right="65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18"/>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1"/>
          </w:tcPr>
          <w:p>
            <w:pPr>
              <w:jc w:val="center"/>
              <w:ind w:left="196"/>
              <w:spacing w:after="0"/>
              <w:rPr>
                <w:sz w:val="20"/>
                <w:szCs w:val="20"/>
                <w:color w:val="auto"/>
              </w:rPr>
            </w:pPr>
            <w:r>
              <w:rPr>
                <w:rFonts w:ascii="Arial" w:cs="Arial" w:eastAsia="Arial" w:hAnsi="Arial"/>
                <w:sz w:val="18"/>
                <w:szCs w:val="18"/>
                <w:b w:val="1"/>
                <w:bCs w:val="1"/>
                <w:color w:val="auto"/>
                <w:w w:val="88"/>
              </w:rPr>
              <w:t>From Inception to June 30, 2002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5"/>
              </w:rPr>
              <w:t>Wynn Las Vegas,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Valvino</w:t>
            </w:r>
          </w:p>
        </w:tc>
        <w:tc>
          <w:tcPr>
            <w:tcW w:w="12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Vegas Capital Corp.</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4,205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152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10,779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-8589645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-8589645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-8589645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-8589645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-8589645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-8589645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-8589645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-8589645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-8589645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-8589645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-7268845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-7268845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-7268845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-7268845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-7268845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-7268845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-7268845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-7268845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-7268845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-7268845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-6960235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-6960235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-6960235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-6960235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-6960235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-6960235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-6960235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-6960235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-6960235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-6960235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-5828030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-5828030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-5828030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-5828030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-5828030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-5828030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-5828030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-5828030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-5828030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-5828030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-5519420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-5519420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-5519420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-5519420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-5519420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-5519420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-5519420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-5519420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-5519420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-5519420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-4576445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-4576445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-2560955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-2560955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-2560955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-2560955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-2560955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-2560955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-2560955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-2560955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-2560955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-2560955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-2560955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-2560955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-1651635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-1651635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-1651635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-1651635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-1651635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-1651635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-1651635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-1651635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-1651635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-1651635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-1651635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-1651635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0" w:name="page111"/>
    <w:bookmarkEnd w:id="11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F-29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9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Wynn Las Vegas,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6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Vegas Capital Corp.</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(843) $</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Financing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color w:val="auto"/>
              </w:rPr>
              <w:t>(23,804)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173,494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89"/>
              </w:rPr>
              <w:t>Principal Payments of Long-Term Debt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Net Cash Provided by Financing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5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(23,804)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-9994265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-9994265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-9994265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-9994265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-9994265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-9994265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-9994265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-9994265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-9994265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-9994265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-9994265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-9994265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-8828405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-8828405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-8828405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-8828405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-8828405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-8828405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-8828405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-8828405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-8828405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-8828405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-8828405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-8828405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-8364855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-8364855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-8364855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-8364855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-8364855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-8364855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-8364855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-8364855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-8364855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-8364855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-8364855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-8364855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-7284720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-7284720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-5269230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-5269230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-5269230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-5269230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-5269230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-5269230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-5269230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-5269230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-5269230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-5269230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-5269230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-5269230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-2687955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-2687955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-2687955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-2687955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-2687955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-2687955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-2687955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-2687955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-2687955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-2687955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-2687955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-2687955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-2345055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-2345055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-2345055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-2345055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-2345055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-2345055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-2345055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-2345055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-2345055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-2345055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-2345055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-2345055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-1324610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-1324610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-1324610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-1324610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-1324610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-1324610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-1324610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-1324610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-1324610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-1324610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-1324610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-1324610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-981075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-981075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-981075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-981075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-981075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-981075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-981075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-981075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-981075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-981075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-981075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-981075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-269240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-269240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-269240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-269240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-269240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-269240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-269240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-269240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-269240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-269240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-269240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-269240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20"/>
          </w:cols>
          <w:pgMar w:left="240" w:top="158" w:right="239"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color w:val="auto"/>
              </w:rPr>
              <w:t>Increase/(Decrease) in Cash and Cash</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6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122,513</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(967)</w:t>
            </w:r>
          </w:p>
        </w:tc>
        <w:tc>
          <w:tcPr>
            <w:tcW w:w="7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52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162,103</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26,997</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w w:val="97"/>
              </w:rPr>
              <w:t>Interest Paid, Net of Amounts Capitalized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1758950</wp:posOffset>
            </wp:positionH>
            <wp:positionV relativeFrom="page">
              <wp:posOffset>88900</wp:posOffset>
            </wp:positionV>
            <wp:extent cx="5612765" cy="1905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5612765" cy="1905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-550545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-550545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-550545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-550545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-550545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-550545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-550545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-550545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-550545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-550545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-550545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65"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-5427345</wp:posOffset>
            </wp:positionV>
            <wp:extent cx="7246620" cy="9461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28321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-4707255</wp:posOffset>
            </wp:positionV>
            <wp:extent cx="7246620" cy="15430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-4398645</wp:posOffset>
            </wp:positionV>
            <wp:extent cx="7246620" cy="9461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-4149725</wp:posOffset>
            </wp:positionV>
            <wp:extent cx="7246620" cy="15430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15430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7246620" cy="9461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15430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15430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18859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5430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9461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-5509260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-5509260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-5509260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-5509260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-3613785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-3613785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-3613785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-3613785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-3270885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-3270885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-3270885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-3270885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-2250440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-2250440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-2250440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-2250440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-1906905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-1906905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-1906905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-1906905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(2,130)</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-5515610</wp:posOffset>
            </wp:positionV>
            <wp:extent cx="3425825" cy="215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-3620135</wp:posOffset>
            </wp:positionV>
            <wp:extent cx="3425825" cy="215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-3277235</wp:posOffset>
            </wp:positionV>
            <wp:extent cx="3425825" cy="215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-2256790</wp:posOffset>
            </wp:positionV>
            <wp:extent cx="3425825" cy="215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-1913255</wp:posOffset>
            </wp:positionV>
            <wp:extent cx="3425825" cy="215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6040" w:space="220"/>
            <w:col w:w="5160"/>
          </w:cols>
          <w:pgMar w:left="240" w:top="265"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CONSOLIDATING STATEMENTS OF CASH FLOW INFORMATION</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265" w:right="239"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8"/>
                <w:szCs w:val="18"/>
                <w:color w:val="auto"/>
              </w:rPr>
              <w:t>F-32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-8195310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-8195310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-8195310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-8195310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-8195310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-8195310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-8195310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-8195310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-8195310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-8195310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-8195310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-8195310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Valvino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3"/>
                <w:szCs w:val="13"/>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3"/>
                <w:szCs w:val="13"/>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Eliminating</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Guarantors</w:t>
            </w:r>
          </w:p>
        </w:tc>
        <w:tc>
          <w:tcPr>
            <w:tcW w:w="2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Entries</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-359410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-359410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-359410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-359410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-359410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-359410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-359410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-359410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-359410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-359410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7"/>
              </w:rPr>
              <w:t>Net Cash Provided by / (Used in) Investing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(319,897)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Contributions</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(110,482)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Third Party Fee</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Proceeds from Issuance of Long-Term Debt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(125,018)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Proceeds from Issuance of Related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-6000115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-6000115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-6000115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-6000115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-6000115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-6000115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-6000115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-6000115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-6000115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-5571490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-5571490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-5571490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-5571490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-5571490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-5571490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-5571490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-5571490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-5571490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Valvino</w:t>
            </w:r>
          </w:p>
        </w:tc>
        <w:tc>
          <w:tcPr>
            <w:tcW w:w="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Lamore, LLC</w:t>
            </w:r>
          </w:p>
        </w:tc>
        <w:tc>
          <w:tcPr>
            <w:tcW w:w="4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Non-Guarantors</w:t>
            </w:r>
          </w:p>
        </w:tc>
        <w:tc>
          <w:tcPr>
            <w:tcW w:w="16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tcBorders>
              <w:bottom w:val="single" w:sz="8" w:color="CCEEFF"/>
            </w:tcBorders>
            <w:gridSpan w:val="2"/>
          </w:tcPr>
          <w:p>
            <w:pPr>
              <w:jc w:val="right"/>
              <w:ind w:right="20"/>
              <w:spacing w:after="0" w:line="149" w:lineRule="exact"/>
              <w:rPr>
                <w:sz w:val="20"/>
                <w:szCs w:val="20"/>
                <w:color w:val="auto"/>
              </w:rPr>
            </w:pPr>
            <w:r>
              <w:rPr>
                <w:rFonts w:ascii="Arial" w:cs="Arial" w:eastAsia="Arial" w:hAnsi="Arial"/>
                <w:sz w:val="14"/>
                <w:szCs w:val="14"/>
                <w:color w:val="auto"/>
              </w:rPr>
              <w:t>(25,875)</w:t>
            </w:r>
          </w:p>
        </w:tc>
        <w:tc>
          <w:tcPr>
            <w:tcW w:w="14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200" w:type="dxa"/>
            <w:vAlign w:val="bottom"/>
            <w:tcBorders>
              <w:bottom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220" w:type="dxa"/>
            <w:vAlign w:val="bottom"/>
            <w:tcBorders>
              <w:bottom w:val="single" w:sz="8" w:color="CCEEFF"/>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(4,108)</w:t>
            </w:r>
          </w:p>
        </w:tc>
        <w:tc>
          <w:tcPr>
            <w:tcW w:w="160" w:type="dxa"/>
            <w:vAlign w:val="bottom"/>
            <w:tcBorders>
              <w:bottom w:val="single" w:sz="8" w:color="CCEEFF"/>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2,815</w:t>
            </w:r>
          </w:p>
        </w:tc>
        <w:tc>
          <w:tcPr>
            <w:tcW w:w="24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-280035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-280035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-280035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-280035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-280035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-280035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-280035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-280035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-280035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-280035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-280035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4" w:name="page115"/>
    <w:bookmarkEnd w:id="114"/>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Reconcile Net Loss 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8321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During the Development Stage to Net Cash Provided</w:t>
      </w:r>
    </w:p>
    <w:p>
      <w:pPr>
        <w:spacing w:after="0"/>
        <w:rPr>
          <w:sz w:val="20"/>
          <w:szCs w:val="20"/>
          <w:color w:val="auto"/>
        </w:rPr>
      </w:pPr>
      <w:r>
        <w:rPr>
          <w:rFonts w:ascii="Arial" w:cs="Arial" w:eastAsia="Arial" w:hAnsi="Arial"/>
          <w:sz w:val="14"/>
          <w:szCs w:val="14"/>
          <w:color w:val="auto"/>
        </w:rPr>
        <w:t>by/(Used in) Operating Activities: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4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5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52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4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5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5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4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07"/>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207"/>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ind w:left="726"/>
              <w:spacing w:after="0" w:line="149" w:lineRule="exact"/>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June 30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88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45"/>
              <w:spacing w:after="0" w:line="149" w:lineRule="exact"/>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65"/>
              <w:spacing w:after="0" w:line="149" w:lineRule="exact"/>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Previously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380,236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379,726</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1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313,022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388,467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387,084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the Development Stage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40,747</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9,155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Liabilities and Members'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388,467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387,084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110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17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8"/>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205"/>
              <w:spacing w:after="0" w:line="149" w:lineRule="exact"/>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8"/>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88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-1754505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-1754505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-1754505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-1754505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-1754505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-1754505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-1754505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-1754505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-1754505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-1754505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-1754505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-1754505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-210820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-210820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-210820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-210820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-210820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-210820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-210820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-210820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-210820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-210820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-210820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-210820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8"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7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7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918</w:t>
            </w: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Pre-opening Costs</w:t>
            </w:r>
          </w:p>
        </w:tc>
        <w:tc>
          <w:tcPr>
            <w:tcW w:w="5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9,193</w:t>
            </w:r>
          </w:p>
        </w:tc>
        <w:tc>
          <w:tcPr>
            <w:tcW w:w="42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9,042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5,028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5,490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10,980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11,862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3,966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4,599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4,021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4,203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7,979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Total Expenses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(15,915)</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(14,348)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(10,456)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(20,151)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(21,217)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Loss Accumulated during the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(16,899)</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3"/>
          </w:tcPr>
          <w:p>
            <w:pPr>
              <w:jc w:val="center"/>
              <w:ind w:right="140"/>
              <w:spacing w:after="0" w:line="136" w:lineRule="exact"/>
              <w:rPr>
                <w:sz w:val="20"/>
                <w:szCs w:val="20"/>
                <w:color w:val="auto"/>
              </w:rPr>
            </w:pPr>
            <w:r>
              <w:rPr>
                <w:rFonts w:ascii="Arial" w:cs="Arial" w:eastAsia="Arial" w:hAnsi="Arial"/>
                <w:sz w:val="14"/>
                <w:szCs w:val="14"/>
                <w:b w:val="1"/>
                <w:bCs w:val="1"/>
                <w:color w:val="auto"/>
                <w:w w:val="88"/>
              </w:rPr>
              <w:t>Inception to</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Inception to June 30,</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 2000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jc w:val="right"/>
              <w:ind w:right="415"/>
              <w:spacing w:after="0" w:line="149"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76"/>
              </w:rPr>
              <w:t>as</w:t>
            </w:r>
          </w:p>
        </w:tc>
        <w:tc>
          <w:tcPr>
            <w:tcW w:w="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 2000</w:t>
            </w:r>
          </w:p>
        </w:tc>
        <w:tc>
          <w:tcPr>
            <w:tcW w:w="12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Pre-opening Costs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26,610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Total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(12,120)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(45,432)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(47,685)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Net Loss Accumulated during the Development Stage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(10,616)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(41,118)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F-35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-1040130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-1040130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-1040130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-1040130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-1040130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-1040130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-1040130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-1040130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20,455,000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80"/>
          </w:cols>
          <w:pgMar w:left="240" w:top="140" w:right="379" w:bottom="94" w:gutter="0" w:footer="0" w:header="0"/>
        </w:sect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154940</wp:posOffset>
            </wp:positionV>
            <wp:extent cx="1050290"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280"/>
          </w:cols>
          <w:pgMar w:left="240" w:top="140" w:right="379" w:bottom="94"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4"/>
          <w:szCs w:val="24"/>
          <w:b w:val="1"/>
          <w:bCs w:val="1"/>
          <w:color w:val="auto"/>
        </w:rPr>
        <w:t>JPMorgan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Lazard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SG Cowen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-1574800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6"/>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ectPr>
          <w:pgSz w:w="11900" w:h="16838" w:orient="portrait"/>
          <w:cols w:equalWidth="0" w:num="1">
            <w:col w:w="11420"/>
          </w:cols>
          <w:pgMar w:left="240" w:top="111" w:right="239" w:bottom="0" w:gutter="0" w:footer="0" w:header="0"/>
        </w:sectPr>
      </w:pPr>
    </w:p>
    <w:bookmarkStart w:id="117" w:name="page118"/>
    <w:bookmarkEnd w:id="117"/>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180" w:firstLine="359"/>
        <w:spacing w:after="0" w:line="259" w:lineRule="auto"/>
        <w:tabs>
          <w:tab w:leader="none" w:pos="11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20" w:firstLine="359"/>
        <w:spacing w:after="0" w:line="256" w:lineRule="auto"/>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60" w:firstLine="359"/>
        <w:spacing w:after="0" w:line="332" w:lineRule="auto"/>
        <w:tabs>
          <w:tab w:leader="none" w:pos="117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254" w:lineRule="auto"/>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380" w:firstLine="359"/>
        <w:spacing w:after="0" w:line="332" w:lineRule="auto"/>
        <w:tabs>
          <w:tab w:leader="none" w:pos="117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268" w:lineRule="auto"/>
        <w:tabs>
          <w:tab w:leader="none" w:pos="12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4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4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780" w:hanging="563"/>
        <w:spacing w:after="0" w:line="261"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ectPr>
          <w:pgSz w:w="11900" w:h="16838" w:orient="portrait"/>
          <w:cols w:equalWidth="0" w:num="1">
            <w:col w:w="11400"/>
          </w:cols>
          <w:pgMar w:left="240" w:top="125" w:right="259" w:bottom="0" w:gutter="0" w:footer="0" w:header="0"/>
        </w:sectPr>
      </w:pPr>
    </w:p>
    <w:bookmarkStart w:id="118" w:name="page119"/>
    <w:bookmarkEnd w:id="118"/>
    <w:p>
      <w:pPr>
        <w:ind w:left="51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60" w:right="1959" w:hanging="563"/>
        <w:spacing w:after="0" w:line="254" w:lineRule="auto"/>
        <w:tabs>
          <w:tab w:leader="none" w:pos="64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Agreement.(4)</w:t>
      </w:r>
    </w:p>
    <w:p>
      <w:pPr>
        <w:spacing w:after="0" w:line="9" w:lineRule="exact"/>
        <w:rPr>
          <w:sz w:val="20"/>
          <w:szCs w:val="20"/>
          <w:color w:val="auto"/>
        </w:rPr>
      </w:pPr>
    </w:p>
    <w:p>
      <w:pPr>
        <w:ind w:left="660" w:right="1619" w:hanging="651"/>
        <w:spacing w:after="0" w:line="250"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61"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6, 2002, by and between Wynn Resorts, Limited and John Strzemp.(4)</w:t>
      </w:r>
    </w:p>
    <w:p>
      <w:pPr>
        <w:spacing w:after="0" w:line="1" w:lineRule="exact"/>
        <w:rPr>
          <w:sz w:val="20"/>
          <w:szCs w:val="20"/>
          <w:color w:val="auto"/>
        </w:rPr>
      </w:pPr>
    </w:p>
    <w:p>
      <w:pPr>
        <w:ind w:left="660" w:right="1479" w:hanging="738"/>
        <w:spacing w:after="0" w:line="250" w:lineRule="auto"/>
        <w:tabs>
          <w:tab w:leader="none" w:pos="640" w:val="left"/>
        </w:tabs>
        <w:rPr>
          <w:sz w:val="20"/>
          <w:szCs w:val="20"/>
          <w:color w:val="auto"/>
        </w:rPr>
      </w:pPr>
      <w:r>
        <w:rPr>
          <w:rFonts w:ascii="Arial" w:cs="Arial" w:eastAsia="Arial" w:hAnsi="Arial"/>
          <w:sz w:val="18"/>
          <w:szCs w:val="18"/>
          <w:color w:val="auto"/>
        </w:rPr>
        <w:t>*10.41</w:t>
        <w:tab/>
        <w:t>Indenture, dated , 2002, governing the % Second Mortgage Notes due 2010 by and among Wynn Las Vegas, LLC, Wynn Las Vegas Capital Corp., Desert Inn Water Company, LLC, Wynn Design &amp; Development, LLC, Wynn Resorts Holdings, LLC, Las Vegas Jet, LLC, World Travel, LLC, Palo, LLC and Valvino Lamore, LLC.</w:t>
      </w:r>
    </w:p>
    <w:p>
      <w:pPr>
        <w:spacing w:after="0" w:line="2"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5"/>
          <w:szCs w:val="15"/>
          <w:color w:val="auto"/>
        </w:rPr>
        <w:t>Employment Agreement, dated as of September 26, 2002, by and between Wynn Design &amp; Development, LLC</w:t>
      </w:r>
    </w:p>
    <w:p>
      <w:pPr>
        <w:sectPr>
          <w:pgSz w:w="11900" w:h="16838" w:orient="portrait"/>
          <w:cols w:equalWidth="0" w:num="1">
            <w:col w:w="9799"/>
          </w:cols>
          <w:pgMar w:left="660" w:top="131" w:right="1440" w:bottom="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and DeRuyter O. Butler.(5)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10.46</w:t>
            </w:r>
          </w:p>
        </w:tc>
        <w:tc>
          <w:tcPr>
            <w:tcW w:w="7900" w:type="dxa"/>
            <w:vAlign w:val="bottom"/>
          </w:tcPr>
          <w:p>
            <w:pPr>
              <w:ind w:left="140"/>
              <w:spacing w:after="0"/>
              <w:rPr>
                <w:sz w:val="20"/>
                <w:szCs w:val="20"/>
                <w:color w:val="auto"/>
              </w:rPr>
            </w:pPr>
            <w:r>
              <w:rPr>
                <w:rFonts w:ascii="Arial" w:cs="Arial" w:eastAsia="Arial" w:hAnsi="Arial"/>
                <w:sz w:val="18"/>
                <w:szCs w:val="18"/>
                <w:color w:val="auto"/>
                <w:w w:val="88"/>
              </w:rPr>
              <w:t>Employment Agreement, dated as of October 4, 2002, by and between Wynn Resorts, Limited and Stephen A.</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Wynn.(5)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7900" w:type="dxa"/>
            <w:vAlign w:val="bottom"/>
          </w:tcPr>
          <w:p>
            <w:pPr>
              <w:ind w:left="140"/>
              <w:spacing w:after="0"/>
              <w:rPr>
                <w:sz w:val="20"/>
                <w:szCs w:val="20"/>
                <w:color w:val="auto"/>
              </w:rPr>
            </w:pPr>
            <w:r>
              <w:rPr>
                <w:rFonts w:ascii="Arial" w:cs="Arial" w:eastAsia="Arial" w:hAnsi="Arial"/>
                <w:sz w:val="18"/>
                <w:szCs w:val="18"/>
                <w:color w:val="auto"/>
                <w:w w:val="91"/>
              </w:rPr>
              <w:t>Letter of Intent, dated May 24, 2002, by and between Valvino Lamore, LLC and Ferrari North America, Inc.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7900" w:type="dxa"/>
            <w:vAlign w:val="bottom"/>
          </w:tcPr>
          <w:p>
            <w:pPr>
              <w:ind w:left="140"/>
              <w:spacing w:after="0"/>
              <w:rPr>
                <w:sz w:val="20"/>
                <w:szCs w:val="20"/>
                <w:color w:val="auto"/>
              </w:rPr>
            </w:pPr>
            <w:r>
              <w:rPr>
                <w:rFonts w:ascii="Arial" w:cs="Arial" w:eastAsia="Arial" w:hAnsi="Arial"/>
                <w:sz w:val="18"/>
                <w:szCs w:val="18"/>
                <w:color w:val="auto"/>
                <w:w w:val="90"/>
              </w:rPr>
              <w:t>First Amendment to Letter of Intent, dated as of October 4, 2002, by and between Valvino Lamore, LLC and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Ferrari North America, Inc.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*10.49</w:t>
            </w:r>
          </w:p>
        </w:tc>
        <w:tc>
          <w:tcPr>
            <w:tcW w:w="7900" w:type="dxa"/>
            <w:vAlign w:val="bottom"/>
          </w:tcPr>
          <w:p>
            <w:pPr>
              <w:ind w:left="140"/>
              <w:spacing w:after="0"/>
              <w:rPr>
                <w:sz w:val="20"/>
                <w:szCs w:val="20"/>
                <w:color w:val="auto"/>
              </w:rPr>
            </w:pPr>
            <w:r>
              <w:rPr>
                <w:rFonts w:ascii="Arial" w:cs="Arial" w:eastAsia="Arial" w:hAnsi="Arial"/>
                <w:sz w:val="18"/>
                <w:szCs w:val="18"/>
                <w:color w:val="auto"/>
                <w:w w:val="89"/>
              </w:rPr>
              <w:t>Letter of Intent, dated May 24, 2002, by and between Valvino Lamore, LLC and Maserati North America, Inc.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7900" w:type="dxa"/>
            <w:vAlign w:val="bottom"/>
          </w:tcPr>
          <w:p>
            <w:pPr>
              <w:ind w:left="140"/>
              <w:spacing w:after="0"/>
              <w:rPr>
                <w:sz w:val="20"/>
                <w:szCs w:val="20"/>
                <w:color w:val="auto"/>
              </w:rPr>
            </w:pPr>
            <w:r>
              <w:rPr>
                <w:rFonts w:ascii="Arial" w:cs="Arial" w:eastAsia="Arial" w:hAnsi="Arial"/>
                <w:sz w:val="18"/>
                <w:szCs w:val="18"/>
                <w:color w:val="auto"/>
                <w:w w:val="90"/>
              </w:rPr>
              <w:t>First Amendment to Letter of Intent, dated as of October 4, 2002, by and between Valvino Lamore, LLC and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Arial" w:cs="Arial" w:eastAsia="Arial" w:hAnsi="Arial"/>
                <w:sz w:val="18"/>
                <w:szCs w:val="18"/>
                <w:color w:val="auto"/>
              </w:rPr>
              <w:t>Maserati North America, Inc.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790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7900" w:type="dxa"/>
            <w:vAlign w:val="bottom"/>
          </w:tcPr>
          <w:p>
            <w:pPr>
              <w:ind w:left="140"/>
              <w:spacing w:after="0"/>
              <w:rPr>
                <w:sz w:val="20"/>
                <w:szCs w:val="20"/>
                <w:color w:val="auto"/>
              </w:rPr>
            </w:pPr>
            <w:r>
              <w:rPr>
                <w:rFonts w:ascii="Arial" w:cs="Arial" w:eastAsia="Arial" w:hAnsi="Arial"/>
                <w:sz w:val="18"/>
                <w:szCs w:val="18"/>
                <w:color w:val="auto"/>
              </w:rPr>
              <w:t>Subsidiaries of the Registrant.(5)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900" w:type="dxa"/>
            <w:vAlign w:val="bottom"/>
          </w:tcPr>
          <w:p>
            <w:pPr>
              <w:ind w:left="140"/>
              <w:spacing w:after="0"/>
              <w:rPr>
                <w:sz w:val="20"/>
                <w:szCs w:val="20"/>
                <w:color w:val="auto"/>
              </w:rPr>
            </w:pPr>
            <w:r>
              <w:rPr>
                <w:rFonts w:ascii="Arial" w:cs="Arial" w:eastAsia="Arial" w:hAnsi="Arial"/>
                <w:sz w:val="18"/>
                <w:szCs w:val="18"/>
                <w:color w:val="auto"/>
              </w:rPr>
              <w:t>Consent of Schreck Brignone (included in Exhibit 5.1).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7900" w:type="dxa"/>
            <w:vAlign w:val="bottom"/>
          </w:tcPr>
          <w:p>
            <w:pPr>
              <w:ind w:left="140"/>
              <w:spacing w:after="0"/>
              <w:rPr>
                <w:sz w:val="20"/>
                <w:szCs w:val="20"/>
                <w:color w:val="auto"/>
              </w:rPr>
            </w:pPr>
            <w:r>
              <w:rPr>
                <w:rFonts w:ascii="Arial" w:cs="Arial" w:eastAsia="Arial" w:hAnsi="Arial"/>
                <w:sz w:val="18"/>
                <w:szCs w:val="18"/>
                <w:color w:val="auto"/>
              </w:rPr>
              <w:t>Consent of Deloitte &amp; Touche LLP.(5)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7900" w:type="dxa"/>
            <w:vAlign w:val="bottom"/>
          </w:tcPr>
          <w:p>
            <w:pPr>
              <w:ind w:left="140"/>
              <w:spacing w:after="0"/>
              <w:rPr>
                <w:sz w:val="20"/>
                <w:szCs w:val="20"/>
                <w:color w:val="auto"/>
              </w:rPr>
            </w:pPr>
            <w:r>
              <w:rPr>
                <w:rFonts w:ascii="Arial" w:cs="Arial" w:eastAsia="Arial" w:hAnsi="Arial"/>
                <w:sz w:val="18"/>
                <w:szCs w:val="18"/>
                <w:color w:val="auto"/>
              </w:rPr>
              <w:t>Consents of Persons Named to Become Directors.(5)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790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0" w:type="dxa"/>
            <w:vAlign w:val="bottom"/>
          </w:tcPr>
          <w:p>
            <w:pPr>
              <w:spacing w:after="0"/>
              <w:rPr>
                <w:sz w:val="1"/>
                <w:szCs w:val="1"/>
                <w:color w:val="auto"/>
              </w:rPr>
            </w:pPr>
          </w:p>
        </w:tc>
      </w:tr>
      <w:tr>
        <w:trPr>
          <w:trHeight w:val="120"/>
        </w:trPr>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8580" w:type="dxa"/>
            <w:vAlign w:val="bottom"/>
            <w:gridSpan w:val="3"/>
          </w:tcPr>
          <w:p>
            <w:pPr>
              <w:ind w:left="280"/>
              <w:spacing w:after="0"/>
              <w:rPr>
                <w:sz w:val="20"/>
                <w:szCs w:val="20"/>
                <w:color w:val="auto"/>
              </w:rPr>
            </w:pPr>
            <w:r>
              <w:rPr>
                <w:rFonts w:ascii="Arial" w:cs="Arial" w:eastAsia="Arial" w:hAnsi="Arial"/>
                <w:sz w:val="14"/>
                <w:szCs w:val="14"/>
                <w:color w:val="auto"/>
              </w:rPr>
              <w:t>To be filed by amendment.</w:t>
            </w:r>
          </w:p>
        </w:tc>
        <w:tc>
          <w:tcPr>
            <w:tcW w:w="0" w:type="dxa"/>
            <w:vAlign w:val="bottom"/>
          </w:tcPr>
          <w:p>
            <w:pPr>
              <w:spacing w:after="0"/>
              <w:rPr>
                <w:sz w:val="1"/>
                <w:szCs w:val="1"/>
                <w:color w:val="auto"/>
              </w:rPr>
            </w:pPr>
          </w:p>
        </w:tc>
      </w:tr>
      <w:tr>
        <w:trPr>
          <w:trHeight w:val="54"/>
        </w:trPr>
        <w:tc>
          <w:tcPr>
            <w:tcW w:w="260" w:type="dxa"/>
            <w:vAlign w:val="bottom"/>
            <w:vMerge w:val="continue"/>
          </w:tcPr>
          <w:p>
            <w:pPr>
              <w:spacing w:after="0"/>
              <w:rPr>
                <w:sz w:val="4"/>
                <w:szCs w:val="4"/>
                <w:color w:val="auto"/>
              </w:rPr>
            </w:pPr>
          </w:p>
        </w:tc>
        <w:tc>
          <w:tcPr>
            <w:tcW w:w="8580" w:type="dxa"/>
            <w:vAlign w:val="bottom"/>
            <w:gridSpan w:val="3"/>
            <w:vMerge w:val="restart"/>
          </w:tcPr>
          <w:p>
            <w:pPr>
              <w:ind w:left="280"/>
              <w:spacing w:after="0" w:line="108" w:lineRule="exact"/>
              <w:rPr>
                <w:sz w:val="20"/>
                <w:szCs w:val="20"/>
                <w:color w:val="auto"/>
              </w:rPr>
            </w:pPr>
            <w:r>
              <w:rPr>
                <w:rFonts w:ascii="Arial" w:cs="Arial" w:eastAsia="Arial" w:hAnsi="Arial"/>
                <w:sz w:val="12"/>
                <w:szCs w:val="12"/>
                <w:color w:val="auto"/>
              </w:rPr>
              <w:t>Previously filed with the Form S-1 filed by the Registrant on June 17, 2002.</w:t>
            </w:r>
          </w:p>
        </w:tc>
        <w:tc>
          <w:tcPr>
            <w:tcW w:w="0" w:type="dxa"/>
            <w:vAlign w:val="bottom"/>
          </w:tcPr>
          <w:p>
            <w:pPr>
              <w:spacing w:after="0"/>
              <w:rPr>
                <w:sz w:val="1"/>
                <w:szCs w:val="1"/>
                <w:color w:val="auto"/>
              </w:rPr>
            </w:pPr>
          </w:p>
        </w:tc>
      </w:tr>
      <w:tr>
        <w:trPr>
          <w:trHeight w:val="54"/>
        </w:trPr>
        <w:tc>
          <w:tcPr>
            <w:tcW w:w="260" w:type="dxa"/>
            <w:vAlign w:val="bottom"/>
          </w:tcPr>
          <w:p>
            <w:pPr>
              <w:spacing w:after="0" w:line="54" w:lineRule="exact"/>
              <w:rPr>
                <w:sz w:val="20"/>
                <w:szCs w:val="20"/>
                <w:color w:val="auto"/>
              </w:rPr>
            </w:pPr>
            <w:r>
              <w:rPr>
                <w:rFonts w:ascii="Arial" w:cs="Arial" w:eastAsia="Arial" w:hAnsi="Arial"/>
                <w:sz w:val="6"/>
                <w:szCs w:val="6"/>
                <w:color w:val="auto"/>
              </w:rPr>
              <w:t>(1)</w:t>
            </w:r>
          </w:p>
        </w:tc>
        <w:tc>
          <w:tcPr>
            <w:tcW w:w="8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rPr>
              <w:t>(2)</w:t>
            </w:r>
          </w:p>
        </w:tc>
        <w:tc>
          <w:tcPr>
            <w:tcW w:w="85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Previously filed with Amendment No. 1 to the Form S-1 filed by the Registrant on August 20, 2002.</w:t>
            </w:r>
          </w:p>
        </w:tc>
        <w:tc>
          <w:tcPr>
            <w:tcW w:w="0" w:type="dxa"/>
            <w:vAlign w:val="bottom"/>
          </w:tcPr>
          <w:p>
            <w:pPr>
              <w:spacing w:after="0"/>
              <w:rPr>
                <w:sz w:val="1"/>
                <w:szCs w:val="1"/>
                <w:color w:val="auto"/>
              </w:rPr>
            </w:pPr>
          </w:p>
        </w:tc>
      </w:tr>
      <w:tr>
        <w:trPr>
          <w:trHeight w:val="40"/>
        </w:trPr>
        <w:tc>
          <w:tcPr>
            <w:tcW w:w="2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-380365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-380365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16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2 to the Form S-1 filed by the Registrant on August 26, 2002.</w:t>
      </w:r>
    </w:p>
    <w:p>
      <w:pPr>
        <w:ind w:left="540" w:hanging="532"/>
        <w:spacing w:after="0" w:line="197" w:lineRule="auto"/>
        <w:tabs>
          <w:tab w:leader="none" w:pos="540" w:val="left"/>
        </w:tabs>
        <w:numPr>
          <w:ilvl w:val="0"/>
          <w:numId w:val="169"/>
        </w:numPr>
        <w:rPr>
          <w:rFonts w:ascii="Arial" w:cs="Arial" w:eastAsia="Arial" w:hAnsi="Arial"/>
          <w:sz w:val="10"/>
          <w:szCs w:val="10"/>
          <w:color w:val="auto"/>
          <w:vertAlign w:val="subscript"/>
        </w:rPr>
      </w:pPr>
      <w:r>
        <w:rPr>
          <w:rFonts w:ascii="Arial" w:cs="Arial" w:eastAsia="Arial" w:hAnsi="Arial"/>
          <w:sz w:val="8"/>
          <w:szCs w:val="8"/>
          <w:color w:val="auto"/>
        </w:rPr>
        <w:t>Previously filed with Amendment No. 3 to the Form S-1 filed by the Registrant on September 18, 2002.</w:t>
      </w:r>
    </w:p>
    <w:p>
      <w:pPr>
        <w:ind w:left="540" w:hanging="532"/>
        <w:spacing w:after="0" w:line="185" w:lineRule="auto"/>
        <w:tabs>
          <w:tab w:leader="none" w:pos="540" w:val="left"/>
        </w:tabs>
        <w:numPr>
          <w:ilvl w:val="0"/>
          <w:numId w:val="169"/>
        </w:numPr>
        <w:rPr>
          <w:rFonts w:ascii="Arial" w:cs="Arial" w:eastAsia="Arial" w:hAnsi="Arial"/>
          <w:sz w:val="18"/>
          <w:szCs w:val="18"/>
          <w:color w:val="auto"/>
          <w:vertAlign w:val="subscript"/>
        </w:rPr>
      </w:pPr>
      <w:r>
        <w:rPr>
          <w:rFonts w:ascii="Arial" w:cs="Arial" w:eastAsia="Arial" w:hAnsi="Arial"/>
          <w:sz w:val="10"/>
          <w:szCs w:val="10"/>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4 to the Registration Statement to be signed on its behalf by the undersigned, thereunto duly authorized, in Las Vegas, Nevada, on the 5th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-353695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0" w:name="page121"/>
    <w:bookmarkEnd w:id="120"/>
    <w:p>
      <w:pPr>
        <w:ind w:left="7080"/>
        <w:spacing w:after="0"/>
        <w:rPr>
          <w:sz w:val="20"/>
          <w:szCs w:val="20"/>
          <w:color w:val="auto"/>
        </w:rPr>
      </w:pPr>
      <w:r>
        <w:rPr>
          <w:rFonts w:ascii="Arial" w:cs="Arial" w:eastAsia="Arial" w:hAnsi="Arial"/>
          <w:sz w:val="18"/>
          <w:szCs w:val="18"/>
          <w:color w:val="auto"/>
        </w:rPr>
        <w:t>Executive Officer)</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6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40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c>
          <w:tcPr>
            <w:tcW w:w="2240" w:type="dxa"/>
            <w:vAlign w:val="bottom"/>
          </w:tcPr>
          <w:p>
            <w:pPr>
              <w:ind w:left="580"/>
              <w:spacing w:after="0"/>
              <w:rPr>
                <w:sz w:val="20"/>
                <w:szCs w:val="20"/>
                <w:color w:val="auto"/>
              </w:rPr>
            </w:pPr>
            <w:r>
              <w:rPr>
                <w:rFonts w:ascii="Arial" w:cs="Arial" w:eastAsia="Arial" w:hAnsi="Arial"/>
                <w:sz w:val="18"/>
                <w:szCs w:val="18"/>
                <w:color w:val="auto"/>
              </w:rPr>
              <w:t>October 5,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4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40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40" w:type="dxa"/>
            <w:vAlign w:val="bottom"/>
          </w:tcPr>
          <w:p>
            <w:pPr>
              <w:ind w:left="580"/>
              <w:spacing w:after="0"/>
              <w:rPr>
                <w:sz w:val="20"/>
                <w:szCs w:val="20"/>
                <w:color w:val="auto"/>
              </w:rPr>
            </w:pPr>
            <w:r>
              <w:rPr>
                <w:rFonts w:ascii="Arial" w:cs="Arial" w:eastAsia="Arial" w:hAnsi="Arial"/>
                <w:sz w:val="18"/>
                <w:szCs w:val="18"/>
                <w:color w:val="auto"/>
              </w:rPr>
              <w:t>October 5,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40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40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4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5400" w:type="dxa"/>
            <w:vAlign w:val="bottom"/>
          </w:tcPr>
          <w:p>
            <w:pPr>
              <w:ind w:left="1820"/>
              <w:spacing w:after="0"/>
              <w:rPr>
                <w:sz w:val="20"/>
                <w:szCs w:val="20"/>
                <w:color w:val="auto"/>
              </w:rPr>
            </w:pPr>
            <w:r>
              <w:rPr>
                <w:rFonts w:ascii="Arial" w:cs="Arial" w:eastAsia="Arial" w:hAnsi="Arial"/>
                <w:sz w:val="18"/>
                <w:szCs w:val="18"/>
                <w:color w:val="auto"/>
              </w:rPr>
              <w:t>S-1</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-1214755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Arial" w:cs="Arial" w:eastAsia="Arial" w:hAnsi="Arial"/>
                <w:sz w:val="14"/>
                <w:szCs w:val="14"/>
                <w:b w:val="1"/>
                <w:bCs w:val="1"/>
                <w:color w:val="auto"/>
                <w:w w:val="88"/>
              </w:rPr>
              <w:t>No.</w:t>
            </w:r>
          </w:p>
        </w:tc>
        <w:tc>
          <w:tcPr>
            <w:tcW w:w="348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9" w:lineRule="exact"/>
        <w:rPr>
          <w:sz w:val="20"/>
          <w:szCs w:val="20"/>
          <w:color w:val="auto"/>
        </w:rPr>
      </w:pPr>
    </w:p>
    <w:p>
      <w:pPr>
        <w:ind w:left="1080" w:right="2680" w:hanging="563"/>
        <w:spacing w:after="0" w:line="323"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Asset and Land Purchase Agreement, dated as of April 28, 2000, by and among Starwood Hotels &amp; Resorts Worldwide, Inc., Sheraton Gaming Corporation, Sheraton Desert Inn Corporation, Valvino Lamore, LLC and</w:t>
      </w:r>
    </w:p>
    <w:p>
      <w:pPr>
        <w:sectPr>
          <w:pgSz w:w="11900" w:h="16838" w:orient="portrait"/>
          <w:cols w:equalWidth="0" w:num="1">
            <w:col w:w="11420"/>
          </w:cols>
          <w:pgMar w:left="240" w:top="131" w:right="239" w:bottom="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Stephen A. Wynn.(1)</w:t>
      </w:r>
    </w:p>
    <w:p>
      <w:pPr>
        <w:spacing w:after="0" w:line="15" w:lineRule="exact"/>
        <w:rPr>
          <w:sz w:val="20"/>
          <w:szCs w:val="20"/>
          <w:color w:val="auto"/>
        </w:rPr>
      </w:pPr>
    </w:p>
    <w:p>
      <w:pPr>
        <w:ind w:left="660" w:right="1419" w:hanging="563"/>
        <w:spacing w:after="0" w:line="250" w:lineRule="auto"/>
        <w:tabs>
          <w:tab w:leader="none" w:pos="64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59" w:hanging="563"/>
        <w:spacing w:after="0" w:line="300"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599" w:hanging="563"/>
        <w:spacing w:after="0" w:line="250" w:lineRule="auto"/>
        <w:tabs>
          <w:tab w:leader="none" w:pos="64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660" w:right="1959" w:hanging="563"/>
        <w:spacing w:after="0" w:line="250" w:lineRule="auto"/>
        <w:tabs>
          <w:tab w:leader="none" w:pos="64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Agreement.(4)</w:t>
      </w:r>
    </w:p>
    <w:p>
      <w:pPr>
        <w:spacing w:after="0" w:line="9" w:lineRule="exact"/>
        <w:rPr>
          <w:sz w:val="20"/>
          <w:szCs w:val="20"/>
          <w:color w:val="auto"/>
        </w:rPr>
      </w:pPr>
    </w:p>
    <w:p>
      <w:pPr>
        <w:ind w:left="660" w:right="1619" w:hanging="651"/>
        <w:spacing w:after="0" w:line="261"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Employment Agreement, dated as of September 6, 2002, by and between Wynn Resorts, Limited and Marc H.</w:t>
      </w:r>
    </w:p>
    <w:p>
      <w:pPr>
        <w:sectPr>
          <w:pgSz w:w="11900" w:h="16838" w:orient="portrait"/>
          <w:cols w:equalWidth="0" w:num="1">
            <w:col w:w="9799"/>
          </w:cols>
          <w:pgMar w:left="660" w:top="131" w:right="1440" w:bottom="0" w:gutter="0" w:footer="0" w:header="0"/>
        </w:sectPr>
      </w:pPr>
    </w:p>
    <w:bookmarkStart w:id="122" w:name="page123"/>
    <w:bookmarkEnd w:id="122"/>
    <w:p>
      <w:pPr>
        <w:ind w:left="1080"/>
        <w:spacing w:after="0"/>
        <w:rPr>
          <w:sz w:val="20"/>
          <w:szCs w:val="20"/>
          <w:color w:val="auto"/>
        </w:rPr>
      </w:pPr>
      <w:r>
        <w:rPr>
          <w:rFonts w:ascii="Arial" w:cs="Arial" w:eastAsia="Arial" w:hAnsi="Arial"/>
          <w:sz w:val="18"/>
          <w:szCs w:val="18"/>
          <w:color w:val="auto"/>
        </w:rPr>
        <w:t>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1080" w:right="1659" w:hanging="651"/>
        <w:spacing w:after="0" w:line="254" w:lineRule="auto"/>
        <w:tabs>
          <w:tab w:leader="none" w:pos="106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1080" w:right="1479" w:hanging="738"/>
        <w:spacing w:after="0" w:line="250" w:lineRule="auto"/>
        <w:tabs>
          <w:tab w:leader="none" w:pos="1060" w:val="left"/>
        </w:tabs>
        <w:rPr>
          <w:sz w:val="20"/>
          <w:szCs w:val="20"/>
          <w:color w:val="auto"/>
        </w:rPr>
      </w:pPr>
      <w:r>
        <w:rPr>
          <w:rFonts w:ascii="Arial" w:cs="Arial" w:eastAsia="Arial" w:hAnsi="Arial"/>
          <w:sz w:val="18"/>
          <w:szCs w:val="18"/>
          <w:color w:val="auto"/>
        </w:rPr>
        <w:t>*10.41</w:t>
        <w:tab/>
        <w:t>Indenture, dated , 2002, governing the % Second Mortgage Notes due 2010 by and among Wynn Las Vegas, LLC, Wynn Las Vegas Capital Corp., Desert Inn Water Company, LLC, Wynn Design &amp; Development, LLC, Wynn Resorts Holdings, LLC, Las Vegas Jet, LLC, World Travel, LLC, Palo, LLC and Valvino Lamore, LLC.</w:t>
      </w:r>
    </w:p>
    <w:p>
      <w:pPr>
        <w:spacing w:after="0" w:line="2" w:lineRule="exact"/>
        <w:rPr>
          <w:sz w:val="20"/>
          <w:szCs w:val="20"/>
          <w:color w:val="auto"/>
        </w:rPr>
      </w:pPr>
    </w:p>
    <w:p>
      <w:pPr>
        <w:ind w:left="1080" w:right="1839" w:hanging="651"/>
        <w:spacing w:after="0" w:line="250" w:lineRule="auto"/>
        <w:tabs>
          <w:tab w:leader="none" w:pos="106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1080" w:right="1319" w:hanging="651"/>
        <w:spacing w:after="0" w:line="250" w:lineRule="auto"/>
        <w:tabs>
          <w:tab w:leader="none" w:pos="106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1080" w:right="1479" w:hanging="651"/>
        <w:spacing w:after="0" w:line="250" w:lineRule="auto"/>
        <w:tabs>
          <w:tab w:leader="none" w:pos="106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1080" w:right="1319" w:hanging="651"/>
        <w:spacing w:after="0" w:line="250" w:lineRule="auto"/>
        <w:tabs>
          <w:tab w:leader="none" w:pos="106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1080" w:right="1399" w:hanging="651"/>
        <w:spacing w:after="0" w:line="250" w:lineRule="auto"/>
        <w:tabs>
          <w:tab w:leader="none" w:pos="106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w:t>
      </w:r>
    </w:p>
    <w:p>
      <w:pPr>
        <w:spacing w:after="0" w:line="9" w:lineRule="exact"/>
        <w:rPr>
          <w:sz w:val="20"/>
          <w:szCs w:val="20"/>
          <w:color w:val="auto"/>
        </w:rPr>
      </w:pPr>
    </w:p>
    <w:p>
      <w:pPr>
        <w:ind w:left="1080" w:right="1499" w:hanging="738"/>
        <w:spacing w:after="0" w:line="250" w:lineRule="auto"/>
        <w:tabs>
          <w:tab w:leader="none" w:pos="106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w:t>
      </w:r>
    </w:p>
    <w:p>
      <w:pPr>
        <w:spacing w:after="0" w:line="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1080" w:right="1499" w:hanging="738"/>
        <w:spacing w:after="0" w:line="250" w:lineRule="auto"/>
        <w:tabs>
          <w:tab w:leader="none" w:pos="106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w:t>
      </w:r>
    </w:p>
    <w:p>
      <w:pPr>
        <w:spacing w:after="0" w:line="1"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Registrant.(5)</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Consents of Persons Named to Become Directors.(5)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71"/>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71"/>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71"/>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71"/>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71"/>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1539"/>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ectPr>
          <w:pgSz w:w="11900" w:h="16838" w:orient="portrait"/>
          <w:cols w:equalWidth="0" w:num="1">
            <w:col w:w="10219"/>
          </w:cols>
          <w:pgMar w:left="240" w:top="131" w:right="1440" w:bottom="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CONCESSION AGREEMENT WITH THE GOVERNMENT OF MACAU</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jc w:val="both"/>
        <w:ind w:right="22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20"/>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ind w:right="60"/>
        <w:spacing w:after="0" w:line="250"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2002 (In Thousands) (Unaudited)</w:t>
        </w:r>
      </w:hyperlink>
    </w:p>
    <w:p>
      <w:pPr>
        <w:spacing w:after="0" w:line="1"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4" w:name="page125"/>
    <w:bookmarkEnd w:id="124"/>
    <w:p>
      <w:pPr>
        <w:spacing w:after="0" w:line="73" w:lineRule="exact"/>
        <w:rPr>
          <w:sz w:val="20"/>
          <w:szCs w:val="20"/>
          <w:color w:val="auto"/>
        </w:rPr>
      </w:pPr>
    </w:p>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ind w:right="400" w:firstLine="348"/>
        <w:spacing w:after="0" w:line="275" w:lineRule="auto"/>
        <w:rPr>
          <w:sz w:val="20"/>
          <w:szCs w:val="20"/>
          <w:color w:val="auto"/>
        </w:rPr>
      </w:pPr>
      <w:r>
        <w:rPr>
          <w:rFonts w:ascii="Arial" w:cs="Arial" w:eastAsia="Arial" w:hAnsi="Arial"/>
          <w:sz w:val="18"/>
          <w:szCs w:val="18"/>
          <w:color w:val="auto"/>
        </w:rPr>
        <w:t>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under the laws of the State of Nevada, by its Chief Executive Officer does hereby certify that:</w:t>
      </w:r>
    </w:p>
    <w:p>
      <w:pPr>
        <w:spacing w:after="0" w:line="174" w:lineRule="exact"/>
        <w:rPr>
          <w:sz w:val="20"/>
          <w:szCs w:val="20"/>
          <w:color w:val="auto"/>
        </w:rPr>
      </w:pPr>
    </w:p>
    <w:p>
      <w:pPr>
        <w:ind w:right="60" w:firstLine="359"/>
        <w:spacing w:after="0" w:line="275" w:lineRule="auto"/>
        <w:tabs>
          <w:tab w:leader="none" w:pos="6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Pursuant to the provisions of Sections 78.390 and 78.403 of </w:t>
      </w:r>
      <w:r>
        <w:rPr>
          <w:rFonts w:ascii="Arial" w:cs="Arial" w:eastAsia="Arial" w:hAnsi="Arial"/>
          <w:sz w:val="18"/>
          <w:szCs w:val="18"/>
          <w:i w:val="1"/>
          <w:iCs w:val="1"/>
          <w:color w:val="auto"/>
        </w:rPr>
        <w:t>Nevada Revised Statutes</w:t>
      </w:r>
      <w:r>
        <w:rPr>
          <w:rFonts w:ascii="Arial" w:cs="Arial" w:eastAsia="Arial" w:hAnsi="Arial"/>
          <w:sz w:val="18"/>
          <w:szCs w:val="18"/>
          <w:color w:val="auto"/>
        </w:rPr>
        <w:t xml:space="preserve"> ("</w:t>
      </w:r>
      <w:r>
        <w:rPr>
          <w:rFonts w:ascii="Arial" w:cs="Arial" w:eastAsia="Arial" w:hAnsi="Arial"/>
          <w:sz w:val="18"/>
          <w:szCs w:val="18"/>
          <w:b w:val="1"/>
          <w:bCs w:val="1"/>
          <w:color w:val="auto"/>
        </w:rPr>
        <w:t>NRS</w:t>
      </w:r>
      <w:r>
        <w:rPr>
          <w:rFonts w:ascii="Arial" w:cs="Arial" w:eastAsia="Arial" w:hAnsi="Arial"/>
          <w:sz w:val="18"/>
          <w:szCs w:val="18"/>
          <w:color w:val="auto"/>
        </w:rPr>
        <w:t>") the Corporation hereby amends and restates its articles of incorporation as follows:</w:t>
      </w:r>
    </w:p>
    <w:p>
      <w:pPr>
        <w:spacing w:after="0" w:line="179" w:lineRule="exact"/>
        <w:rPr>
          <w:rFonts w:ascii="Arial" w:cs="Arial" w:eastAsia="Arial" w:hAnsi="Arial"/>
          <w:sz w:val="18"/>
          <w:szCs w:val="18"/>
          <w:color w:val="auto"/>
        </w:rPr>
      </w:pPr>
    </w:p>
    <w:p>
      <w:pPr>
        <w:ind w:right="780" w:firstLine="359"/>
        <w:spacing w:after="0" w:line="332" w:lineRule="auto"/>
        <w:tabs>
          <w:tab w:leader="none" w:pos="6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amendment and restatement of the Articles of Incorporation as set forth below was adopted by the Corporation's board of directors by the unanimous written consent as of September 16, 2002 in accordance with the provisions of NRS 78.315 and NRS 78.390.</w:t>
      </w:r>
    </w:p>
    <w:p>
      <w:pPr>
        <w:spacing w:after="0" w:line="139" w:lineRule="exact"/>
        <w:rPr>
          <w:rFonts w:ascii="Arial" w:cs="Arial" w:eastAsia="Arial" w:hAnsi="Arial"/>
          <w:sz w:val="16"/>
          <w:szCs w:val="16"/>
          <w:color w:val="auto"/>
        </w:rPr>
      </w:pPr>
    </w:p>
    <w:p>
      <w:pPr>
        <w:ind w:right="480" w:firstLine="359"/>
        <w:spacing w:after="0" w:line="268"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amendment and restatement of the Articles of Incorporation as set forth below was approved by the written consent of the sole stockholder on September 16, 2002.</w:t>
      </w:r>
    </w:p>
    <w:p>
      <w:pPr>
        <w:spacing w:after="0" w:line="185" w:lineRule="exact"/>
        <w:rPr>
          <w:rFonts w:ascii="Arial" w:cs="Arial" w:eastAsia="Arial" w:hAnsi="Arial"/>
          <w:sz w:val="18"/>
          <w:szCs w:val="18"/>
          <w:color w:val="auto"/>
        </w:rPr>
      </w:pPr>
    </w:p>
    <w:p>
      <w:pPr>
        <w:ind w:right="360" w:firstLine="359"/>
        <w:spacing w:after="0" w:line="268"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That the undersigned officer has been authorized and directed by the board of directors to execute and file this certificate setting forth the text of the Articles of Incorporation of the Corporation as amended and restated in its entirety to this date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the corporation is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Authorized Shares.</w:t>
      </w:r>
      <w:r>
        <w:rPr>
          <w:rFonts w:ascii="Arial" w:cs="Arial" w:eastAsia="Arial" w:hAnsi="Arial"/>
          <w:sz w:val="16"/>
          <w:szCs w:val="16"/>
          <w:color w:val="auto"/>
        </w:rPr>
        <w:t xml:space="preserve"> The aggregate number of shares which the Corporation shall have authority to issue is four hundred and forty million (440,000,000) shares, consisting of two classes to be designated, respectively, "Common Stock" and "Preferred Stock," with all of such shares having a par value of $.01 per share. The total number of shares of Common Stock that the Corporation shall have authority to issue is four hundred million (400,000,000) shares. The total number of shares of Preferred Stock that the Corporation shall have authority to issue is forty million (40,000,000) shares. The Preferred Stock may be issued in one or more series, each series to be appropriately designated by a distinguishing letter or title, prior to the issuance of any shares thereof. The voting powers, designations, preferences, limitations, restrictions, and relative, participating, optional and other rights, and the qualifications, limitations, or restrictions thereof, of the Preferred Stock shall hereinafter be prescribed by resolution of the board of directors pursuant to Section 3 of this Article II.</w:t>
      </w:r>
    </w:p>
    <w:p>
      <w:pPr>
        <w:spacing w:after="0" w:line="172"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i w:val="1"/>
          <w:iCs w:val="1"/>
          <w:color w:val="auto"/>
        </w:rPr>
        <w:t>Common Stock.</w:t>
      </w:r>
    </w:p>
    <w:p>
      <w:pPr>
        <w:spacing w:after="0" w:line="225" w:lineRule="exact"/>
        <w:rPr>
          <w:sz w:val="20"/>
          <w:szCs w:val="20"/>
          <w:color w:val="auto"/>
        </w:rPr>
      </w:pPr>
    </w:p>
    <w:p>
      <w:pPr>
        <w:jc w:val="both"/>
        <w:ind w:left="540" w:right="120" w:firstLine="359"/>
        <w:spacing w:after="0" w:line="306" w:lineRule="auto"/>
        <w:tabs>
          <w:tab w:leader="none" w:pos="1262"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Subject to the rights of holders of any Preferred Stock having preference as to dividends and except as otherwise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these Articles of Incorporation, as amended from time to time (hereinafter, the "</w:t>
      </w:r>
      <w:r>
        <w:rPr>
          <w:rFonts w:ascii="Arial" w:cs="Arial" w:eastAsia="Arial" w:hAnsi="Arial"/>
          <w:sz w:val="16"/>
          <w:szCs w:val="16"/>
          <w:b w:val="1"/>
          <w:bCs w:val="1"/>
          <w:color w:val="auto"/>
        </w:rPr>
        <w:t>Articles</w:t>
      </w:r>
      <w:r>
        <w:rPr>
          <w:rFonts w:ascii="Arial" w:cs="Arial" w:eastAsia="Arial" w:hAnsi="Arial"/>
          <w:sz w:val="16"/>
          <w:szCs w:val="16"/>
          <w:color w:val="auto"/>
        </w:rPr>
        <w:t>") or the NRS, the holders of Common Stock shall be entitled to receive dividends when, as and if declared by the board of directors out of assets legally available therefor.</w:t>
      </w:r>
    </w:p>
    <w:p>
      <w:pPr>
        <w:spacing w:after="0" w:line="160" w:lineRule="exact"/>
        <w:rPr>
          <w:rFonts w:ascii="Arial" w:cs="Arial" w:eastAsia="Arial" w:hAnsi="Arial"/>
          <w:sz w:val="16"/>
          <w:szCs w:val="16"/>
          <w:color w:val="auto"/>
        </w:rPr>
      </w:pPr>
    </w:p>
    <w:p>
      <w:pPr>
        <w:ind w:left="540" w:right="120" w:firstLine="359"/>
        <w:spacing w:after="0" w:line="332" w:lineRule="auto"/>
        <w:tabs>
          <w:tab w:leader="none" w:pos="1271"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otherwise provided by the NRS, the holders of the issued and outstanding shares of Common Stock shall be entitled</w:t>
      </w:r>
      <w:r>
        <w:rPr>
          <w:rFonts w:ascii="Arial" w:cs="Arial" w:eastAsia="Arial" w:hAnsi="Arial"/>
          <w:sz w:val="16"/>
          <w:szCs w:val="16"/>
          <w:i w:val="1"/>
          <w:iCs w:val="1"/>
          <w:color w:val="auto"/>
        </w:rPr>
        <w:t xml:space="preserve"> </w:t>
      </w:r>
      <w:r>
        <w:rPr>
          <w:rFonts w:ascii="Arial" w:cs="Arial" w:eastAsia="Arial" w:hAnsi="Arial"/>
          <w:sz w:val="16"/>
          <w:szCs w:val="16"/>
          <w:color w:val="auto"/>
        </w:rPr>
        <w:t>to one vote for each share of Common Stock. No holder of shares of Common Stock shall have the right to cumulate votes.</w:t>
      </w:r>
    </w:p>
    <w:p>
      <w:pPr>
        <w:spacing w:after="0" w:line="139" w:lineRule="exact"/>
        <w:rPr>
          <w:rFonts w:ascii="Arial" w:cs="Arial" w:eastAsia="Arial" w:hAnsi="Arial"/>
          <w:sz w:val="16"/>
          <w:szCs w:val="16"/>
          <w:color w:val="auto"/>
        </w:rPr>
      </w:pPr>
    </w:p>
    <w:p>
      <w:pPr>
        <w:ind w:left="540" w:right="140" w:firstLine="359"/>
        <w:spacing w:after="0" w:line="332" w:lineRule="auto"/>
        <w:tabs>
          <w:tab w:leader="none" w:pos="1262"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In the event of liquidation, dissolution, or winding up of the affairs of the Corporation, whether voluntary or involuntary,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prior rights of holders of Preferred Stock to share ratably in the Corporation's assets, the Common Stock and any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Preferred Stock which are not entitled to any preference in liquidation shall share equally and ratably in the Corporation's assets available for distribution after giving effect to any liquidation preference of any shares of Preferred Stock. A merger, conversion, exchange or consolidation of the Corporation with or into any other person or sale or transfer of all or any part of the assets of the Corporation (which shall not in fact result in the liquidation of the Corporation and the distribution of assets to stockholders) shall not be deemed to be a voluntary or involuntary liquidation, dissolution or winding up of the affairs of the Corporation.</w:t>
      </w:r>
    </w:p>
    <w:p>
      <w:pPr>
        <w:spacing w:after="0" w:line="197" w:lineRule="exact"/>
        <w:rPr>
          <w:sz w:val="20"/>
          <w:szCs w:val="20"/>
          <w:color w:val="auto"/>
        </w:rPr>
      </w:pPr>
    </w:p>
    <w:p>
      <w:pPr>
        <w:ind w:left="1280" w:hanging="381"/>
        <w:spacing w:after="0"/>
        <w:tabs>
          <w:tab w:leader="none" w:pos="128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No Conversion, Redemption, or Preemptive Rights.  </w:t>
      </w:r>
      <w:r>
        <w:rPr>
          <w:rFonts w:ascii="Arial" w:cs="Arial" w:eastAsia="Arial" w:hAnsi="Arial"/>
          <w:sz w:val="16"/>
          <w:szCs w:val="16"/>
          <w:color w:val="auto"/>
        </w:rPr>
        <w:t>The holders of Common Stock shall not have any conversion, redemption, or preemptive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8" w:lineRule="exact"/>
        <w:rPr>
          <w:rFonts w:ascii="Arial" w:cs="Arial" w:eastAsia="Arial" w:hAnsi="Arial"/>
          <w:sz w:val="16"/>
          <w:szCs w:val="16"/>
          <w:color w:val="auto"/>
        </w:rPr>
      </w:pPr>
    </w:p>
    <w:p>
      <w:pPr>
        <w:ind w:left="540" w:right="100" w:firstLine="359"/>
        <w:spacing w:after="0" w:line="268" w:lineRule="auto"/>
        <w:tabs>
          <w:tab w:leader="none" w:pos="1262"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for Shares. </w:t>
      </w:r>
      <w:r>
        <w:rPr>
          <w:rFonts w:ascii="Arial" w:cs="Arial" w:eastAsia="Arial" w:hAnsi="Arial"/>
          <w:sz w:val="18"/>
          <w:szCs w:val="18"/>
          <w:color w:val="auto"/>
        </w:rPr>
        <w:t>The Common Stock authorized by this Article shall be issued for such consideration as shall be fixed,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the board of directors.</w:t>
      </w:r>
    </w:p>
    <w:p>
      <w:pPr>
        <w:spacing w:after="0" w:line="186"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i w:val="1"/>
          <w:iCs w:val="1"/>
          <w:color w:val="auto"/>
        </w:rPr>
        <w:t>Preferred Stock.</w:t>
      </w:r>
    </w:p>
    <w:p>
      <w:pPr>
        <w:spacing w:after="0" w:line="225" w:lineRule="exact"/>
        <w:rPr>
          <w:sz w:val="20"/>
          <w:szCs w:val="20"/>
          <w:color w:val="auto"/>
        </w:rPr>
      </w:pPr>
    </w:p>
    <w:p>
      <w:pPr>
        <w:ind w:left="540" w:firstLine="359"/>
        <w:spacing w:after="0" w:line="298" w:lineRule="auto"/>
        <w:tabs>
          <w:tab w:leader="none" w:pos="1262"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Designation. </w:t>
      </w:r>
      <w:r>
        <w:rPr>
          <w:rFonts w:ascii="Arial" w:cs="Arial" w:eastAsia="Arial" w:hAnsi="Arial"/>
          <w:sz w:val="16"/>
          <w:szCs w:val="16"/>
          <w:color w:val="auto"/>
        </w:rPr>
        <w:t>The board of directors is hereby vested with the authority from time to time to provide by resolution for the issuance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in one or more series not exceeding the aggregate number of shares of Preferred Stock authorized by these Articles, and to prescribe with respect to each such series the voting powers, if any, designations, preferences, and relative, participating, optional, or other special rights, and the qualifications, limitations, or restrictions relating thereto, including, without limiting the generality of the foregoing: the voting rights relating to the shares</w:t>
      </w:r>
    </w:p>
    <w:p>
      <w:pPr>
        <w:sectPr>
          <w:pgSz w:w="11900" w:h="16911" w:orient="portrait"/>
          <w:cols w:equalWidth="0" w:num="1">
            <w:col w:w="11420"/>
          </w:cols>
          <w:pgMar w:left="240" w:top="361" w:right="239" w:bottom="0" w:gutter="0" w:footer="0" w:header="0"/>
        </w:sectPr>
      </w:pPr>
    </w:p>
    <w:bookmarkStart w:id="125" w:name="page126"/>
    <w:bookmarkEnd w:id="125"/>
    <w:p>
      <w:pPr>
        <w:ind w:left="540" w:right="20"/>
        <w:spacing w:after="0" w:line="284" w:lineRule="auto"/>
        <w:rPr>
          <w:sz w:val="20"/>
          <w:szCs w:val="20"/>
          <w:color w:val="auto"/>
        </w:rPr>
      </w:pPr>
      <w:r>
        <w:rPr>
          <w:rFonts w:ascii="Arial" w:cs="Arial" w:eastAsia="Arial" w:hAnsi="Arial"/>
          <w:sz w:val="16"/>
          <w:szCs w:val="16"/>
          <w:color w:val="auto"/>
        </w:rPr>
        <w:t>of Preferred Stock of any series (which voting rights, if any, may be full or limited, may vary over time, and may be applicable generally or only upon any stated fact or event); the rate of dividends (which may be cumulative or noncumulative), the condition or time for payment of dividends and the preference or relation of such dividends to dividends payable on any other class or series of capital stock; the rights of holders of Preferred Stock of any series in the event of liquidation, dissolution, or winding up of the affairs of the Corporation; the rights, if any, of holders of Preferred Stock of any series to convert or exchange such shares of Preferred Stock of such series for shares of any other class or series of capital stock or for any other securities, property, or assets of the Corporation or any subsidiary (including the determination of the price or prices or the rate or rates applicable to such rights to convert or exchange and the adjustment thereof, the time or times during which the right to convert or exchange shall be applicable, and the time or times during which a particular price or rate shall be applicable); whether the shares of any series of Preferred Stock shall be subject to redemption by the Corporation (in addition to any right of redemption pursuant to Article VII of these Articles) and if subject to redemption, the times, prices, rates, adjustments and other terms and conditions of such redemption. The powers, designations, preferences, limitations, restrictions and relative rights may be made dependent upon any fact or event which may be ascertained outside the Articles or the resolution if the manner in which the fact or event may operate on such series is stated in the Articles or resolution. As used in this section "fact or event" includes, without limitation, the existence of a fact or occurrence of an event, including, without limitation, a determination or action by a person, government, governmental agency or political subdivision of a government. The board of directors is further authorized to increase or decrease (but not below the number of such shares of such series then outstanding) the number of shares of any series subsequent to the issuance of shares of that series. Unless the board of directors provides to the contrary in the resolution which fixes the characteristics of a series of Preferred Stock, neither the consent by series, or otherwise, of the holders of any outstanding Preferred Stock nor the consent of the holders of any outstanding Common Stock shall be required for the issuance of any new series of Preferred Stock regardless of whether the rights and preferences of the new series of Preferred Stock are senior or superior, in any way, to the outstanding series of Preferred Stock or the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firstLine="359"/>
        <w:spacing w:after="0" w:line="255" w:lineRule="auto"/>
        <w:tabs>
          <w:tab w:leader="none" w:pos="1271"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Certificate. </w:t>
      </w:r>
      <w:r>
        <w:rPr>
          <w:rFonts w:ascii="Arial" w:cs="Arial" w:eastAsia="Arial" w:hAnsi="Arial"/>
          <w:sz w:val="18"/>
          <w:szCs w:val="18"/>
          <w:color w:val="auto"/>
        </w:rPr>
        <w:t>Before the Corporation shall issue any shares of Preferred Stock of any series, a certificate of designation setting forth a copy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resolution or resolutions of the board of directors, and establishing the voting powers, designations, preferences, the relative, participating, optional, or other rights, if any, and the qualifications, limitations, and restrictions, if any, relating to the shares of Preferred Stock of such series, and the number of shares of Preferred Stock of such series authorized by the board of directors to be issued shall be made and signed by an officer of the corporation and filed in the manner prescribed by the NRS.</w:t>
      </w:r>
    </w:p>
    <w:p>
      <w:pPr>
        <w:spacing w:after="0" w:line="197"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Non-Assessment of Stock.</w:t>
      </w:r>
      <w:r>
        <w:rPr>
          <w:rFonts w:ascii="Arial" w:cs="Arial" w:eastAsia="Arial" w:hAnsi="Arial"/>
          <w:sz w:val="18"/>
          <w:szCs w:val="18"/>
          <w:color w:val="auto"/>
        </w:rPr>
        <w:t xml:space="preserve"> The capital stock of the Corporation, after the amount of the subscription price has been fully paid, shall not be assessable for any purpose, and no stock issued as fully paid shall ever be assessable or assessed, and the Articles shall not be amended in this particular. No stockholder of the Corporation is individually liable for the debts or liabilities of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ACTION OF STOCKHOLDERS</w:t>
      </w:r>
    </w:p>
    <w:p>
      <w:pPr>
        <w:spacing w:after="0" w:line="21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Prior to the completion of the initial public offering of the Corporation, the stockholders may take action by written consent in lieu of a meeting. After the completion of the initial public offering of the Corporation, the stockholders may not in any circumstance take action by written consent.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219" w:lineRule="exact"/>
        <w:rPr>
          <w:sz w:val="20"/>
          <w:szCs w:val="20"/>
          <w:color w:val="auto"/>
        </w:rPr>
      </w:pPr>
    </w:p>
    <w:p>
      <w:pPr>
        <w:ind w:right="880" w:firstLine="351"/>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Number of Directors.</w:t>
      </w:r>
      <w:r>
        <w:rPr>
          <w:rFonts w:ascii="Arial" w:cs="Arial" w:eastAsia="Arial" w:hAnsi="Arial"/>
          <w:sz w:val="16"/>
          <w:szCs w:val="16"/>
          <w:color w:val="auto"/>
        </w:rPr>
        <w:t xml:space="preserve"> The members of the governing board of the Corporation are styled as directors. The board of directors of the Corporation shall be elected in such manner as shall be provided in the bylaws of the Corporation. The board of directors shall consist of at least one</w:t>
      </w:r>
    </w:p>
    <w:p>
      <w:pPr>
        <w:ind w:right="140" w:firstLine="8"/>
        <w:spacing w:after="0" w:line="261" w:lineRule="auto"/>
        <w:tabs>
          <w:tab w:leader="none" w:pos="24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individual and not more than thirteen (13) individuals. The number of directors may be changed from time to time in such manner as shall be provided in the bylaws of the Corporation.</w:t>
      </w:r>
    </w:p>
    <w:p>
      <w:pPr>
        <w:spacing w:after="0" w:line="19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Classified Board.</w:t>
      </w:r>
      <w:r>
        <w:rPr>
          <w:rFonts w:ascii="Arial" w:cs="Arial" w:eastAsia="Arial" w:hAnsi="Arial"/>
          <w:sz w:val="16"/>
          <w:szCs w:val="16"/>
          <w:color w:val="auto"/>
        </w:rPr>
        <w:t xml:space="preserve">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 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8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Limitation of Liability.</w:t>
      </w:r>
      <w:r>
        <w:rPr>
          <w:rFonts w:ascii="Arial" w:cs="Arial" w:eastAsia="Arial" w:hAnsi="Arial"/>
          <w:sz w:val="16"/>
          <w:szCs w:val="16"/>
          <w:color w:val="auto"/>
        </w:rPr>
        <w:t xml:space="preserve">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Payment of Expenses.</w:t>
      </w:r>
      <w:r>
        <w:rPr>
          <w:rFonts w:ascii="Arial" w:cs="Arial" w:eastAsia="Arial" w:hAnsi="Arial"/>
          <w:sz w:val="16"/>
          <w:szCs w:val="16"/>
          <w:color w:val="auto"/>
        </w:rPr>
        <w:t xml:space="preserve"> In addition to any other rights of indemnification permitted by the laws of the State of Nevada or as may be provided for by the Corporation in its bylaws or by agreement, the expenses of officers and directors incurred in defending any threatened, pending, or completed action, suit or proceeding (including without limitation, an action, suit or proceeding by or in the right of the Corporation), whether civil, criminal, administrative or investigative, involving alleged acts or omissions of such officer or director in his or her capacity as an officer or director of the Corporation or member, manager, or managing member of a predecessor limited liability company or affiliate of such limited liability company or while serving in any capacity at the request of the Corporation as a director, officer, employee, agent, member, manager, managing member, partner, or fiduciary of, or in any other capacity for, another corporation or any partnership, joint venture, trust, or other enterprise, shall be paid by the Corporation or through insurance purchased and maintained by the Corporation or through other financial arrangements made by the Corporation, as they are incurred and in advance of the final disposition of the action, suit or proceeding, upon</w:t>
      </w:r>
    </w:p>
    <w:p>
      <w:pPr>
        <w:sectPr>
          <w:pgSz w:w="11900" w:h="16838" w:orient="portrait"/>
          <w:cols w:equalWidth="0" w:num="1">
            <w:col w:w="11420"/>
          </w:cols>
          <w:pgMar w:left="240" w:top="131" w:right="239" w:bottom="0" w:gutter="0" w:footer="0" w:header="0"/>
        </w:sectPr>
      </w:pPr>
    </w:p>
    <w:bookmarkStart w:id="126" w:name="page127"/>
    <w:bookmarkEnd w:id="126"/>
    <w:p>
      <w:pPr>
        <w:ind w:right="20"/>
        <w:spacing w:after="0" w:line="289" w:lineRule="auto"/>
        <w:rPr>
          <w:sz w:val="20"/>
          <w:szCs w:val="20"/>
          <w:color w:val="auto"/>
        </w:rPr>
      </w:pPr>
      <w:r>
        <w:rPr>
          <w:rFonts w:ascii="Arial" w:cs="Arial" w:eastAsia="Arial" w:hAnsi="Arial"/>
          <w:sz w:val="16"/>
          <w:szCs w:val="16"/>
          <w:color w:val="auto"/>
        </w:rPr>
        <w:t>receipt of an undertaking by or on behalf of the officer or director to repay the amount if it is ultimately determined by a court of competent jurisdiction that he or she is not entitled to be indemnified by the Corporation. To the extent that an officer or director is successful on the merits in defense of any such action, suit or proceeding, or in the defense of any claim, issue or matter therein, the Corporation shall indemnify him or her against expenses, including attorneys' fees, actually and reasonably incurred by him or her in connection with the defense. Notwithstanding anything to the contrary contained herein or in the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hereof).</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Repeal And Conflicts.</w:t>
      </w:r>
      <w:r>
        <w:rPr>
          <w:rFonts w:ascii="Arial" w:cs="Arial" w:eastAsia="Arial" w:hAnsi="Arial"/>
          <w:sz w:val="18"/>
          <w:szCs w:val="18"/>
          <w:color w:val="auto"/>
        </w:rPr>
        <w:t xml:space="preserve"> Any repeal or modification of Sections 3 or 4 above approved by the stockholders of the Corporation shall be prospective only, and shall not adversely affect any limitation on the liability of a director or officer of the Corporation existing as of the time of such repeal or modification. In the event of any conflict between Sections 3 or 4 above and any other Article of the Articles, the terms and provisions of Sections 3 or 4 above shall control.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ON CERTAIN TRANSACTIONS</w:t>
      </w:r>
    </w:p>
    <w:p>
      <w:pPr>
        <w:spacing w:after="0" w:line="219"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Amendment of Articles.</w:t>
      </w:r>
      <w:r>
        <w:rPr>
          <w:rFonts w:ascii="Arial" w:cs="Arial" w:eastAsia="Arial" w:hAnsi="Arial"/>
          <w:sz w:val="16"/>
          <w:szCs w:val="16"/>
          <w:color w:val="auto"/>
        </w:rPr>
        <w:t xml:space="preserve"> The Corporation reserves the right to amend, alter, change or repeal any provision contained in the Articles, in the manner now or hereafter prescribed by the NRS, and all rights conferred on stockholders herein are granted subject to this reservation;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alteration, change or repeal may be made to: (a) Article III, (b) Sections 1, 2, 3 and 4 of Article IV, or (c) this Article V without the affirmative vote</w:t>
      </w:r>
    </w:p>
    <w:p>
      <w:pPr>
        <w:spacing w:after="0" w:line="1" w:lineRule="exact"/>
        <w:rPr>
          <w:sz w:val="20"/>
          <w:szCs w:val="20"/>
          <w:color w:val="auto"/>
        </w:rPr>
      </w:pPr>
    </w:p>
    <w:p>
      <w:pPr>
        <w:jc w:val="both"/>
        <w:ind w:right="60"/>
        <w:spacing w:after="0" w:line="221" w:lineRule="auto"/>
        <w:rPr>
          <w:sz w:val="20"/>
          <w:szCs w:val="20"/>
          <w:color w:val="auto"/>
        </w:rPr>
      </w:pPr>
      <w:r>
        <w:rPr>
          <w:rFonts w:ascii="Arial" w:cs="Arial" w:eastAsia="Arial" w:hAnsi="Arial"/>
          <w:sz w:val="18"/>
          <w:szCs w:val="18"/>
          <w:color w:val="auto"/>
        </w:rPr>
        <w:t xml:space="preserve">of the holders of at least sixty-six and two-thirds percent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issued and outstanding shares of stock of the Corporation entitled to vote in the election of directors excluding stock entitled to vote only upon the happening of a fact or event unless such fact or event shall have occurred, considered for the purposes of this section as one class.</w:t>
      </w:r>
    </w:p>
    <w:p>
      <w:pPr>
        <w:spacing w:after="0" w:line="21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Additional Vote Required.</w:t>
      </w:r>
      <w:r>
        <w:rPr>
          <w:rFonts w:ascii="Arial" w:cs="Arial" w:eastAsia="Arial" w:hAnsi="Arial"/>
          <w:sz w:val="18"/>
          <w:szCs w:val="18"/>
          <w:color w:val="auto"/>
        </w:rPr>
        <w:t xml:space="preserve"> Any affirmative vote required by this Article V shall be in addition to the vote of the holders of any class or series of stock of the Corporation otherwise required by law, the Articles, the resolutions of the board of directors providing for the issuance of such class or series and any agreement between the Corporation and any securities exchange or over-the-counter market upon which the Corporation's shares are listed or designated for trading.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19" w:lineRule="exact"/>
        <w:rPr>
          <w:sz w:val="20"/>
          <w:szCs w:val="20"/>
          <w:color w:val="auto"/>
        </w:rPr>
      </w:pPr>
    </w:p>
    <w:p>
      <w:pPr>
        <w:ind w:right="460" w:firstLine="341"/>
        <w:spacing w:after="0" w:line="332" w:lineRule="auto"/>
        <w:rPr>
          <w:sz w:val="20"/>
          <w:szCs w:val="20"/>
          <w:color w:val="auto"/>
        </w:rPr>
      </w:pPr>
      <w:r>
        <w:rPr>
          <w:rFonts w:ascii="Arial" w:cs="Arial" w:eastAsia="Arial" w:hAnsi="Arial"/>
          <w:sz w:val="16"/>
          <w:szCs w:val="16"/>
          <w:color w:val="auto"/>
        </w:rPr>
        <w:t>At such time, if any, as the Corporation becomes a "resident domestic corporation," as that term is defined in NRS 78.427, the Corporation shall not be subject to, or governed by, any of the provisions in NRS 78.411 to 78.444, inclusive, as may be amended from time to time, or any successor statutes.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GAMING LAWS</w:t>
      </w:r>
    </w:p>
    <w:p>
      <w:pPr>
        <w:spacing w:after="0" w:line="219" w:lineRule="exact"/>
        <w:rPr>
          <w:sz w:val="20"/>
          <w:szCs w:val="20"/>
          <w:color w:val="auto"/>
        </w:rPr>
      </w:pPr>
    </w:p>
    <w:p>
      <w:pPr>
        <w:ind w:left="360"/>
        <w:spacing w:after="0"/>
        <w:tabs>
          <w:tab w:leader="none" w:pos="1220" w:val="left"/>
          <w:tab w:leader="none" w:pos="2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For purposes of this Article VII, the following terms shall have the meanings specified below:</w:t>
      </w:r>
    </w:p>
    <w:p>
      <w:pPr>
        <w:spacing w:after="0" w:line="225" w:lineRule="exact"/>
        <w:rPr>
          <w:sz w:val="20"/>
          <w:szCs w:val="20"/>
          <w:color w:val="auto"/>
        </w:rPr>
      </w:pPr>
    </w:p>
    <w:p>
      <w:pPr>
        <w:ind w:left="540" w:firstLine="359"/>
        <w:spacing w:after="0" w:line="291" w:lineRule="auto"/>
        <w:tabs>
          <w:tab w:leader="none" w:pos="117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"Affiliate" shall mean a Person who, directly or indirectly, through one or more intermediaries, controls, is controlled by or is under common control with, a specified Person. For the purpose of this Section 1(a) of Article VII, "</w:t>
      </w:r>
      <w:r>
        <w:rPr>
          <w:rFonts w:ascii="Arial" w:cs="Arial" w:eastAsia="Arial" w:hAnsi="Arial"/>
          <w:sz w:val="16"/>
          <w:szCs w:val="16"/>
          <w:b w:val="1"/>
          <w:bCs w:val="1"/>
          <w:color w:val="auto"/>
        </w:rPr>
        <w:t>control</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b w:val="1"/>
          <w:bCs w:val="1"/>
          <w:color w:val="auto"/>
        </w:rPr>
        <w:t>Affiliated Companies</w:t>
      </w:r>
      <w:r>
        <w:rPr>
          <w:rFonts w:ascii="Arial" w:cs="Arial" w:eastAsia="Arial" w:hAnsi="Arial"/>
          <w:sz w:val="16"/>
          <w:szCs w:val="16"/>
          <w:color w:val="auto"/>
        </w:rPr>
        <w:t>" shall mean those partnerships, corporations, limited liability companies, trusts or other entities that are Affiliates of the Corporation,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174" w:lineRule="exact"/>
        <w:rPr>
          <w:rFonts w:ascii="Arial" w:cs="Arial" w:eastAsia="Arial" w:hAnsi="Arial"/>
          <w:sz w:val="16"/>
          <w:szCs w:val="16"/>
          <w:color w:val="auto"/>
        </w:rPr>
      </w:pPr>
    </w:p>
    <w:p>
      <w:pPr>
        <w:ind w:left="540" w:right="260" w:firstLine="359"/>
        <w:spacing w:after="0" w:line="306" w:lineRule="auto"/>
        <w:tabs>
          <w:tab w:leader="none" w:pos="118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"Gaming" or "Gaming Activities" shall mean the conduct of gaming and gambling activities, or the use of gaming devices, equipment and supplies in the operation of a casino or other enterprise, including, without limitation, race books, sports pools, slot machines, gaming devices, gaming tables, cards, dice, gaming chips, player tracking systems, cashless wagering systems and associated equipment and supplies.</w:t>
      </w:r>
    </w:p>
    <w:p>
      <w:pPr>
        <w:spacing w:after="0" w:line="160" w:lineRule="exact"/>
        <w:rPr>
          <w:rFonts w:ascii="Arial" w:cs="Arial" w:eastAsia="Arial" w:hAnsi="Arial"/>
          <w:sz w:val="16"/>
          <w:szCs w:val="16"/>
          <w:color w:val="auto"/>
        </w:rPr>
      </w:pPr>
    </w:p>
    <w:p>
      <w:pPr>
        <w:jc w:val="both"/>
        <w:ind w:left="540" w:right="480" w:firstLine="359"/>
        <w:spacing w:after="0" w:line="259" w:lineRule="auto"/>
        <w:tabs>
          <w:tab w:leader="none" w:pos="117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"Gaming Authorities" shall mean all international, foreign, federal, state, local and other regulatory and licensing bodies and agencies with authority over Gaming within any Gaming Jurisdiction. "Gaming Jurisdiction" shall mean all jurisdictions, domestic and foreign, and their political subdivisions, in which Gaming Activities are lawfully conducted.</w:t>
      </w:r>
    </w:p>
    <w:p>
      <w:pPr>
        <w:spacing w:after="0" w:line="194" w:lineRule="exact"/>
        <w:rPr>
          <w:rFonts w:ascii="Arial" w:cs="Arial" w:eastAsia="Arial" w:hAnsi="Arial"/>
          <w:sz w:val="18"/>
          <w:szCs w:val="18"/>
          <w:color w:val="auto"/>
        </w:rPr>
      </w:pPr>
    </w:p>
    <w:p>
      <w:pPr>
        <w:ind w:left="540" w:right="260" w:firstLine="359"/>
        <w:spacing w:after="0" w:line="259" w:lineRule="auto"/>
        <w:tabs>
          <w:tab w:leader="none" w:pos="11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"Gaming Laws" shall mean all laws, statutes, ordinances and regulations pursuant to which any Gaming Authority possesses regulatory and licensing authority over Gaming within any Gaming Jurisdiction, and all orders, decrees, rules and regulations promulgated by such Gaming Authority thereunder.</w:t>
      </w:r>
    </w:p>
    <w:p>
      <w:pPr>
        <w:spacing w:after="0" w:line="194" w:lineRule="exact"/>
        <w:rPr>
          <w:rFonts w:ascii="Arial" w:cs="Arial" w:eastAsia="Arial" w:hAnsi="Arial"/>
          <w:sz w:val="18"/>
          <w:szCs w:val="18"/>
          <w:color w:val="auto"/>
        </w:rPr>
      </w:pPr>
    </w:p>
    <w:p>
      <w:pPr>
        <w:ind w:left="540" w:right="200" w:firstLine="359"/>
        <w:spacing w:after="0" w:line="268" w:lineRule="auto"/>
        <w:tabs>
          <w:tab w:leader="none" w:pos="117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"Gaming Licenses" shall mean all licenses, permits, approvals, authorizations, registrations, findings of suitability, franchises, concessions and entitlements issued by a Gaming Authority necessary for or relating to the conduct of Gaming Activities.</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"Own," "Ownership," or "Control," (and derivatives thereof) shall mean (i) ownership of record, (ii) "beneficial ownership" as defined in</w:t>
      </w:r>
    </w:p>
    <w:p>
      <w:pPr>
        <w:spacing w:after="0" w:line="38"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Rule 13d-3 promulgated by the United States Securities and Exchange Commission (as now or hereafter amended), or (iii) the possession, direct or indirect, of the power to direct or cause the direction of the management and policies of a Person or the disposition of Securities, by agreement, contract, agency or other manner.</w:t>
      </w:r>
    </w:p>
    <w:p>
      <w:pPr>
        <w:spacing w:after="0" w:line="198" w:lineRule="exact"/>
        <w:rPr>
          <w:sz w:val="20"/>
          <w:szCs w:val="20"/>
          <w:color w:val="auto"/>
        </w:rPr>
      </w:pPr>
    </w:p>
    <w:p>
      <w:pPr>
        <w:ind w:left="1200" w:hanging="301"/>
        <w:spacing w:after="0"/>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"Person" shall mean an individual, partnership, corporation, limited liability company, trust or any other entity.</w:t>
      </w:r>
    </w:p>
    <w:p>
      <w:pPr>
        <w:spacing w:after="0" w:line="225" w:lineRule="exact"/>
        <w:rPr>
          <w:rFonts w:ascii="Arial" w:cs="Arial" w:eastAsia="Arial" w:hAnsi="Arial"/>
          <w:sz w:val="18"/>
          <w:szCs w:val="18"/>
          <w:color w:val="auto"/>
        </w:rPr>
      </w:pPr>
    </w:p>
    <w:p>
      <w:pPr>
        <w:ind w:left="540" w:right="760" w:firstLine="359"/>
        <w:spacing w:after="0" w:line="332" w:lineRule="auto"/>
        <w:tabs>
          <w:tab w:leader="none" w:pos="118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"Redemption Date" shall mean the date specified in the Redemption Notice as the date on which the shares of the Securities Owned or Controlled by an Unsuitable Person or an Affiliate of an Unsuitable Person are to be redeemed by the Corporation.</w:t>
      </w:r>
    </w:p>
    <w:p>
      <w:pPr>
        <w:sectPr>
          <w:pgSz w:w="11900" w:h="16838" w:orient="portrait"/>
          <w:cols w:equalWidth="0" w:num="1">
            <w:col w:w="11400"/>
          </w:cols>
          <w:pgMar w:left="240" w:top="131" w:right="259" w:bottom="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firstLine="359"/>
        <w:spacing w:after="0" w:line="298" w:lineRule="auto"/>
        <w:tabs>
          <w:tab w:leader="none" w:pos="123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"Redemption Notice" shall mean that notice of redemption given by the Corporation to an Unsuitable Person or an Affiliate of an Unsuitable Person pursuant to this Article VII. Each Redemption Notice shall set forth (i) the Redemption Date, (ii) the number and type of shares of the Securities to be redeemed, (iii) the Redemption Price and the manner of payment therefor, (iv) the place where any certificates for such shares shall be surrendered for payment, and (v) any other requirements of surrender of the certificates, including how they are to be endorsed, if at all.</w:t>
      </w:r>
    </w:p>
    <w:p>
      <w:pPr>
        <w:spacing w:after="0" w:line="166" w:lineRule="exact"/>
        <w:rPr>
          <w:rFonts w:ascii="Arial" w:cs="Arial" w:eastAsia="Arial" w:hAnsi="Arial"/>
          <w:sz w:val="16"/>
          <w:szCs w:val="16"/>
          <w:color w:val="auto"/>
        </w:rPr>
      </w:pPr>
    </w:p>
    <w:p>
      <w:pPr>
        <w:ind w:left="540" w:right="20" w:firstLine="359"/>
        <w:spacing w:after="0" w:line="285" w:lineRule="auto"/>
        <w:tabs>
          <w:tab w:leader="none" w:pos="123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"Redemption Price" shall mean the price to be paid by the Corporation for the Securities to be redeemed pursuant to this Article VII, which shall be that price (if any) required to be paid by the Gaming Authority making the finding of unsuitability, or if such Gaming Authority does not require a certain price to be paid, that amount determined by the board of directors to be the fair value of the Securities to be redeemed;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price per share represented by the Redemption Price shall in no event be in excess of the closing sales price per share of shares on the principal national securities exchange on which such shares are then listed on the trading date on the day before the Redemption Notice is deemed given by the Corporation to the Unsuitable Person or an Affiliate of an Unsuitable Person or, if such shares are not then listed for trading on any national securities exchange, then the closing sales price of such shares as quoted in the Nasdaq National Market or SmallCap Market or, if the shares are not then so quoted, then the mean between the representative bid and the ask price as quoted by any other generally recognized reporting system. The Redemption Price may be paid in cash, by promissory note, or both, as required by the applicable Gaming Authority and, if not so required, as the board of directors determines. Any promissory note shall contain such terms and conditions as the board of directors determines necessary or advisable, including without limitation, subordination provisions, to comply with any law or regulation then applicable to the Corporation or any Affiliate of the Corporation or to prevent a default under, breach of, event of default under or acceleration of any loan, promissory note, mortgage, indenture, line of credit, or other debt or financing agreement of the Corporation or any Affiliate of the Corporation. Subject to the foregoing, the principal amount of the promissory note together with any unpaid interest shall be due and payable no later than the tenth anniversary of delivery of the note and interest on the unpaid principal thereof shall be payable annually in arrears at the rate of 2% per annum.</w:t>
      </w:r>
    </w:p>
    <w:p>
      <w:pPr>
        <w:spacing w:after="0" w:line="180" w:lineRule="exact"/>
        <w:rPr>
          <w:rFonts w:ascii="Arial" w:cs="Arial" w:eastAsia="Arial" w:hAnsi="Arial"/>
          <w:sz w:val="16"/>
          <w:szCs w:val="16"/>
          <w:color w:val="auto"/>
        </w:rPr>
      </w:pPr>
    </w:p>
    <w:p>
      <w:pPr>
        <w:ind w:left="1200" w:hanging="301"/>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"Securities" shall mean the capital stock of the Corporation.</w:t>
      </w:r>
    </w:p>
    <w:p>
      <w:pPr>
        <w:spacing w:after="0" w:line="225" w:lineRule="exact"/>
        <w:rPr>
          <w:rFonts w:ascii="Arial" w:cs="Arial" w:eastAsia="Arial" w:hAnsi="Arial"/>
          <w:sz w:val="18"/>
          <w:szCs w:val="18"/>
          <w:color w:val="auto"/>
        </w:rPr>
      </w:pPr>
    </w:p>
    <w:p>
      <w:pPr>
        <w:ind w:left="540" w:right="260" w:firstLine="359"/>
        <w:spacing w:after="0" w:line="255" w:lineRule="auto"/>
        <w:tabs>
          <w:tab w:leader="none" w:pos="123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"Unsuitable Person" shall mean a Person who (i) is determined by a Gaming Authority to be unsuitable to Own or Control any Securities or unsuitable to be connected or affiliated with a Person engaged in Gaming Activities in a Gaming Jurisdiction, or (ii) causes the Corporation or any Affiliated Company to lose or to be threatened with the loss of any Gaming License, or (iii) in the sole discretion of the board of directors of the Corporation, is deemed likely to jeopardize the Corporation's or any Affiliated Company's application for, receipt of approval for, right to the use of, or entitlement to, any Gaming License.</w:t>
      </w:r>
    </w:p>
    <w:p>
      <w:pPr>
        <w:spacing w:after="0" w:line="197"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Finding of Unsuitability.</w:t>
      </w:r>
    </w:p>
    <w:p>
      <w:pPr>
        <w:spacing w:after="0" w:line="225" w:lineRule="exact"/>
        <w:rPr>
          <w:sz w:val="20"/>
          <w:szCs w:val="20"/>
          <w:color w:val="auto"/>
        </w:rPr>
      </w:pPr>
    </w:p>
    <w:p>
      <w:pPr>
        <w:ind w:left="540" w:right="40" w:firstLine="359"/>
        <w:spacing w:after="0" w:line="290" w:lineRule="auto"/>
        <w:tabs>
          <w:tab w:leader="none" w:pos="117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Securities Owned or Controlled by an Unsuitable Person or an Affiliate of an Unsuitable Person shall be subject to redemption by the Corporation, out of funds legally available therefor, by action of the board of directors, to the extent required by the Gaming Authority making the determination of unsuitability or to the extent deemed necessary or advisable by the board of directors. If a Gaming Authority requires the Corporation, or the board of directors deems it necessary or advisable, to redeem any such Securities, the Corporation shall give a Redemption Notice to the Unsuitable Person or its Affiliate and shall purchase on the Redemption Date the number of shares of the Securities specified in the Redemption Notice for the Redemption Price set forth in the Redemption Notice. From and after the Redemption Date, such Securities shall no longer be deemed to be outstanding, such Unsuitable Person or any Affiliate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40"/>
        <w:spacing w:after="0" w:line="306" w:lineRule="auto"/>
        <w:rPr>
          <w:sz w:val="20"/>
          <w:szCs w:val="20"/>
          <w:color w:val="auto"/>
        </w:rPr>
      </w:pPr>
      <w:r>
        <w:rPr>
          <w:rFonts w:ascii="Arial" w:cs="Arial" w:eastAsia="Arial" w:hAnsi="Arial"/>
          <w:sz w:val="16"/>
          <w:szCs w:val="16"/>
          <w:color w:val="auto"/>
        </w:rPr>
        <w:t>such Unsuitable Person shall cease to be a stockholder with respect to such shares and all rights of such Unsuitable Person or any Affiliate of such Unsuitable Person therein, other than the right to receive the Redemption Price, shall cease. Such Unsuitable Person or its Affiliate shall surrender the certificates representing any shares to be redeemed in accordance with the requirements of the Redemption Notice.</w:t>
      </w:r>
    </w:p>
    <w:p>
      <w:pPr>
        <w:spacing w:after="0" w:line="161" w:lineRule="exact"/>
        <w:rPr>
          <w:sz w:val="20"/>
          <w:szCs w:val="20"/>
          <w:color w:val="auto"/>
        </w:rPr>
      </w:pPr>
    </w:p>
    <w:p>
      <w:pPr>
        <w:ind w:left="540" w:right="140" w:firstLine="359"/>
        <w:spacing w:after="0" w:line="291" w:lineRule="auto"/>
        <w:tabs>
          <w:tab w:leader="none" w:pos="118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Commencing on the date that a Gaming Authority serves notice of a determination of unsuitability or the board of directors determines that a Person is an Unsuitable Person, and until the Securities Owned or Controlled by such Person are Owned or Controlled by a Person who is not an Unsuitable Person, the Unsuitable Person or any Affiliate of an Unsuitable Person shall not be entitled: (i) to receive any dividend or interest with regard to the Securities, (ii) to exercise, directly or indirectly or through any proxy, trustee, or nominee, any voting or other right conferred by such Securities, and such Securities shall not for any purposes be included in the shares of capital stock of the Corporation entitled to vote, or (iii) to receive any remuneration in any form from the Corporation or any Affiliated Company for services rendered or otherwise.</w:t>
      </w:r>
    </w:p>
    <w:p>
      <w:pPr>
        <w:spacing w:after="0" w:line="174"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Notices.</w:t>
      </w:r>
      <w:r>
        <w:rPr>
          <w:rFonts w:ascii="Arial" w:cs="Arial" w:eastAsia="Arial" w:hAnsi="Arial"/>
          <w:sz w:val="15"/>
          <w:szCs w:val="15"/>
          <w:color w:val="auto"/>
        </w:rPr>
        <w:t xml:space="preserve"> All notices given by the Corporation pursuant to this Article, including Redemption Notices, shall be in writing and may be given by mail, addressed to the Person at such Person's address as it appears on the records of the Corporation, with postage thereon prepaid, and such notice shall be deemed given at the time deposited in the United States mail. Written notice may also be given personally or by telegram, facsimile, telex or cable and such notice shall be deemed to be given at the time of receipt thereof, if given personally, or at the time of transmission thereof, if given by telegram, facsimile, telex or cable.</w:t>
      </w:r>
    </w:p>
    <w:p>
      <w:pPr>
        <w:spacing w:after="0" w:line="15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Any Unsuitable Person and any Affiliate of an Unsuitable Person shall indemnify and hold harmless the Corporation and its Affiliated Companies for any and all losses, costs, and expenses, including attorneys' fees, incurred by the Corporation and its Affiliated Companies as a result of, or arising out of, such Unsuitable Person's or Affiliate's continuing Ownership or Control of Securities, the neglect, refusal or other failure to comply with the provisions of this Article VII, or failure to promptly divest itself of any Securities when required by the Gaming Laws or this Article VII.</w:t>
      </w:r>
    </w:p>
    <w:p>
      <w:pPr>
        <w:spacing w:after="0" w:line="16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Injunctive Relief.</w:t>
      </w:r>
      <w:r>
        <w:rPr>
          <w:rFonts w:ascii="Arial" w:cs="Arial" w:eastAsia="Arial" w:hAnsi="Arial"/>
          <w:sz w:val="16"/>
          <w:szCs w:val="16"/>
          <w:color w:val="auto"/>
        </w:rPr>
        <w:t xml:space="preserve"> The Corporation is entitled to injunctive or other equitable relief in any court of competent jurisdiction to enforce the provisions of this Article VII and each holder of the Securities of the Corporation shall be deemed to have acknowledged, by acquiring the Securities of the Corporation, that the failure to comply with this Article VII will expose the Corporation to irreparable injury for which there is no adequate remedy at law and that the Corporation is entitled to injunctive or other equitable relief to enforce the provisions of this Article.</w:t>
      </w:r>
    </w:p>
    <w:p>
      <w:pPr>
        <w:spacing w:after="0" w:line="16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Non-exclusivity of Rights.</w:t>
      </w:r>
      <w:r>
        <w:rPr>
          <w:rFonts w:ascii="Arial" w:cs="Arial" w:eastAsia="Arial" w:hAnsi="Arial"/>
          <w:sz w:val="18"/>
          <w:szCs w:val="18"/>
          <w:color w:val="auto"/>
        </w:rPr>
        <w:t xml:space="preserve"> The Corporation's rights of redemption provided in this Article VII shall not be exclusive of any other rights the Corporation may have or hereafter acquire under any agreement, provision of the bylaws or otherwise.</w:t>
      </w:r>
    </w:p>
    <w:p>
      <w:pPr>
        <w:sectPr>
          <w:pgSz w:w="11900" w:h="16838" w:orient="portrait"/>
          <w:cols w:equalWidth="0" w:num="1">
            <w:col w:w="11420"/>
          </w:cols>
          <w:pgMar w:left="240" w:top="131" w:right="239" w:bottom="0" w:gutter="0" w:footer="0" w:header="0"/>
        </w:sectPr>
      </w:pPr>
    </w:p>
    <w:bookmarkStart w:id="128" w:name="page129"/>
    <w:bookmarkEnd w:id="128"/>
    <w:p>
      <w:pPr>
        <w:ind w:right="80" w:firstLine="351"/>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Further Actions.</w:t>
      </w:r>
      <w:r>
        <w:rPr>
          <w:rFonts w:ascii="Arial" w:cs="Arial" w:eastAsia="Arial" w:hAnsi="Arial"/>
          <w:sz w:val="16"/>
          <w:szCs w:val="16"/>
          <w:color w:val="auto"/>
        </w:rPr>
        <w:t xml:space="preserve"> Nothing contained in this Article VII shall limit the authority of the board of directors to take such other action to the extent permitted by law as it deems necessary or advisable to protect the Corporation or its Affiliated Companies from the denial or threatened denial or loss or threatened loss of any Gaming License of the Corporation or any of its Affiliated Companies. Without limiting the generality of the foregoing, the board of directors may conform any provisions of this Article VII to the extent necessary to make such provisions consistent with Gaming Laws. In addition, the board of directors may, to the extent permitted by law, from time to time establish, modify, amend or rescind bylaws, regulations, and procedures of the Corporation not inconsistent with the express provisions of this Article VII for the purpose of determining whether any Person is an Unsuitable Person and for the orderly application, administration and implementation of the provisions of this Article VII. Such procedures and regulations shall be kept on file with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Secretary of the Corporation, the secretary of its Affiliated Companies and with the transfer agent, if any, of the Corporation and any Affiliated Companies, and shall be made available for inspection by the public and, upon request, mailed to any holder of Securities. The board of directors shall have exclusive authority and power to administer this Article VII and to exercise all rights and powers specifically granted to the board of directors or the Corporation, or as may be necessary or advisable in the administration of this Article VII. All such actions which are done or made by the board of directors in good faith shall be final, conclusive and binding on the Corporation and all other Persons;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delegate all or any portion of its duties and powers under this Article VII to a committee of the board of directors as it deems necessary or advisable.</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this Article VII or the application of any such provision to any Person or under any circumstance shall be held invalid, illegal, or unenforceable in any respect by a court of competent jurisdiction, such invalidity, illegality or unenforceablilty shall not affect any other provision of this Article VII.</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Termination and Waivers.</w:t>
      </w:r>
      <w:r>
        <w:rPr>
          <w:rFonts w:ascii="Arial" w:cs="Arial" w:eastAsia="Arial" w:hAnsi="Arial"/>
          <w:sz w:val="18"/>
          <w:szCs w:val="18"/>
          <w:color w:val="auto"/>
        </w:rPr>
        <w:t xml:space="preserve"> Except as may be required by any applicable Gaming Law or Gaming Authority, the board of directors may waive any of the rights of the Corporation or any restrictions contained in this Article VII in any instance in which the board of directors determines that a waiver would be in the best interests of the Corporation. The board of directors may terminate any rights of the Corporation or restrictions set forth in this Article VII to the extent that the board of directors determines that any such termination is in the best interests of the Corporation. Except as may be required by a Gaming Authority, nothing in this Article VII shall be deemed or construed to require the Corporation to repurchase any Securities Owned or Controlled by an Unsuitable Person or an Affiliate of an Unsuitable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128905</wp:posOffset>
            </wp:positionV>
            <wp:extent cx="105029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WITNESS WHEREOF, Wynn Resorts, Limited has caused these second amended and restated articles of incorporation to be executed in its name by its Chief Executive Officer this 16 day of September, 2002.</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SECOND AMENDED AND RESTATED ARTICLES OF INCORPORATION OF WYNN RESORTS, LIMITED</w:t>
        </w:r>
      </w:hyperlink>
    </w:p>
    <w:p>
      <w:pPr>
        <w:sectPr>
          <w:pgSz w:w="11900" w:h="16838" w:orient="portrait"/>
          <w:cols w:equalWidth="0" w:num="1">
            <w:col w:w="11380"/>
          </w:cols>
          <w:pgMar w:left="240" w:top="131" w:right="279" w:bottom="1440" w:gutter="0" w:footer="0" w:header="0"/>
        </w:sectPr>
      </w:pPr>
    </w:p>
    <w:bookmarkStart w:id="129" w:name="page130"/>
    <w:bookmarkEnd w:id="129"/>
    <w:p>
      <w:pPr>
        <w:spacing w:after="0" w:line="62" w:lineRule="exact"/>
        <w:rPr>
          <w:sz w:val="20"/>
          <w:szCs w:val="20"/>
          <w:color w:val="auto"/>
        </w:rPr>
      </w:pPr>
    </w:p>
    <w:p>
      <w:pPr>
        <w:spacing w:after="0"/>
        <w:rPr>
          <w:rFonts w:ascii="Arial" w:cs="Arial" w:eastAsia="Arial" w:hAnsi="Arial"/>
          <w:sz w:val="22"/>
          <w:szCs w:val="22"/>
          <w:color w:val="0000EE"/>
        </w:rPr>
      </w:pPr>
      <w:hyperlink w:anchor="page1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 Nevada corporation</w:t>
      </w:r>
    </w:p>
    <w:p>
      <w:pPr>
        <w:spacing w:after="0" w:line="200" w:lineRule="exact"/>
        <w:rPr>
          <w:sz w:val="20"/>
          <w:szCs w:val="20"/>
          <w:color w:val="auto"/>
        </w:rPr>
      </w:pPr>
    </w:p>
    <w:p>
      <w:pPr>
        <w:spacing w:after="0" w:line="22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THIRD AMENDED AND RESTATED BYLAWS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EFFECTIVE AS OF</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7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1.1</w:t>
            </w:r>
          </w:p>
        </w:tc>
        <w:tc>
          <w:tcPr>
            <w:tcW w:w="7980" w:type="dxa"/>
            <w:vAlign w:val="bottom"/>
          </w:tcPr>
          <w:p>
            <w:pPr>
              <w:ind w:left="380"/>
              <w:spacing w:after="0"/>
              <w:rPr>
                <w:sz w:val="20"/>
                <w:szCs w:val="20"/>
                <w:color w:val="auto"/>
              </w:rPr>
            </w:pPr>
            <w:r>
              <w:rPr>
                <w:rFonts w:ascii="Arial" w:cs="Arial" w:eastAsia="Arial" w:hAnsi="Arial"/>
                <w:sz w:val="18"/>
                <w:szCs w:val="18"/>
                <w:color w:val="auto"/>
              </w:rPr>
              <w:t>Principal Office</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1.2</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Offices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840" w:type="dxa"/>
            <w:vAlign w:val="bottom"/>
          </w:tcPr>
          <w:p>
            <w:pPr>
              <w:ind w:left="80"/>
              <w:spacing w:after="0"/>
              <w:rPr>
                <w:sz w:val="20"/>
                <w:szCs w:val="20"/>
                <w:color w:val="auto"/>
              </w:rPr>
            </w:pPr>
            <w:r>
              <w:rPr>
                <w:rFonts w:ascii="Arial" w:cs="Arial" w:eastAsia="Arial" w:hAnsi="Arial"/>
                <w:sz w:val="18"/>
                <w:szCs w:val="18"/>
                <w:color w:val="auto"/>
              </w:rPr>
              <w:t>STOCKHOLDERS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Annual Meeting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2.2</w:t>
            </w:r>
          </w:p>
        </w:tc>
        <w:tc>
          <w:tcPr>
            <w:tcW w:w="7980" w:type="dxa"/>
            <w:vAlign w:val="bottom"/>
          </w:tcPr>
          <w:p>
            <w:pPr>
              <w:ind w:left="380"/>
              <w:spacing w:after="0"/>
              <w:rPr>
                <w:sz w:val="20"/>
                <w:szCs w:val="20"/>
                <w:color w:val="auto"/>
              </w:rPr>
            </w:pPr>
            <w:r>
              <w:rPr>
                <w:rFonts w:ascii="Arial" w:cs="Arial" w:eastAsia="Arial" w:hAnsi="Arial"/>
                <w:sz w:val="18"/>
                <w:szCs w:val="18"/>
                <w:color w:val="auto"/>
              </w:rPr>
              <w:t>Special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Place of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2.4</w:t>
            </w:r>
          </w:p>
        </w:tc>
        <w:tc>
          <w:tcPr>
            <w:tcW w:w="7980" w:type="dxa"/>
            <w:vAlign w:val="bottom"/>
          </w:tcPr>
          <w:p>
            <w:pPr>
              <w:ind w:left="380"/>
              <w:spacing w:after="0"/>
              <w:rPr>
                <w:sz w:val="20"/>
                <w:szCs w:val="20"/>
                <w:color w:val="auto"/>
              </w:rPr>
            </w:pPr>
            <w:r>
              <w:rPr>
                <w:rFonts w:ascii="Arial" w:cs="Arial" w:eastAsia="Arial" w:hAnsi="Arial"/>
                <w:sz w:val="18"/>
                <w:szCs w:val="18"/>
                <w:color w:val="auto"/>
              </w:rPr>
              <w:t>Notice of Meetings; Waiver of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Determination of Stockholders of Record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2.6</w:t>
            </w:r>
          </w:p>
        </w:tc>
        <w:tc>
          <w:tcPr>
            <w:tcW w:w="7980" w:type="dxa"/>
            <w:vAlign w:val="bottom"/>
          </w:tcPr>
          <w:p>
            <w:pPr>
              <w:ind w:left="380"/>
              <w:spacing w:after="0"/>
              <w:rPr>
                <w:sz w:val="20"/>
                <w:szCs w:val="20"/>
                <w:color w:val="auto"/>
              </w:rPr>
            </w:pPr>
            <w:r>
              <w:rPr>
                <w:rFonts w:ascii="Arial" w:cs="Arial" w:eastAsia="Arial" w:hAnsi="Arial"/>
                <w:sz w:val="18"/>
                <w:szCs w:val="18"/>
                <w:color w:val="auto"/>
              </w:rPr>
              <w:t>Quorum; Adjourned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Voting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2.8</w:t>
            </w:r>
          </w:p>
        </w:tc>
        <w:tc>
          <w:tcPr>
            <w:tcW w:w="7980" w:type="dxa"/>
            <w:vAlign w:val="bottom"/>
          </w:tcPr>
          <w:p>
            <w:pPr>
              <w:ind w:left="380"/>
              <w:spacing w:after="0"/>
              <w:rPr>
                <w:sz w:val="20"/>
                <w:szCs w:val="20"/>
                <w:color w:val="auto"/>
              </w:rPr>
            </w:pPr>
            <w:r>
              <w:rPr>
                <w:rFonts w:ascii="Arial" w:cs="Arial" w:eastAsia="Arial" w:hAnsi="Arial"/>
                <w:sz w:val="18"/>
                <w:szCs w:val="18"/>
                <w:color w:val="auto"/>
              </w:rPr>
              <w:t>Proxies</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Action Without A Meeting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2.10</w:t>
            </w:r>
          </w:p>
        </w:tc>
        <w:tc>
          <w:tcPr>
            <w:tcW w:w="7980" w:type="dxa"/>
            <w:vAlign w:val="bottom"/>
          </w:tcPr>
          <w:p>
            <w:pPr>
              <w:ind w:left="380"/>
              <w:spacing w:after="0"/>
              <w:rPr>
                <w:sz w:val="20"/>
                <w:szCs w:val="20"/>
                <w:color w:val="auto"/>
              </w:rPr>
            </w:pPr>
            <w:r>
              <w:rPr>
                <w:rFonts w:ascii="Arial" w:cs="Arial" w:eastAsia="Arial" w:hAnsi="Arial"/>
                <w:sz w:val="18"/>
                <w:szCs w:val="18"/>
                <w:color w:val="auto"/>
              </w:rPr>
              <w:t>Organization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Absentees' Consent to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2.12</w:t>
            </w:r>
          </w:p>
        </w:tc>
        <w:tc>
          <w:tcPr>
            <w:tcW w:w="7980" w:type="dxa"/>
            <w:vAlign w:val="bottom"/>
          </w:tcPr>
          <w:p>
            <w:pPr>
              <w:ind w:left="380"/>
              <w:spacing w:after="0"/>
              <w:rPr>
                <w:sz w:val="20"/>
                <w:szCs w:val="20"/>
                <w:color w:val="auto"/>
              </w:rPr>
            </w:pPr>
            <w:r>
              <w:rPr>
                <w:rFonts w:ascii="Arial" w:cs="Arial" w:eastAsia="Arial" w:hAnsi="Arial"/>
                <w:sz w:val="18"/>
                <w:szCs w:val="18"/>
                <w:color w:val="auto"/>
              </w:rPr>
              <w:t>Director Nominations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2.13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Advance Notice of Stockholder Proposals and Director Nominations by Stockholders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184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Powers; Performance of Duties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3.2</w:t>
            </w:r>
          </w:p>
        </w:tc>
        <w:tc>
          <w:tcPr>
            <w:tcW w:w="7980" w:type="dxa"/>
            <w:vAlign w:val="bottom"/>
          </w:tcPr>
          <w:p>
            <w:pPr>
              <w:ind w:left="380"/>
              <w:spacing w:after="0"/>
              <w:rPr>
                <w:sz w:val="20"/>
                <w:szCs w:val="20"/>
                <w:color w:val="auto"/>
              </w:rPr>
            </w:pPr>
            <w:r>
              <w:rPr>
                <w:rFonts w:ascii="Arial" w:cs="Arial" w:eastAsia="Arial" w:hAnsi="Arial"/>
                <w:sz w:val="18"/>
                <w:szCs w:val="18"/>
                <w:color w:val="auto"/>
              </w:rPr>
              <w:t>Number, Tenure, and Qualifications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3.4</w:t>
            </w:r>
          </w:p>
        </w:tc>
        <w:tc>
          <w:tcPr>
            <w:tcW w:w="7980" w:type="dxa"/>
            <w:vAlign w:val="bottom"/>
          </w:tcPr>
          <w:p>
            <w:pPr>
              <w:ind w:left="380"/>
              <w:spacing w:after="0"/>
              <w:rPr>
                <w:sz w:val="20"/>
                <w:szCs w:val="20"/>
                <w:color w:val="auto"/>
              </w:rPr>
            </w:pPr>
            <w:r>
              <w:rPr>
                <w:rFonts w:ascii="Arial" w:cs="Arial" w:eastAsia="Arial" w:hAnsi="Arial"/>
                <w:sz w:val="18"/>
                <w:szCs w:val="18"/>
                <w:color w:val="auto"/>
              </w:rPr>
              <w:t>Vice-Chairman of the Board</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Classification and Elections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3.6</w:t>
            </w:r>
          </w:p>
        </w:tc>
        <w:tc>
          <w:tcPr>
            <w:tcW w:w="7980" w:type="dxa"/>
            <w:vAlign w:val="bottom"/>
          </w:tcPr>
          <w:p>
            <w:pPr>
              <w:ind w:left="380"/>
              <w:spacing w:after="0"/>
              <w:rPr>
                <w:sz w:val="20"/>
                <w:szCs w:val="20"/>
                <w:color w:val="auto"/>
              </w:rPr>
            </w:pPr>
            <w:r>
              <w:rPr>
                <w:rFonts w:ascii="Arial" w:cs="Arial" w:eastAsia="Arial" w:hAnsi="Arial"/>
                <w:sz w:val="18"/>
                <w:szCs w:val="18"/>
                <w:color w:val="auto"/>
              </w:rPr>
              <w:t>Removal and Resignation of Directors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Vacancies; Newly Created Directorships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3.8</w:t>
            </w:r>
          </w:p>
        </w:tc>
        <w:tc>
          <w:tcPr>
            <w:tcW w:w="7980" w:type="dxa"/>
            <w:vAlign w:val="bottom"/>
          </w:tcPr>
          <w:p>
            <w:pPr>
              <w:ind w:left="380"/>
              <w:spacing w:after="0"/>
              <w:rPr>
                <w:sz w:val="20"/>
                <w:szCs w:val="20"/>
                <w:color w:val="auto"/>
              </w:rPr>
            </w:pPr>
            <w:r>
              <w:rPr>
                <w:rFonts w:ascii="Arial" w:cs="Arial" w:eastAsia="Arial" w:hAnsi="Arial"/>
                <w:sz w:val="18"/>
                <w:szCs w:val="18"/>
                <w:color w:val="auto"/>
              </w:rPr>
              <w:t>Annual and Regular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3.10</w:t>
            </w:r>
          </w:p>
        </w:tc>
        <w:tc>
          <w:tcPr>
            <w:tcW w:w="7980" w:type="dxa"/>
            <w:vAlign w:val="bottom"/>
          </w:tcPr>
          <w:p>
            <w:pPr>
              <w:ind w:left="380"/>
              <w:spacing w:after="0"/>
              <w:rPr>
                <w:sz w:val="20"/>
                <w:szCs w:val="20"/>
                <w:color w:val="auto"/>
              </w:rPr>
            </w:pPr>
            <w:r>
              <w:rPr>
                <w:rFonts w:ascii="Arial" w:cs="Arial" w:eastAsia="Arial" w:hAnsi="Arial"/>
                <w:sz w:val="18"/>
                <w:szCs w:val="18"/>
                <w:color w:val="auto"/>
              </w:rPr>
              <w:t>Place of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 of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3.12</w:t>
            </w:r>
          </w:p>
        </w:tc>
        <w:tc>
          <w:tcPr>
            <w:tcW w:w="7980" w:type="dxa"/>
            <w:vAlign w:val="bottom"/>
          </w:tcPr>
          <w:p>
            <w:pPr>
              <w:ind w:left="380"/>
              <w:spacing w:after="0"/>
              <w:rPr>
                <w:sz w:val="20"/>
                <w:szCs w:val="20"/>
                <w:color w:val="auto"/>
              </w:rPr>
            </w:pPr>
            <w:r>
              <w:rPr>
                <w:rFonts w:ascii="Arial" w:cs="Arial" w:eastAsia="Arial" w:hAnsi="Arial"/>
                <w:sz w:val="18"/>
                <w:szCs w:val="18"/>
                <w:color w:val="auto"/>
              </w:rPr>
              <w:t>Quorum; Adjourned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Manner of Acting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3.14</w:t>
            </w:r>
          </w:p>
        </w:tc>
        <w:tc>
          <w:tcPr>
            <w:tcW w:w="7980" w:type="dxa"/>
            <w:vAlign w:val="bottom"/>
          </w:tcPr>
          <w:p>
            <w:pPr>
              <w:ind w:left="380"/>
              <w:spacing w:after="0"/>
              <w:rPr>
                <w:sz w:val="20"/>
                <w:szCs w:val="20"/>
                <w:color w:val="auto"/>
              </w:rPr>
            </w:pPr>
            <w:r>
              <w:rPr>
                <w:rFonts w:ascii="Arial" w:cs="Arial" w:eastAsia="Arial" w:hAnsi="Arial"/>
                <w:sz w:val="18"/>
                <w:szCs w:val="18"/>
                <w:color w:val="auto"/>
              </w:rPr>
              <w:t>Super-majority Approval</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Telephonic Meetings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3.16</w:t>
            </w:r>
          </w:p>
        </w:tc>
        <w:tc>
          <w:tcPr>
            <w:tcW w:w="7980" w:type="dxa"/>
            <w:vAlign w:val="bottom"/>
          </w:tcPr>
          <w:p>
            <w:pPr>
              <w:ind w:left="380"/>
              <w:spacing w:after="0"/>
              <w:rPr>
                <w:sz w:val="20"/>
                <w:szCs w:val="20"/>
                <w:color w:val="auto"/>
              </w:rPr>
            </w:pPr>
            <w:r>
              <w:rPr>
                <w:rFonts w:ascii="Arial" w:cs="Arial" w:eastAsia="Arial" w:hAnsi="Arial"/>
                <w:sz w:val="18"/>
                <w:szCs w:val="18"/>
                <w:color w:val="auto"/>
              </w:rPr>
              <w:t>Action Without Meeting</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Powers and Duties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3.18</w:t>
            </w:r>
          </w:p>
        </w:tc>
        <w:tc>
          <w:tcPr>
            <w:tcW w:w="798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3.19</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Organization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Arial" w:cs="Arial" w:eastAsia="Arial" w:hAnsi="Arial"/>
                <w:sz w:val="18"/>
                <w:szCs w:val="18"/>
                <w:color w:val="auto"/>
                <w:w w:val="99"/>
              </w:rPr>
              <w:t>ARTICLE IV</w:t>
            </w:r>
          </w:p>
        </w:tc>
        <w:tc>
          <w:tcPr>
            <w:tcW w:w="1840" w:type="dxa"/>
            <w:vAlign w:val="bottom"/>
          </w:tcPr>
          <w:p>
            <w:pPr>
              <w:ind w:left="140"/>
              <w:spacing w:after="0"/>
              <w:rPr>
                <w:sz w:val="20"/>
                <w:szCs w:val="20"/>
                <w:color w:val="auto"/>
              </w:rPr>
            </w:pPr>
            <w:r>
              <w:rPr>
                <w:rFonts w:ascii="Arial" w:cs="Arial" w:eastAsia="Arial" w:hAnsi="Arial"/>
                <w:sz w:val="18"/>
                <w:szCs w:val="18"/>
                <w:color w:val="auto"/>
              </w:rPr>
              <w:t>OFFICERS</w:t>
            </w:r>
          </w:p>
        </w:tc>
        <w:tc>
          <w:tcPr>
            <w:tcW w:w="79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4.1</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Election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4.2</w:t>
            </w:r>
          </w:p>
        </w:tc>
        <w:tc>
          <w:tcPr>
            <w:tcW w:w="7980" w:type="dxa"/>
            <w:vAlign w:val="bottom"/>
          </w:tcPr>
          <w:p>
            <w:pPr>
              <w:ind w:left="380"/>
              <w:spacing w:after="0"/>
              <w:rPr>
                <w:sz w:val="20"/>
                <w:szCs w:val="20"/>
                <w:color w:val="auto"/>
              </w:rPr>
            </w:pPr>
            <w:r>
              <w:rPr>
                <w:rFonts w:ascii="Arial" w:cs="Arial" w:eastAsia="Arial" w:hAnsi="Arial"/>
                <w:sz w:val="18"/>
                <w:szCs w:val="18"/>
                <w:color w:val="auto"/>
              </w:rPr>
              <w:t>Removal; Resignation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4.3</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Vacancies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4.4</w:t>
            </w:r>
          </w:p>
        </w:tc>
        <w:tc>
          <w:tcPr>
            <w:tcW w:w="7980" w:type="dxa"/>
            <w:vAlign w:val="bottom"/>
          </w:tcPr>
          <w:p>
            <w:pPr>
              <w:ind w:left="38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4.5</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President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4.6</w:t>
            </w:r>
          </w:p>
        </w:tc>
        <w:tc>
          <w:tcPr>
            <w:tcW w:w="7980" w:type="dxa"/>
            <w:vAlign w:val="bottom"/>
          </w:tcPr>
          <w:p>
            <w:pPr>
              <w:ind w:left="380"/>
              <w:spacing w:after="0"/>
              <w:rPr>
                <w:sz w:val="20"/>
                <w:szCs w:val="20"/>
                <w:color w:val="auto"/>
              </w:rPr>
            </w:pPr>
            <w:r>
              <w:rPr>
                <w:rFonts w:ascii="Arial" w:cs="Arial" w:eastAsia="Arial" w:hAnsi="Arial"/>
                <w:sz w:val="18"/>
                <w:szCs w:val="18"/>
                <w:color w:val="auto"/>
              </w:rPr>
              <w:t>Vice Presidents</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4.7</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Secretary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980" w:type="dxa"/>
            <w:vAlign w:val="bottom"/>
          </w:tcPr>
          <w:p>
            <w:pPr>
              <w:ind w:left="2840"/>
              <w:spacing w:after="0"/>
              <w:rPr>
                <w:sz w:val="20"/>
                <w:szCs w:val="20"/>
                <w:color w:val="auto"/>
              </w:rPr>
            </w:pPr>
            <w:r>
              <w:rPr>
                <w:rFonts w:ascii="Arial" w:cs="Arial" w:eastAsia="Arial" w:hAnsi="Arial"/>
                <w:sz w:val="18"/>
                <w:szCs w:val="18"/>
                <w:color w:val="auto"/>
              </w:rPr>
              <w:t>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840" w:type="dxa"/>
            <w:vAlign w:val="bottom"/>
            <w:tcBorders>
              <w:top w:val="single" w:sz="8" w:color="808080"/>
            </w:tcBorders>
          </w:tcPr>
          <w:p>
            <w:pPr>
              <w:spacing w:after="0"/>
              <w:rPr>
                <w:sz w:val="9"/>
                <w:szCs w:val="9"/>
                <w:color w:val="auto"/>
              </w:rPr>
            </w:pPr>
          </w:p>
        </w:tc>
        <w:tc>
          <w:tcPr>
            <w:tcW w:w="798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4.8</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Assistant Secretaries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Arial" w:cs="Arial" w:eastAsia="Arial" w:hAnsi="Arial"/>
                <w:sz w:val="18"/>
                <w:szCs w:val="18"/>
                <w:color w:val="auto"/>
              </w:rPr>
              <w:t>Section 4.9</w:t>
            </w:r>
          </w:p>
        </w:tc>
        <w:tc>
          <w:tcPr>
            <w:tcW w:w="7980" w:type="dxa"/>
            <w:vAlign w:val="bottom"/>
          </w:tcPr>
          <w:p>
            <w:pPr>
              <w:ind w:left="380"/>
              <w:spacing w:after="0"/>
              <w:rPr>
                <w:sz w:val="20"/>
                <w:szCs w:val="20"/>
                <w:color w:val="auto"/>
              </w:rPr>
            </w:pPr>
            <w:r>
              <w:rPr>
                <w:rFonts w:ascii="Arial" w:cs="Arial" w:eastAsia="Arial" w:hAnsi="Arial"/>
                <w:sz w:val="18"/>
                <w:szCs w:val="18"/>
                <w:color w:val="auto"/>
              </w:rPr>
              <w:t>Treasurer</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4.10</w:t>
            </w:r>
          </w:p>
        </w:tc>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Assistant Treasurers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Section 4.11</w:t>
            </w:r>
          </w:p>
        </w:tc>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Execution of Negotiable Instruments, Deeds and Contracts</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-7723505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-7723505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-640080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-640080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61" w:right="239" w:bottom="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432"/>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CAPITAL STOCK</w:t>
            </w:r>
          </w:p>
        </w:tc>
        <w:tc>
          <w:tcPr>
            <w:tcW w:w="5540" w:type="dxa"/>
            <w:vAlign w:val="bottom"/>
            <w:shd w:val="clear" w:color="auto" w:fill="CCEEFF"/>
          </w:tcPr>
          <w:p>
            <w:pPr>
              <w:spacing w:after="0"/>
              <w:rPr>
                <w:sz w:val="24"/>
                <w:szCs w:val="2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5.1</w:t>
            </w:r>
          </w:p>
        </w:tc>
        <w:tc>
          <w:tcPr>
            <w:tcW w:w="5540" w:type="dxa"/>
            <w:vAlign w:val="bottom"/>
          </w:tcPr>
          <w:p>
            <w:pPr>
              <w:spacing w:after="0"/>
              <w:rPr>
                <w:sz w:val="20"/>
                <w:szCs w:val="20"/>
                <w:color w:val="auto"/>
              </w:rPr>
            </w:pPr>
            <w:r>
              <w:rPr>
                <w:rFonts w:ascii="Arial" w:cs="Arial" w:eastAsia="Arial" w:hAnsi="Arial"/>
                <w:sz w:val="18"/>
                <w:szCs w:val="18"/>
                <w:color w:val="auto"/>
              </w:rPr>
              <w:t>Issuance</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5.2</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Certificates and Uncertified Shares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5.3</w:t>
            </w:r>
          </w:p>
        </w:tc>
        <w:tc>
          <w:tcPr>
            <w:tcW w:w="5540" w:type="dxa"/>
            <w:vAlign w:val="bottom"/>
          </w:tcPr>
          <w:p>
            <w:pPr>
              <w:spacing w:after="0"/>
              <w:rPr>
                <w:sz w:val="20"/>
                <w:szCs w:val="20"/>
                <w:color w:val="auto"/>
              </w:rPr>
            </w:pPr>
            <w:r>
              <w:rPr>
                <w:rFonts w:ascii="Arial" w:cs="Arial" w:eastAsia="Arial" w:hAnsi="Arial"/>
                <w:sz w:val="18"/>
                <w:szCs w:val="18"/>
                <w:color w:val="auto"/>
              </w:rPr>
              <w:t>Surrendered; Lost or Destroyed Certificates</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5.4</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Replacement Certificate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5.5</w:t>
            </w:r>
          </w:p>
        </w:tc>
        <w:tc>
          <w:tcPr>
            <w:tcW w:w="5540" w:type="dxa"/>
            <w:vAlign w:val="bottom"/>
          </w:tcPr>
          <w:p>
            <w:pPr>
              <w:spacing w:after="0"/>
              <w:rPr>
                <w:sz w:val="20"/>
                <w:szCs w:val="20"/>
                <w:color w:val="auto"/>
              </w:rPr>
            </w:pPr>
            <w:r>
              <w:rPr>
                <w:rFonts w:ascii="Arial" w:cs="Arial" w:eastAsia="Arial" w:hAnsi="Arial"/>
                <w:sz w:val="18"/>
                <w:szCs w:val="18"/>
                <w:color w:val="auto"/>
              </w:rPr>
              <w:t>Transfer of Shares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5.6</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Registrars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5.7</w:t>
            </w:r>
          </w:p>
        </w:tc>
        <w:tc>
          <w:tcPr>
            <w:tcW w:w="5540" w:type="dxa"/>
            <w:vAlign w:val="bottom"/>
          </w:tcPr>
          <w:p>
            <w:pPr>
              <w:spacing w:after="0"/>
              <w:rPr>
                <w:sz w:val="20"/>
                <w:szCs w:val="20"/>
                <w:color w:val="auto"/>
              </w:rPr>
            </w:pPr>
            <w:r>
              <w:rPr>
                <w:rFonts w:ascii="Arial" w:cs="Arial" w:eastAsia="Arial" w:hAnsi="Arial"/>
                <w:sz w:val="18"/>
                <w:szCs w:val="18"/>
                <w:color w:val="auto"/>
              </w:rPr>
              <w:t>Miscellaneous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5540" w:type="dxa"/>
            <w:vAlign w:val="bottom"/>
            <w:shd w:val="clear" w:color="auto" w:fill="CCEEFF"/>
          </w:tcPr>
          <w:p>
            <w:pPr>
              <w:spacing w:after="0"/>
              <w:rPr>
                <w:sz w:val="24"/>
                <w:szCs w:val="2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430"/>
        </w:trPr>
        <w:tc>
          <w:tcPr>
            <w:tcW w:w="1120" w:type="dxa"/>
            <w:vAlign w:val="bottom"/>
          </w:tcPr>
          <w:p>
            <w:pPr>
              <w:spacing w:after="0"/>
              <w:rPr>
                <w:sz w:val="20"/>
                <w:szCs w:val="20"/>
                <w:color w:val="auto"/>
              </w:rPr>
            </w:pPr>
            <w:r>
              <w:rPr>
                <w:rFonts w:ascii="Arial" w:cs="Arial" w:eastAsia="Arial" w:hAnsi="Arial"/>
                <w:sz w:val="18"/>
                <w:szCs w:val="18"/>
                <w:color w:val="auto"/>
              </w:rPr>
              <w:t>ARTICLE VII</w:t>
            </w:r>
          </w:p>
        </w:tc>
        <w:tc>
          <w:tcPr>
            <w:tcW w:w="7640" w:type="dxa"/>
            <w:vAlign w:val="bottom"/>
            <w:gridSpan w:val="2"/>
          </w:tcPr>
          <w:p>
            <w:pPr>
              <w:ind w:left="80"/>
              <w:spacing w:after="0"/>
              <w:rPr>
                <w:sz w:val="20"/>
                <w:szCs w:val="20"/>
                <w:color w:val="auto"/>
              </w:rPr>
            </w:pPr>
            <w:r>
              <w:rPr>
                <w:rFonts w:ascii="Arial" w:cs="Arial" w:eastAsia="Arial" w:hAnsi="Arial"/>
                <w:sz w:val="18"/>
                <w:szCs w:val="18"/>
                <w:color w:val="auto"/>
              </w:rPr>
              <w:t>RECORDS; REPORTS; SEAL; AND FINANCIAL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7.1</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Records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7.2</w:t>
            </w:r>
          </w:p>
        </w:tc>
        <w:tc>
          <w:tcPr>
            <w:tcW w:w="5540" w:type="dxa"/>
            <w:vAlign w:val="bottom"/>
          </w:tcPr>
          <w:p>
            <w:pPr>
              <w:spacing w:after="0"/>
              <w:rPr>
                <w:sz w:val="20"/>
                <w:szCs w:val="20"/>
                <w:color w:val="auto"/>
              </w:rPr>
            </w:pPr>
            <w:r>
              <w:rPr>
                <w:rFonts w:ascii="Arial" w:cs="Arial" w:eastAsia="Arial" w:hAnsi="Arial"/>
                <w:sz w:val="18"/>
                <w:szCs w:val="18"/>
                <w:color w:val="auto"/>
              </w:rPr>
              <w:t>Corporate Seal</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7.3</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Fiscal Year-End</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430"/>
        </w:trPr>
        <w:tc>
          <w:tcPr>
            <w:tcW w:w="1120" w:type="dxa"/>
            <w:vAlign w:val="bottom"/>
          </w:tcPr>
          <w:p>
            <w:pPr>
              <w:spacing w:after="0"/>
              <w:rPr>
                <w:sz w:val="20"/>
                <w:szCs w:val="20"/>
                <w:color w:val="auto"/>
              </w:rPr>
            </w:pPr>
            <w:r>
              <w:rPr>
                <w:rFonts w:ascii="Arial" w:cs="Arial" w:eastAsia="Arial" w:hAnsi="Arial"/>
                <w:sz w:val="18"/>
                <w:szCs w:val="18"/>
                <w:color w:val="auto"/>
              </w:rPr>
              <w:t>ARTICLE VIII</w:t>
            </w:r>
          </w:p>
        </w:tc>
        <w:tc>
          <w:tcPr>
            <w:tcW w:w="210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55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8"/>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8.1</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 and Insurance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spacing w:after="0"/>
              <w:rPr>
                <w:sz w:val="18"/>
                <w:szCs w:val="18"/>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Section 8.2</w:t>
            </w:r>
          </w:p>
        </w:tc>
        <w:tc>
          <w:tcPr>
            <w:tcW w:w="5540" w:type="dxa"/>
            <w:vAlign w:val="bottom"/>
          </w:tcPr>
          <w:p>
            <w:pPr>
              <w:spacing w:after="0"/>
              <w:rPr>
                <w:sz w:val="20"/>
                <w:szCs w:val="20"/>
                <w:color w:val="auto"/>
              </w:rPr>
            </w:pPr>
            <w:r>
              <w:rPr>
                <w:rFonts w:ascii="Arial" w:cs="Arial" w:eastAsia="Arial" w:hAnsi="Arial"/>
                <w:sz w:val="18"/>
                <w:szCs w:val="18"/>
                <w:color w:val="auto"/>
              </w:rPr>
              <w:t>Amendment</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NEVADA LAW</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3220" w:type="dxa"/>
            <w:vAlign w:val="bottom"/>
            <w:gridSpan w:val="2"/>
          </w:tcPr>
          <w:p>
            <w:pPr>
              <w:spacing w:after="0"/>
              <w:rPr>
                <w:sz w:val="20"/>
                <w:szCs w:val="20"/>
                <w:color w:val="auto"/>
              </w:rPr>
            </w:pPr>
            <w:r>
              <w:rPr>
                <w:rFonts w:ascii="Arial" w:cs="Arial" w:eastAsia="Arial" w:hAnsi="Arial"/>
                <w:sz w:val="18"/>
                <w:szCs w:val="18"/>
                <w:color w:val="auto"/>
                <w:w w:val="97"/>
              </w:rPr>
              <w:t>ARTICLE X  AMENDMENT OR REPEAL</w:t>
            </w:r>
          </w:p>
        </w:tc>
        <w:tc>
          <w:tcPr>
            <w:tcW w:w="55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8"/>
        </w:trPr>
        <w:tc>
          <w:tcPr>
            <w:tcW w:w="1120" w:type="dxa"/>
            <w:vAlign w:val="bottom"/>
            <w:shd w:val="clear" w:color="auto" w:fill="CCEEFF"/>
          </w:tcPr>
          <w:p>
            <w:pPr>
              <w:spacing w:after="0"/>
              <w:rPr>
                <w:sz w:val="18"/>
                <w:szCs w:val="18"/>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10.1</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Amendment of Bylaws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 Nevada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3"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Principal Office.</w:t>
      </w:r>
      <w:r>
        <w:rPr>
          <w:rFonts w:ascii="Arial" w:cs="Arial" w:eastAsia="Arial" w:hAnsi="Arial"/>
          <w:sz w:val="18"/>
          <w:szCs w:val="18"/>
          <w:color w:val="auto"/>
        </w:rPr>
        <w:t xml:space="preserve">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3145 Las Vegas Boulevard South, Las Vegas, Nevada 89109.</w:t>
      </w:r>
    </w:p>
    <w:p>
      <w:pPr>
        <w:spacing w:after="0" w:line="180"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Other offices and places of business either within or without the State of Nevada may be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as the business of the Corporation may require. The street address of the Corporation's resident agent is the registered office of the Corporation in Nevada.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w:t>
      </w:r>
    </w:p>
    <w:p>
      <w:pPr>
        <w:spacing w:after="0" w:line="19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Special Meetings.</w:t>
      </w:r>
    </w:p>
    <w:p>
      <w:pPr>
        <w:spacing w:after="0" w:line="225" w:lineRule="exact"/>
        <w:rPr>
          <w:sz w:val="20"/>
          <w:szCs w:val="20"/>
          <w:color w:val="auto"/>
        </w:rPr>
      </w:pPr>
    </w:p>
    <w:p>
      <w:pPr>
        <w:ind w:right="320" w:firstLine="359"/>
        <w:spacing w:after="0" w:line="256" w:lineRule="auto"/>
        <w:tabs>
          <w:tab w:leader="none" w:pos="6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the rights of the holders of preferred stock, if any, special meetings of the stockholders may be called only by the chairman of the board, if any, or the chief executive officer, if any, or, if there be no chairman of the board and no chief executive officer, by the president, and shall be called by the secretary upon the written request of at least a majority of the authorized number of directors. Such request shall state the purpose or purposes of the meeting. Stockholders shall have no right to request or call a special meeting.</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Any meeting of the stockholders of the Corporation may be held at the Corporation's registered office in the State of Nevada or at such other place in or out of the State of Nevada and United States as may be designated in the notice of meeting. A waiver of notice signed by all stockholders entitled to vote may designate any place for the holding of such meeting.</w:t>
      </w:r>
    </w:p>
    <w:p>
      <w:pPr>
        <w:spacing w:after="0" w:line="19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Notice of Meetings; Waiver of Notice.</w:t>
      </w:r>
    </w:p>
    <w:p>
      <w:pPr>
        <w:spacing w:after="0" w:line="225" w:lineRule="exact"/>
        <w:rPr>
          <w:sz w:val="20"/>
          <w:szCs w:val="20"/>
          <w:color w:val="auto"/>
        </w:rPr>
      </w:pPr>
    </w:p>
    <w:p>
      <w:pPr>
        <w:ind w:right="60" w:firstLine="359"/>
        <w:spacing w:after="0" w:line="255" w:lineRule="auto"/>
        <w:tabs>
          <w:tab w:leader="none" w:pos="63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president, chief executive officer, if any, a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and the purpose or purposes for which the meeting is called. The notice shall contain or be accompanied by such additional information as may be required by </w:t>
      </w:r>
      <w:r>
        <w:rPr>
          <w:rFonts w:ascii="Arial" w:cs="Arial" w:eastAsia="Arial" w:hAnsi="Arial"/>
          <w:sz w:val="18"/>
          <w:szCs w:val="18"/>
          <w:i w:val="1"/>
          <w:iCs w:val="1"/>
          <w:color w:val="auto"/>
        </w:rPr>
        <w:t>Nevada Revised Statutes</w:t>
      </w:r>
      <w:r>
        <w:rPr>
          <w:rFonts w:ascii="Arial" w:cs="Arial" w:eastAsia="Arial" w:hAnsi="Arial"/>
          <w:sz w:val="18"/>
          <w:szCs w:val="18"/>
          <w:color w:val="auto"/>
        </w:rPr>
        <w:t xml:space="preserv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96" w:lineRule="exact"/>
        <w:rPr>
          <w:rFonts w:ascii="Arial" w:cs="Arial" w:eastAsia="Arial" w:hAnsi="Arial"/>
          <w:sz w:val="18"/>
          <w:szCs w:val="18"/>
          <w:color w:val="auto"/>
        </w:rPr>
      </w:pPr>
    </w:p>
    <w:p>
      <w:pPr>
        <w:ind w:right="140" w:firstLine="359"/>
        <w:spacing w:after="0" w:line="370" w:lineRule="auto"/>
        <w:tabs>
          <w:tab w:leader="none" w:pos="644" w:val="left"/>
        </w:tabs>
        <w:numPr>
          <w:ilvl w:val="0"/>
          <w:numId w:val="184"/>
        </w:numPr>
        <w:rPr>
          <w:rFonts w:ascii="Arial" w:cs="Arial" w:eastAsia="Arial" w:hAnsi="Arial"/>
          <w:sz w:val="15"/>
          <w:szCs w:val="15"/>
          <w:color w:val="auto"/>
        </w:rPr>
      </w:pPr>
      <w:r>
        <w:rPr>
          <w:rFonts w:ascii="Arial" w:cs="Arial" w:eastAsia="Arial" w:hAnsi="Arial"/>
          <w:sz w:val="15"/>
          <w:szCs w:val="15"/>
          <w:color w:val="auto"/>
        </w:rPr>
        <w:t>In the case of an annual meeting, subject to Section 2.13 below, any proper business may be presented for action, except that (i) if a proposed plan of merger, conversion or exchange is submitted to a vote, the notice of the meeting must state that the purpose, or one of the purposes, of the meeting is to consider</w:t>
      </w:r>
    </w:p>
    <w:p>
      <w:pPr>
        <w:sectPr>
          <w:pgSz w:w="11900" w:h="16838" w:orient="portrait"/>
          <w:cols w:equalWidth="0" w:num="1">
            <w:col w:w="11420"/>
          </w:cols>
          <w:pgMar w:left="240" w:top="140" w:right="239" w:bottom="0" w:gutter="0" w:footer="0" w:header="0"/>
        </w:sectPr>
      </w:pPr>
    </w:p>
    <w:bookmarkStart w:id="131" w:name="page132"/>
    <w:bookmarkEnd w:id="131"/>
    <w:p>
      <w:pPr>
        <w:spacing w:after="0" w:line="4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dissenters' rights under NRS 92A.300 to 92A.500, inclusive, and be accompanied by a copy of those sections.</w:t>
      </w:r>
    </w:p>
    <w:p>
      <w:pPr>
        <w:spacing w:after="0" w:line="225" w:lineRule="exact"/>
        <w:rPr>
          <w:sz w:val="20"/>
          <w:szCs w:val="20"/>
          <w:color w:val="auto"/>
        </w:rPr>
      </w:pPr>
    </w:p>
    <w:p>
      <w:pPr>
        <w:jc w:val="both"/>
        <w:ind w:right="200" w:firstLine="359"/>
        <w:spacing w:after="0" w:line="298" w:lineRule="auto"/>
        <w:tabs>
          <w:tab w:leader="none" w:pos="62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copy of the notice shall be personally delivered or mailed postage prepaid to each stockholder of record entitled to vote at the meeting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w:t>
      </w:r>
    </w:p>
    <w:p>
      <w:pPr>
        <w:spacing w:after="0" w:line="166" w:lineRule="exact"/>
        <w:rPr>
          <w:rFonts w:ascii="Arial" w:cs="Arial" w:eastAsia="Arial" w:hAnsi="Arial"/>
          <w:sz w:val="16"/>
          <w:szCs w:val="16"/>
          <w:color w:val="auto"/>
        </w:rPr>
      </w:pPr>
    </w:p>
    <w:p>
      <w:pPr>
        <w:jc w:val="both"/>
        <w:ind w:right="180" w:firstLine="359"/>
        <w:spacing w:after="0" w:line="259" w:lineRule="auto"/>
        <w:tabs>
          <w:tab w:leader="none" w:pos="64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194" w:lineRule="exact"/>
        <w:rPr>
          <w:rFonts w:ascii="Arial" w:cs="Arial" w:eastAsia="Arial" w:hAnsi="Arial"/>
          <w:sz w:val="18"/>
          <w:szCs w:val="18"/>
          <w:color w:val="auto"/>
        </w:rPr>
      </w:pPr>
    </w:p>
    <w:p>
      <w:pPr>
        <w:ind w:right="380" w:firstLine="359"/>
        <w:spacing w:after="0" w:line="268" w:lineRule="auto"/>
        <w:tabs>
          <w:tab w:leader="none" w:pos="6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stockholder may waive notice of any meeting by a signed writing, either before or after the meeting. Such waiver of notice shall be deemed the equivalent of the giving of such notice.</w:t>
      </w:r>
    </w:p>
    <w:p>
      <w:pPr>
        <w:spacing w:after="0" w:line="186"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i w:val="1"/>
          <w:iCs w:val="1"/>
          <w:color w:val="auto"/>
        </w:rPr>
        <w:t>Determination of Stockholders of Record.</w:t>
      </w:r>
    </w:p>
    <w:p>
      <w:pPr>
        <w:spacing w:after="0" w:line="225" w:lineRule="exact"/>
        <w:rPr>
          <w:sz w:val="20"/>
          <w:szCs w:val="20"/>
          <w:color w:val="auto"/>
        </w:rPr>
      </w:pPr>
    </w:p>
    <w:p>
      <w:pPr>
        <w:ind w:firstLine="359"/>
        <w:spacing w:after="0" w:line="256" w:lineRule="auto"/>
        <w:tabs>
          <w:tab w:leader="none" w:pos="63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the purpose of determining the stockholders entitled to notice of and to vote at any meeting of stockholders or any adjournment thereof,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 (60) days nor less than ten (10) days before the date of such meeting, if applicable.</w:t>
      </w:r>
    </w:p>
    <w:p>
      <w:pPr>
        <w:spacing w:after="0" w:line="197" w:lineRule="exact"/>
        <w:rPr>
          <w:rFonts w:ascii="Arial" w:cs="Arial" w:eastAsia="Arial" w:hAnsi="Arial"/>
          <w:sz w:val="18"/>
          <w:szCs w:val="18"/>
          <w:color w:val="auto"/>
        </w:rPr>
      </w:pPr>
    </w:p>
    <w:p>
      <w:pPr>
        <w:ind w:right="40" w:firstLine="359"/>
        <w:spacing w:after="0" w:line="291" w:lineRule="auto"/>
        <w:tabs>
          <w:tab w:leader="none" w:pos="6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the adjourned meeting and must fix a new record date if the meeting is adjourned to</w:t>
      </w:r>
      <w:r>
        <w:rPr>
          <w:rFonts w:ascii="Arial" w:cs="Arial" w:eastAsia="Arial" w:hAnsi="Arial"/>
          <w:sz w:val="16"/>
          <w:szCs w:val="16"/>
          <w:i w:val="1"/>
          <w:iCs w:val="1"/>
          <w:color w:val="auto"/>
        </w:rPr>
        <w:t xml:space="preserve"> </w:t>
      </w:r>
      <w:r>
        <w:rPr>
          <w:rFonts w:ascii="Arial" w:cs="Arial" w:eastAsia="Arial" w:hAnsi="Arial"/>
          <w:sz w:val="16"/>
          <w:szCs w:val="16"/>
          <w:color w:val="auto"/>
        </w:rPr>
        <w:t>a date more than 60 days later than the date set for the original meeting.</w:t>
      </w:r>
    </w:p>
    <w:p>
      <w:pPr>
        <w:spacing w:after="0" w:line="174"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i w:val="1"/>
          <w:iCs w:val="1"/>
          <w:color w:val="auto"/>
        </w:rPr>
        <w:t>Quorum; Adjourned Meetings.</w:t>
      </w:r>
    </w:p>
    <w:p>
      <w:pPr>
        <w:spacing w:after="0" w:line="225" w:lineRule="exact"/>
        <w:rPr>
          <w:sz w:val="20"/>
          <w:szCs w:val="20"/>
          <w:color w:val="auto"/>
        </w:rPr>
      </w:pPr>
    </w:p>
    <w:p>
      <w:pPr>
        <w:ind w:right="60" w:firstLine="359"/>
        <w:spacing w:after="0" w:line="294" w:lineRule="auto"/>
        <w:tabs>
          <w:tab w:leader="none" w:pos="63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69" w:lineRule="exact"/>
        <w:rPr>
          <w:rFonts w:ascii="Arial" w:cs="Arial" w:eastAsia="Arial" w:hAnsi="Arial"/>
          <w:sz w:val="16"/>
          <w:szCs w:val="16"/>
          <w:color w:val="auto"/>
        </w:rPr>
      </w:pPr>
    </w:p>
    <w:p>
      <w:pPr>
        <w:ind w:right="20" w:firstLine="359"/>
        <w:spacing w:after="0" w:line="255" w:lineRule="auto"/>
        <w:tabs>
          <w:tab w:leader="none" w:pos="6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39"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i w:val="1"/>
          <w:iCs w:val="1"/>
          <w:color w:val="auto"/>
        </w:rPr>
        <w:t>Voting.</w:t>
      </w:r>
    </w:p>
    <w:p>
      <w:pPr>
        <w:spacing w:after="0" w:line="225" w:lineRule="exact"/>
        <w:rPr>
          <w:sz w:val="20"/>
          <w:szCs w:val="20"/>
          <w:color w:val="auto"/>
        </w:rPr>
      </w:pPr>
    </w:p>
    <w:p>
      <w:pPr>
        <w:ind w:right="20" w:firstLine="359"/>
        <w:spacing w:after="0" w:line="256" w:lineRule="auto"/>
        <w:tabs>
          <w:tab w:leader="none" w:pos="63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Unless otherwise provided in the NRS, in the Articles of Incorporation, or in the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97" w:lineRule="exact"/>
        <w:rPr>
          <w:rFonts w:ascii="Arial" w:cs="Arial" w:eastAsia="Arial" w:hAnsi="Arial"/>
          <w:sz w:val="18"/>
          <w:szCs w:val="18"/>
          <w:color w:val="auto"/>
        </w:rPr>
      </w:pPr>
    </w:p>
    <w:p>
      <w:pPr>
        <w:ind w:right="180" w:firstLine="359"/>
        <w:spacing w:after="0" w:line="290" w:lineRule="auto"/>
        <w:tabs>
          <w:tab w:leader="none" w:pos="64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cast votes carried by such shares even though the shares do not stand of record in the name of the receiver; provided, that the order of a court of competent jurisdiction which appoints the receiver contains the authority to cast votes carried by such shares. If shares stand of record in the name of a minor, votes may be cast by the duly appointed guardian of the estate of such minor only if such guardian has provided the Corporation with written proof of such appointment.</w:t>
      </w:r>
    </w:p>
    <w:p>
      <w:pPr>
        <w:spacing w:after="0" w:line="172" w:lineRule="exact"/>
        <w:rPr>
          <w:rFonts w:ascii="Arial" w:cs="Arial" w:eastAsia="Arial" w:hAnsi="Arial"/>
          <w:sz w:val="16"/>
          <w:szCs w:val="16"/>
          <w:color w:val="auto"/>
        </w:rPr>
      </w:pPr>
    </w:p>
    <w:p>
      <w:pPr>
        <w:ind w:right="120" w:firstLine="359"/>
        <w:spacing w:after="0" w:line="254" w:lineRule="auto"/>
        <w:tabs>
          <w:tab w:leader="none" w:pos="63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president, chief executive officer, if any,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ectPr>
          <w:pgSz w:w="11900" w:h="16880" w:orient="portrait"/>
          <w:cols w:equalWidth="0" w:num="1">
            <w:col w:w="11420"/>
          </w:cols>
          <w:pgMar w:left="240" w:top="131" w:right="239" w:bottom="0" w:gutter="0" w:footer="0" w:header="0"/>
        </w:sectPr>
      </w:pPr>
    </w:p>
    <w:bookmarkStart w:id="132" w:name="page133"/>
    <w:bookmarkEnd w:id="132"/>
    <w:p>
      <w:pPr>
        <w:ind w:firstLine="359"/>
        <w:spacing w:after="0" w:line="259" w:lineRule="auto"/>
        <w:tabs>
          <w:tab w:leader="none" w:pos="64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by it; and such shares shall not be counted in determining the total number of outstanding shares entitled to vote.</w:t>
      </w:r>
    </w:p>
    <w:p>
      <w:pPr>
        <w:spacing w:after="0" w:line="194" w:lineRule="exact"/>
        <w:rPr>
          <w:rFonts w:ascii="Arial" w:cs="Arial" w:eastAsia="Arial" w:hAnsi="Arial"/>
          <w:sz w:val="18"/>
          <w:szCs w:val="18"/>
          <w:color w:val="auto"/>
        </w:rPr>
      </w:pPr>
    </w:p>
    <w:p>
      <w:pPr>
        <w:ind w:right="20" w:firstLine="359"/>
        <w:spacing w:after="0" w:line="256" w:lineRule="auto"/>
        <w:tabs>
          <w:tab w:leader="none" w:pos="6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7" w:lineRule="exact"/>
        <w:rPr>
          <w:rFonts w:ascii="Arial" w:cs="Arial" w:eastAsia="Arial" w:hAnsi="Arial"/>
          <w:sz w:val="18"/>
          <w:szCs w:val="18"/>
          <w:color w:val="auto"/>
        </w:rPr>
      </w:pPr>
    </w:p>
    <w:p>
      <w:pPr>
        <w:ind w:right="100" w:firstLine="359"/>
        <w:spacing w:after="0" w:line="306" w:lineRule="auto"/>
        <w:tabs>
          <w:tab w:leader="none" w:pos="69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or more persons, whether fiduciaries, members of a partnership, joint tenants, tenants in common, husband and wife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60" w:lineRule="exact"/>
        <w:rPr>
          <w:rFonts w:ascii="Arial" w:cs="Arial" w:eastAsia="Arial" w:hAnsi="Arial"/>
          <w:sz w:val="16"/>
          <w:szCs w:val="16"/>
          <w:color w:val="auto"/>
        </w:rPr>
      </w:pPr>
    </w:p>
    <w:p>
      <w:pPr>
        <w:ind w:left="1240" w:hanging="253"/>
        <w:spacing w:after="0"/>
        <w:tabs>
          <w:tab w:leader="none" w:pos="124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hanging="361"/>
        <w:spacing w:after="0"/>
        <w:tabs>
          <w:tab w:leader="none" w:pos="126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 cast proportionately, as split.</w:t>
      </w:r>
    </w:p>
    <w:p>
      <w:pPr>
        <w:spacing w:after="0" w:line="248" w:lineRule="exact"/>
        <w:rPr>
          <w:rFonts w:ascii="Arial" w:cs="Arial" w:eastAsia="Arial" w:hAnsi="Arial"/>
          <w:sz w:val="16"/>
          <w:szCs w:val="16"/>
          <w:color w:val="auto"/>
        </w:rPr>
      </w:pPr>
    </w:p>
    <w:p>
      <w:pPr>
        <w:ind w:right="60" w:firstLine="359"/>
        <w:spacing w:after="0" w:line="294" w:lineRule="auto"/>
        <w:tabs>
          <w:tab w:leader="none" w:pos="64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a quorum is present, directors shall be elected by a plurality of the votes cast.</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Proxies.</w:t>
      </w:r>
      <w:r>
        <w:rPr>
          <w:rFonts w:ascii="Arial" w:cs="Arial" w:eastAsia="Arial" w:hAnsi="Arial"/>
          <w:sz w:val="18"/>
          <w:szCs w:val="18"/>
          <w:color w:val="auto"/>
        </w:rPr>
        <w:t xml:space="preserve">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No Action Without A Meeting.</w:t>
      </w:r>
      <w:r>
        <w:rPr>
          <w:rFonts w:ascii="Arial" w:cs="Arial" w:eastAsia="Arial" w:hAnsi="Arial"/>
          <w:sz w:val="18"/>
          <w:szCs w:val="18"/>
          <w:color w:val="auto"/>
        </w:rPr>
        <w:t xml:space="preserve"> No action shall be taken by the stockholders except at an annual or special meeting of stockholders called and noticed in the manner required by these Bylaws. Prior to the completion of the initial public offering of the Corporation, the stockholders may take action by written consent. After the completion of the initial public offering of the Corporation, the stockholders may not in any circumstance take action by written consent.</w:t>
      </w:r>
    </w:p>
    <w:p>
      <w:pPr>
        <w:spacing w:after="0" w:line="19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Organization.</w:t>
      </w:r>
    </w:p>
    <w:p>
      <w:pPr>
        <w:spacing w:after="0" w:line="225" w:lineRule="exact"/>
        <w:rPr>
          <w:sz w:val="20"/>
          <w:szCs w:val="20"/>
          <w:color w:val="auto"/>
        </w:rPr>
      </w:pPr>
    </w:p>
    <w:p>
      <w:pPr>
        <w:ind w:right="20" w:firstLine="359"/>
        <w:spacing w:after="0" w:line="287" w:lineRule="auto"/>
        <w:tabs>
          <w:tab w:leader="none" w:pos="63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Meetings of stockholders shall be presided over by the chairman of the board, or, in the absence of the chairman, by the vice-chairman of the board, or in the absence of the vice-chairman, the president, or, in the absence of the president, by the chief executive officer, if any,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176" w:lineRule="exact"/>
        <w:rPr>
          <w:rFonts w:ascii="Arial" w:cs="Arial" w:eastAsia="Arial" w:hAnsi="Arial"/>
          <w:sz w:val="16"/>
          <w:szCs w:val="16"/>
          <w:color w:val="auto"/>
        </w:rPr>
      </w:pPr>
    </w:p>
    <w:p>
      <w:pPr>
        <w:ind w:right="180" w:firstLine="359"/>
        <w:spacing w:after="0" w:line="256" w:lineRule="auto"/>
        <w:tabs>
          <w:tab w:leader="none" w:pos="64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Absentees' Consent to Meetings.</w:t>
      </w:r>
      <w:r>
        <w:rPr>
          <w:rFonts w:ascii="Arial" w:cs="Arial" w:eastAsia="Arial" w:hAnsi="Arial"/>
          <w:sz w:val="18"/>
          <w:szCs w:val="18"/>
          <w:color w:val="auto"/>
        </w:rPr>
        <w:t xml:space="preserve"> Transactions of any meeting of the stockholders are as valid as though had at a meeting duly held after regular call and notice if a quorum is represented, either in person or by proxy, and if, either before or after the meeting, each of the persons entitled to vote, not represented in person or by proxy (and those who, although present, either object at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beginning of the meeting to the transaction of any business because the meeting has not been lawfully called or convened or expressly object at the meeting to the consideration of matters not included in the notice which are legally or by the terms of these Bylaws required to be included therein), signs a written waiver of notice and/or consent to the holding of the meeting or an approval of the minutes thereof. All such waivers, consents, and approvals shall be filed with the corporate records and made a part of the minutes of the meeting.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properly included in the notice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ectPr>
          <w:pgSz w:w="11900" w:h="16838" w:orient="portrait"/>
          <w:cols w:equalWidth="0" w:num="1">
            <w:col w:w="11420"/>
          </w:cols>
          <w:pgMar w:left="240" w:top="131" w:right="239" w:bottom="0" w:gutter="0" w:footer="0" w:header="0"/>
        </w:sectPr>
      </w:pPr>
    </w:p>
    <w:bookmarkStart w:id="133" w:name="page134"/>
    <w:bookmarkEnd w:id="133"/>
    <w:p>
      <w:pPr>
        <w:jc w:val="both"/>
        <w:ind w:right="60" w:firstLine="351"/>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Director Nominations.</w:t>
      </w:r>
      <w:r>
        <w:rPr>
          <w:rFonts w:ascii="Arial" w:cs="Arial" w:eastAsia="Arial" w:hAnsi="Arial"/>
          <w:sz w:val="16"/>
          <w:szCs w:val="16"/>
          <w:color w:val="auto"/>
        </w:rPr>
        <w:t xml:space="preserve"> Subject to the rights, if any, of the holders of preferred stock to nominate and elect directors, nominations of persons for election to the Board of Directors of the Corporation may be made by the Board of Directors, by a committee appointed by the Board of Directors, or by any stockholder of record entitled to vote in the election of directors who complies with the notice procedures set forth in Section 2.13 below.</w:t>
      </w:r>
    </w:p>
    <w:p>
      <w:pPr>
        <w:spacing w:after="0" w:line="161"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Advance Notice of Stockholder Proposals and Director Nominations by Stockholders.</w:t>
      </w:r>
      <w:r>
        <w:rPr>
          <w:rFonts w:ascii="Arial" w:cs="Arial" w:eastAsia="Arial" w:hAnsi="Arial"/>
          <w:sz w:val="16"/>
          <w:szCs w:val="16"/>
          <w:color w:val="auto"/>
        </w:rPr>
        <w:t xml:space="preserve"> At any annual or special meeting of stockholders, proposals by stockholders and persons nominated for election as directors by stockholders shall be considered only if advance notice thereof has been timely given by the stockholder as provided herein and such proposals or nominations are otherwise proper for consideration under applicable law, the Articles of Incorporation and these Bylaws. Notice of any proposal to be presented by any stockholder or of the name of any person to be nominated by any stockholder for election as a director of the Corporation at any meeting of stockholders shall be delivered to the secretary of the Corporation at its principal office not less than sixty (60) nor more than ninety (90) days prior to the day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meeting is first publicly announced or disclosed (in a public filing or otherwise) less than seventy (70) days prior to the day of the meeting, such advance notice shall be given not more than ten</w:t>
      </w:r>
    </w:p>
    <w:p>
      <w:pPr>
        <w:ind w:firstLine="8"/>
        <w:spacing w:after="0" w:line="288" w:lineRule="auto"/>
        <w:tabs>
          <w:tab w:leader="none" w:pos="33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days after such date is first so announced or disclosed. Public notice shall be deemed to have been given more than seventy (70) days in advance of the annual meeting if the Corporation shall have previously disclosed, in these Bylaws or otherwise, that the annual meeting in each year is to be held on a determinable date, unless and until the Board of Directors determines to hold the meeting on a different date. For purposes of this Section, public disclosure of the date of a forthcoming meeting may be made by the Corporation not only by giving formal notice of the meeting, but also by notice to a national securities exchange, the Nasdaq National Market or the Nasdaq SmallCap Market (if a corporation's common stock is then listed on such exchange or quoted on either such Nasdaq market), by filing a report under Section 13 or 15(d) of the Securities Exchange Act of 1934, as amended (the "</w:t>
      </w:r>
      <w:r>
        <w:rPr>
          <w:rFonts w:ascii="Arial" w:cs="Arial" w:eastAsia="Arial" w:hAnsi="Arial"/>
          <w:sz w:val="16"/>
          <w:szCs w:val="16"/>
          <w:b w:val="1"/>
          <w:bCs w:val="1"/>
          <w:color w:val="auto"/>
        </w:rPr>
        <w:t>Act</w:t>
      </w:r>
      <w:r>
        <w:rPr>
          <w:rFonts w:ascii="Arial" w:cs="Arial" w:eastAsia="Arial" w:hAnsi="Arial"/>
          <w:sz w:val="16"/>
          <w:szCs w:val="16"/>
          <w:color w:val="auto"/>
        </w:rPr>
        <w:t>") (if the Corporation is then subject thereto), by mailing to stockholders, or by a general press release.</w:t>
      </w:r>
    </w:p>
    <w:p>
      <w:pPr>
        <w:spacing w:after="0" w:line="177"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 of such stockholder in the proposal (other than as a stockholder). Any stockholder desiring to nominate any person for election as a director of the Corporation shall deliver with such notice a statement, in writing, setting forth (a) the name of the person to be nominated; (b) the number and class of all shares of each class of stock of the Corporation beneficially owned by such person; (c) the information regarding such person required by paragraphs (a), (e) and (f) of Item 401 of Regulation S-K adopted by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(or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corresponding provisions of any regulation subsequently adopted by the SEC applicable to the Corporation), and any other information regarding such person which would be required to be included in a proxy statement filed pursuant to the proxy rules of the SEC, had such nominee been nominated, or intended to be nominated by the Board of Directors; (d) such person's signed consent to serve as a director of the Corporation if elected and to file an application for licensing or finding of suitability if the Nevada Gaming Commission or other gaming authority shall so require or the Board of Directors deems it necessary or advisable;</w:t>
      </w:r>
    </w:p>
    <w:p>
      <w:pPr>
        <w:spacing w:after="0" w:line="3" w:lineRule="exact"/>
        <w:rPr>
          <w:sz w:val="20"/>
          <w:szCs w:val="20"/>
          <w:color w:val="auto"/>
        </w:rPr>
      </w:pPr>
    </w:p>
    <w:p>
      <w:pPr>
        <w:ind w:left="240" w:hanging="232"/>
        <w:spacing w:after="0"/>
        <w:tabs>
          <w:tab w:leader="none" w:pos="2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such stockholder's name and address and the number and class of all shares of each class of stock of the Corporation beneficially owned by such stockholder;</w:t>
      </w:r>
    </w:p>
    <w:p>
      <w:pPr>
        <w:spacing w:after="0" w:line="43" w:lineRule="exact"/>
        <w:rPr>
          <w:rFonts w:ascii="Arial" w:cs="Arial" w:eastAsia="Arial" w:hAnsi="Arial"/>
          <w:sz w:val="15"/>
          <w:szCs w:val="15"/>
          <w:color w:val="auto"/>
        </w:rPr>
      </w:pPr>
    </w:p>
    <w:p>
      <w:pPr>
        <w:ind w:right="40" w:firstLine="8"/>
        <w:spacing w:after="0" w:line="286" w:lineRule="auto"/>
        <w:tabs>
          <w:tab w:leader="none" w:pos="21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representation that such stockholder is a holder of record of stock of the Corporation entitled to vote at such meeting and intends to appear in person or by proxy at the meeting to nominate the person or persons specified in the notice; and (g) a description of all arrangements or understandings between the stockholder and each nominee and any other person or persons (naming such person or persons) pursuant to which the nominations are to be made by the stockholder. As used herein, shares "</w:t>
      </w:r>
      <w:r>
        <w:rPr>
          <w:rFonts w:ascii="Arial" w:cs="Arial" w:eastAsia="Arial" w:hAnsi="Arial"/>
          <w:sz w:val="16"/>
          <w:szCs w:val="16"/>
          <w:b w:val="1"/>
          <w:bCs w:val="1"/>
          <w:color w:val="auto"/>
        </w:rPr>
        <w:t>beneficially owned</w:t>
      </w:r>
      <w:r>
        <w:rPr>
          <w:rFonts w:ascii="Arial" w:cs="Arial" w:eastAsia="Arial" w:hAnsi="Arial"/>
          <w:sz w:val="16"/>
          <w:szCs w:val="16"/>
          <w:color w:val="auto"/>
        </w:rPr>
        <w:t>" shall mean all shares as to which such person, together with such person's affiliates and associates (as defined in Rule 12b-2 under the Act), may be deemed to beneficially own pursuant to Rules 13d-3 and 13d-5 under the Act, as well as all shares as to which such person, together with such person's affiliates and associates, has a right to become the beneficial owner pursuant to any agreement or understanding, whereupon the exercise of warrants, options or rights to convert or exchange (whether such rights are exercisable immediately or only after the passage of time or the occurrence of conditions). The person presiding at the meeting shall determine whether such notice has been duly given and shall direct that proposals and nominees not be considered if such notice has not been duly given. Notwithstanding anything in these Bylaws to the contrary, no business shall be conducted at a meeting except in accordance with the procedures set forth in this Section. Notwithstanding the foregoing provisions hereof, a stockholder shall also comply with all applicable requirements of the Act, and the rules and regulations thereunder with respect to the matters set forth herein.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Powers; Performance of Duties.</w:t>
      </w:r>
      <w:r>
        <w:rPr>
          <w:rFonts w:ascii="Arial" w:cs="Arial" w:eastAsia="Arial" w:hAnsi="Arial"/>
          <w:sz w:val="18"/>
          <w:szCs w:val="18"/>
          <w:color w:val="auto"/>
        </w:rPr>
        <w:t xml:space="preserve"> The business and affairs of the Corporation shall be managed by or under the direction of the Board of Directors, except as otherwise provided in Chapter 78 of the NRS or the Articles of Incorporation.</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Number, Tenure, and Qualifications.</w:t>
      </w:r>
      <w:r>
        <w:rPr>
          <w:rFonts w:ascii="Arial" w:cs="Arial" w:eastAsia="Arial" w:hAnsi="Arial"/>
          <w:sz w:val="16"/>
          <w:szCs w:val="16"/>
          <w:color w:val="auto"/>
        </w:rPr>
        <w:t xml:space="preserve"> The Board of Directors of the Corporation shall consist of at least one (1) individual(s) and not more than thirteen (13) individuals. The number of directors within the foregoing fixed minimum and maximum may be established and changed from time to time by resolution adopted by the Board of Directors of the Corporation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shall be restrictive upon the right of the Board of Directors to fill vacancies or upon the right of the stockholders to remove directors as is hereinafter provided.</w:t>
      </w:r>
    </w:p>
    <w:p>
      <w:pPr>
        <w:spacing w:after="0" w:line="17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Chairman of the Board.</w:t>
      </w:r>
      <w:r>
        <w:rPr>
          <w:rFonts w:ascii="Arial" w:cs="Arial" w:eastAsia="Arial" w:hAnsi="Arial"/>
          <w:sz w:val="16"/>
          <w:szCs w:val="16"/>
          <w:color w:val="auto"/>
        </w:rPr>
        <w:t xml:space="preserve">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Vice-Chairman of the Board.</w:t>
      </w:r>
      <w:r>
        <w:rPr>
          <w:rFonts w:ascii="Arial" w:cs="Arial" w:eastAsia="Arial" w:hAnsi="Arial"/>
          <w:sz w:val="16"/>
          <w:szCs w:val="16"/>
          <w:color w:val="auto"/>
        </w:rPr>
        <w:t xml:space="preserve"> The Board of Directors shall elect a vice-chairman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Classification and Elections.</w:t>
      </w:r>
      <w:r>
        <w:rPr>
          <w:rFonts w:ascii="Arial" w:cs="Arial" w:eastAsia="Arial" w:hAnsi="Arial"/>
          <w:sz w:val="16"/>
          <w:szCs w:val="16"/>
          <w:color w:val="auto"/>
        </w:rPr>
        <w:t xml:space="preserve">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w:t>
      </w:r>
    </w:p>
    <w:p>
      <w:pPr>
        <w:sectPr>
          <w:pgSz w:w="11900" w:h="16838" w:orient="portrait"/>
          <w:cols w:equalWidth="0" w:num="1">
            <w:col w:w="11400"/>
          </w:cols>
          <w:pgMar w:left="240" w:top="131" w:right="259" w:bottom="0" w:gutter="0" w:footer="0" w:header="0"/>
        </w:sectPr>
      </w:pPr>
    </w:p>
    <w:bookmarkStart w:id="134" w:name="page135"/>
    <w:bookmarkEnd w:id="134"/>
    <w:p>
      <w:pPr>
        <w:ind w:right="40"/>
        <w:spacing w:after="0" w:line="289" w:lineRule="auto"/>
        <w:rPr>
          <w:sz w:val="20"/>
          <w:szCs w:val="20"/>
          <w:color w:val="auto"/>
        </w:rPr>
      </w:pPr>
      <w:r>
        <w:rPr>
          <w:rFonts w:ascii="Arial" w:cs="Arial" w:eastAsia="Arial" w:hAnsi="Arial"/>
          <w:sz w:val="16"/>
          <w:szCs w:val="16"/>
          <w:color w:val="auto"/>
        </w:rPr>
        <w:t>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72" w:lineRule="exact"/>
        <w:rPr>
          <w:sz w:val="20"/>
          <w:szCs w:val="20"/>
          <w:color w:val="auto"/>
        </w:rPr>
      </w:pPr>
    </w:p>
    <w:p>
      <w:pPr>
        <w:jc w:val="both"/>
        <w:ind w:firstLine="351"/>
        <w:spacing w:after="0"/>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i w:val="1"/>
          <w:iCs w:val="1"/>
          <w:color w:val="auto"/>
        </w:rPr>
        <w:t>Removal and Resignation of Directors.</w:t>
      </w:r>
      <w:r>
        <w:rPr>
          <w:rFonts w:ascii="Arial" w:cs="Arial" w:eastAsia="Arial" w:hAnsi="Arial"/>
          <w:sz w:val="17"/>
          <w:szCs w:val="17"/>
          <w:color w:val="auto"/>
        </w:rPr>
        <w:t xml:space="preserve"> Subject to any rights of the holders of preferred stock and except as otherwise provided in the NRS, any director may be removed from office with or without cause by the affirmative vote of the holders of not less than two-thirds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Corporation, by majority vote, may declare vacant the office of a director who has been declared incompetent by an order of a court of competent jurisdiction, convicted of a felony or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Vacancies; Newly Created Directorships.</w:t>
      </w:r>
      <w:r>
        <w:rPr>
          <w:rFonts w:ascii="Arial" w:cs="Arial" w:eastAsia="Arial" w:hAnsi="Arial"/>
          <w:sz w:val="18"/>
          <w:szCs w:val="18"/>
          <w:color w:val="auto"/>
        </w:rPr>
        <w:t xml:space="preserve"> Subject to any rights of the holders of preferred stock,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Annual and Regular Meetings.</w:t>
      </w:r>
      <w:r>
        <w:rPr>
          <w:rFonts w:ascii="Arial" w:cs="Arial" w:eastAsia="Arial" w:hAnsi="Arial"/>
          <w:sz w:val="16"/>
          <w:szCs w:val="16"/>
          <w:color w:val="auto"/>
        </w:rPr>
        <w:t xml:space="preserve"> Immediately following the adjournment of, and at the same place as, the annual or any special meeting of the stockholders at which directors are elected,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16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i w:val="1"/>
          <w:iCs w:val="1"/>
          <w:color w:val="auto"/>
        </w:rPr>
        <w:t>Special Meetings.</w:t>
      </w:r>
      <w:r>
        <w:rPr>
          <w:rFonts w:ascii="Arial" w:cs="Arial" w:eastAsia="Arial" w:hAnsi="Arial"/>
          <w:sz w:val="16"/>
          <w:szCs w:val="16"/>
          <w:color w:val="auto"/>
        </w:rPr>
        <w:t xml:space="preserve"> Except as otherwise required by law, and subject to any rights of the holders of preferred stock, special meetings of the Board of Directors may be called only by the chairman of the board, if any, or if there be no chairman of the board, by any of the chief executive officer, if any, the president, or the secretary, and shall be called by the chairman of the board, if any, the president, the chief executive officer, if any, or the secretary upon the request of at least a majority of the authorized number of directors. If the chairman of the board, or if there be no chairman of the board, each of the president, chief executive officer, if any, and secretary, refuses or neglects to call such special meeting, a special meeting may be called by a written request signed by at least a majority of the authorized number of directors.</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94"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Notice of Meetings.</w:t>
      </w:r>
      <w:r>
        <w:rPr>
          <w:rFonts w:ascii="Arial" w:cs="Arial" w:eastAsia="Arial" w:hAnsi="Arial"/>
          <w:sz w:val="16"/>
          <w:szCs w:val="16"/>
          <w:color w:val="auto"/>
        </w:rPr>
        <w:t xml:space="preserve"> Except as otherwise provided in Section 3.8 above, there shall be delivered to each director at the address appearing for him or her on the records of the Corporation, at least twenty-four (24) hours before the time of such meeting, a copy of a written notice of any meeting (a) by delivery of such notice personally, (b) by mailing such notice postage prepaid, (c) by facsimile, (d) by overnight courier, (e) by telegram, or (f) by electronic transmission or electronic writing, including, but not limited to, email. If mailed to an address inside the United States, the notice shall be deemed delivered two</w:t>
      </w:r>
    </w:p>
    <w:p>
      <w:pPr>
        <w:spacing w:after="0" w:line="3" w:lineRule="exact"/>
        <w:rPr>
          <w:sz w:val="20"/>
          <w:szCs w:val="20"/>
          <w:color w:val="auto"/>
        </w:rPr>
      </w:pPr>
    </w:p>
    <w:p>
      <w:pPr>
        <w:ind w:right="20" w:firstLine="8"/>
        <w:spacing w:after="0" w:line="253" w:lineRule="auto"/>
        <w:tabs>
          <w:tab w:leader="none" w:pos="24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facsimile, by electronic transmission or electronic writing, including, but not limited to, email, the notice shall be deemed delivered upon sender's receipt of confirmation of the successful transmission. If sent via overnight courier, the notice shall be deemed delivered the business day following the delivery of such notice to the courier. If the address of any director 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i w:val="1"/>
          <w:iCs w:val="1"/>
          <w:color w:val="auto"/>
        </w:rPr>
        <w:t>Quorum; Adjourned Meetings.</w:t>
      </w:r>
    </w:p>
    <w:p>
      <w:pPr>
        <w:spacing w:after="0" w:line="225" w:lineRule="exact"/>
        <w:rPr>
          <w:sz w:val="20"/>
          <w:szCs w:val="20"/>
          <w:color w:val="auto"/>
        </w:rPr>
      </w:pPr>
    </w:p>
    <w:p>
      <w:pPr>
        <w:ind w:left="640" w:hanging="281"/>
        <w:spacing w:after="0"/>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majority of the directors in office, at a meeting duly assembled, is necessary to constitute a quorum for the transaction of business.</w:t>
      </w:r>
    </w:p>
    <w:p>
      <w:pPr>
        <w:spacing w:after="0" w:line="225" w:lineRule="exact"/>
        <w:rPr>
          <w:rFonts w:ascii="Arial" w:cs="Arial" w:eastAsia="Arial" w:hAnsi="Arial"/>
          <w:sz w:val="18"/>
          <w:szCs w:val="18"/>
          <w:color w:val="auto"/>
        </w:rPr>
      </w:pPr>
    </w:p>
    <w:p>
      <w:pPr>
        <w:ind w:right="160" w:firstLine="359"/>
        <w:spacing w:after="0" w:line="259" w:lineRule="auto"/>
        <w:tabs>
          <w:tab w:leader="none" w:pos="63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ectPr>
          <w:pgSz w:w="11900" w:h="16838" w:orient="portrait"/>
          <w:cols w:equalWidth="0" w:num="1">
            <w:col w:w="11420"/>
          </w:cols>
          <w:pgMar w:left="240" w:top="131" w:right="239" w:bottom="0" w:gutter="0" w:footer="0" w:header="0"/>
        </w:sectPr>
      </w:pPr>
    </w:p>
    <w:bookmarkStart w:id="135" w:name="page136"/>
    <w:bookmarkEnd w:id="135"/>
    <w:p>
      <w:pPr>
        <w:ind w:right="20" w:firstLine="351"/>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Manner of Acting.</w:t>
      </w:r>
      <w:r>
        <w:rPr>
          <w:rFonts w:ascii="Arial" w:cs="Arial" w:eastAsia="Arial" w:hAnsi="Arial"/>
          <w:sz w:val="18"/>
          <w:szCs w:val="18"/>
          <w:color w:val="auto"/>
        </w:rPr>
        <w:t xml:space="preserve"> Except as provided in Section 3.14 below, the affirmative vote of a majority of the directors present at a meeting at which a quorum is present is the act of the Board of Directors.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Super-majority Approval.</w:t>
      </w:r>
      <w:r>
        <w:rPr>
          <w:rFonts w:ascii="Arial" w:cs="Arial" w:eastAsia="Arial" w:hAnsi="Arial"/>
          <w:sz w:val="18"/>
          <w:szCs w:val="18"/>
          <w:color w:val="auto"/>
        </w:rPr>
        <w:t xml:space="preserve"> Notwithstanding anything to the contrary contained in these Bylaws or the Articles of Incorporation, the following actions may be taken by the Corporation only upon the approval of two-thirds of the directors present at a meeting at which a quorum is present is the act of the Board of Directors:</w:t>
      </w:r>
    </w:p>
    <w:p>
      <w:pPr>
        <w:spacing w:after="0" w:line="194" w:lineRule="exact"/>
        <w:rPr>
          <w:sz w:val="20"/>
          <w:szCs w:val="20"/>
          <w:color w:val="auto"/>
        </w:rPr>
      </w:pPr>
    </w:p>
    <w:p>
      <w:pPr>
        <w:ind w:left="1180" w:hanging="281"/>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i w:val="1"/>
          <w:iCs w:val="1"/>
          <w:color w:val="auto"/>
        </w:rPr>
        <w:t>Telephonic Meetings.</w:t>
      </w:r>
      <w:r>
        <w:rPr>
          <w:rFonts w:ascii="Arial" w:cs="Arial" w:eastAsia="Arial" w:hAnsi="Arial"/>
          <w:sz w:val="16"/>
          <w:szCs w:val="16"/>
          <w:color w:val="auto"/>
        </w:rPr>
        <w:t xml:space="preserve"> Members of the Board of Directors or of any committee designated by the Board of Directors may participate in a meeting of the Board of Directors or such committee by means of a telephone conference or video or similar method of communication by which all persons participating in such meeting can hear each other. Participation in a meeting pursuant to this Section 3.15 constitutes presence in person at the meeting.</w:t>
      </w:r>
    </w:p>
    <w:p>
      <w:pPr>
        <w:spacing w:after="0" w:line="16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xml:space="preserve">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9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5"/>
          <w:szCs w:val="15"/>
          <w:i w:val="1"/>
          <w:iCs w:val="1"/>
          <w:color w:val="auto"/>
        </w:rPr>
        <w:t>Powers and Duties.</w:t>
      </w:r>
    </w:p>
    <w:p>
      <w:pPr>
        <w:spacing w:after="0" w:line="225" w:lineRule="exact"/>
        <w:rPr>
          <w:sz w:val="20"/>
          <w:szCs w:val="20"/>
          <w:color w:val="auto"/>
        </w:rPr>
      </w:pPr>
    </w:p>
    <w:p>
      <w:pPr>
        <w:ind w:right="40" w:firstLine="359"/>
        <w:spacing w:after="0" w:line="256" w:lineRule="auto"/>
        <w:tabs>
          <w:tab w:leader="none" w:pos="63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Except as otherwise restricted by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197" w:lineRule="exact"/>
        <w:rPr>
          <w:rFonts w:ascii="Arial" w:cs="Arial" w:eastAsia="Arial" w:hAnsi="Arial"/>
          <w:sz w:val="18"/>
          <w:szCs w:val="18"/>
          <w:color w:val="auto"/>
        </w:rPr>
      </w:pPr>
    </w:p>
    <w:p>
      <w:pPr>
        <w:ind w:right="240" w:firstLine="359"/>
        <w:spacing w:after="0" w:line="268" w:lineRule="auto"/>
        <w:tabs>
          <w:tab w:leader="none" w:pos="64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Board of Directors, in its discretion, or the officer of the Corporation presiding at a meeting of stockholders, in his discretion, may (i) require that any votes cast at such meeting shall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186" w:lineRule="exact"/>
        <w:rPr>
          <w:sz w:val="20"/>
          <w:szCs w:val="20"/>
          <w:color w:val="auto"/>
        </w:rPr>
      </w:pPr>
    </w:p>
    <w:p>
      <w:pPr>
        <w:ind w:right="60" w:firstLine="359"/>
        <w:spacing w:after="0" w:line="289" w:lineRule="auto"/>
        <w:tabs>
          <w:tab w:leader="none" w:pos="63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The Board of Directors, without regard to personal interest, may establish the compensation of directors for services in any capacity. If the Board of Directors establishes the compensation of directors pursuant to this subsection, such compensation is presumed to be fair to the Corporation unless proven unfair by a preponderance of the evidence.</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Meetings of the Board of Directors shall be presided over by the chairman of the board, or in the absence of the chairman of the board by the vice-chairman,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Election.</w:t>
      </w:r>
      <w:r>
        <w:rPr>
          <w:rFonts w:ascii="Arial" w:cs="Arial" w:eastAsia="Arial" w:hAnsi="Arial"/>
          <w:sz w:val="18"/>
          <w:szCs w:val="18"/>
          <w:color w:val="auto"/>
        </w:rPr>
        <w:t xml:space="preserve"> The Board of Directors, at its annual meeting, shall elect and appoint a president, a secretary and a treasurer. Said officers shall serve until the next succeeding annual meeting of the Board of Directors and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Removal; Resignation.</w:t>
      </w:r>
      <w:r>
        <w:rPr>
          <w:rFonts w:ascii="Arial" w:cs="Arial" w:eastAsia="Arial" w:hAnsi="Arial"/>
          <w:sz w:val="18"/>
          <w:szCs w:val="18"/>
          <w:color w:val="auto"/>
        </w:rPr>
        <w:t xml:space="preserve">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Any vacancy in any office because of death, resignation, removal or otherwise may be filled by the Board of Directors for the unexpired portion of the term of such office.</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Chief Executive Officer.</w:t>
      </w:r>
      <w:r>
        <w:rPr>
          <w:rFonts w:ascii="Arial" w:cs="Arial" w:eastAsia="Arial" w:hAnsi="Arial"/>
          <w:sz w:val="16"/>
          <w:szCs w:val="16"/>
          <w:color w:val="auto"/>
        </w:rPr>
        <w:t xml:space="preserve"> The Board of Directors may elect a chief executive officer who, subject to the supervision and control of the Board of Directors, shall have the ultimate responsibility for the management and control of the business and affairs of the Corporation, and shall</w:t>
      </w:r>
    </w:p>
    <w:p>
      <w:pPr>
        <w:sectPr>
          <w:pgSz w:w="11900" w:h="16838" w:orient="portrait"/>
          <w:cols w:equalWidth="0" w:num="1">
            <w:col w:w="11420"/>
          </w:cols>
          <w:pgMar w:left="240" w:top="131" w:right="239" w:bottom="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perform such other duties and have such other powers which are delegated to him or her by the Board of Directors, these Bylaws or as may be provided by law.</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President.</w:t>
      </w:r>
      <w:r>
        <w:rPr>
          <w:rFonts w:ascii="Arial" w:cs="Arial" w:eastAsia="Arial" w:hAnsi="Arial"/>
          <w:sz w:val="16"/>
          <w:szCs w:val="16"/>
          <w:color w:val="auto"/>
        </w:rPr>
        <w:t xml:space="preserve">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if any, these Bylaws or as may be provided by law.</w:t>
      </w:r>
    </w:p>
    <w:p>
      <w:pPr>
        <w:spacing w:after="0" w:line="16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Vice Presidents.</w:t>
      </w:r>
      <w:r>
        <w:rPr>
          <w:rFonts w:ascii="Arial" w:cs="Arial" w:eastAsia="Arial" w:hAnsi="Arial"/>
          <w:sz w:val="18"/>
          <w:szCs w:val="18"/>
          <w:color w:val="auto"/>
        </w:rPr>
        <w:t xml:space="preserve">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may be provided by law.</w:t>
      </w:r>
    </w:p>
    <w:p>
      <w:pPr>
        <w:spacing w:after="0" w:line="19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shall attend all meetings of the stockholders, the Board of Directors and any committees, and shall keep, or cause to be kept, the minutes of proceeds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the records of the Corporation, the stock certificate books, transfer books and stock ledgers, and such other books and papers as the Board of Directors or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may be provided by law.</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Assistant Secretaries.</w:t>
      </w:r>
      <w:r>
        <w:rPr>
          <w:rFonts w:ascii="Arial" w:cs="Arial" w:eastAsia="Arial" w:hAnsi="Arial"/>
          <w:sz w:val="18"/>
          <w:szCs w:val="18"/>
          <w:color w:val="auto"/>
        </w:rPr>
        <w:t xml:space="preserve">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may be provided by law.</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may be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Assistant Treasurers.</w:t>
      </w:r>
      <w:r>
        <w:rPr>
          <w:rFonts w:ascii="Arial" w:cs="Arial" w:eastAsia="Arial" w:hAnsi="Arial"/>
          <w:sz w:val="16"/>
          <w:szCs w:val="16"/>
          <w:color w:val="auto"/>
        </w:rPr>
        <w:t xml:space="preserve">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may be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Execution of Negotiable Instruments, Deeds and Contracts.</w:t>
      </w:r>
      <w:r>
        <w:rPr>
          <w:rFonts w:ascii="Arial" w:cs="Arial" w:eastAsia="Arial" w:hAnsi="Arial"/>
          <w:sz w:val="16"/>
          <w:szCs w:val="16"/>
          <w:color w:val="auto"/>
        </w:rPr>
        <w:t xml:space="preserve"> All checks, drafts, notes, bonds, bills of exchange, and orders for the payment 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Issuance.</w:t>
      </w:r>
      <w:r>
        <w:rPr>
          <w:rFonts w:ascii="Arial" w:cs="Arial" w:eastAsia="Arial" w:hAnsi="Arial"/>
          <w:sz w:val="18"/>
          <w:szCs w:val="18"/>
          <w:color w:val="auto"/>
        </w:rPr>
        <w:t xml:space="preserve">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ectPr>
          <w:pgSz w:w="11900" w:h="16838" w:orient="portrait"/>
          <w:cols w:equalWidth="0" w:num="1">
            <w:col w:w="11420"/>
          </w:cols>
          <w:pgMar w:left="240" w:top="131" w:right="239" w:bottom="76" w:gutter="0" w:footer="0" w:header="0"/>
        </w:sectPr>
      </w:pPr>
    </w:p>
    <w:bookmarkStart w:id="137" w:name="page138"/>
    <w:bookmarkEnd w:id="137"/>
    <w:p>
      <w:pPr>
        <w:ind w:firstLine="351"/>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Stock Certificates and Uncertified Shares.</w:t>
      </w:r>
      <w:r>
        <w:rPr>
          <w:rFonts w:ascii="Arial" w:cs="Arial" w:eastAsia="Arial" w:hAnsi="Arial"/>
          <w:sz w:val="16"/>
          <w:szCs w:val="16"/>
          <w:color w:val="auto"/>
        </w:rPr>
        <w:t xml:space="preserve"> Every holder of stock in the Corporation shall be entitled to have a certificate signed by or in the name of the Corporation by the president, the chief executive officer, if any, or a vice president, and by the secretary or an assistant secretary, of the Corporation (or any other two officers or agents so authorized by the Board of Directors), certifying the number of shares of stock owned by him, her or it in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authorize the issuance of uncertificated shares of some or all of any or all classes or series of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Any such issuance of uncertificated shares shall have no effect on existing certificates for shares until such certificates are surrendered to the Corporation, or on the respective rights and obligations of the stockholders.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78"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Within a reasonable time after the issuance or transfer of uncertificated shares, the Corporation shall send to the registered owner thereof a written statement certifying the number of shares owned by him, her or it in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5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20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Surrendered; Lost or Destroyed Certificates.</w:t>
      </w:r>
      <w:r>
        <w:rPr>
          <w:rFonts w:ascii="Arial" w:cs="Arial" w:eastAsia="Arial" w:hAnsi="Arial"/>
          <w:sz w:val="18"/>
          <w:szCs w:val="18"/>
          <w:color w:val="auto"/>
        </w:rPr>
        <w:t xml:space="preserve">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Replacement Certificate.</w:t>
      </w:r>
      <w:r>
        <w:rPr>
          <w:rFonts w:ascii="Arial" w:cs="Arial" w:eastAsia="Arial" w:hAnsi="Arial"/>
          <w:sz w:val="16"/>
          <w:szCs w:val="16"/>
          <w:color w:val="auto"/>
        </w:rPr>
        <w:t xml:space="preserve">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72"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i w:val="1"/>
          <w:iCs w:val="1"/>
          <w:color w:val="auto"/>
        </w:rPr>
        <w:t>Transfer of Shares.</w:t>
      </w:r>
      <w:r>
        <w:rPr>
          <w:rFonts w:ascii="Arial" w:cs="Arial" w:eastAsia="Arial" w:hAnsi="Arial"/>
          <w:sz w:val="15"/>
          <w:szCs w:val="15"/>
          <w:color w:val="auto"/>
        </w:rPr>
        <w:t xml:space="preserve">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42"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Transfer Agent; Registrars.</w:t>
      </w:r>
      <w:r>
        <w:rPr>
          <w:rFonts w:ascii="Arial" w:cs="Arial" w:eastAsia="Arial" w:hAnsi="Arial"/>
          <w:sz w:val="16"/>
          <w:szCs w:val="16"/>
          <w:color w:val="auto"/>
        </w:rPr>
        <w:t xml:space="preserve">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Miscellaneous.</w:t>
      </w:r>
      <w:r>
        <w:rPr>
          <w:rFonts w:ascii="Arial" w:cs="Arial" w:eastAsia="Arial" w:hAnsi="Arial"/>
          <w:sz w:val="16"/>
          <w:szCs w:val="16"/>
          <w:color w:val="auto"/>
        </w:rPr>
        <w:t xml:space="preserve">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2.5 above, prior to the distribution for the purpose of determining stockholders entitled to receive any distribution.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REPORTS; SEAL; AND FINANCIAL MATTERS</w:t>
      </w:r>
    </w:p>
    <w:p>
      <w:pPr>
        <w:spacing w:after="0" w:line="21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Records.</w:t>
      </w:r>
      <w:r>
        <w:rPr>
          <w:rFonts w:ascii="Arial" w:cs="Arial" w:eastAsia="Arial" w:hAnsi="Arial"/>
          <w:sz w:val="18"/>
          <w:szCs w:val="18"/>
          <w:color w:val="auto"/>
        </w:rPr>
        <w:t xml:space="preserve">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Corporate Seal.</w:t>
      </w:r>
      <w:r>
        <w:rPr>
          <w:rFonts w:ascii="Arial" w:cs="Arial" w:eastAsia="Arial" w:hAnsi="Arial"/>
          <w:sz w:val="18"/>
          <w:szCs w:val="18"/>
          <w:color w:val="auto"/>
        </w:rPr>
        <w:t xml:space="preserve">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ectPr>
          <w:pgSz w:w="11900" w:h="16838" w:orient="portrait"/>
          <w:cols w:equalWidth="0" w:num="1">
            <w:col w:w="11420"/>
          </w:cols>
          <w:pgMar w:left="240" w:top="131" w:right="239" w:bottom="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Fiscal Year-End.</w:t>
      </w:r>
      <w:r>
        <w:rPr>
          <w:rFonts w:ascii="Arial" w:cs="Arial" w:eastAsia="Arial" w:hAnsi="Arial"/>
          <w:sz w:val="18"/>
          <w:szCs w:val="18"/>
          <w:color w:val="auto"/>
        </w:rPr>
        <w:t xml:space="preserve"> The fiscal year-end of the Corporation shall be such date as may be fixed from time to time by resolution of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Indemnification and Insurance.</w:t>
      </w:r>
    </w:p>
    <w:p>
      <w:pPr>
        <w:spacing w:after="0" w:line="225" w:lineRule="exact"/>
        <w:rPr>
          <w:sz w:val="20"/>
          <w:szCs w:val="20"/>
          <w:color w:val="auto"/>
        </w:rPr>
      </w:pPr>
    </w:p>
    <w:p>
      <w:pPr>
        <w:ind w:left="1260" w:hanging="361"/>
        <w:spacing w:after="0"/>
        <w:tabs>
          <w:tab w:leader="none" w:pos="126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Indemnification of Directors and Officers.</w:t>
      </w:r>
    </w:p>
    <w:p>
      <w:pPr>
        <w:spacing w:after="0" w:line="219" w:lineRule="exact"/>
        <w:rPr>
          <w:rFonts w:ascii="Arial" w:cs="Arial" w:eastAsia="Arial" w:hAnsi="Arial"/>
          <w:sz w:val="18"/>
          <w:szCs w:val="18"/>
          <w:color w:val="auto"/>
        </w:rPr>
      </w:pPr>
    </w:p>
    <w:p>
      <w:pPr>
        <w:ind w:left="1080" w:firstLine="447"/>
        <w:spacing w:after="0" w:line="304" w:lineRule="auto"/>
        <w:tabs>
          <w:tab w:leader="none" w:pos="1772" w:val="left"/>
        </w:tabs>
        <w:numPr>
          <w:ilvl w:val="3"/>
          <w:numId w:val="200"/>
        </w:numPr>
        <w:rPr>
          <w:rFonts w:ascii="Arial" w:cs="Arial" w:eastAsia="Arial" w:hAnsi="Arial"/>
          <w:sz w:val="15"/>
          <w:szCs w:val="15"/>
          <w:color w:val="auto"/>
        </w:rPr>
      </w:pPr>
      <w:r>
        <w:rPr>
          <w:rFonts w:ascii="Arial" w:cs="Arial" w:eastAsia="Arial" w:hAnsi="Arial"/>
          <w:sz w:val="15"/>
          <w:szCs w:val="15"/>
          <w:color w:val="auto"/>
        </w:rPr>
        <w:t>For purposes of this Article, (A) "</w:t>
      </w:r>
      <w:r>
        <w:rPr>
          <w:rFonts w:ascii="Arial" w:cs="Arial" w:eastAsia="Arial" w:hAnsi="Arial"/>
          <w:sz w:val="15"/>
          <w:szCs w:val="15"/>
          <w:b w:val="1"/>
          <w:bCs w:val="1"/>
          <w:color w:val="auto"/>
        </w:rPr>
        <w:t>Indemnitee</w:t>
      </w:r>
      <w:r>
        <w:rPr>
          <w:rFonts w:ascii="Arial" w:cs="Arial" w:eastAsia="Arial" w:hAnsi="Arial"/>
          <w:sz w:val="15"/>
          <w:szCs w:val="15"/>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and</w:t>
      </w:r>
    </w:p>
    <w:p>
      <w:pPr>
        <w:ind w:left="1080" w:right="320" w:firstLine="8"/>
        <w:spacing w:after="0" w:line="261" w:lineRule="auto"/>
        <w:tabs>
          <w:tab w:leader="none" w:pos="135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rFonts w:ascii="Arial" w:cs="Arial" w:eastAsia="Arial" w:hAnsi="Arial"/>
          <w:sz w:val="18"/>
          <w:szCs w:val="18"/>
          <w:color w:val="auto"/>
        </w:rPr>
      </w:pPr>
    </w:p>
    <w:p>
      <w:pPr>
        <w:ind w:left="1080" w:firstLine="360"/>
        <w:spacing w:after="0" w:line="284" w:lineRule="auto"/>
        <w:tabs>
          <w:tab w:leader="none" w:pos="1734" w:val="left"/>
        </w:tabs>
        <w:numPr>
          <w:ilvl w:val="2"/>
          <w:numId w:val="200"/>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80" w:firstLine="360"/>
        <w:spacing w:after="0" w:line="323" w:lineRule="auto"/>
        <w:tabs>
          <w:tab w:leader="none" w:pos="1782" w:val="left"/>
        </w:tabs>
        <w:numPr>
          <w:ilvl w:val="1"/>
          <w:numId w:val="201"/>
        </w:numPr>
        <w:rPr>
          <w:rFonts w:ascii="Arial" w:cs="Arial" w:eastAsia="Arial" w:hAnsi="Arial"/>
          <w:sz w:val="15"/>
          <w:szCs w:val="15"/>
          <w:color w:val="auto"/>
        </w:rPr>
      </w:pPr>
      <w:r>
        <w:rPr>
          <w:rFonts w:ascii="Arial" w:cs="Arial" w:eastAsia="Arial" w:hAnsi="Arial"/>
          <w:sz w:val="15"/>
          <w:szCs w:val="15"/>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51" w:lineRule="exact"/>
        <w:rPr>
          <w:rFonts w:ascii="Arial" w:cs="Arial" w:eastAsia="Arial" w:hAnsi="Arial"/>
          <w:sz w:val="15"/>
          <w:szCs w:val="15"/>
          <w:color w:val="auto"/>
        </w:rPr>
      </w:pPr>
    </w:p>
    <w:p>
      <w:pPr>
        <w:ind w:left="1080" w:firstLine="360"/>
        <w:spacing w:after="0" w:line="314" w:lineRule="auto"/>
        <w:tabs>
          <w:tab w:leader="none" w:pos="176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expenses of Indemnitees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58" w:lineRule="exact"/>
        <w:rPr>
          <w:rFonts w:ascii="Arial" w:cs="Arial" w:eastAsia="Arial" w:hAnsi="Arial"/>
          <w:sz w:val="15"/>
          <w:szCs w:val="15"/>
          <w:color w:val="auto"/>
        </w:rPr>
      </w:pPr>
    </w:p>
    <w:p>
      <w:pPr>
        <w:ind w:left="540" w:right="20" w:firstLine="359"/>
        <w:spacing w:after="0" w:line="268" w:lineRule="auto"/>
        <w:tabs>
          <w:tab w:leader="none" w:pos="1271"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Employees and Other Persons. </w:t>
      </w:r>
      <w:r>
        <w:rPr>
          <w:rFonts w:ascii="Arial" w:cs="Arial" w:eastAsia="Arial" w:hAnsi="Arial"/>
          <w:sz w:val="18"/>
          <w:szCs w:val="18"/>
          <w:color w:val="auto"/>
        </w:rPr>
        <w:t>The Corporation may, by action of its Board of Directors and to the extent provided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indemnify employees and other persons as though they were Indemnitees.</w:t>
      </w:r>
    </w:p>
    <w:p>
      <w:pPr>
        <w:spacing w:after="0" w:line="185" w:lineRule="exact"/>
        <w:rPr>
          <w:rFonts w:ascii="Arial" w:cs="Arial" w:eastAsia="Arial" w:hAnsi="Arial"/>
          <w:sz w:val="18"/>
          <w:szCs w:val="18"/>
          <w:color w:val="auto"/>
        </w:rPr>
      </w:pPr>
    </w:p>
    <w:p>
      <w:pPr>
        <w:ind w:left="540" w:right="20" w:firstLine="359"/>
        <w:spacing w:after="0" w:line="259" w:lineRule="auto"/>
        <w:tabs>
          <w:tab w:leader="none" w:pos="1262"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Non-Exclusivity of Rights. </w:t>
      </w:r>
      <w:r>
        <w:rPr>
          <w:rFonts w:ascii="Arial" w:cs="Arial" w:eastAsia="Arial" w:hAnsi="Arial"/>
          <w:sz w:val="18"/>
          <w:szCs w:val="18"/>
          <w:color w:val="auto"/>
        </w:rPr>
        <w:t>The rights to indemnification provided in this Article shall not be exclusive of any other rights that any person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hereafter acquire under any statute, provision of the Articles of Incorporation or these Bylaws, agreement, vote of stockholders or directors, or otherwise.</w:t>
      </w:r>
    </w:p>
    <w:p>
      <w:pPr>
        <w:spacing w:after="0" w:line="194" w:lineRule="exact"/>
        <w:rPr>
          <w:rFonts w:ascii="Arial" w:cs="Arial" w:eastAsia="Arial" w:hAnsi="Arial"/>
          <w:sz w:val="18"/>
          <w:szCs w:val="18"/>
          <w:color w:val="auto"/>
        </w:rPr>
      </w:pPr>
    </w:p>
    <w:p>
      <w:pPr>
        <w:ind w:left="540" w:right="120" w:firstLine="359"/>
        <w:spacing w:after="0" w:line="256" w:lineRule="auto"/>
        <w:tabs>
          <w:tab w:leader="none" w:pos="1271"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Corporation may purchase and maintain insurance or make other financial arrangements on behalf of any Indemnitee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97" w:lineRule="exact"/>
        <w:rPr>
          <w:rFonts w:ascii="Arial" w:cs="Arial" w:eastAsia="Arial" w:hAnsi="Arial"/>
          <w:sz w:val="18"/>
          <w:szCs w:val="18"/>
          <w:color w:val="auto"/>
        </w:rPr>
      </w:pPr>
    </w:p>
    <w:p>
      <w:pPr>
        <w:jc w:val="both"/>
        <w:ind w:left="540" w:right="180" w:firstLine="359"/>
        <w:spacing w:after="0" w:line="306" w:lineRule="auto"/>
        <w:tabs>
          <w:tab w:leader="none" w:pos="1262"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Other Financial Arrangements. </w:t>
      </w:r>
      <w:r>
        <w:rPr>
          <w:rFonts w:ascii="Arial" w:cs="Arial" w:eastAsia="Arial" w:hAnsi="Arial"/>
          <w:sz w:val="16"/>
          <w:szCs w:val="16"/>
          <w:color w:val="auto"/>
        </w:rPr>
        <w:t>The other financial arrangements which may be made by the Corporation may include the following (i) the</w:t>
      </w:r>
      <w:r>
        <w:rPr>
          <w:rFonts w:ascii="Arial" w:cs="Arial" w:eastAsia="Arial" w:hAnsi="Arial"/>
          <w:sz w:val="16"/>
          <w:szCs w:val="16"/>
          <w:i w:val="1"/>
          <w:iCs w:val="1"/>
          <w:color w:val="auto"/>
        </w:rPr>
        <w:t xml:space="preserve"> </w:t>
      </w:r>
      <w:r>
        <w:rPr>
          <w:rFonts w:ascii="Arial" w:cs="Arial" w:eastAsia="Arial" w:hAnsi="Arial"/>
          <w:sz w:val="16"/>
          <w:szCs w:val="16"/>
          <w:color w:val="auto"/>
        </w:rPr>
        <w:t>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w:t>
      </w:r>
    </w:p>
    <w:p>
      <w:pPr>
        <w:sectPr>
          <w:pgSz w:w="11900" w:h="16838" w:orient="portrait"/>
          <w:cols w:equalWidth="0" w:num="1">
            <w:col w:w="11400"/>
          </w:cols>
          <w:pgMar w:left="240" w:top="131" w:right="259" w:bottom="0" w:gutter="0" w:footer="0" w:header="0"/>
        </w:sectPr>
      </w:pPr>
    </w:p>
    <w:bookmarkStart w:id="139" w:name="page140"/>
    <w:bookmarkEnd w:id="139"/>
    <w:p>
      <w:pPr>
        <w:jc w:val="both"/>
        <w:ind w:left="540"/>
        <w:spacing w:after="0" w:line="259" w:lineRule="auto"/>
        <w:rPr>
          <w:sz w:val="20"/>
          <w:szCs w:val="20"/>
          <w:color w:val="auto"/>
        </w:rPr>
      </w:pPr>
      <w:r>
        <w:rPr>
          <w:rFonts w:ascii="Arial" w:cs="Arial" w:eastAsia="Arial" w:hAnsi="Arial"/>
          <w:sz w:val="18"/>
          <w:szCs w:val="18"/>
          <w:color w:val="auto"/>
        </w:rPr>
        <w:t>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94" w:lineRule="exact"/>
        <w:rPr>
          <w:sz w:val="20"/>
          <w:szCs w:val="20"/>
          <w:color w:val="auto"/>
        </w:rPr>
      </w:pPr>
    </w:p>
    <w:p>
      <w:pPr>
        <w:ind w:left="540" w:right="20" w:firstLine="359"/>
        <w:spacing w:after="0" w:line="253" w:lineRule="auto"/>
        <w:tabs>
          <w:tab w:leader="none" w:pos="1242"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Other Matters Relating to Insurance or Financial Arrangements. </w:t>
      </w:r>
      <w:r>
        <w:rPr>
          <w:rFonts w:ascii="Arial" w:cs="Arial" w:eastAsia="Arial" w:hAnsi="Arial"/>
          <w:sz w:val="18"/>
          <w:szCs w:val="18"/>
          <w:color w:val="auto"/>
        </w:rPr>
        <w:t>Any insurance or other financial arrangement made on behalf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below), no repeal or amendment of these Bylaws shall affect any or all of this Article VIII so as to limit or reduce the indemnification in any manner unless adopted by (a) the unanimous vote of the directors of the Corporation then serving, or (b) by the stockholders as set forth in Article X hereof; provided that no such amendment shall have a retroactive effect inconsistent with the preceding sentence.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NEVADA LAW</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References in these Bylaws to Nevada law or the NRS or to any provision thereof shall be to such law as it existed on the 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VIII hereof, the rights to limited liability, to indemnification and to the advancement of expenses provided in the Articles of Incorporation and/or these Bylaws shall continue as theretofore to the extent permitted by law; and (b)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REPEAL</w:t>
      </w:r>
    </w:p>
    <w:p>
      <w:pPr>
        <w:spacing w:after="0" w:line="219"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i w:val="1"/>
          <w:iCs w:val="1"/>
          <w:color w:val="auto"/>
        </w:rPr>
        <w:t>Amendment of Bylaws.</w:t>
      </w:r>
    </w:p>
    <w:p>
      <w:pPr>
        <w:spacing w:after="0" w:line="225" w:lineRule="exact"/>
        <w:rPr>
          <w:sz w:val="20"/>
          <w:szCs w:val="20"/>
          <w:color w:val="auto"/>
        </w:rPr>
      </w:pPr>
    </w:p>
    <w:p>
      <w:pPr>
        <w:ind w:left="540" w:right="520" w:firstLine="359"/>
        <w:spacing w:after="0" w:line="268" w:lineRule="auto"/>
        <w:tabs>
          <w:tab w:leader="none" w:pos="1262"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In furtherance and not in limitation of the powers conferred by statute, the Board of Directors of the Corporation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authorized to adopt, repeal, alter, amend and rescind these Bylaws.</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 xml:space="preserve">Stockholders.  </w:t>
      </w:r>
      <w:r>
        <w:rPr>
          <w:rFonts w:ascii="Arial" w:cs="Arial" w:eastAsia="Arial" w:hAnsi="Arial"/>
          <w:sz w:val="16"/>
          <w:szCs w:val="16"/>
          <w:color w:val="auto"/>
        </w:rPr>
        <w:t>Notwithstanding Section 10.1(a) above, these Bylaws may be rescinded, altered, amended or repealed in any respect by the</w:t>
      </w:r>
    </w:p>
    <w:p>
      <w:pPr>
        <w:spacing w:after="0" w:line="38" w:lineRule="exact"/>
        <w:rPr>
          <w:sz w:val="20"/>
          <w:szCs w:val="20"/>
          <w:color w:val="auto"/>
        </w:rPr>
      </w:pPr>
    </w:p>
    <w:p>
      <w:pPr>
        <w:ind w:left="540" w:right="20"/>
        <w:spacing w:after="0" w:line="209" w:lineRule="auto"/>
        <w:rPr>
          <w:sz w:val="20"/>
          <w:szCs w:val="20"/>
          <w:color w:val="auto"/>
        </w:rPr>
      </w:pPr>
      <w:r>
        <w:rPr>
          <w:rFonts w:ascii="Arial" w:cs="Arial" w:eastAsia="Arial" w:hAnsi="Arial"/>
          <w:sz w:val="18"/>
          <w:szCs w:val="18"/>
          <w:color w:val="auto"/>
        </w:rPr>
        <w:t xml:space="preserve">affirmative vote of the holders of at least sixty-six and two-thirds percent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power of the Corporation, voting together as a single class.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ind w:right="180" w:firstLine="348"/>
        <w:spacing w:after="0" w:line="275"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Bylaws on the 23rd day of September, 2002.</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H. Rubinstein, Secretary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00"/>
          </w:cols>
          <w:pgMar w:left="240" w:top="131" w:right="259" w:bottom="245"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WYNN RESORTS, LIMITED a Nevada corporation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THIRD AMENDED AND RESTATED BYLAWS EFFECTIVE AS OF SEPTEMBER 23, 2002</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31">
        <w:r>
          <w:rPr>
            <w:rFonts w:ascii="Arial" w:cs="Arial" w:eastAsia="Arial" w:hAnsi="Arial"/>
            <w:sz w:val="16"/>
            <w:szCs w:val="16"/>
            <w:u w:val="single" w:color="auto"/>
            <w:color w:val="0000EE"/>
          </w:rPr>
          <w:t>THIRD AMENDED AND RESTATED BYLAWS OF WYNN RESORTS, LIMITED a Nevada corporation</w:t>
        </w:r>
      </w:hyperlink>
    </w:p>
    <w:p>
      <w:pPr>
        <w:sectPr>
          <w:pgSz w:w="11900" w:h="16838" w:orient="portrait"/>
          <w:cols w:equalWidth="0" w:num="1">
            <w:col w:w="11400"/>
          </w:cols>
          <w:pgMar w:left="240" w:top="131" w:right="259" w:bottom="245" w:gutter="0" w:footer="0" w:header="0"/>
          <w:type w:val="continuous"/>
        </w:sectPr>
      </w:pPr>
    </w:p>
    <w:bookmarkStart w:id="140" w:name="page141"/>
    <w:bookmarkEnd w:id="140"/>
    <w:p>
      <w:pPr>
        <w:spacing w:after="0"/>
        <w:rPr>
          <w:rFonts w:ascii="Arial" w:cs="Arial" w:eastAsia="Arial" w:hAnsi="Arial"/>
          <w:sz w:val="22"/>
          <w:szCs w:val="22"/>
          <w:color w:val="0000EE"/>
        </w:rPr>
      </w:pPr>
      <w:hyperlink w:anchor="page1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Exhibit 4.1</w:t>
            </w:r>
          </w:p>
        </w:tc>
      </w:tr>
      <w:tr>
        <w:trPr>
          <w:trHeight w:val="581"/>
        </w:trPr>
        <w:tc>
          <w:tcPr>
            <w:tcW w:w="3340" w:type="dxa"/>
            <w:vAlign w:val="bottom"/>
          </w:tcPr>
          <w:p>
            <w:pPr>
              <w:spacing w:after="0"/>
              <w:rPr>
                <w:sz w:val="20"/>
                <w:szCs w:val="20"/>
                <w:color w:val="auto"/>
              </w:rPr>
            </w:pPr>
            <w:r>
              <w:rPr>
                <w:rFonts w:ascii="Arial" w:cs="Arial" w:eastAsia="Arial" w:hAnsi="Arial"/>
                <w:sz w:val="18"/>
                <w:szCs w:val="18"/>
                <w:color w:val="auto"/>
              </w:rPr>
              <w:t>07 4036074524</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9"/>
        </w:trPr>
        <w:tc>
          <w:tcPr>
            <w:tcW w:w="334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COMMON STOCK</w:t>
            </w:r>
          </w:p>
        </w:tc>
      </w:tr>
      <w:tr>
        <w:trPr>
          <w:trHeight w:val="432"/>
        </w:trPr>
        <w:tc>
          <w:tcPr>
            <w:tcW w:w="3340" w:type="dxa"/>
            <w:vAlign w:val="bottom"/>
          </w:tcPr>
          <w:p>
            <w:pPr>
              <w:jc w:val="center"/>
              <w:ind w:left="257"/>
              <w:spacing w:after="0"/>
              <w:rPr>
                <w:sz w:val="20"/>
                <w:szCs w:val="20"/>
                <w:color w:val="auto"/>
              </w:rPr>
            </w:pPr>
            <w:r>
              <w:rPr>
                <w:rFonts w:ascii="Arial" w:cs="Arial" w:eastAsia="Arial" w:hAnsi="Arial"/>
                <w:sz w:val="18"/>
                <w:szCs w:val="18"/>
                <w:color w:val="auto"/>
                <w:w w:val="97"/>
              </w:rPr>
              <w:t>NUMBER</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SHARES</w:t>
            </w:r>
          </w:p>
        </w:tc>
      </w:tr>
      <w:tr>
        <w:trPr>
          <w:trHeight w:val="363"/>
        </w:trPr>
        <w:tc>
          <w:tcPr>
            <w:tcW w:w="3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r>
        <w:trPr>
          <w:trHeight w:val="307"/>
        </w:trPr>
        <w:tc>
          <w:tcPr>
            <w:tcW w:w="3340" w:type="dxa"/>
            <w:vAlign w:val="bottom"/>
          </w:tcPr>
          <w:p>
            <w:pPr>
              <w:spacing w:after="0"/>
              <w:rPr>
                <w:sz w:val="20"/>
                <w:szCs w:val="20"/>
                <w:color w:val="auto"/>
              </w:rPr>
            </w:pPr>
            <w:r>
              <w:rPr>
                <w:rFonts w:ascii="Arial" w:cs="Arial" w:eastAsia="Arial" w:hAnsi="Arial"/>
                <w:sz w:val="18"/>
                <w:szCs w:val="18"/>
                <w:b w:val="1"/>
                <w:bCs w:val="1"/>
                <w:color w:val="auto"/>
              </w:rPr>
              <w:t>WYN</w:t>
            </w:r>
          </w:p>
        </w:tc>
        <w:tc>
          <w:tcPr>
            <w:tcW w:w="320" w:type="dxa"/>
            <w:vAlign w:val="bottom"/>
          </w:tcPr>
          <w:p>
            <w:pPr>
              <w:spacing w:after="0"/>
              <w:rPr>
                <w:sz w:val="24"/>
                <w:szCs w:val="24"/>
                <w:color w:val="auto"/>
              </w:rPr>
            </w:pPr>
          </w:p>
        </w:tc>
        <w:tc>
          <w:tcPr>
            <w:tcW w:w="7760" w:type="dxa"/>
            <w:vAlign w:val="bottom"/>
            <w:gridSpan w:val="2"/>
          </w:tcPr>
          <w:p>
            <w:pPr>
              <w:jc w:val="center"/>
              <w:ind w:right="3542"/>
              <w:spacing w:after="0"/>
              <w:rPr>
                <w:sz w:val="20"/>
                <w:szCs w:val="20"/>
                <w:color w:val="auto"/>
              </w:rPr>
            </w:pPr>
            <w:r>
              <w:rPr>
                <w:rFonts w:ascii="Arial" w:cs="Arial" w:eastAsia="Arial" w:hAnsi="Arial"/>
                <w:sz w:val="18"/>
                <w:szCs w:val="18"/>
                <w:b w:val="1"/>
                <w:bCs w:val="1"/>
                <w:color w:val="auto"/>
                <w:w w:val="96"/>
              </w:rPr>
              <w:t>[WYNN RESORTS LOGO]</w:t>
            </w:r>
          </w:p>
        </w:tc>
      </w:tr>
      <w:tr>
        <w:trPr>
          <w:trHeight w:val="228"/>
        </w:trPr>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60" w:type="dxa"/>
            <w:vAlign w:val="bottom"/>
            <w:gridSpan w:val="2"/>
          </w:tcPr>
          <w:p>
            <w:pPr>
              <w:jc w:val="center"/>
              <w:ind w:right="3542"/>
              <w:spacing w:after="0"/>
              <w:rPr>
                <w:sz w:val="20"/>
                <w:szCs w:val="20"/>
                <w:color w:val="auto"/>
              </w:rPr>
            </w:pPr>
            <w:r>
              <w:rPr>
                <w:rFonts w:ascii="Arial" w:cs="Arial" w:eastAsia="Arial" w:hAnsi="Arial"/>
                <w:sz w:val="18"/>
                <w:szCs w:val="18"/>
                <w:b w:val="1"/>
                <w:bCs w:val="1"/>
                <w:color w:val="auto"/>
                <w:w w:val="96"/>
              </w:rPr>
              <w:t>WYNN RESORTS</w:t>
            </w:r>
          </w:p>
        </w:tc>
      </w:tr>
      <w:tr>
        <w:trPr>
          <w:trHeight w:val="120"/>
        </w:trPr>
        <w:tc>
          <w:tcPr>
            <w:tcW w:w="3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12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243"/>
        </w:trPr>
        <w:tc>
          <w:tcPr>
            <w:tcW w:w="3340" w:type="dxa"/>
            <w:vAlign w:val="bottom"/>
          </w:tcPr>
          <w:p>
            <w:pPr>
              <w:jc w:val="center"/>
              <w:ind w:left="257"/>
              <w:spacing w:after="0"/>
              <w:rPr>
                <w:sz w:val="20"/>
                <w:szCs w:val="20"/>
                <w:color w:val="auto"/>
              </w:rPr>
            </w:pPr>
            <w:r>
              <w:rPr>
                <w:rFonts w:ascii="Arial" w:cs="Arial" w:eastAsia="Arial" w:hAnsi="Arial"/>
                <w:sz w:val="14"/>
                <w:szCs w:val="14"/>
                <w:color w:val="auto"/>
                <w:w w:val="91"/>
              </w:rPr>
              <w:t>INCORPORATED UNDER THE LAWS OF</w:t>
            </w:r>
          </w:p>
        </w:tc>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87"/>
              </w:rPr>
              <w:t>SEE REVERSE FOR</w:t>
            </w:r>
          </w:p>
        </w:tc>
      </w:tr>
      <w:tr>
        <w:trPr>
          <w:trHeight w:val="172"/>
        </w:trPr>
        <w:tc>
          <w:tcPr>
            <w:tcW w:w="3340" w:type="dxa"/>
            <w:vAlign w:val="bottom"/>
          </w:tcPr>
          <w:p>
            <w:pPr>
              <w:jc w:val="center"/>
              <w:ind w:left="257"/>
              <w:spacing w:after="0"/>
              <w:rPr>
                <w:sz w:val="20"/>
                <w:szCs w:val="20"/>
                <w:color w:val="auto"/>
              </w:rPr>
            </w:pPr>
            <w:r>
              <w:rPr>
                <w:rFonts w:ascii="Arial" w:cs="Arial" w:eastAsia="Arial" w:hAnsi="Arial"/>
                <w:sz w:val="14"/>
                <w:szCs w:val="14"/>
                <w:color w:val="auto"/>
                <w:w w:val="91"/>
              </w:rPr>
              <w:t>THE STATE OF NEVADA</w:t>
            </w:r>
          </w:p>
        </w:tc>
        <w:tc>
          <w:tcPr>
            <w:tcW w:w="3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3"/>
              </w:rPr>
              <w:t>CERTAIN DEFINITIONS</w:t>
            </w:r>
          </w:p>
        </w:tc>
      </w:tr>
      <w:tr>
        <w:trPr>
          <w:trHeight w:val="297"/>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4"/>
                <w:szCs w:val="14"/>
                <w:color w:val="auto"/>
              </w:rPr>
              <w:t>CUSIP 983134 10 7</w:t>
            </w:r>
          </w:p>
        </w:tc>
      </w:tr>
      <w:tr>
        <w:trPr>
          <w:trHeight w:val="583"/>
        </w:trPr>
        <w:tc>
          <w:tcPr>
            <w:tcW w:w="3340" w:type="dxa"/>
            <w:vAlign w:val="bottom"/>
          </w:tcPr>
          <w:p>
            <w:pPr>
              <w:spacing w:after="0"/>
              <w:rPr>
                <w:sz w:val="24"/>
                <w:szCs w:val="24"/>
                <w:color w:val="auto"/>
              </w:rPr>
            </w:pPr>
          </w:p>
        </w:tc>
        <w:tc>
          <w:tcPr>
            <w:tcW w:w="8080" w:type="dxa"/>
            <w:vAlign w:val="bottom"/>
            <w:gridSpan w:val="3"/>
          </w:tcPr>
          <w:p>
            <w:pPr>
              <w:jc w:val="center"/>
              <w:ind w:right="3262"/>
              <w:spacing w:after="0"/>
              <w:rPr>
                <w:sz w:val="20"/>
                <w:szCs w:val="20"/>
                <w:color w:val="auto"/>
              </w:rPr>
            </w:pPr>
            <w:r>
              <w:rPr>
                <w:rFonts w:ascii="Arial" w:cs="Arial" w:eastAsia="Arial" w:hAnsi="Arial"/>
                <w:sz w:val="32"/>
                <w:szCs w:val="32"/>
                <w:b w:val="1"/>
                <w:bCs w:val="1"/>
                <w:color w:val="auto"/>
              </w:rPr>
              <w:t>WYNN RESORTS, LIMITED</w:t>
            </w:r>
          </w:p>
        </w:tc>
      </w:tr>
      <w:tr>
        <w:trPr>
          <w:trHeight w:val="415"/>
        </w:trPr>
        <w:tc>
          <w:tcPr>
            <w:tcW w:w="3340" w:type="dxa"/>
            <w:vAlign w:val="bottom"/>
          </w:tcPr>
          <w:p>
            <w:pPr>
              <w:spacing w:after="0"/>
              <w:rPr>
                <w:sz w:val="20"/>
                <w:szCs w:val="20"/>
                <w:color w:val="auto"/>
              </w:rPr>
            </w:pPr>
            <w:r>
              <w:rPr>
                <w:rFonts w:ascii="Arial" w:cs="Arial" w:eastAsia="Arial" w:hAnsi="Arial"/>
                <w:sz w:val="18"/>
                <w:szCs w:val="18"/>
                <w:color w:val="auto"/>
              </w:rPr>
              <w:t>THIS CERTIFIES THAT</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IS THE RECORD HOLDER OF</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-1803400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-1803400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-1803400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-1803400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-1374775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-1374775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-1374775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-1374775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FULLY PAID AND NONASSESSABLE SHARES OF THE COMMON STOCK, $0.01 PAR VALUE,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transferable on the books of the Corporation in person or by duly authorized attorney upon surrender of this Certificate properly endorsed. This Certificate is not valid unless countersigned and registered by the Transfer Agent and Registrar.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WITNESS the facsimile seal of the Corporation and the facsimile signatures of its duly authorized officers.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Dated:  6/22/02</w:t>
            </w:r>
          </w:p>
        </w:tc>
        <w:tc>
          <w:tcPr>
            <w:tcW w:w="4120" w:type="dxa"/>
            <w:vAlign w:val="bottom"/>
          </w:tcPr>
          <w:p>
            <w:pPr>
              <w:spacing w:after="0"/>
              <w:rPr>
                <w:sz w:val="19"/>
                <w:szCs w:val="19"/>
                <w:color w:val="auto"/>
              </w:rPr>
            </w:pPr>
          </w:p>
        </w:tc>
        <w:tc>
          <w:tcPr>
            <w:tcW w:w="3640" w:type="dxa"/>
            <w:vAlign w:val="bottom"/>
          </w:tcPr>
          <w:p>
            <w:pPr>
              <w:jc w:val="right"/>
              <w:ind w:right="1472"/>
              <w:spacing w:after="0"/>
              <w:rPr>
                <w:sz w:val="20"/>
                <w:szCs w:val="20"/>
                <w:color w:val="auto"/>
              </w:rPr>
            </w:pPr>
            <w:r>
              <w:rPr>
                <w:rFonts w:ascii="Arial" w:cs="Arial" w:eastAsia="Arial" w:hAnsi="Arial"/>
                <w:sz w:val="18"/>
                <w:szCs w:val="18"/>
                <w:color w:val="auto"/>
              </w:rPr>
              <w:t>6/22/02</w:t>
            </w:r>
          </w:p>
        </w:tc>
        <w:tc>
          <w:tcPr>
            <w:tcW w:w="0" w:type="dxa"/>
            <w:vAlign w:val="bottom"/>
          </w:tcPr>
          <w:p>
            <w:pPr>
              <w:spacing w:after="0"/>
              <w:rPr>
                <w:sz w:val="1"/>
                <w:szCs w:val="1"/>
                <w:color w:val="auto"/>
              </w:rPr>
            </w:pPr>
          </w:p>
        </w:tc>
      </w:tr>
      <w:tr>
        <w:trPr>
          <w:trHeight w:val="426"/>
        </w:trPr>
        <w:tc>
          <w:tcPr>
            <w:tcW w:w="3660" w:type="dxa"/>
            <w:vAlign w:val="bottom"/>
          </w:tcPr>
          <w:p>
            <w:pPr>
              <w:ind w:left="660"/>
              <w:spacing w:after="0"/>
              <w:rPr>
                <w:sz w:val="20"/>
                <w:szCs w:val="20"/>
                <w:color w:val="auto"/>
              </w:rPr>
            </w:pPr>
            <w:r>
              <w:rPr>
                <w:rFonts w:ascii="Arial" w:cs="Arial" w:eastAsia="Arial" w:hAnsi="Arial"/>
                <w:sz w:val="18"/>
                <w:szCs w:val="18"/>
                <w:color w:val="auto"/>
              </w:rPr>
              <w:t>/s/ MARC H. RUBINSTEIN</w:t>
            </w:r>
          </w:p>
        </w:tc>
        <w:tc>
          <w:tcPr>
            <w:tcW w:w="4120" w:type="dxa"/>
            <w:vAlign w:val="bottom"/>
          </w:tcPr>
          <w:p>
            <w:pPr>
              <w:jc w:val="center"/>
              <w:spacing w:after="0"/>
              <w:rPr>
                <w:sz w:val="20"/>
                <w:szCs w:val="20"/>
                <w:color w:val="auto"/>
              </w:rPr>
            </w:pPr>
            <w:r>
              <w:rPr>
                <w:rFonts w:ascii="Arial" w:cs="Arial" w:eastAsia="Arial" w:hAnsi="Arial"/>
                <w:sz w:val="18"/>
                <w:szCs w:val="18"/>
                <w:color w:val="auto"/>
                <w:w w:val="95"/>
              </w:rPr>
              <w:t>[WYNN RESORTS, LIMITED NEVADA</w:t>
            </w:r>
          </w:p>
        </w:tc>
        <w:tc>
          <w:tcPr>
            <w:tcW w:w="3640" w:type="dxa"/>
            <w:vAlign w:val="bottom"/>
          </w:tcPr>
          <w:p>
            <w:pPr>
              <w:ind w:left="780"/>
              <w:spacing w:after="0"/>
              <w:rPr>
                <w:sz w:val="20"/>
                <w:szCs w:val="20"/>
                <w:color w:val="auto"/>
              </w:rPr>
            </w:pPr>
            <w:r>
              <w:rPr>
                <w:rFonts w:ascii="Arial" w:cs="Arial" w:eastAsia="Arial" w:hAnsi="Arial"/>
                <w:sz w:val="18"/>
                <w:szCs w:val="18"/>
                <w:color w:val="auto"/>
              </w:rPr>
              <w:t>/s/ STEPHEN A. WYNN</w:t>
            </w:r>
          </w:p>
        </w:tc>
        <w:tc>
          <w:tcPr>
            <w:tcW w:w="0" w:type="dxa"/>
            <w:vAlign w:val="bottom"/>
          </w:tcPr>
          <w:p>
            <w:pPr>
              <w:spacing w:after="0"/>
              <w:rPr>
                <w:sz w:val="1"/>
                <w:szCs w:val="1"/>
                <w:color w:val="auto"/>
              </w:rPr>
            </w:pPr>
          </w:p>
        </w:tc>
      </w:tr>
      <w:tr>
        <w:trPr>
          <w:trHeight w:val="127"/>
        </w:trPr>
        <w:tc>
          <w:tcPr>
            <w:tcW w:w="3660" w:type="dxa"/>
            <w:vAlign w:val="bottom"/>
            <w:tcBorders>
              <w:bottom w:val="single" w:sz="8" w:color="808080"/>
            </w:tcBorders>
          </w:tcPr>
          <w:p>
            <w:pPr>
              <w:spacing w:after="0"/>
              <w:rPr>
                <w:sz w:val="11"/>
                <w:szCs w:val="11"/>
                <w:color w:val="auto"/>
              </w:rPr>
            </w:pPr>
          </w:p>
        </w:tc>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1"/>
              </w:rPr>
              <w:t>CORPORATE SEAL 2002]</w:t>
            </w:r>
          </w:p>
        </w:tc>
        <w:tc>
          <w:tcPr>
            <w:tcW w:w="3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660" w:type="dxa"/>
            <w:vAlign w:val="bottom"/>
            <w:vMerge w:val="restart"/>
          </w:tcPr>
          <w:p>
            <w:pPr>
              <w:ind w:left="1340"/>
              <w:spacing w:after="0"/>
              <w:rPr>
                <w:sz w:val="20"/>
                <w:szCs w:val="20"/>
                <w:color w:val="auto"/>
              </w:rPr>
            </w:pPr>
            <w:r>
              <w:rPr>
                <w:rFonts w:ascii="Arial" w:cs="Arial" w:eastAsia="Arial" w:hAnsi="Arial"/>
                <w:sz w:val="18"/>
                <w:szCs w:val="18"/>
                <w:color w:val="auto"/>
              </w:rPr>
              <w:t>SECRETARY</w:t>
            </w:r>
          </w:p>
        </w:tc>
        <w:tc>
          <w:tcPr>
            <w:tcW w:w="4120" w:type="dxa"/>
            <w:vAlign w:val="bottom"/>
            <w:vMerge w:val="continue"/>
          </w:tcPr>
          <w:p>
            <w:pPr>
              <w:spacing w:after="0"/>
              <w:rPr>
                <w:sz w:val="6"/>
                <w:szCs w:val="6"/>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7"/>
              </w:rPr>
              <w:t>CHAIRMAN AND CHIEF EXECUTIVE</w:t>
            </w:r>
          </w:p>
        </w:tc>
        <w:tc>
          <w:tcPr>
            <w:tcW w:w="0" w:type="dxa"/>
            <w:vAlign w:val="bottom"/>
          </w:tcPr>
          <w:p>
            <w:pPr>
              <w:spacing w:after="0"/>
              <w:rPr>
                <w:sz w:val="1"/>
                <w:szCs w:val="1"/>
                <w:color w:val="auto"/>
              </w:rPr>
            </w:pPr>
          </w:p>
        </w:tc>
      </w:tr>
      <w:tr>
        <w:trPr>
          <w:trHeight w:val="243"/>
        </w:trPr>
        <w:tc>
          <w:tcPr>
            <w:tcW w:w="3660" w:type="dxa"/>
            <w:vAlign w:val="bottom"/>
            <w:vMerge w:val="continue"/>
          </w:tcPr>
          <w:p>
            <w:pPr>
              <w:spacing w:after="0"/>
              <w:rPr>
                <w:sz w:val="21"/>
                <w:szCs w:val="21"/>
                <w:color w:val="auto"/>
              </w:rPr>
            </w:pPr>
          </w:p>
        </w:tc>
        <w:tc>
          <w:tcPr>
            <w:tcW w:w="4120" w:type="dxa"/>
            <w:vAlign w:val="bottom"/>
          </w:tcPr>
          <w:p>
            <w:pPr>
              <w:spacing w:after="0"/>
              <w:rPr>
                <w:sz w:val="21"/>
                <w:szCs w:val="21"/>
                <w:color w:val="auto"/>
              </w:rPr>
            </w:pPr>
          </w:p>
        </w:tc>
        <w:tc>
          <w:tcPr>
            <w:tcW w:w="3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-216535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-216535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9240"/>
        <w:spacing w:after="0"/>
        <w:rPr>
          <w:sz w:val="20"/>
          <w:szCs w:val="20"/>
          <w:color w:val="auto"/>
        </w:rPr>
      </w:pPr>
      <w:r>
        <w:rPr>
          <w:rFonts w:ascii="Arial" w:cs="Arial" w:eastAsia="Arial" w:hAnsi="Arial"/>
          <w:sz w:val="18"/>
          <w:szCs w:val="18"/>
          <w:color w:val="auto"/>
        </w:rPr>
        <w:t>OFFICER</w:t>
      </w:r>
    </w:p>
    <w:p>
      <w:pPr>
        <w:spacing w:after="0" w:line="14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COUNTERSIGNED AND REGISTERED</w:t>
      </w:r>
    </w:p>
    <w:p>
      <w:pPr>
        <w:ind w:left="5540"/>
        <w:spacing w:after="0" w:line="221" w:lineRule="auto"/>
        <w:rPr>
          <w:sz w:val="20"/>
          <w:szCs w:val="20"/>
          <w:color w:val="auto"/>
        </w:rPr>
      </w:pPr>
      <w:r>
        <w:rPr>
          <w:rFonts w:ascii="Arial" w:cs="Arial" w:eastAsia="Arial" w:hAnsi="Arial"/>
          <w:sz w:val="14"/>
          <w:szCs w:val="14"/>
          <w:b w:val="1"/>
          <w:bCs w:val="1"/>
          <w:color w:val="auto"/>
        </w:rPr>
        <w:t>WELLS FARGO BANK MINNESOTA, N.A.</w:t>
      </w:r>
    </w:p>
    <w:p>
      <w:pPr>
        <w:ind w:left="5680"/>
        <w:spacing w:after="0" w:line="221" w:lineRule="auto"/>
        <w:rPr>
          <w:sz w:val="20"/>
          <w:szCs w:val="20"/>
          <w:color w:val="auto"/>
        </w:rPr>
      </w:pPr>
      <w:r>
        <w:rPr>
          <w:rFonts w:ascii="Arial" w:cs="Arial" w:eastAsia="Arial" w:hAnsi="Arial"/>
          <w:sz w:val="14"/>
          <w:szCs w:val="14"/>
          <w:color w:val="auto"/>
        </w:rPr>
        <w:t>TRANSFER AGENT AND REGISTRAR</w:t>
      </w:r>
    </w:p>
    <w:p>
      <w:pPr>
        <w:ind w:left="5540"/>
        <w:spacing w:after="0"/>
        <w:tabs>
          <w:tab w:leader="none" w:pos="58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L.M. KAUFMAN</w:t>
      </w:r>
    </w:p>
    <w:p>
      <w:pPr>
        <w:ind w:left="7580"/>
        <w:spacing w:after="0"/>
        <w:rPr>
          <w:sz w:val="20"/>
          <w:szCs w:val="20"/>
          <w:color w:val="auto"/>
        </w:rPr>
      </w:pPr>
      <w:r>
        <w:rPr>
          <w:rFonts w:ascii="Arial" w:cs="Arial" w:eastAsia="Arial" w:hAnsi="Arial"/>
          <w:sz w:val="14"/>
          <w:szCs w:val="14"/>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Corporation will furnish to any stockholder, upon request and without charge, a statement of the powers, designations, preferences and relative, participating, optional or other special rights of each class of stock or series thereof and the qualifications, limitations or restrictions of such preferences and/or rights, so far as the same shall have been fixed, and of the authority of the Board of Directors to designate and fix any preferences, rights and limitations of any wholly unissued series. Any such request should be addressed to the Secretary of the Corporation at its corporate headquarters.</w:t>
      </w:r>
    </w:p>
    <w:p>
      <w:pPr>
        <w:spacing w:after="0" w:line="16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KEEP THIS CERTIFICATE IN A SAFE PLACE. IF IT IS LOST, STOLEN, OR DESTROYED THE CORPORATION WILL REQUIRE A BOND OF INDEMNITY AS A CONDITION TO THE ISSUANCE OF A REPLACEMENT CERTIFICATE.</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TCN COM</w:t>
            </w:r>
          </w:p>
        </w:tc>
        <w:tc>
          <w:tcPr>
            <w:tcW w:w="3580" w:type="dxa"/>
            <w:vAlign w:val="bottom"/>
          </w:tcPr>
          <w:p>
            <w:pPr>
              <w:ind w:left="200"/>
              <w:spacing w:after="0"/>
              <w:rPr>
                <w:sz w:val="20"/>
                <w:szCs w:val="20"/>
                <w:color w:val="auto"/>
              </w:rPr>
            </w:pPr>
            <w:r>
              <w:rPr>
                <w:rFonts w:ascii="Arial" w:cs="Arial" w:eastAsia="Arial" w:hAnsi="Arial"/>
                <w:sz w:val="14"/>
                <w:szCs w:val="14"/>
                <w:color w:val="auto"/>
              </w:rPr>
              <w:t>—  as tenants in common</w:t>
            </w:r>
          </w:p>
        </w:tc>
        <w:tc>
          <w:tcPr>
            <w:tcW w:w="3060" w:type="dxa"/>
            <w:vAlign w:val="bottom"/>
          </w:tcPr>
          <w:p>
            <w:pPr>
              <w:ind w:left="1320"/>
              <w:spacing w:after="0"/>
              <w:rPr>
                <w:sz w:val="20"/>
                <w:szCs w:val="20"/>
                <w:color w:val="auto"/>
              </w:rPr>
            </w:pPr>
            <w:r>
              <w:rPr>
                <w:rFonts w:ascii="Arial" w:cs="Arial" w:eastAsia="Arial" w:hAnsi="Arial"/>
                <w:sz w:val="14"/>
                <w:szCs w:val="14"/>
                <w:color w:val="auto"/>
              </w:rPr>
              <w:t>UNIF GIFT MIN ACT</w:t>
            </w:r>
          </w:p>
        </w:tc>
        <w:tc>
          <w:tcPr>
            <w:tcW w:w="13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500" w:type="dxa"/>
            <w:vAlign w:val="bottom"/>
            <w:gridSpan w:val="2"/>
          </w:tcPr>
          <w:p>
            <w:pPr>
              <w:ind w:left="180"/>
              <w:spacing w:after="0"/>
              <w:rPr>
                <w:sz w:val="20"/>
                <w:szCs w:val="20"/>
                <w:color w:val="auto"/>
              </w:rPr>
            </w:pPr>
            <w:r>
              <w:rPr>
                <w:rFonts w:ascii="Arial" w:cs="Arial" w:eastAsia="Arial" w:hAnsi="Arial"/>
                <w:sz w:val="14"/>
                <w:szCs w:val="14"/>
                <w:color w:val="auto"/>
              </w:rPr>
              <w:t>Custodian</w:t>
            </w:r>
          </w:p>
        </w:tc>
        <w:tc>
          <w:tcPr>
            <w:tcW w:w="0" w:type="dxa"/>
            <w:vAlign w:val="bottom"/>
          </w:tcPr>
          <w:p>
            <w:pPr>
              <w:spacing w:after="0"/>
              <w:rPr>
                <w:sz w:val="1"/>
                <w:szCs w:val="1"/>
                <w:color w:val="auto"/>
              </w:rPr>
            </w:pPr>
          </w:p>
        </w:tc>
      </w:tr>
      <w:tr>
        <w:trPr>
          <w:trHeight w:val="129"/>
        </w:trPr>
        <w:tc>
          <w:tcPr>
            <w:tcW w:w="840" w:type="dxa"/>
            <w:vAlign w:val="bottom"/>
          </w:tcPr>
          <w:p>
            <w:pPr>
              <w:spacing w:after="0" w:line="129" w:lineRule="exact"/>
              <w:rPr>
                <w:sz w:val="20"/>
                <w:szCs w:val="20"/>
                <w:color w:val="auto"/>
              </w:rPr>
            </w:pPr>
            <w:r>
              <w:rPr>
                <w:rFonts w:ascii="Arial" w:cs="Arial" w:eastAsia="Arial" w:hAnsi="Arial"/>
                <w:sz w:val="14"/>
                <w:szCs w:val="14"/>
                <w:color w:val="auto"/>
              </w:rPr>
              <w:t>TEN ENT</w:t>
            </w:r>
          </w:p>
        </w:tc>
        <w:tc>
          <w:tcPr>
            <w:tcW w:w="3580" w:type="dxa"/>
            <w:vAlign w:val="bottom"/>
          </w:tcPr>
          <w:p>
            <w:pPr>
              <w:ind w:left="200"/>
              <w:spacing w:after="0" w:line="129" w:lineRule="exact"/>
              <w:rPr>
                <w:sz w:val="20"/>
                <w:szCs w:val="20"/>
                <w:color w:val="auto"/>
              </w:rPr>
            </w:pPr>
            <w:r>
              <w:rPr>
                <w:rFonts w:ascii="Arial" w:cs="Arial" w:eastAsia="Arial" w:hAnsi="Arial"/>
                <w:sz w:val="14"/>
                <w:szCs w:val="14"/>
                <w:color w:val="auto"/>
              </w:rPr>
              <w:t>—  as tenants by the entireties</w:t>
            </w:r>
          </w:p>
        </w:tc>
        <w:tc>
          <w:tcPr>
            <w:tcW w:w="3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4"/>
                <w:szCs w:val="14"/>
                <w:color w:val="auto"/>
              </w:rPr>
              <w:t>JT TEN</w:t>
            </w:r>
          </w:p>
        </w:tc>
        <w:tc>
          <w:tcPr>
            <w:tcW w:w="3580" w:type="dxa"/>
            <w:vAlign w:val="bottom"/>
          </w:tcPr>
          <w:p>
            <w:pPr>
              <w:ind w:left="200"/>
              <w:spacing w:after="0"/>
              <w:rPr>
                <w:sz w:val="20"/>
                <w:szCs w:val="20"/>
                <w:color w:val="auto"/>
              </w:rPr>
            </w:pPr>
            <w:r>
              <w:rPr>
                <w:rFonts w:ascii="Arial" w:cs="Arial" w:eastAsia="Arial" w:hAnsi="Arial"/>
                <w:sz w:val="14"/>
                <w:szCs w:val="14"/>
                <w:color w:val="auto"/>
              </w:rPr>
              <w:t>—  as joint tenants with right of</w:t>
            </w:r>
          </w:p>
        </w:tc>
        <w:tc>
          <w:tcPr>
            <w:tcW w:w="3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center"/>
              <w:ind w:left="32"/>
              <w:spacing w:after="0"/>
              <w:rPr>
                <w:sz w:val="20"/>
                <w:szCs w:val="20"/>
                <w:color w:val="auto"/>
              </w:rPr>
            </w:pPr>
            <w:r>
              <w:rPr>
                <w:rFonts w:ascii="Arial" w:cs="Arial" w:eastAsia="Arial" w:hAnsi="Arial"/>
                <w:sz w:val="14"/>
                <w:szCs w:val="14"/>
                <w:color w:val="auto"/>
                <w:w w:val="91"/>
              </w:rPr>
              <w:t>(cust)</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ind w:left="580"/>
              <w:spacing w:after="0"/>
              <w:rPr>
                <w:sz w:val="20"/>
                <w:szCs w:val="20"/>
                <w:color w:val="auto"/>
              </w:rPr>
            </w:pPr>
            <w:r>
              <w:rPr>
                <w:rFonts w:ascii="Arial" w:cs="Arial" w:eastAsia="Arial" w:hAnsi="Arial"/>
                <w:sz w:val="14"/>
                <w:szCs w:val="14"/>
                <w:color w:val="auto"/>
              </w:rPr>
              <w:t>(Minor)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580" w:type="dxa"/>
            <w:vAlign w:val="bottom"/>
          </w:tcPr>
          <w:p>
            <w:pPr>
              <w:ind w:left="440"/>
              <w:spacing w:after="0" w:line="149" w:lineRule="exact"/>
              <w:rPr>
                <w:sz w:val="20"/>
                <w:szCs w:val="20"/>
                <w:color w:val="auto"/>
              </w:rPr>
            </w:pPr>
            <w:r>
              <w:rPr>
                <w:rFonts w:ascii="Arial" w:cs="Arial" w:eastAsia="Arial" w:hAnsi="Arial"/>
                <w:sz w:val="14"/>
                <w:szCs w:val="14"/>
                <w:color w:val="auto"/>
              </w:rPr>
              <w:t>survivorship and not as tenants in</w:t>
            </w:r>
          </w:p>
        </w:tc>
        <w:tc>
          <w:tcPr>
            <w:tcW w:w="3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580" w:type="dxa"/>
            <w:vAlign w:val="bottom"/>
          </w:tcPr>
          <w:p>
            <w:pPr>
              <w:ind w:left="440"/>
              <w:spacing w:after="0"/>
              <w:rPr>
                <w:sz w:val="20"/>
                <w:szCs w:val="20"/>
                <w:color w:val="auto"/>
              </w:rPr>
            </w:pPr>
            <w:r>
              <w:rPr>
                <w:rFonts w:ascii="Arial" w:cs="Arial" w:eastAsia="Arial" w:hAnsi="Arial"/>
                <w:sz w:val="14"/>
                <w:szCs w:val="14"/>
                <w:color w:val="auto"/>
              </w:rPr>
              <w:t>common</w:t>
            </w:r>
          </w:p>
        </w:tc>
        <w:tc>
          <w:tcPr>
            <w:tcW w:w="3060" w:type="dxa"/>
            <w:vAlign w:val="bottom"/>
          </w:tcPr>
          <w:p>
            <w:pPr>
              <w:spacing w:after="0"/>
              <w:rPr>
                <w:sz w:val="14"/>
                <w:szCs w:val="14"/>
                <w:color w:val="auto"/>
              </w:rPr>
            </w:pPr>
          </w:p>
        </w:tc>
        <w:tc>
          <w:tcPr>
            <w:tcW w:w="3940" w:type="dxa"/>
            <w:vAlign w:val="bottom"/>
            <w:gridSpan w:val="5"/>
            <w:vMerge w:val="restart"/>
          </w:tcPr>
          <w:p>
            <w:pPr>
              <w:ind w:left="640"/>
              <w:spacing w:after="0"/>
              <w:rPr>
                <w:sz w:val="20"/>
                <w:szCs w:val="20"/>
                <w:color w:val="auto"/>
              </w:rPr>
            </w:pPr>
            <w:r>
              <w:rPr>
                <w:rFonts w:ascii="Arial" w:cs="Arial" w:eastAsia="Arial" w:hAnsi="Arial"/>
                <w:sz w:val="14"/>
                <w:szCs w:val="14"/>
                <w:color w:val="auto"/>
              </w:rPr>
              <w:t>under Uniform Gifts to Minors Act</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2"/>
          </w:tcPr>
          <w:p>
            <w:pPr>
              <w:ind w:left="680"/>
              <w:spacing w:after="0"/>
              <w:rPr>
                <w:sz w:val="20"/>
                <w:szCs w:val="20"/>
                <w:color w:val="auto"/>
              </w:rPr>
            </w:pPr>
            <w:r>
              <w:rPr>
                <w:rFonts w:ascii="Arial" w:cs="Arial" w:eastAsia="Arial" w:hAnsi="Arial"/>
                <w:sz w:val="14"/>
                <w:szCs w:val="14"/>
                <w:color w:val="auto"/>
              </w:rPr>
              <w:t>(State)</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60" w:type="dxa"/>
            <w:vAlign w:val="bottom"/>
          </w:tcPr>
          <w:p>
            <w:pPr>
              <w:ind w:left="1320"/>
              <w:spacing w:after="0"/>
              <w:rPr>
                <w:sz w:val="20"/>
                <w:szCs w:val="20"/>
                <w:color w:val="auto"/>
              </w:rPr>
            </w:pPr>
            <w:r>
              <w:rPr>
                <w:rFonts w:ascii="Arial" w:cs="Arial" w:eastAsia="Arial" w:hAnsi="Arial"/>
                <w:sz w:val="14"/>
                <w:szCs w:val="14"/>
                <w:color w:val="auto"/>
              </w:rPr>
              <w:t>UNIF TRF MIN ACT</w:t>
            </w:r>
          </w:p>
        </w:tc>
        <w:tc>
          <w:tcPr>
            <w:tcW w:w="13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500" w:type="dxa"/>
            <w:vAlign w:val="bottom"/>
            <w:gridSpan w:val="2"/>
          </w:tcPr>
          <w:p>
            <w:pPr>
              <w:ind w:left="180"/>
              <w:spacing w:after="0"/>
              <w:rPr>
                <w:sz w:val="20"/>
                <w:szCs w:val="20"/>
                <w:color w:val="auto"/>
              </w:rPr>
            </w:pPr>
            <w:r>
              <w:rPr>
                <w:rFonts w:ascii="Arial" w:cs="Arial" w:eastAsia="Arial" w:hAnsi="Arial"/>
                <w:sz w:val="14"/>
                <w:szCs w:val="14"/>
                <w:color w:val="auto"/>
              </w:rPr>
              <w:t>Custodian   (Until age ____ )</w:t>
            </w: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jc w:val="center"/>
              <w:ind w:left="32"/>
              <w:spacing w:after="0"/>
              <w:rPr>
                <w:sz w:val="20"/>
                <w:szCs w:val="20"/>
                <w:color w:val="auto"/>
              </w:rPr>
            </w:pPr>
            <w:r>
              <w:rPr>
                <w:rFonts w:ascii="Arial" w:cs="Arial" w:eastAsia="Arial" w:hAnsi="Arial"/>
                <w:sz w:val="14"/>
                <w:szCs w:val="14"/>
                <w:color w:val="auto"/>
                <w:w w:val="91"/>
              </w:rPr>
              <w:t>(cust)</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gridSpan w:val="3"/>
          </w:tcPr>
          <w:p>
            <w:pPr>
              <w:ind w:left="100"/>
              <w:spacing w:after="0"/>
              <w:rPr>
                <w:sz w:val="20"/>
                <w:szCs w:val="20"/>
                <w:color w:val="auto"/>
              </w:rPr>
            </w:pPr>
            <w:r>
              <w:rPr>
                <w:rFonts w:ascii="Arial" w:cs="Arial" w:eastAsia="Arial" w:hAnsi="Arial"/>
                <w:sz w:val="14"/>
                <w:szCs w:val="14"/>
                <w:color w:val="auto"/>
              </w:rPr>
              <w:t>under Uniform Transfers</w:t>
            </w: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jc w:val="center"/>
              <w:ind w:left="32"/>
              <w:spacing w:after="0"/>
              <w:rPr>
                <w:sz w:val="20"/>
                <w:szCs w:val="20"/>
                <w:color w:val="auto"/>
              </w:rPr>
            </w:pPr>
            <w:r>
              <w:rPr>
                <w:rFonts w:ascii="Arial" w:cs="Arial" w:eastAsia="Arial" w:hAnsi="Arial"/>
                <w:sz w:val="14"/>
                <w:szCs w:val="14"/>
                <w:color w:val="auto"/>
                <w:w w:val="99"/>
              </w:rPr>
              <w:t>(Minor)</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-1744345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-1744345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-1744345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-1744345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-1057910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-1057910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-621030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-621030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-183515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-183515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41" w:name="page142"/>
    <w:bookmarkEnd w:id="141"/>
    <w:p>
      <w:pPr>
        <w:ind w:left="8120"/>
        <w:spacing w:after="0"/>
        <w:rPr>
          <w:sz w:val="20"/>
          <w:szCs w:val="20"/>
          <w:color w:val="auto"/>
        </w:rPr>
      </w:pPr>
      <w:r>
        <w:rPr>
          <w:rFonts w:ascii="Arial" w:cs="Arial" w:eastAsia="Arial" w:hAnsi="Arial"/>
          <w:sz w:val="14"/>
          <w:szCs w:val="14"/>
          <w:color w:val="auto"/>
        </w:rPr>
        <w:t>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65405</wp:posOffset>
            </wp:positionV>
            <wp:extent cx="1016000"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016000" cy="21590"/>
                    </a:xfrm>
                    <a:prstGeom prst="rect">
                      <a:avLst/>
                    </a:prstGeom>
                    <a:noFill/>
                  </pic:spPr>
                </pic:pic>
              </a:graphicData>
            </a:graphic>
          </wp:anchor>
        </w:drawing>
      </w: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4"/>
          <w:szCs w:val="14"/>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w w:val="91"/>
              </w:rPr>
              <w:t>Additional abbreviations may also be used though not in the above list.</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FOR VALUE RECEIVED,</w:t>
            </w:r>
          </w:p>
        </w:tc>
        <w:tc>
          <w:tcPr>
            <w:tcW w:w="276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86"/>
              </w:rPr>
              <w:t>hereby sell, assign and transfer unto</w:t>
            </w:r>
          </w:p>
        </w:tc>
      </w:tr>
      <w:tr>
        <w:trPr>
          <w:trHeight w:val="120"/>
        </w:trPr>
        <w:tc>
          <w:tcPr>
            <w:tcW w:w="2880" w:type="dxa"/>
            <w:vAlign w:val="bottom"/>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2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-14605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-14605</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PLEASE INSERT SOCIAL SECURITY OR OTHER IDENTIFYING</w:t>
      </w:r>
    </w:p>
    <w:p>
      <w:pPr>
        <w:spacing w:after="0" w:line="15"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3580130" cy="215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35801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382270</wp:posOffset>
            </wp:positionV>
            <wp:extent cx="3580130" cy="215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35801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513195"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651319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of the common stock represented by the within Certificate, and do hereby irrevocably constitute and appoint</w:t>
      </w:r>
    </w:p>
    <w:p>
      <w:pPr>
        <w:spacing w:after="0" w:line="225"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513195"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651319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transfer the said stock on the books of the within named Corporation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94742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60" w:type="dxa"/>
            <w:vAlign w:val="bottom"/>
          </w:tcPr>
          <w:p>
            <w:pPr>
              <w:spacing w:after="0"/>
              <w:rPr>
                <w:sz w:val="14"/>
                <w:szCs w:val="14"/>
                <w:color w:val="auto"/>
              </w:rPr>
            </w:pPr>
          </w:p>
        </w:tc>
        <w:tc>
          <w:tcPr>
            <w:tcW w:w="8860" w:type="dxa"/>
            <w:vAlign w:val="bottom"/>
            <w:gridSpan w:val="3"/>
          </w:tcPr>
          <w:p>
            <w:pPr>
              <w:ind w:left="1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2560" w:type="dxa"/>
            <w:vAlign w:val="bottom"/>
          </w:tcPr>
          <w:p>
            <w:pPr>
              <w:spacing w:after="0"/>
              <w:rPr>
                <w:sz w:val="24"/>
                <w:szCs w:val="24"/>
                <w:color w:val="auto"/>
              </w:rPr>
            </w:pPr>
          </w:p>
        </w:tc>
        <w:tc>
          <w:tcPr>
            <w:tcW w:w="8860" w:type="dxa"/>
            <w:vAlign w:val="bottom"/>
            <w:gridSpan w:val="3"/>
          </w:tcPr>
          <w:p>
            <w:pPr>
              <w:ind w:left="1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8860" w:type="dxa"/>
            <w:vAlign w:val="bottom"/>
            <w:gridSpan w:val="3"/>
          </w:tcPr>
          <w:p>
            <w:pPr>
              <w:ind w:left="1240"/>
              <w:spacing w:after="0"/>
              <w:rPr>
                <w:sz w:val="20"/>
                <w:szCs w:val="20"/>
                <w:color w:val="auto"/>
              </w:rPr>
            </w:pPr>
            <w:r>
              <w:rPr>
                <w:rFonts w:ascii="Arial" w:cs="Arial" w:eastAsia="Arial" w:hAnsi="Arial"/>
                <w:sz w:val="14"/>
                <w:szCs w:val="14"/>
                <w:color w:val="auto"/>
                <w:w w:val="95"/>
              </w:rPr>
              <w:t>NOTICE: THE SIGNATURE(S) TO THIS ASSIGNMENT MUST CORRESPOND WITH THE NAME(S) AS WRITTEN UPON THE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86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8"/>
              </w:rPr>
              <w:t>FACE OF THE CERTIFICATE IN EVERY PARTICULAR WITHOUT ALTERATION OR ENLARGEMENT OR ANY CHANGE</w:t>
            </w: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8860" w:type="dxa"/>
            <w:vAlign w:val="bottom"/>
            <w:gridSpan w:val="3"/>
          </w:tcPr>
          <w:p>
            <w:pPr>
              <w:ind w:left="1240"/>
              <w:spacing w:after="0"/>
              <w:rPr>
                <w:sz w:val="20"/>
                <w:szCs w:val="20"/>
                <w:color w:val="auto"/>
              </w:rPr>
            </w:pPr>
            <w:r>
              <w:rPr>
                <w:rFonts w:ascii="Arial" w:cs="Arial" w:eastAsia="Arial" w:hAnsi="Arial"/>
                <w:sz w:val="14"/>
                <w:szCs w:val="14"/>
                <w:color w:val="auto"/>
              </w:rPr>
              <w:t>WHATEVER.</w:t>
            </w:r>
          </w:p>
        </w:tc>
        <w:tc>
          <w:tcPr>
            <w:tcW w:w="0" w:type="dxa"/>
            <w:vAlign w:val="bottom"/>
          </w:tcPr>
          <w:p>
            <w:pPr>
              <w:spacing w:after="0"/>
              <w:rPr>
                <w:sz w:val="1"/>
                <w:szCs w:val="1"/>
                <w:color w:val="auto"/>
              </w:rPr>
            </w:pPr>
          </w:p>
        </w:tc>
      </w:tr>
      <w:tr>
        <w:trPr>
          <w:trHeight w:val="271"/>
        </w:trPr>
        <w:tc>
          <w:tcPr>
            <w:tcW w:w="2560" w:type="dxa"/>
            <w:vAlign w:val="bottom"/>
          </w:tcPr>
          <w:p>
            <w:pPr>
              <w:spacing w:after="0"/>
              <w:rPr>
                <w:sz w:val="20"/>
                <w:szCs w:val="20"/>
                <w:color w:val="auto"/>
              </w:rPr>
            </w:pPr>
            <w:r>
              <w:rPr>
                <w:rFonts w:ascii="Arial" w:cs="Arial" w:eastAsia="Arial" w:hAnsi="Arial"/>
                <w:sz w:val="14"/>
                <w:szCs w:val="14"/>
                <w:color w:val="auto"/>
              </w:rPr>
              <w:t>Signature(s) Guaranteed</w:t>
            </w:r>
          </w:p>
        </w:tc>
        <w:tc>
          <w:tcPr>
            <w:tcW w:w="16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w w:val="97"/>
              </w:rPr>
              <w:t>THE SHARES OF STOCK REPRESENTED BY THIS CERTIFICATE ARE SUBJECT TO A</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RIGHT OF REDEMPTION AND OTHER RESTRICTIONS PURSUANT TO THE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CORPORATION'S ARTICLES OF INCORPORATION AND BYLAWS, AS AMENDED, A</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7"/>
              </w:rPr>
              <w:t>COPY OF EACH OF WHICH IS ON FILE AT THE OFFICE OF THE CORPORATION, AND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6"/>
              </w:rPr>
              <w:t>MADE A PART HEREOF AS FULLY AS THOUGH THE PROVISIONS OF SAID ARTICLES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OF INCORPORATION AND BYLAWS WERE IMPRINTED IN FULL ON THIS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CERTIFICATE, TO ALL OF WHICH THE HOLDER OF THIS CERTIFICATE, BY</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8"/>
              </w:rPr>
              <w:t>ACCEPTANCE HEREOF, ASSENTS AND AGREES TO BE BOUND AND ARE, OR MAY</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BECOME, SUBJECT TO RESTRICTIONS IMPOSED BY APPLICABLE GAMING LAWS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AND REGULATIONS, INCLUDING, WITHOUT LIMITATION, RESTRICTIONS ON</w:t>
            </w:r>
          </w:p>
        </w:tc>
        <w:tc>
          <w:tcPr>
            <w:tcW w:w="0" w:type="dxa"/>
            <w:vAlign w:val="bottom"/>
          </w:tcPr>
          <w:p>
            <w:pPr>
              <w:spacing w:after="0"/>
              <w:rPr>
                <w:sz w:val="1"/>
                <w:szCs w:val="1"/>
                <w:color w:val="auto"/>
              </w:rPr>
            </w:pPr>
          </w:p>
        </w:tc>
      </w:tr>
      <w:tr>
        <w:trPr>
          <w:trHeight w:val="174"/>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By</w:t>
            </w: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0" w:type="dxa"/>
            <w:vAlign w:val="bottom"/>
          </w:tcPr>
          <w:p>
            <w:pPr>
              <w:ind w:left="200"/>
              <w:spacing w:after="0"/>
              <w:rPr>
                <w:sz w:val="20"/>
                <w:szCs w:val="20"/>
                <w:color w:val="auto"/>
              </w:rPr>
            </w:pPr>
            <w:r>
              <w:rPr>
                <w:rFonts w:ascii="Arial" w:cs="Arial" w:eastAsia="Arial" w:hAnsi="Arial"/>
                <w:sz w:val="14"/>
                <w:szCs w:val="14"/>
                <w:b w:val="1"/>
                <w:bCs w:val="1"/>
                <w:color w:val="auto"/>
              </w:rPr>
              <w:t>OWNERSHIP, VOTING, DISTRIBUTIONS AND TRANSFER.</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-2021205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-1678305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-14605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SIGNATURE(S) MUST BE GUARANTEED BY AN ELIGIBLE GUARANTOR</w:t>
      </w:r>
    </w:p>
    <w:p>
      <w:pPr>
        <w:spacing w:after="0" w:line="223" w:lineRule="auto"/>
        <w:rPr>
          <w:sz w:val="20"/>
          <w:szCs w:val="20"/>
          <w:color w:val="auto"/>
        </w:rPr>
      </w:pPr>
      <w:r>
        <w:rPr>
          <w:rFonts w:ascii="Arial" w:cs="Arial" w:eastAsia="Arial" w:hAnsi="Arial"/>
          <w:sz w:val="14"/>
          <w:szCs w:val="14"/>
          <w:b w:val="1"/>
          <w:bCs w:val="1"/>
          <w:color w:val="auto"/>
        </w:rPr>
        <w:t>INSTITUTION (BANKS, STOCKBROKERS, SAVINGS AND LOAN ASSOCIATIONS AND</w:t>
      </w:r>
    </w:p>
    <w:p>
      <w:pPr>
        <w:spacing w:after="0" w:line="222" w:lineRule="auto"/>
        <w:rPr>
          <w:sz w:val="20"/>
          <w:szCs w:val="20"/>
          <w:color w:val="auto"/>
        </w:rPr>
      </w:pPr>
      <w:r>
        <w:rPr>
          <w:rFonts w:ascii="Arial" w:cs="Arial" w:eastAsia="Arial" w:hAnsi="Arial"/>
          <w:sz w:val="14"/>
          <w:szCs w:val="14"/>
          <w:b w:val="1"/>
          <w:bCs w:val="1"/>
          <w:color w:val="auto"/>
        </w:rPr>
        <w:t>CREDIT UNIONS WITH MEMBERSHIP IN AN APPROVED SIGNATURE GUARANTEE</w:t>
      </w:r>
    </w:p>
    <w:p>
      <w:pPr>
        <w:spacing w:after="0"/>
        <w:rPr>
          <w:sz w:val="20"/>
          <w:szCs w:val="20"/>
          <w:color w:val="auto"/>
        </w:rPr>
      </w:pPr>
      <w:r>
        <w:rPr>
          <w:rFonts w:ascii="Arial" w:cs="Arial" w:eastAsia="Arial" w:hAnsi="Arial"/>
          <w:sz w:val="14"/>
          <w:szCs w:val="14"/>
          <w:b w:val="1"/>
          <w:bCs w:val="1"/>
          <w:color w:val="auto"/>
        </w:rPr>
        <w:t>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Exhibit 4.1</w:t>
        </w:r>
      </w:hyperlink>
    </w:p>
    <w:p>
      <w:pPr>
        <w:sectPr>
          <w:pgSz w:w="11900" w:h="16838" w:orient="portrait"/>
          <w:cols w:equalWidth="0" w:num="1">
            <w:col w:w="11420"/>
          </w:cols>
          <w:pgMar w:left="240" w:top="277" w:right="239" w:bottom="1440" w:gutter="0" w:footer="0" w:header="0"/>
        </w:sectPr>
      </w:pPr>
    </w:p>
    <w:bookmarkStart w:id="142" w:name="page143"/>
    <w:bookmarkEnd w:id="142"/>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10.22</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1997 EDITION</w:t>
      </w:r>
    </w:p>
    <w:p>
      <w:pPr>
        <w:spacing w:after="0" w:line="225"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AIA DOCUMENT B141-1997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document has important legal consequences. Consultation with an attorney is encouraged with respect to its completion or modification.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OF ARTICLES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INITIAL INFORMATION</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RESPONSIBILITIES OF THE PARTIES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TERMS AND CONDITIONS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SCOPE OF SERVICES AND OTHER SPECIAL TERMS AND CONDITIONS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©1997 AIA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AIA DOCUMENT B141-1997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FORM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American Institute of Architects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1735 New York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20006-5292</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Copyright 1917, 1926, 1948, 1951, 1953, 1958, 1961, 1963, 1966, 1967, 1970, 1974, 1977, 1987, ©1997 by The American Institute of Architects. Reproduction of the material herein or substantial quotation of its provisions without written permission of the AIA violates the copyright laws of the United States and will subject the violator to legal prosecution.</w:t>
      </w:r>
    </w:p>
    <w:p>
      <w:pPr>
        <w:spacing w:after="0" w:line="19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WARNING:</w:t>
      </w:r>
      <w:r>
        <w:rPr>
          <w:sz w:val="20"/>
          <w:szCs w:val="20"/>
          <w:color w:val="auto"/>
        </w:rPr>
        <w:tab/>
      </w:r>
      <w:r>
        <w:rPr>
          <w:rFonts w:ascii="Arial" w:cs="Arial" w:eastAsia="Arial" w:hAnsi="Arial"/>
          <w:sz w:val="16"/>
          <w:szCs w:val="16"/>
          <w:color w:val="auto"/>
        </w:rPr>
        <w:t>Unlicensed photocopying violates U.S. copyright laws and will subject the violator to legal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Standard Form of Agreement Between Owner and Architect with Standard Form of Architect's Services</w:t>
      </w:r>
    </w:p>
    <w:p>
      <w:pPr>
        <w:sectPr>
          <w:pgSz w:w="11900" w:h="16838" w:orient="portrait"/>
          <w:cols w:equalWidth="0" w:num="1">
            <w:col w:w="11420"/>
          </w:cols>
          <w:pgMar w:left="240" w:top="361" w:right="239" w:bottom="80" w:gutter="0" w:footer="0" w:header="0"/>
        </w:sectPr>
      </w:pPr>
    </w:p>
    <w:p>
      <w:pPr>
        <w:spacing w:after="0" w:line="22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made as of the day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words, indicate day, month and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in the year</w:t>
      </w:r>
    </w:p>
    <w:p>
      <w:pPr>
        <w:spacing w:after="0" w:line="469" w:lineRule="exact"/>
        <w:rPr>
          <w:sz w:val="20"/>
          <w:szCs w:val="20"/>
          <w:color w:val="auto"/>
        </w:rPr>
      </w:pPr>
    </w:p>
    <w:p>
      <w:pPr>
        <w:sectPr>
          <w:pgSz w:w="11900" w:h="16838" w:orient="portrait"/>
          <w:cols w:equalWidth="0" w:num="2">
            <w:col w:w="3520" w:space="720"/>
            <w:col w:w="7180"/>
          </w:cols>
          <w:pgMar w:left="240" w:top="361" w:right="239" w:bottom="8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BETWEEN </w:t>
      </w:r>
      <w:r>
        <w:rPr>
          <w:rFonts w:ascii="Arial" w:cs="Arial" w:eastAsia="Arial" w:hAnsi="Arial"/>
          <w:sz w:val="18"/>
          <w:szCs w:val="18"/>
          <w:color w:val="auto"/>
        </w:rPr>
        <w:t>the Architect's client identified as the 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Wynn Design and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 the Architect: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address and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Butler/Ashworth Architects,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the following Project: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 detailed description of Project)</w:t>
      </w:r>
    </w:p>
    <w:p>
      <w:pPr>
        <w:spacing w:after="0" w:line="219"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projects (each referred to herein as the "Project") in various locations for the Owner, its parent company, any affiliated companies, as assigned and directed, including, but not limited to, new construction, renovations, remodels, alterations and additions.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Owner and Architect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1.1 INITIAL INFORMATION</w:t>
      </w:r>
    </w:p>
    <w:p>
      <w:pPr>
        <w:spacing w:after="0" w:line="225"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This Agreement is based on the following information and assumptions.</w:t>
      </w:r>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(Note the disposition for the following items by inserting the requested information or a statement such as "not applicable," "unknown at time of execution" or "to be determined later by mutual agreement.")</w:t>
      </w:r>
    </w:p>
    <w:p>
      <w:pPr>
        <w:spacing w:after="0" w:line="19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PROJECT PARAMETERS</w:t>
      </w:r>
    </w:p>
    <w:p>
      <w:pPr>
        <w:sectPr>
          <w:pgSz w:w="11900" w:h="16838" w:orient="portrait"/>
          <w:cols w:equalWidth="0" w:num="1">
            <w:col w:w="11420"/>
          </w:cols>
          <w:pgMar w:left="240" w:top="361" w:right="239" w:bottom="80" w:gutter="0" w:footer="0" w:header="0"/>
          <w:type w:val="continuous"/>
        </w:sectPr>
      </w:pPr>
    </w:p>
    <w:bookmarkStart w:id="143" w:name="page144"/>
    <w:bookmarkEnd w:id="143"/>
    <w:p>
      <w:pPr>
        <w:spacing w:after="0" w:line="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5"/>
          <w:szCs w:val="15"/>
          <w:color w:val="auto"/>
        </w:rPr>
        <w:t>The objective or use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or describe, if appropriate, proposed use or goals.)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5"/>
          <w:szCs w:val="15"/>
          <w:color w:val="auto"/>
        </w:rPr>
        <w:t>The physical parameters are: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(Identify or describe, if appropriate, size, location, dimensions, or other pertinent information, such as geotechnical reports about the site.)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5"/>
          <w:szCs w:val="15"/>
          <w:color w:val="auto"/>
        </w:rPr>
        <w:t>The Owner's Program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documentation or state the manner in which the program will be developed.)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5"/>
          <w:szCs w:val="15"/>
          <w:color w:val="auto"/>
        </w:rPr>
        <w:t>The legal parameters 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pertinent legal information, including, if appropriate, land surveys and legal descriptions and restrictions of the site.)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a project-by-project basis.</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5"/>
          <w:szCs w:val="15"/>
          <w:color w:val="auto"/>
        </w:rPr>
        <w:t>The financial parameters are as follows.</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Amount of the Owner's overall budget for the Project, including the Architect's compensation, is: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be determined by the Owner on a project-by-project basis.</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Amount of the Owner's budget for the Cost of the Work, excluding the Architect's compensation, is:</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be determined by the Owner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5"/>
          <w:szCs w:val="15"/>
          <w:color w:val="auto"/>
        </w:rPr>
        <w:t>The time parameters 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if appropriate, milestone dates, durations or fast track scheduling.)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by the Owner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The proposed procurement or delivery method for the Project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method such as competitive bid, negotiated contract, or construction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by the Owner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5"/>
          <w:szCs w:val="15"/>
          <w:color w:val="auto"/>
        </w:rPr>
        <w:t>Other parameters 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special characteristics or needs of the Project such as energy, environmental or historic preservation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may be determined by the Owner on a project-by-project basis.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PROJECT TEAM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5"/>
          <w:szCs w:val="15"/>
          <w:color w:val="auto"/>
        </w:rPr>
        <w:t>The Owner's Designated Representative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 name, address and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Kenneth R. Wynn,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 733-4814</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1.1.3.2 The persons or entities, in addition to the Owner's Designated Representative, who are required to review the Architect's submittals to the Owner are:</w:t>
      </w:r>
    </w:p>
    <w:p>
      <w:pPr>
        <w:spacing w:after="0"/>
        <w:rPr>
          <w:sz w:val="20"/>
          <w:szCs w:val="20"/>
          <w:color w:val="auto"/>
        </w:rPr>
      </w:pPr>
      <w:r>
        <w:rPr>
          <w:rFonts w:ascii="Arial" w:cs="Arial" w:eastAsia="Arial" w:hAnsi="Arial"/>
          <w:sz w:val="18"/>
          <w:szCs w:val="18"/>
          <w:i w:val="1"/>
          <w:iCs w:val="1"/>
          <w:color w:val="auto"/>
        </w:rPr>
        <w:t>(List name, address and other information.)</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5"/>
          <w:szCs w:val="15"/>
          <w:color w:val="auto"/>
        </w:rPr>
        <w:t>The Owner's other consultants and contractors 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 discipline and, if known, identify them by name and 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a project-by-project basis.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5"/>
          <w:szCs w:val="15"/>
          <w:color w:val="auto"/>
        </w:rPr>
        <w:t>The Architect's Designated Representative 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 name, address and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DeRuyter O. Butler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 733-4804</w:t>
      </w:r>
    </w:p>
    <w:p>
      <w:pPr>
        <w:sectPr>
          <w:pgSz w:w="11900" w:h="16846" w:orient="portrait"/>
          <w:cols w:equalWidth="0" w:num="1">
            <w:col w:w="10840"/>
          </w:cols>
          <w:pgMar w:left="780" w:top="131" w:right="279" w:bottom="0" w:gutter="0" w:footer="0" w:header="0"/>
        </w:sectPr>
      </w:pPr>
    </w:p>
    <w:bookmarkStart w:id="144" w:name="page145"/>
    <w:bookmarkEnd w:id="144"/>
    <w:p>
      <w:pPr>
        <w:ind w:left="540"/>
        <w:spacing w:after="0"/>
        <w:tabs>
          <w:tab w:leader="none" w:pos="118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5"/>
          <w:szCs w:val="15"/>
          <w:color w:val="auto"/>
        </w:rPr>
        <w:t>The consultants retained at the Architect's expense are: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(List discipline and, if known, identify them by name and address.)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Other important initial information is: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1.1.5 When the services under this Agreement include contract administration services, the General Conditions of the Contract for Construction shall be the edition of AIA Document A201 current as of the date of this Agreement, or as may otherwise be agreed by the parties.</w:t>
      </w:r>
    </w:p>
    <w:p>
      <w:pPr>
        <w:spacing w:after="0" w:line="139" w:lineRule="exact"/>
        <w:rPr>
          <w:sz w:val="20"/>
          <w:szCs w:val="20"/>
          <w:color w:val="auto"/>
        </w:rPr>
      </w:pPr>
    </w:p>
    <w:p>
      <w:pPr>
        <w:ind w:left="540" w:right="620"/>
        <w:spacing w:after="0" w:line="306" w:lineRule="auto"/>
        <w:rPr>
          <w:sz w:val="20"/>
          <w:szCs w:val="20"/>
          <w:color w:val="auto"/>
        </w:rPr>
      </w:pPr>
      <w:r>
        <w:rPr>
          <w:rFonts w:ascii="Arial" w:cs="Arial" w:eastAsia="Arial" w:hAnsi="Arial"/>
          <w:sz w:val="16"/>
          <w:szCs w:val="16"/>
          <w:color w:val="auto"/>
        </w:rPr>
        <w:t>1.1.6 The information contained in this Article 1.1 may be reasonably relied upon by the Owner and Architect in determining the Architect's compensation. Both parties, however, recognize that such information may change and, in that event, the Owner and the Architect shall negotiate appropriate adjustments in schedule, compensation and Change in Services in accordance with Paragraph 1.3.3.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ARTICLE 1.2 RESPONSIBILITIES OF THE PARTIES</w:t>
      </w:r>
    </w:p>
    <w:p>
      <w:pPr>
        <w:spacing w:after="0" w:line="225"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1.2.1 The Owner and the Architect shall cooperate with one another to fulfill their respective obligations under this Agreement. Both parties shall endeavor to maintain good working relationships among all members of the Project team.</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OWNER</w:t>
      </w:r>
    </w:p>
    <w:p>
      <w:pPr>
        <w:spacing w:after="0" w:line="225" w:lineRule="exact"/>
        <w:rPr>
          <w:sz w:val="20"/>
          <w:szCs w:val="20"/>
          <w:color w:val="auto"/>
        </w:rPr>
      </w:pPr>
    </w:p>
    <w:p>
      <w:pPr>
        <w:jc w:val="both"/>
        <w:ind w:left="540" w:right="140"/>
        <w:spacing w:after="0" w:line="259" w:lineRule="auto"/>
        <w:rPr>
          <w:sz w:val="20"/>
          <w:szCs w:val="20"/>
          <w:color w:val="auto"/>
        </w:rPr>
      </w:pPr>
      <w:r>
        <w:rPr>
          <w:rFonts w:ascii="Arial" w:cs="Arial" w:eastAsia="Arial" w:hAnsi="Arial"/>
          <w:sz w:val="18"/>
          <w:szCs w:val="18"/>
          <w:color w:val="auto"/>
        </w:rPr>
        <w:t>1.2.2.1 Unless otherwise provided under this Agreement, the Owner shall provide full information in a timely manner regarding requirements for and limitations on the Project. The Owner shall furnish to the Architect, within 15 days after receipt of a written request, information necessary and relevant for the Architect to evaluate, give notice of or enforce lien rights.</w:t>
      </w:r>
    </w:p>
    <w:p>
      <w:pPr>
        <w:spacing w:after="0" w:line="19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The Owner shall periodically update the budget for the Project, including that portion allocated for the Cost of the Work.</w:t>
      </w:r>
    </w:p>
    <w:p>
      <w:pPr>
        <w:spacing w:after="0" w:line="22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1.2.2.3 The Owner's Designated Representative identified in Paragraph 1.1.3 shall be authorized to act on the Owner's behalf with respect to the Project. The Owner or the Owner's Designated Representative shall render decisions in a timely manner pertaining to documents submitted by the Architect in order to avoid unreasonable delay in the orderly and sequential progress of the Architect's services.</w:t>
      </w:r>
    </w:p>
    <w:p>
      <w:pPr>
        <w:spacing w:after="0" w:line="16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1.2.2.4 The Owner shall furnish the services of consultants other than those designated in Paragraph 1.1.3 or authorize the Architect to furnish them as a Change in Services when such services are requested by the Architect and are reasonably required by the scope of the Project.</w:t>
      </w:r>
    </w:p>
    <w:p>
      <w:pPr>
        <w:spacing w:after="0" w:line="139" w:lineRule="exact"/>
        <w:rPr>
          <w:sz w:val="20"/>
          <w:szCs w:val="20"/>
          <w:color w:val="auto"/>
        </w:rPr>
      </w:pPr>
    </w:p>
    <w:p>
      <w:pPr>
        <w:ind w:left="540" w:right="40"/>
        <w:spacing w:after="0" w:line="332" w:lineRule="auto"/>
        <w:rPr>
          <w:sz w:val="20"/>
          <w:szCs w:val="20"/>
          <w:color w:val="auto"/>
        </w:rPr>
      </w:pPr>
      <w:r>
        <w:rPr>
          <w:rFonts w:ascii="Arial" w:cs="Arial" w:eastAsia="Arial" w:hAnsi="Arial"/>
          <w:sz w:val="16"/>
          <w:szCs w:val="16"/>
          <w:color w:val="auto"/>
        </w:rPr>
        <w:t>1.2.2.5 Unless otherwise provided in this Agreement, the Owner shall furnish tests, inspections and reports required by law or the Contract Documents, such as structural, mechanical, and chemical tests, tests for air and water pollution, and tests for hazardous materials.</w:t>
      </w:r>
    </w:p>
    <w:p>
      <w:pPr>
        <w:spacing w:after="0" w:line="139"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1.2.2.6 The Owner shall furnish all legal, insurance and accounting services, including auditing services, that may be reasonably necessary at any time for the Project to meet the Owner's needs and interests.</w:t>
      </w:r>
    </w:p>
    <w:p>
      <w:pPr>
        <w:spacing w:after="0" w:line="186"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1.2.2.7 The Owner shall provide prompt written notice to the Architect if the Owner becomes aware of any fault or defect in the Project, including any errors, omissions or inconsistencies in the Architect's Instruments of Service.</w:t>
      </w:r>
    </w:p>
    <w:p>
      <w:pPr>
        <w:spacing w:after="0" w:line="186"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ARCHITECT</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5"/>
          <w:szCs w:val="15"/>
          <w:color w:val="auto"/>
        </w:rPr>
        <w:t>The services performed by the Architect, Architect's employees and Architect's consultants shall be as enumerated in Article 1.4.</w:t>
      </w:r>
    </w:p>
    <w:p>
      <w:pPr>
        <w:spacing w:after="0" w:line="225"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1.2.3.2 The Architect's services shall be performed as expeditiously as is consistent with professional skill and care and the orderly progress of the Project. The Architect shall submit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the Owner's approval a schedule for the performance of the Architect's services which initially shall be consistent with the time periods established in Subparagraph 1.1.2.6 and which shall be adjusted, if necessary, as the Project proceeds. This schedule shall include allowances for periods of time required for the Owner's review, for the performance of the Owner's consultants, and for approval of submissions by authorities having jurisdiction over the Project. Time limits established by this schedule approved by the Owner shall not, except for reasonable cause, be exceeded by the Architect or Owner.</w:t>
      </w:r>
    </w:p>
    <w:p>
      <w:pPr>
        <w:spacing w:after="0" w:line="197"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1.2.3.3 The Architect's Designated Representative identified in Paragraph 1.1.3 shall be authorized to act on the Architect's behalf with respect to the Project.</w:t>
      </w:r>
    </w:p>
    <w:p>
      <w:pPr>
        <w:spacing w:after="0" w:line="186"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1.2.3.4 The Architect shall maintain the confidentiality of information specifically designated as confidential by the Owner, unless withholding such information would violate the law, create the risk of significant harm to the public or prevent the Architect from establishing a claim or defense in an adjudicatory proceeding. The Architect shall require of the Architect's consultants similar agreements to maintain the confidentiality of information specifically designated as confidential by the Owner.</w:t>
      </w:r>
    </w:p>
    <w:p>
      <w:pPr>
        <w:sectPr>
          <w:pgSz w:w="11900" w:h="16838" w:orient="portrait"/>
          <w:cols w:equalWidth="0" w:num="1">
            <w:col w:w="11360"/>
          </w:cols>
          <w:pgMar w:left="240" w:top="131" w:right="299" w:bottom="0" w:gutter="0" w:footer="0" w:header="0"/>
        </w:sectPr>
      </w:pPr>
    </w:p>
    <w:bookmarkStart w:id="145" w:name="page146"/>
    <w:bookmarkEnd w:id="145"/>
    <w:p>
      <w:pPr>
        <w:ind w:left="540" w:right="840"/>
        <w:spacing w:after="0" w:line="332" w:lineRule="auto"/>
        <w:rPr>
          <w:sz w:val="20"/>
          <w:szCs w:val="20"/>
          <w:color w:val="auto"/>
        </w:rPr>
      </w:pPr>
      <w:r>
        <w:rPr>
          <w:rFonts w:ascii="Arial" w:cs="Arial" w:eastAsia="Arial" w:hAnsi="Arial"/>
          <w:sz w:val="16"/>
          <w:szCs w:val="16"/>
          <w:color w:val="auto"/>
        </w:rPr>
        <w:t>1.2.3.5 Except with the Owner's knowledge and consent, the Architect shall not engage in any activity, or accept any employment, interest or contribution that would reasonably appear to compromise the Architect's professional judgment with respect to this Project.</w:t>
      </w:r>
    </w:p>
    <w:p>
      <w:pPr>
        <w:spacing w:after="0" w:line="139"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1.2.3.6 The Architect shall review laws, codes, and regulations applicable to the Architect's services. The Architect shall respond in the design of the Project to requirements imposed by governmental authorities having jurisdiction over the Project.</w:t>
      </w:r>
    </w:p>
    <w:p>
      <w:pPr>
        <w:spacing w:after="0" w:line="186"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1.2.3.7 The Architect shall be entitled to rely on the accuracy and completeness of services and information furnished by the Owner. The Architect shall provide prompt written notice to the Owner if the Architect becomes aware of any errors, omissions or inconsistencies in such services or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ARTICLE 1.3 TERMS AND CONDITIONS</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COST OF THE WORK</w:t>
      </w:r>
    </w:p>
    <w:p>
      <w:pPr>
        <w:spacing w:after="0" w:line="225"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1.3.1.1 The Cost of thc Work shall be the total cost or, to the extent the Project is not completed, the estimated cost to the Owner of all elements of the Project designed or specified by the Architect.</w:t>
      </w:r>
    </w:p>
    <w:p>
      <w:pPr>
        <w:spacing w:after="0" w:line="186"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1.3.1.2 The Cost of the Work shall include the cost at current market rates of labor and materials furnished by the Owner and equipment designed, specified, selected or specially provided for by the Architect, including the costs of management or supervision of construction or installation provided by a separate construction manager or contractor, plus a reasonable allowance for their overhead and profit. In addition, a reasonable allowance for contingencies shall be included for market conditions at the time of bidding and for changes in the Work.</w:t>
      </w:r>
    </w:p>
    <w:p>
      <w:pPr>
        <w:spacing w:after="0" w:line="167"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1.3.1.3 The Cost of the Work does not include the compensation of the Architect and the Architect's consultants, the costs of the land, rights-of-way and financing or other costs that are the responsibility of the Owner.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INSTRUMENTS OF SERVICE</w:t>
      </w:r>
    </w:p>
    <w:p>
      <w:pPr>
        <w:spacing w:after="0" w:line="225"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1.3.2.1 Drawings, specifications and other documents, including those in electronic form, prepared by the Architect and the Architect's consultants are Instruments of Service for use solely with respect to a given project and shall remain the property of the Architect.</w:t>
      </w:r>
    </w:p>
    <w:p>
      <w:pPr>
        <w:spacing w:after="0" w:line="186"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1.3.2.2 The Architect grants to the Owner an exclusive license to reproduce the Architect's Instruments of Service for purposes of constructing, using and maintaining the Projects. The Architect shall obtain similar exclusive licenses from the Architect's consultants consistent with this Agreement. Owner may utilize the Instruments of Service for completion of this Project by others, without consent of Architect. In the event of Architect's termination, such consent shall not be unreasonably withheld. In no event shall Architect be entitled to additional compensation and/or fees for use of Instruments of Service prepared by Architect while employed by Owner.</w:t>
      </w:r>
    </w:p>
    <w:p>
      <w:pPr>
        <w:spacing w:after="0" w:line="197"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1.3.2.3 Except for the licenses granted in Subparagraph 1.3.2.2, no other license or right shall be deemed granted or implied under this Agreement. The Owner shall be permitted to authorize the Contractor, Subcontractors, Sub-subcontractors and material or equipment suppliers to reproduce applicable portions of the Instruments of Service appropriate to and for use in their execution of the Work by license granted in Subparagraph 1.3.2.2. Submission or distribution of Instruments of Service to meet official regulatory requirements or for similar purposes in connection with the Project is not to be construed as publication in derogation of the reserved rights of the Architect and the Architect's consultants. Any unauthorized use of the Instruments of Service shall be at the Owner's sole risk and without liability to the Architect and the Architect's consultants.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1.3.2.4</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CHANGE IN SERVICES</w:t>
      </w:r>
    </w:p>
    <w:p>
      <w:pPr>
        <w:spacing w:after="0" w:line="225"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1.3.3.1 Change in Services of the Architect, including services required of the Architect's consultants, may be accomplished after execution of this Agreement, without invalidating the Agreement, if requested by Owner or Architect.</w:t>
      </w:r>
    </w:p>
    <w:p>
      <w:pPr>
        <w:spacing w:after="0" w:line="18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1.3.3.2 If any of the following circumstances affect the Architect's services for the Project, the Architect shall be entitled to an appropriate adjustment in the Architect's schedule:</w:t>
      </w:r>
    </w:p>
    <w:p>
      <w:pPr>
        <w:spacing w:after="0" w:line="186" w:lineRule="exact"/>
        <w:rPr>
          <w:sz w:val="20"/>
          <w:szCs w:val="20"/>
          <w:color w:val="auto"/>
        </w:rPr>
      </w:pPr>
    </w:p>
    <w:tbl>
      <w:tblPr>
        <w:tblLayout w:type="fixed"/>
        <w:tblInd w:w="1080" w:type="dxa"/>
        <w:tblCellMar>
          <w:top w:w="0" w:type="dxa"/>
          <w:left w:w="0" w:type="dxa"/>
          <w:bottom w:w="0" w:type="dxa"/>
          <w:right w:w="0" w:type="dxa"/>
        </w:tblCellMar>
      </w:tblPr>
      <w:tr>
        <w:trPr>
          <w:trHeight w:val="23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10000" w:type="dxa"/>
            <w:vAlign w:val="bottom"/>
          </w:tcPr>
          <w:p>
            <w:pPr>
              <w:ind w:left="200"/>
              <w:spacing w:after="0"/>
              <w:rPr>
                <w:sz w:val="20"/>
                <w:szCs w:val="20"/>
                <w:color w:val="auto"/>
              </w:rPr>
            </w:pPr>
            <w:r>
              <w:rPr>
                <w:rFonts w:ascii="Arial" w:cs="Arial" w:eastAsia="Arial" w:hAnsi="Arial"/>
                <w:sz w:val="18"/>
                <w:szCs w:val="18"/>
                <w:color w:val="auto"/>
              </w:rPr>
              <w:t>change in the instruments or approvals given by the Owner that necessitate revisions in Instruments of Service;</w:t>
            </w:r>
          </w:p>
        </w:tc>
      </w:tr>
      <w:tr>
        <w:trPr>
          <w:trHeight w:val="453"/>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10000" w:type="dxa"/>
            <w:vAlign w:val="bottom"/>
          </w:tcPr>
          <w:p>
            <w:pPr>
              <w:ind w:left="200"/>
              <w:spacing w:after="0"/>
              <w:rPr>
                <w:sz w:val="20"/>
                <w:szCs w:val="20"/>
                <w:color w:val="auto"/>
              </w:rPr>
            </w:pPr>
            <w:r>
              <w:rPr>
                <w:rFonts w:ascii="Arial" w:cs="Arial" w:eastAsia="Arial" w:hAnsi="Arial"/>
                <w:sz w:val="18"/>
                <w:szCs w:val="18"/>
                <w:color w:val="auto"/>
                <w:w w:val="88"/>
              </w:rPr>
              <w:t>enactment or revision of codes, laws or regulations or official interpretations which necessitate changes to previously prepared Instruments</w:t>
            </w:r>
          </w:p>
        </w:tc>
      </w:tr>
      <w:tr>
        <w:trPr>
          <w:trHeight w:val="222"/>
        </w:trPr>
        <w:tc>
          <w:tcPr>
            <w:tcW w:w="340" w:type="dxa"/>
            <w:vAlign w:val="bottom"/>
          </w:tcPr>
          <w:p>
            <w:pPr>
              <w:spacing w:after="0"/>
              <w:rPr>
                <w:sz w:val="19"/>
                <w:szCs w:val="19"/>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of Service;</w:t>
            </w:r>
          </w:p>
        </w:tc>
      </w:tr>
      <w:tr>
        <w:trPr>
          <w:trHeight w:val="44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.3</w:t>
            </w:r>
          </w:p>
        </w:tc>
        <w:tc>
          <w:tcPr>
            <w:tcW w:w="10000" w:type="dxa"/>
            <w:vAlign w:val="bottom"/>
          </w:tcPr>
          <w:p>
            <w:pPr>
              <w:ind w:left="200"/>
              <w:spacing w:after="0"/>
              <w:rPr>
                <w:sz w:val="20"/>
                <w:szCs w:val="20"/>
                <w:color w:val="auto"/>
              </w:rPr>
            </w:pPr>
            <w:r>
              <w:rPr>
                <w:rFonts w:ascii="Arial" w:cs="Arial" w:eastAsia="Arial" w:hAnsi="Arial"/>
                <w:sz w:val="18"/>
                <w:szCs w:val="18"/>
                <w:color w:val="auto"/>
              </w:rPr>
              <w:t>decisions of the Owner not rendered in a timely manner;</w:t>
            </w:r>
          </w:p>
        </w:tc>
      </w:tr>
      <w:tr>
        <w:trPr>
          <w:trHeight w:val="439"/>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.4</w:t>
            </w:r>
          </w:p>
        </w:tc>
        <w:tc>
          <w:tcPr>
            <w:tcW w:w="10000" w:type="dxa"/>
            <w:vAlign w:val="bottom"/>
          </w:tcPr>
          <w:p>
            <w:pPr>
              <w:ind w:left="200"/>
              <w:spacing w:after="0"/>
              <w:rPr>
                <w:sz w:val="20"/>
                <w:szCs w:val="20"/>
                <w:color w:val="auto"/>
              </w:rPr>
            </w:pPr>
            <w:r>
              <w:rPr>
                <w:rFonts w:ascii="Arial" w:cs="Arial" w:eastAsia="Arial" w:hAnsi="Arial"/>
                <w:sz w:val="18"/>
                <w:szCs w:val="18"/>
                <w:color w:val="auto"/>
                <w:w w:val="91"/>
              </w:rPr>
              <w:t>significant change in the Project including, but not limited to, size, quality, complexity, the Owner's schedule or budget, or procurement</w:t>
            </w:r>
          </w:p>
        </w:tc>
      </w:tr>
      <w:tr>
        <w:trPr>
          <w:trHeight w:val="222"/>
        </w:trPr>
        <w:tc>
          <w:tcPr>
            <w:tcW w:w="340" w:type="dxa"/>
            <w:vAlign w:val="bottom"/>
          </w:tcPr>
          <w:p>
            <w:pPr>
              <w:spacing w:after="0"/>
              <w:rPr>
                <w:sz w:val="19"/>
                <w:szCs w:val="19"/>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method;</w:t>
            </w:r>
          </w:p>
        </w:tc>
      </w:tr>
      <w:tr>
        <w:trPr>
          <w:trHeight w:val="459"/>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.5</w:t>
            </w:r>
          </w:p>
        </w:tc>
        <w:tc>
          <w:tcPr>
            <w:tcW w:w="10000" w:type="dxa"/>
            <w:vAlign w:val="bottom"/>
          </w:tcPr>
          <w:p>
            <w:pPr>
              <w:ind w:left="200"/>
              <w:spacing w:after="0"/>
              <w:rPr>
                <w:sz w:val="20"/>
                <w:szCs w:val="20"/>
                <w:color w:val="auto"/>
              </w:rPr>
            </w:pPr>
            <w:r>
              <w:rPr>
                <w:rFonts w:ascii="Arial" w:cs="Arial" w:eastAsia="Arial" w:hAnsi="Arial"/>
                <w:sz w:val="18"/>
                <w:szCs w:val="18"/>
                <w:color w:val="auto"/>
              </w:rPr>
              <w:t>failure of performance on the part of the Owner or the Owner's consultants or contractors;</w:t>
            </w:r>
          </w:p>
        </w:tc>
      </w:tr>
      <w:tr>
        <w:trPr>
          <w:trHeight w:val="439"/>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.6</w:t>
            </w:r>
          </w:p>
        </w:tc>
        <w:tc>
          <w:tcPr>
            <w:tcW w:w="10000" w:type="dxa"/>
            <w:vAlign w:val="bottom"/>
          </w:tcPr>
          <w:p>
            <w:pPr>
              <w:ind w:left="200"/>
              <w:spacing w:after="0"/>
              <w:rPr>
                <w:sz w:val="20"/>
                <w:szCs w:val="20"/>
                <w:color w:val="auto"/>
              </w:rPr>
            </w:pPr>
            <w:r>
              <w:rPr>
                <w:rFonts w:ascii="Arial" w:cs="Arial" w:eastAsia="Arial" w:hAnsi="Arial"/>
                <w:sz w:val="18"/>
                <w:szCs w:val="18"/>
                <w:color w:val="auto"/>
                <w:w w:val="87"/>
              </w:rPr>
              <w:t>preparation for and attendance at a public hearing, a dispute resolution proceeding or a legal proceeding except where the Architect is party</w:t>
            </w:r>
          </w:p>
        </w:tc>
      </w:tr>
      <w:tr>
        <w:trPr>
          <w:trHeight w:val="222"/>
        </w:trPr>
        <w:tc>
          <w:tcPr>
            <w:tcW w:w="340" w:type="dxa"/>
            <w:vAlign w:val="bottom"/>
          </w:tcPr>
          <w:p>
            <w:pPr>
              <w:spacing w:after="0"/>
              <w:rPr>
                <w:sz w:val="19"/>
                <w:szCs w:val="19"/>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thereto;</w:t>
            </w:r>
          </w:p>
        </w:tc>
      </w:tr>
      <w:tr>
        <w:trPr>
          <w:trHeight w:val="44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.7</w:t>
            </w:r>
          </w:p>
        </w:tc>
        <w:tc>
          <w:tcPr>
            <w:tcW w:w="10000" w:type="dxa"/>
            <w:vAlign w:val="bottom"/>
          </w:tcPr>
          <w:p>
            <w:pPr>
              <w:ind w:left="200"/>
              <w:spacing w:after="0"/>
              <w:rPr>
                <w:sz w:val="20"/>
                <w:szCs w:val="20"/>
                <w:color w:val="auto"/>
              </w:rPr>
            </w:pPr>
            <w:r>
              <w:rPr>
                <w:rFonts w:ascii="Arial" w:cs="Arial" w:eastAsia="Arial" w:hAnsi="Arial"/>
                <w:sz w:val="18"/>
                <w:szCs w:val="18"/>
                <w:color w:val="auto"/>
              </w:rPr>
              <w:t>change in the information contained in Article 1.1.</w:t>
            </w:r>
          </w:p>
        </w:tc>
      </w:tr>
    </w:tbl>
    <w:p>
      <w:pPr>
        <w:spacing w:after="0" w:line="21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MEDIATION</w:t>
      </w:r>
    </w:p>
    <w:p>
      <w:pPr>
        <w:sectPr>
          <w:pgSz w:w="11900" w:h="16838" w:orient="portrait"/>
          <w:cols w:equalWidth="0" w:num="1">
            <w:col w:w="11420"/>
          </w:cols>
          <w:pgMar w:left="240" w:top="131" w:right="239" w:bottom="0" w:gutter="0" w:footer="0" w:header="0"/>
        </w:sectPr>
      </w:pPr>
    </w:p>
    <w:bookmarkStart w:id="146" w:name="page147"/>
    <w:bookmarkEnd w:id="146"/>
    <w:p>
      <w:pPr>
        <w:spacing w:after="0" w:line="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1.3.4.1 Any claim, dispute or other matter in question arising out of or related to this Agreement shall be subject to and decided at law or equity within the Courts of Clark County subject to Nevada law.</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1.3.4.2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1.3.4.3</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ARBITRATION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1.3.5.5</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CLAIMS FOR CONSEQUENTIAL DAMAGES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Architect and the Owner waive consequential damages for claims, disputes or other matters in question arising out of or relating to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mutual waiver is applicable, without limitation, to all consequential damages due to either party's termination in accordance with Paragraph 1.3.8.</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MISCELLANEOUS PROVISIONS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1.3.7.1</w:t>
      </w:r>
      <w:r>
        <w:rPr>
          <w:sz w:val="20"/>
          <w:szCs w:val="20"/>
          <w:color w:val="auto"/>
        </w:rPr>
        <w:tab/>
      </w:r>
      <w:r>
        <w:rPr>
          <w:rFonts w:ascii="Arial" w:cs="Arial" w:eastAsia="Arial" w:hAnsi="Arial"/>
          <w:sz w:val="15"/>
          <w:szCs w:val="15"/>
          <w:color w:val="auto"/>
        </w:rPr>
        <w:t>This Agreement shall be governed by the law of the principal place of business of the Owner, unless otherwise provided in Paragraph 1.4.2.</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1.3.7.2 Terms in this Agreement shall have the same meaning as those in the edition of AIA Document A201, General Conditions of the Contract for Construction, current as of the date of this Agreement.</w:t>
      </w:r>
    </w:p>
    <w:p>
      <w:pPr>
        <w:spacing w:after="0" w:line="18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1.3.7.3 Causes of action between the parties to this Agreement pertaining to acts or failures to act shall be deemed to have accrued and the applicable statutes of limitations shall commence to run not later than either the date of Substantial Completion for acts or failures to act occurring prior to Substantial Completion or the date of issuance of the final Certificate for Payment for acts or failures to act occurring after Substantial Completion. In no event shall such statutes of limitations commence to run any later than the date when the Architect's services are substantially completed.</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1.3.7.4 To the extent damages are covered by property insurance during construction, the Owner and the Architect waive all rights against each other and against the contractors, consultants, agents and employees of the other for damages, except such rights as they may have to the proceeds of such insurance as set forth in the edition of AIA Document A201, General Conditions of the Contract for Construction, current as of the date of this Agreement. The Owner or the Architect, as appropriate, shall require of the contractors, consultants, agents and employees of any of them similar waivers in favor of the other parties enumerated herein.</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1.3.7.5 Nothing contained in this Agreement shall create a contractual relationship with or a cause of action in favor of a third party against either the Owner or Architect.</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1.3.7.6 Unless otherwise provided in this Agreement, the Architect and Architect's consultants shall have no responsibility for the discovery, presence, handling removal or disposal of or exposure of persons to hazardous materials or toxic substances in any form at the Project site.</w:t>
      </w:r>
    </w:p>
    <w:p>
      <w:pPr>
        <w:spacing w:after="0" w:line="13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1.3.7.7 With the Owner's permission, the Architect shall have the right to include photographic or artistic representations of the design of the Project among the Architect's promotional and professional materials. The Architect shall be given reasonable access to the completed Project to make such representations. However, the Architect's materials shall not include the Owner's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confidential or proprietary information if the Owner has previously advised the Architect in writing of the specific information considered by the Owner to be confidential or proprietary.</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1.3.7.8 If the Owner requests the Architect to execute certificates, the proposed language of such certificates shall be submitted to the Architect for review at least 14 days prior to the requested dates of execution. The Architect shall not be required to execute certificates that would require knowledge, services or responsibilities beyond the scope of this Agreement.</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1.3.7.9 The Owner and Architect, respectively, bind themselves, their partners, successors, assigns and legal representatives to the other party to this Agreement and to the partners, successors, assigns and legal representatives of such other party with respect to all covenants of this Agreement. Neither the Owner nor the Architect shall assign this Agreement without the written consent of the other, except that the Owner may assign this Agreement to an institutional lender providing financing for the Project. In such event, the lender shall assume the Owner's rights and obligations under this Agreement. The Architect shall execute all consents reasonably required to facilitate such assignment. Furthermore, the Owner may assign this Agreement to its parent company and any affiliated companies.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TERMINATION OR SUSPENSION</w:t>
      </w:r>
    </w:p>
    <w:p>
      <w:pPr>
        <w:sectPr>
          <w:pgSz w:w="11900" w:h="16853" w:orient="portrait"/>
          <w:cols w:equalWidth="0" w:num="1">
            <w:col w:w="10880"/>
          </w:cols>
          <w:pgMar w:left="780" w:top="131" w:right="239" w:bottom="0" w:gutter="0" w:footer="0" w:header="0"/>
        </w:sectPr>
      </w:pPr>
    </w:p>
    <w:bookmarkStart w:id="147" w:name="page148"/>
    <w:bookmarkEnd w:id="147"/>
    <w:p>
      <w:pPr>
        <w:ind w:left="540" w:right="20"/>
        <w:spacing w:after="0" w:line="291" w:lineRule="auto"/>
        <w:rPr>
          <w:sz w:val="20"/>
          <w:szCs w:val="20"/>
          <w:color w:val="auto"/>
        </w:rPr>
      </w:pPr>
      <w:r>
        <w:rPr>
          <w:rFonts w:ascii="Arial" w:cs="Arial" w:eastAsia="Arial" w:hAnsi="Arial"/>
          <w:sz w:val="16"/>
          <w:szCs w:val="16"/>
          <w:color w:val="auto"/>
        </w:rPr>
        <w:t>1.3.8.1 If the Owner fails to make payments to the Architect in accordance with this Agreement, such failure shall be considered substantial nonperfomance and cause for termination or, at the Architect's option, cause for suspension of performance of services under this Agreement. If the Architect elects to suspend services, prior to suspension of services, the Architect shall give seven days' written notice to the Owner. In the event of a suspension of services, the Architect shall have no liability to the Owner for delay or damage caused the Owner because of such suspension of services. Before resuming services, the Architect shall be paid all sums due prior to suspension and any expenses incurred in the interruption and resumption of the Architect's services. The Architect's fees for the remaining services and the time schedules shall be equitably adjusted.</w:t>
      </w:r>
    </w:p>
    <w:p>
      <w:pPr>
        <w:spacing w:after="0" w:line="174" w:lineRule="exact"/>
        <w:rPr>
          <w:sz w:val="20"/>
          <w:szCs w:val="20"/>
          <w:color w:val="auto"/>
        </w:rPr>
      </w:pPr>
    </w:p>
    <w:p>
      <w:pPr>
        <w:ind w:left="540" w:right="120"/>
        <w:spacing w:after="0" w:line="332" w:lineRule="auto"/>
        <w:rPr>
          <w:sz w:val="20"/>
          <w:szCs w:val="20"/>
          <w:color w:val="auto"/>
        </w:rPr>
      </w:pPr>
      <w:r>
        <w:rPr>
          <w:rFonts w:ascii="Arial" w:cs="Arial" w:eastAsia="Arial" w:hAnsi="Arial"/>
          <w:sz w:val="16"/>
          <w:szCs w:val="16"/>
          <w:color w:val="auto"/>
        </w:rPr>
        <w:t>1.3.8.2 If the Project is suspended by the Owner for more than 30 consecutive days, the Architect shall be compensated for services performed prior to notice of such suspension. The Architect's fees for the remaining services and the time schedules shall be equitably adjusted.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1.3.8.3</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1.3.8.4</w:t>
      </w:r>
      <w:r>
        <w:rPr>
          <w:sz w:val="20"/>
          <w:szCs w:val="20"/>
          <w:color w:val="auto"/>
        </w:rPr>
        <w:tab/>
      </w:r>
      <w:r>
        <w:rPr>
          <w:rFonts w:ascii="Arial" w:cs="Arial" w:eastAsia="Arial" w:hAnsi="Arial"/>
          <w:sz w:val="15"/>
          <w:szCs w:val="15"/>
          <w:color w:val="auto"/>
        </w:rPr>
        <w:t>This Agreement may be terminated by either party upon not less than seven days' written notice with or without cause.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1.3.8.5</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1.3.8.6 In the event of termination not the fault of the Architect, the Architect shall be compensated for services performed prior to termination, together with Reimbursable Expenses then due.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1.3.8.7</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PAYMENTS TO THE ARCHITECT</w:t>
      </w:r>
    </w:p>
    <w:p>
      <w:pPr>
        <w:spacing w:after="0" w:line="225" w:lineRule="exact"/>
        <w:rPr>
          <w:sz w:val="20"/>
          <w:szCs w:val="20"/>
          <w:color w:val="auto"/>
        </w:rPr>
      </w:pPr>
    </w:p>
    <w:p>
      <w:pPr>
        <w:ind w:left="540" w:right="780"/>
        <w:spacing w:after="0" w:line="268" w:lineRule="auto"/>
        <w:rPr>
          <w:sz w:val="20"/>
          <w:szCs w:val="20"/>
          <w:color w:val="auto"/>
        </w:rPr>
      </w:pPr>
      <w:r>
        <w:rPr>
          <w:rFonts w:ascii="Arial" w:cs="Arial" w:eastAsia="Arial" w:hAnsi="Arial"/>
          <w:sz w:val="18"/>
          <w:szCs w:val="18"/>
          <w:color w:val="auto"/>
        </w:rPr>
        <w:t>1.3.9.1 Payments on account of services rendered and for Reimbursable Expenses incurred shall be made pursuant to Architect's condition of employment.</w:t>
      </w:r>
    </w:p>
    <w:p>
      <w:pPr>
        <w:spacing w:after="0" w:line="186"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1.3.9.2</w:t>
      </w:r>
      <w:r>
        <w:rPr>
          <w:sz w:val="20"/>
          <w:szCs w:val="20"/>
          <w:color w:val="auto"/>
        </w:rPr>
        <w:tab/>
      </w:r>
      <w:r>
        <w:rPr>
          <w:rFonts w:ascii="Arial" w:cs="Arial" w:eastAsia="Arial" w:hAnsi="Arial"/>
          <w:sz w:val="15"/>
          <w:szCs w:val="15"/>
          <w:color w:val="auto"/>
        </w:rPr>
        <w:t>Reimbursable Expenses are in addition to compensation for the Architect's services and include expenses incurred by the Architect and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Architect's employees and consultants directly related to the Project, as identified in the following Clauses:</w:t>
      </w:r>
    </w:p>
    <w:p>
      <w:pPr>
        <w:spacing w:after="0" w:line="21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transportation in connection with the Project, authorized out-of-town travel and subsistence, and electronic communications;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fees paid for securing approval of authorities having jurisdiction over the Project;</w:t>
      </w:r>
    </w:p>
    <w:p>
      <w:pPr>
        <w:spacing w:after="0" w:line="252"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reproductions, plots, standard form documents, postage, handling and delivery of Instruments of Service;</w:t>
      </w:r>
    </w:p>
    <w:p>
      <w:pPr>
        <w:spacing w:after="0" w:line="23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expense of overtime work requiring higher than regular rates if authorized in advance by the Owner;</w:t>
      </w:r>
    </w:p>
    <w:p>
      <w:pPr>
        <w:spacing w:after="0" w:line="23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renderings, models and mock-ups requested by the Owner;</w:t>
      </w:r>
    </w:p>
    <w:p>
      <w:pPr>
        <w:spacing w:after="0" w:line="252" w:lineRule="exact"/>
        <w:rPr>
          <w:sz w:val="20"/>
          <w:szCs w:val="20"/>
          <w:color w:val="auto"/>
        </w:rPr>
      </w:pPr>
    </w:p>
    <w:p>
      <w:pPr>
        <w:ind w:left="1620" w:right="180" w:hanging="539"/>
        <w:spacing w:after="0" w:line="332" w:lineRule="auto"/>
        <w:tabs>
          <w:tab w:leader="none" w:pos="160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expense of professional liability insurance dedicated exclusively to this Project or the expense of additional insurance coverage or limits requested by the Owner in excess of that normally carried by the Architect and the Architect's consultants;</w:t>
      </w:r>
    </w:p>
    <w:p>
      <w:pPr>
        <w:spacing w:after="0" w:line="153"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reimbursable expenses as designated in Paragraph 1.5.5;</w:t>
      </w:r>
    </w:p>
    <w:p>
      <w:pPr>
        <w:spacing w:after="0" w:line="23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other similar direct Project-related expenditures.</w:t>
      </w:r>
    </w:p>
    <w:p>
      <w:pPr>
        <w:spacing w:after="0" w:line="252"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1.3.9.3 Records of Reimbursable Expenses, of expenses pertaining to a Change in Services, and of services performed on the basis of hourly rates or a multiple of Direct Personnel Expense shall be available to the Owner or the Owner's authorized representative at mutually convenient times.</w:t>
      </w:r>
    </w:p>
    <w:p>
      <w:pPr>
        <w:spacing w:after="0" w:line="139"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1.3.9.4 Direct Personnel Expense is defined as the direct salaries of the Architect's personnel engaged on the Project and the portion of the cost of their mandatory and customary contributions and benefits related thereto, such as employment taxes and other statutory employee benefits, insurance, sick leave, holidays, vacations, employee retirement plans and similar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ARTICLE 1.4 SCOPE OF SERVICES AND OTHER SPECIAL TERMS AND CONDITIONS</w:t>
      </w:r>
    </w:p>
    <w:p>
      <w:pPr>
        <w:spacing w:after="0" w:line="225"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1.4.1 Enumeration of Parts of the Agreement. This Agreement represents thc entire and integrated agreement between the Owner and the Architect and supersedes all prior negotiations, representations or agreements, either written or oral. This Agreement may be amended only by written instrument signed by both Owner and Architect. This Agreement comprises the documents listed below.</w:t>
      </w:r>
    </w:p>
    <w:p>
      <w:pPr>
        <w:spacing w:after="0" w:line="19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Standard Form of Agreement Between Owner and Architect, AIA Document B141-1997.</w:t>
      </w:r>
    </w:p>
    <w:p>
      <w:pPr>
        <w:spacing w:after="0" w:line="225" w:lineRule="exact"/>
        <w:rPr>
          <w:sz w:val="20"/>
          <w:szCs w:val="20"/>
          <w:color w:val="auto"/>
        </w:rPr>
      </w:pPr>
    </w:p>
    <w:p>
      <w:pPr>
        <w:ind w:left="540"/>
        <w:spacing w:after="0"/>
        <w:tabs>
          <w:tab w:leader="none" w:pos="1180" w:val="left"/>
          <w:tab w:leader="none" w:pos="4080" w:val="left"/>
        </w:tabs>
        <w:rPr>
          <w:sz w:val="20"/>
          <w:szCs w:val="20"/>
          <w:color w:val="auto"/>
        </w:rPr>
      </w:pPr>
      <w:r>
        <w:rPr>
          <w:rFonts w:ascii="Arial" w:cs="Arial" w:eastAsia="Arial" w:hAnsi="Arial"/>
          <w:sz w:val="18"/>
          <w:szCs w:val="18"/>
          <w:color w:val="auto"/>
        </w:rPr>
        <w:t>1.4.1.2</w:t>
        <w:tab/>
        <w:t>Standard Form of Architect's Services:</w:t>
      </w:r>
      <w:r>
        <w:rPr>
          <w:sz w:val="20"/>
          <w:szCs w:val="20"/>
          <w:color w:val="auto"/>
        </w:rPr>
        <w:tab/>
      </w:r>
      <w:r>
        <w:rPr>
          <w:rFonts w:ascii="Arial" w:cs="Arial" w:eastAsia="Arial" w:hAnsi="Arial"/>
          <w:sz w:val="16"/>
          <w:szCs w:val="16"/>
          <w:color w:val="auto"/>
        </w:rPr>
        <w:t>Design and Contract Administration, AIA Document B141-1997, or as follows: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(List other documents, if any, delineating Architect's scope of services.)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6"/>
          <w:szCs w:val="16"/>
          <w:color w:val="auto"/>
        </w:rPr>
        <w:t>Other documents as follows: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(List other documents, if any, forming part of the Agreement.)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80"/>
          </w:cols>
          <w:pgMar w:left="240" w:top="131" w:right="279" w:bottom="202" w:gutter="0" w:footer="0" w:header="0"/>
        </w:sectPr>
      </w:pPr>
    </w:p>
    <w:bookmarkStart w:id="148" w:name="page149"/>
    <w:bookmarkEnd w:id="148"/>
    <w:p>
      <w:pPr>
        <w:ind w:left="540"/>
        <w:spacing w:after="0"/>
        <w:tabs>
          <w:tab w:leader="none" w:pos="1060" w:val="left"/>
          <w:tab w:leader="none" w:pos="3380" w:val="left"/>
        </w:tabs>
        <w:rPr>
          <w:sz w:val="20"/>
          <w:szCs w:val="20"/>
          <w:color w:val="auto"/>
        </w:rPr>
      </w:pPr>
      <w:r>
        <w:rPr>
          <w:rFonts w:ascii="Arial" w:cs="Arial" w:eastAsia="Arial" w:hAnsi="Arial"/>
          <w:sz w:val="18"/>
          <w:szCs w:val="18"/>
          <w:color w:val="auto"/>
        </w:rPr>
        <w:t>1.4.2</w:t>
        <w:tab/>
        <w:t>Special Terms and Conditions.</w:t>
      </w:r>
      <w:r>
        <w:rPr>
          <w:sz w:val="20"/>
          <w:szCs w:val="20"/>
          <w:color w:val="auto"/>
        </w:rPr>
        <w:tab/>
      </w:r>
      <w:r>
        <w:rPr>
          <w:rFonts w:ascii="Arial" w:cs="Arial" w:eastAsia="Arial" w:hAnsi="Arial"/>
          <w:sz w:val="16"/>
          <w:szCs w:val="16"/>
          <w:color w:val="auto"/>
        </w:rPr>
        <w:t>Special terms and conditions that modify this Agreement are as follows: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Agreement shall automatically renew on an annual basis, unless otherwise agreed in writing by the parties.</w:t>
      </w:r>
    </w:p>
    <w:p>
      <w:pPr>
        <w:spacing w:after="0" w:line="9" w:lineRule="exact"/>
        <w:rPr>
          <w:sz w:val="20"/>
          <w:szCs w:val="20"/>
          <w:color w:val="auto"/>
        </w:rPr>
      </w:pPr>
    </w:p>
    <w:p>
      <w:pPr>
        <w:jc w:val="both"/>
        <w:ind w:left="540" w:right="120"/>
        <w:spacing w:after="0" w:line="255" w:lineRule="auto"/>
        <w:rPr>
          <w:sz w:val="20"/>
          <w:szCs w:val="20"/>
          <w:color w:val="auto"/>
        </w:rPr>
      </w:pPr>
      <w:r>
        <w:rPr>
          <w:rFonts w:ascii="Arial" w:cs="Arial" w:eastAsia="Arial" w:hAnsi="Arial"/>
          <w:sz w:val="18"/>
          <w:szCs w:val="18"/>
          <w:color w:val="auto"/>
        </w:rPr>
        <w:t>The Owner, its parent company and affiliated companies will indemnify and hold harmless the Architect from any and all expenses, liabilities and claims of every kind and nature, including reasonable attorneys' fees arising out of or relating to the performance of this Agreement, except as attributable to the Architect's gross negligence or willful misconduct.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ARTICLE 1.5 COMPENSATION</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For the Architect's services as described under Article 1.4, compensation shall be computed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Dollar ($1.00) and other valuable consideration.</w:t>
      </w:r>
    </w:p>
    <w:p>
      <w:pPr>
        <w:spacing w:after="0" w:line="225" w:lineRule="exact"/>
        <w:rPr>
          <w:sz w:val="20"/>
          <w:szCs w:val="20"/>
          <w:color w:val="auto"/>
        </w:rPr>
      </w:pPr>
    </w:p>
    <w:p>
      <w:pPr>
        <w:jc w:val="both"/>
        <w:ind w:left="540" w:right="100"/>
        <w:spacing w:after="0" w:line="286" w:lineRule="auto"/>
        <w:rPr>
          <w:sz w:val="20"/>
          <w:szCs w:val="20"/>
          <w:color w:val="auto"/>
        </w:rPr>
      </w:pPr>
      <w:r>
        <w:rPr>
          <w:rFonts w:ascii="Arial" w:cs="Arial" w:eastAsia="Arial" w:hAnsi="Arial"/>
          <w:sz w:val="16"/>
          <w:szCs w:val="16"/>
          <w:color w:val="auto"/>
        </w:rPr>
        <w:t>1.5.2 If the services of the Architect are changed as described in Subparagraph 1.3.3.1, the Architect's compensation shall be adjusted. Such adjustment shall be calculated as described below or, if no method of adjustment is indicated in this Paragraph 1.5.2, in an equitable manner.</w:t>
      </w:r>
    </w:p>
    <w:p>
      <w:pPr>
        <w:ind w:left="540" w:right="500"/>
        <w:spacing w:after="0" w:line="323" w:lineRule="auto"/>
        <w:rPr>
          <w:sz w:val="20"/>
          <w:szCs w:val="20"/>
          <w:color w:val="auto"/>
        </w:rPr>
      </w:pPr>
      <w:r>
        <w:rPr>
          <w:rFonts w:ascii="Arial" w:cs="Arial" w:eastAsia="Arial" w:hAnsi="Arial"/>
          <w:sz w:val="16"/>
          <w:szCs w:val="16"/>
          <w:i w:val="1"/>
          <w:iCs w:val="1"/>
          <w:color w:val="auto"/>
        </w:rPr>
        <w:t>(Insert basis of compensation, including rates and multiples of Direct Personnel Expense for Principals and employees, and identify Principals and classify employees, if required. Identify specific services to which particular methods of compensation apply.)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Dollar ($1.00) and other valuable consideration as has been agreed to by and between Architect and Owner.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1.5.4</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1.5.6</w:t>
      </w:r>
    </w:p>
    <w:p>
      <w:pPr>
        <w:spacing w:after="0" w:line="22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1.5.7 An initial payment of—One—Dollars ($1.00) shall be made upon execution of this Agreement and is the minimum payment under this Agreement. It shall be credited to the Owner's account at final payment. Subsequent payments for services shall be made monthly, and where applicable, shall be in proportion to services performed on the basis set forth in this Agreement.</w:t>
      </w:r>
    </w:p>
    <w:p>
      <w:pPr>
        <w:spacing w:after="0" w:line="19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i w:val="1"/>
          <w:iCs w:val="1"/>
          <w:color w:val="auto"/>
        </w:rPr>
        <w:t>1.5.8</w:t>
      </w:r>
      <w:r>
        <w:rPr>
          <w:sz w:val="20"/>
          <w:szCs w:val="20"/>
          <w:color w:val="auto"/>
        </w:rPr>
        <w:tab/>
      </w:r>
      <w:r>
        <w:rPr>
          <w:rFonts w:ascii="Arial" w:cs="Arial" w:eastAsia="Arial" w:hAnsi="Arial"/>
          <w:sz w:val="15"/>
          <w:szCs w:val="15"/>
          <w:i w:val="1"/>
          <w:iCs w:val="1"/>
          <w:color w:val="auto"/>
        </w:rPr>
        <w:t>(Insert rate of interest agreed upon.)</w:t>
      </w:r>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i w:val="1"/>
          <w:iCs w:val="1"/>
          <w:color w:val="auto"/>
        </w:rPr>
        <w:t>(Usury laws and requirements under the Federal Truth in Lending Act, similar state and local consumer credit laws and other regulations at the Owner's and Architect's principal places of business, the location of the Project and elsewhere may affect the validity of this provision. Specific legal advice should be obtained with respect to deletions or modifications, and also regarding requirements such as written disclosures or waivers.)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19"/>
                <w:szCs w:val="19"/>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w w:val="89"/>
              </w:rPr>
              <w:t>10</w:t>
            </w:r>
          </w:p>
        </w:tc>
        <w:tc>
          <w:tcPr>
            <w:tcW w:w="5480" w:type="dxa"/>
            <w:vAlign w:val="bottom"/>
          </w:tcPr>
          <w:p>
            <w:pPr>
              <w:spacing w:after="0"/>
              <w:rPr>
                <w:sz w:val="19"/>
                <w:szCs w:val="19"/>
                <w:color w:val="auto"/>
              </w:rPr>
            </w:pPr>
          </w:p>
        </w:tc>
      </w:tr>
      <w:tr>
        <w:trPr>
          <w:trHeight w:val="228"/>
        </w:trPr>
        <w:tc>
          <w:tcPr>
            <w:tcW w:w="5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427"/>
        </w:trPr>
        <w:tc>
          <w:tcPr>
            <w:tcW w:w="5600" w:type="dxa"/>
            <w:vAlign w:val="bottom"/>
          </w:tcPr>
          <w:p>
            <w:pPr>
              <w:jc w:val="center"/>
              <w:spacing w:after="0"/>
              <w:rPr>
                <w:sz w:val="20"/>
                <w:szCs w:val="20"/>
                <w:color w:val="auto"/>
              </w:rPr>
            </w:pPr>
            <w:r>
              <w:rPr>
                <w:rFonts w:ascii="Arial" w:cs="Arial" w:eastAsia="Arial" w:hAnsi="Arial"/>
                <w:sz w:val="18"/>
                <w:szCs w:val="18"/>
                <w:color w:val="auto"/>
                <w:w w:val="87"/>
              </w:rPr>
              <w:t>This agreement entered into as of the day and year first written above.</w:t>
            </w: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32"/>
        </w:trPr>
        <w:tc>
          <w:tcPr>
            <w:tcW w:w="5600" w:type="dxa"/>
            <w:vAlign w:val="bottom"/>
          </w:tcPr>
          <w:p>
            <w:pPr>
              <w:jc w:val="center"/>
              <w:spacing w:after="0"/>
              <w:rPr>
                <w:sz w:val="20"/>
                <w:szCs w:val="20"/>
                <w:color w:val="auto"/>
              </w:rPr>
            </w:pPr>
            <w:r>
              <w:rPr>
                <w:rFonts w:ascii="Arial" w:cs="Arial" w:eastAsia="Arial" w:hAnsi="Arial"/>
                <w:sz w:val="18"/>
                <w:szCs w:val="18"/>
                <w:color w:val="auto"/>
                <w:w w:val="95"/>
              </w:rPr>
              <w:t>/s/ KENNETH R. WYNN</w:t>
            </w: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/s/ DeRUYTER O. BUTLER</w:t>
            </w:r>
          </w:p>
        </w:tc>
      </w:tr>
      <w:tr>
        <w:trPr>
          <w:trHeight w:val="120"/>
        </w:trPr>
        <w:tc>
          <w:tcPr>
            <w:tcW w:w="56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color w:val="auto"/>
                <w:w w:val="90"/>
              </w:rPr>
              <w:t xml:space="preserve">OWNER </w:t>
            </w:r>
            <w:r>
              <w:rPr>
                <w:rFonts w:ascii="Arial" w:cs="Arial" w:eastAsia="Arial" w:hAnsi="Arial"/>
                <w:sz w:val="18"/>
                <w:szCs w:val="18"/>
                <w:i w:val="1"/>
                <w:iCs w:val="1"/>
                <w:color w:val="auto"/>
                <w:w w:val="90"/>
              </w:rPr>
              <w:t>(Signature)</w:t>
            </w: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 xml:space="preserve">ARCHITECT </w:t>
            </w:r>
            <w:r>
              <w:rPr>
                <w:rFonts w:ascii="Arial" w:cs="Arial" w:eastAsia="Arial" w:hAnsi="Arial"/>
                <w:sz w:val="18"/>
                <w:szCs w:val="18"/>
                <w:i w:val="1"/>
                <w:iCs w:val="1"/>
                <w:color w:val="auto"/>
                <w:w w:val="92"/>
              </w:rPr>
              <w:t>(Signature)</w:t>
            </w:r>
          </w:p>
        </w:tc>
      </w:tr>
      <w:tr>
        <w:trPr>
          <w:trHeight w:val="648"/>
        </w:trPr>
        <w:tc>
          <w:tcPr>
            <w:tcW w:w="5600" w:type="dxa"/>
            <w:vAlign w:val="bottom"/>
          </w:tcPr>
          <w:p>
            <w:pPr>
              <w:jc w:val="center"/>
              <w:spacing w:after="0"/>
              <w:rPr>
                <w:sz w:val="20"/>
                <w:szCs w:val="20"/>
                <w:color w:val="auto"/>
              </w:rPr>
            </w:pPr>
            <w:r>
              <w:rPr>
                <w:rFonts w:ascii="Arial" w:cs="Arial" w:eastAsia="Arial" w:hAnsi="Arial"/>
                <w:sz w:val="18"/>
                <w:szCs w:val="18"/>
                <w:color w:val="auto"/>
                <w:w w:val="88"/>
              </w:rPr>
              <w:t>Kenneth R. Wynn, President</w:t>
            </w: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DeRuyter O. Butler, A.I.A., Architect</w:t>
            </w:r>
          </w:p>
        </w:tc>
      </w:tr>
      <w:tr>
        <w:trPr>
          <w:trHeight w:val="120"/>
        </w:trPr>
        <w:tc>
          <w:tcPr>
            <w:tcW w:w="56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9"/>
        </w:trPr>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89"/>
              </w:rPr>
              <w:t>(Printed name and title)</w:t>
            </w:r>
          </w:p>
        </w:tc>
        <w:tc>
          <w:tcPr>
            <w:tcW w:w="3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89"/>
              </w:rPr>
              <w:t>(Printed name and 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-1554480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-1554480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-920115</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-920115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-216535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-216535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CAUTION: </w:t>
      </w:r>
      <w:r>
        <w:rPr>
          <w:rFonts w:ascii="Arial" w:cs="Arial" w:eastAsia="Arial" w:hAnsi="Arial"/>
          <w:sz w:val="18"/>
          <w:szCs w:val="18"/>
          <w:i w:val="1"/>
          <w:iCs w:val="1"/>
          <w:color w:val="auto"/>
        </w:rPr>
        <w:t>You should sign an original AIA document or a licensed reproduction. Originals contain the AIA logo printed in red; licensed reproductions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are those produced in accordance with the Instructions to this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448"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 10.22</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Standard Form of Agreement Between Owner and Architect with Standard Form of Architect's Services</w:t>
        </w:r>
      </w:hyperlink>
    </w:p>
    <w:p>
      <w:pPr>
        <w:sectPr>
          <w:pgSz w:w="11900" w:h="16838" w:orient="portrait"/>
          <w:cols w:equalWidth="0" w:num="1">
            <w:col w:w="11420"/>
          </w:cols>
          <w:pgMar w:left="240" w:top="131" w:right="239" w:bottom="448" w:gutter="0" w:footer="0" w:header="0"/>
          <w:type w:val="continuous"/>
        </w:sectPr>
      </w:pPr>
    </w:p>
    <w:bookmarkStart w:id="149" w:name="page150"/>
    <w:bookmarkEnd w:id="149"/>
    <w:p>
      <w:pPr>
        <w:spacing w:after="0" w:line="54" w:lineRule="exact"/>
        <w:rPr>
          <w:sz w:val="20"/>
          <w:szCs w:val="20"/>
          <w:color w:val="auto"/>
        </w:rPr>
      </w:pPr>
    </w:p>
    <w:p>
      <w:pPr>
        <w:spacing w:after="0"/>
        <w:rPr>
          <w:rFonts w:ascii="Arial" w:cs="Arial" w:eastAsia="Arial" w:hAnsi="Arial"/>
          <w:sz w:val="22"/>
          <w:szCs w:val="22"/>
          <w:color w:val="0000EE"/>
        </w:rPr>
      </w:pPr>
      <w:hyperlink w:anchor="page1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10.28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 RENTAL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STEPHEN A. WYNN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Lessor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HOLDINGS,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Lessee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 RENTAL AND LICENSING AGREEMENT</w:t>
      </w:r>
    </w:p>
    <w:p>
      <w:pPr>
        <w:spacing w:after="0" w:line="213" w:lineRule="exact"/>
        <w:rPr>
          <w:sz w:val="20"/>
          <w:szCs w:val="20"/>
          <w:color w:val="auto"/>
        </w:rPr>
      </w:pPr>
    </w:p>
    <w:p>
      <w:pPr>
        <w:ind w:left="360"/>
        <w:spacing w:after="0"/>
        <w:tabs>
          <w:tab w:leader="none" w:pos="7680" w:val="left"/>
        </w:tabs>
        <w:rPr>
          <w:sz w:val="20"/>
          <w:szCs w:val="20"/>
          <w:color w:val="auto"/>
        </w:rPr>
      </w:pPr>
      <w:r>
        <w:rPr>
          <w:rFonts w:ascii="Arial" w:cs="Arial" w:eastAsia="Arial" w:hAnsi="Arial"/>
          <w:sz w:val="18"/>
          <w:szCs w:val="18"/>
          <w:color w:val="auto"/>
        </w:rPr>
        <w:t>This Amended and Restated Art Rental and Licensing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this</w:t>
      </w:r>
      <w:r>
        <w:rPr>
          <w:sz w:val="20"/>
          <w:szCs w:val="20"/>
          <w:color w:val="auto"/>
        </w:rPr>
        <w:tab/>
      </w:r>
      <w:r>
        <w:rPr>
          <w:rFonts w:ascii="Arial" w:cs="Arial" w:eastAsia="Arial" w:hAnsi="Arial"/>
          <w:sz w:val="16"/>
          <w:szCs w:val="16"/>
          <w:color w:val="auto"/>
        </w:rPr>
        <w:t>day of August, 2002, by and between STEPHEN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w:t>
      </w:r>
      <w:r>
        <w:rPr>
          <w:rFonts w:ascii="Arial" w:cs="Arial" w:eastAsia="Arial" w:hAnsi="Arial"/>
          <w:sz w:val="18"/>
          <w:szCs w:val="18"/>
          <w:b w:val="1"/>
          <w:bCs w:val="1"/>
          <w:color w:val="auto"/>
        </w:rPr>
        <w:t>Lessor</w:t>
      </w:r>
      <w:r>
        <w:rPr>
          <w:rFonts w:ascii="Arial" w:cs="Arial" w:eastAsia="Arial" w:hAnsi="Arial"/>
          <w:sz w:val="18"/>
          <w:szCs w:val="18"/>
          <w:color w:val="auto"/>
        </w:rPr>
        <w:t>") and WYNN RESORTS HOLDINGS, LLC, formerly known as Wynn Resorts, LLC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RECITALS</w:t>
      </w:r>
    </w:p>
    <w:p>
      <w:pPr>
        <w:spacing w:after="0" w:line="225" w:lineRule="exact"/>
        <w:rPr>
          <w:sz w:val="20"/>
          <w:szCs w:val="20"/>
          <w:color w:val="auto"/>
        </w:rPr>
      </w:pPr>
    </w:p>
    <w:p>
      <w:pPr>
        <w:ind w:right="220" w:firstLine="349"/>
        <w:spacing w:after="0" w:line="268" w:lineRule="auto"/>
        <w:tabs>
          <w:tab w:leader="none" w:pos="6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Lessor is the owner of the paintings and other art works identified in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40" w:firstLine="359"/>
        <w:spacing w:after="0" w:line="268" w:lineRule="auto"/>
        <w:tabs>
          <w:tab w:leader="none" w:pos="6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Lessor wishes to lease to Lessee, and Lessee wishes to lease from Lessor, the Works, in order to publicly display the Works in a gallery located in the former Desert Inn hotel at 3145 Las Vegas Boulevard South, Las Vegas, Nevada (the "</w:t>
      </w:r>
      <w:r>
        <w:rPr>
          <w:rFonts w:ascii="Arial" w:cs="Arial" w:eastAsia="Arial" w:hAnsi="Arial"/>
          <w:sz w:val="18"/>
          <w:szCs w:val="18"/>
          <w:b w:val="1"/>
          <w:bCs w:val="1"/>
          <w:color w:val="auto"/>
        </w:rPr>
        <w:t>Gallery</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80" w:firstLine="359"/>
        <w:spacing w:after="0" w:line="268" w:lineRule="auto"/>
        <w:tabs>
          <w:tab w:leader="none" w:pos="6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By publicly displaying the Works, Lessor and Lessee desire to promote the Works and to enhance the cultural and educational opportunities for Nevada residents and visitors.</w:t>
      </w:r>
    </w:p>
    <w:p>
      <w:pPr>
        <w:spacing w:after="0" w:line="179" w:lineRule="exact"/>
        <w:rPr>
          <w:rFonts w:ascii="Arial" w:cs="Arial" w:eastAsia="Arial" w:hAnsi="Arial"/>
          <w:sz w:val="18"/>
          <w:szCs w:val="18"/>
          <w:color w:val="auto"/>
        </w:rPr>
      </w:pPr>
    </w:p>
    <w:p>
      <w:pPr>
        <w:ind w:left="700" w:hanging="341"/>
        <w:spacing w:after="0"/>
        <w:tabs>
          <w:tab w:leader="none" w:pos="7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Lessor and Lessee previously entered into an Art Rental and Licensing Agreement dated November 1, 2002 (the "</w:t>
      </w:r>
      <w:r>
        <w:rPr>
          <w:rFonts w:ascii="Arial" w:cs="Arial" w:eastAsia="Arial" w:hAnsi="Arial"/>
          <w:sz w:val="16"/>
          <w:szCs w:val="16"/>
          <w:b w:val="1"/>
          <w:bCs w:val="1"/>
          <w:color w:val="auto"/>
        </w:rPr>
        <w:t>Prior Rental Agreement</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right="280" w:firstLine="359"/>
        <w:spacing w:after="0" w:line="268" w:lineRule="auto"/>
        <w:tabs>
          <w:tab w:leader="none" w:pos="6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Lessor and Lessee now desire to amend the Prior Rental Agreement, and in particular the rental terms and termination provisions thereof, and restate said agreement in its entirety.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the foregoing and the following terms and conditions, the parties hereto agree as follows:</w:t>
      </w:r>
    </w:p>
    <w:p>
      <w:pPr>
        <w:spacing w:after="0" w:line="225" w:lineRule="exact"/>
        <w:rPr>
          <w:sz w:val="20"/>
          <w:szCs w:val="20"/>
          <w:color w:val="auto"/>
        </w:rPr>
      </w:pPr>
    </w:p>
    <w:p>
      <w:pPr>
        <w:ind w:right="400" w:firstLine="359"/>
        <w:spacing w:after="0" w:line="259" w:lineRule="auto"/>
        <w:tabs>
          <w:tab w:leader="none" w:pos="65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Rental. </w:t>
      </w:r>
      <w:r>
        <w:rPr>
          <w:rFonts w:ascii="Arial" w:cs="Arial" w:eastAsia="Arial" w:hAnsi="Arial"/>
          <w:sz w:val="18"/>
          <w:szCs w:val="18"/>
          <w:color w:val="auto"/>
        </w:rPr>
        <w:t>Upon the terms and subject to the conditions of this Agreement, Lessor hereby grants to Lessee a continuing right to publicly display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Works, and Lessee hereby accepts from Lessor the rental of the works. The location of the Gallery and the installation layout and plan for the Works shall be subject to Lessor's prior approval.</w:t>
      </w:r>
    </w:p>
    <w:p>
      <w:pPr>
        <w:spacing w:after="0" w:line="194" w:lineRule="exact"/>
        <w:rPr>
          <w:rFonts w:ascii="Arial" w:cs="Arial" w:eastAsia="Arial" w:hAnsi="Arial"/>
          <w:sz w:val="18"/>
          <w:szCs w:val="18"/>
          <w:color w:val="auto"/>
        </w:rPr>
      </w:pPr>
    </w:p>
    <w:p>
      <w:pPr>
        <w:ind w:right="40" w:firstLine="359"/>
        <w:spacing w:after="0" w:line="259" w:lineRule="auto"/>
        <w:tabs>
          <w:tab w:leader="none" w:pos="65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Lessee agrees to maintain the Works on public display, make the Gallery available for student tours, and take such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may be necessary or appropriate for meeting the requirements of N.R.S. 361.068, 361.186, 374.291, 374.2911, and agrees to comply with N.R.S. 597.720,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and other applicable law.</w:t>
      </w:r>
    </w:p>
    <w:p>
      <w:pPr>
        <w:spacing w:after="0" w:line="194" w:lineRule="exact"/>
        <w:rPr>
          <w:rFonts w:ascii="Arial" w:cs="Arial" w:eastAsia="Arial" w:hAnsi="Arial"/>
          <w:sz w:val="18"/>
          <w:szCs w:val="18"/>
          <w:color w:val="auto"/>
        </w:rPr>
      </w:pPr>
    </w:p>
    <w:p>
      <w:pPr>
        <w:ind w:right="80" w:firstLine="359"/>
        <w:spacing w:after="0" w:line="259" w:lineRule="auto"/>
        <w:tabs>
          <w:tab w:leader="none" w:pos="658"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Exhibition and Promotion. </w:t>
      </w:r>
      <w:r>
        <w:rPr>
          <w:rFonts w:ascii="Arial" w:cs="Arial" w:eastAsia="Arial" w:hAnsi="Arial"/>
          <w:sz w:val="18"/>
          <w:szCs w:val="18"/>
          <w:color w:val="auto"/>
        </w:rPr>
        <w:t>Lessee agrees (i) to exhibit the Works under the title "The Wynn Collection" or such other title as may be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Lessor, (ii) to transport, handle, care for, and display the Works in a manner consistent with the world-class quality of the Works, (iii) to maintain the Gallery as a first-class facility, and (iv) to promote the Works through "Openings," "Receptions," and public events.</w:t>
      </w:r>
    </w:p>
    <w:p>
      <w:pPr>
        <w:spacing w:after="0" w:line="194" w:lineRule="exact"/>
        <w:rPr>
          <w:rFonts w:ascii="Arial" w:cs="Arial" w:eastAsia="Arial" w:hAnsi="Arial"/>
          <w:sz w:val="18"/>
          <w:szCs w:val="18"/>
          <w:color w:val="auto"/>
        </w:rPr>
      </w:pPr>
    </w:p>
    <w:p>
      <w:pPr>
        <w:ind w:firstLine="359"/>
        <w:spacing w:after="0" w:line="312" w:lineRule="auto"/>
        <w:tabs>
          <w:tab w:leader="none" w:pos="658" w:val="left"/>
        </w:tabs>
        <w:numPr>
          <w:ilvl w:val="0"/>
          <w:numId w:val="206"/>
        </w:numPr>
        <w:rPr>
          <w:rFonts w:ascii="Arial" w:cs="Arial" w:eastAsia="Arial" w:hAnsi="Arial"/>
          <w:sz w:val="15"/>
          <w:szCs w:val="15"/>
          <w:color w:val="auto"/>
        </w:rPr>
      </w:pPr>
      <w:r>
        <w:rPr>
          <w:rFonts w:ascii="Arial" w:cs="Arial" w:eastAsia="Arial" w:hAnsi="Arial"/>
          <w:sz w:val="15"/>
          <w:szCs w:val="15"/>
          <w:i w:val="1"/>
          <w:iCs w:val="1"/>
          <w:color w:val="auto"/>
        </w:rPr>
        <w:t xml:space="preserve">Merchandising. </w:t>
      </w:r>
      <w:r>
        <w:rPr>
          <w:rFonts w:ascii="Arial" w:cs="Arial" w:eastAsia="Arial" w:hAnsi="Arial"/>
          <w:sz w:val="15"/>
          <w:szCs w:val="15"/>
          <w:color w:val="auto"/>
        </w:rPr>
        <w:t>To the extent, if any, that he possesses the required rights, Lessor hereby authorizes Lessee to develop, manufacture (by subcontract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w:t>
      </w:r>
    </w:p>
    <w:p>
      <w:pPr>
        <w:sectPr>
          <w:pgSz w:w="11900" w:h="16892" w:orient="portrait"/>
          <w:cols w:equalWidth="0" w:num="1">
            <w:col w:w="11420"/>
          </w:cols>
          <w:pgMar w:left="240" w:top="361" w:right="239" w:bottom="0" w:gutter="0" w:footer="0" w:header="0"/>
        </w:sectPr>
      </w:pPr>
    </w:p>
    <w:bookmarkStart w:id="150" w:name="page151"/>
    <w:bookmarkEnd w:id="150"/>
    <w:p>
      <w:pPr>
        <w:spacing w:after="0" w:line="7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permissions, and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 provision of this Agreement (including without limitation this Section 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Gallery and/or reproduced (by, on behalf of, or with the consent of Lessee) in merchandising, promotional, or other items relating to the Works.</w:t>
      </w:r>
    </w:p>
    <w:p>
      <w:pPr>
        <w:spacing w:after="0" w:line="170" w:lineRule="exact"/>
        <w:rPr>
          <w:sz w:val="20"/>
          <w:szCs w:val="20"/>
          <w:color w:val="auto"/>
        </w:rPr>
      </w:pPr>
    </w:p>
    <w:p>
      <w:pPr>
        <w:ind w:right="160" w:firstLine="359"/>
        <w:spacing w:after="0" w:line="306" w:lineRule="auto"/>
        <w:tabs>
          <w:tab w:leader="none" w:pos="658"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Rental Fees/Expense Reimbursements. </w:t>
      </w:r>
      <w:r>
        <w:rPr>
          <w:rFonts w:ascii="Arial" w:cs="Arial" w:eastAsia="Arial" w:hAnsi="Arial"/>
          <w:sz w:val="16"/>
          <w:szCs w:val="16"/>
          <w:color w:val="auto"/>
        </w:rPr>
        <w:t>Lessee agrees to pay to Lessor a monthly rental in the amounts and at the times set forth in</w:t>
      </w:r>
      <w:r>
        <w:rPr>
          <w:rFonts w:ascii="Arial" w:cs="Arial" w:eastAsia="Arial" w:hAnsi="Arial"/>
          <w:sz w:val="16"/>
          <w:szCs w:val="16"/>
          <w:i w:val="1"/>
          <w:iCs w:val="1"/>
          <w:color w:val="auto"/>
        </w:rPr>
        <w:t xml:space="preserve"> Exhibit B </w:t>
      </w:r>
      <w:r>
        <w:rPr>
          <w:rFonts w:ascii="Arial" w:cs="Arial" w:eastAsia="Arial" w:hAnsi="Arial"/>
          <w:sz w:val="16"/>
          <w:szCs w:val="16"/>
          <w:color w:val="auto"/>
        </w:rPr>
        <w:t>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and incorporated herein by this reference. In the event the computation of "Adjusted Gross Proceeds" as set forth in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results in a deficit in any particular month, Lessor agrees to reimburse Lessee within fifteen (15) days after the end of such month the amount of the deficit.</w:t>
      </w:r>
    </w:p>
    <w:p>
      <w:pPr>
        <w:spacing w:after="0" w:line="160" w:lineRule="exact"/>
        <w:rPr>
          <w:rFonts w:ascii="Arial" w:cs="Arial" w:eastAsia="Arial" w:hAnsi="Arial"/>
          <w:sz w:val="16"/>
          <w:szCs w:val="16"/>
          <w:color w:val="auto"/>
        </w:rPr>
      </w:pPr>
    </w:p>
    <w:p>
      <w:pPr>
        <w:jc w:val="both"/>
        <w:ind w:right="180" w:firstLine="359"/>
        <w:spacing w:after="0" w:line="286" w:lineRule="auto"/>
        <w:tabs>
          <w:tab w:leader="none" w:pos="655"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Additions, Withdrawals, and Termination. </w:t>
      </w:r>
      <w:r>
        <w:rPr>
          <w:rFonts w:ascii="Arial" w:cs="Arial" w:eastAsia="Arial" w:hAnsi="Arial"/>
          <w:sz w:val="16"/>
          <w:szCs w:val="16"/>
          <w:color w:val="auto"/>
        </w:rPr>
        <w:t>Lessor and Lessee may, by mutual agreement, add other art works from time to time to the Works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this Agreement. Lessor shall have the right to withdraw any or all Works from this Agreement and terminate the rental of such Work(s) hereunder on fifteen</w:t>
      </w:r>
    </w:p>
    <w:p>
      <w:pPr>
        <w:ind w:firstLine="8"/>
        <w:spacing w:after="0" w:line="284" w:lineRule="auto"/>
        <w:tabs>
          <w:tab w:leader="none" w:pos="33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days' written notice to Lessee; provided, however, that with respect to the Works identified as long-term rentals in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attached hereto and incorporated herein by this reference, no such notice may be given before November 1, 2002. Lessee shall have the right to return any or all Works covered by this Agreement and terminate the rental of such Work(s) hereunder on thirty (30) days' written notice to Lessor; provided, however, that with respect to the Works identified as long-term rentals in </w:t>
      </w:r>
      <w:r>
        <w:rPr>
          <w:rFonts w:ascii="Arial" w:cs="Arial" w:eastAsia="Arial" w:hAnsi="Arial"/>
          <w:sz w:val="16"/>
          <w:szCs w:val="16"/>
          <w:i w:val="1"/>
          <w:iCs w:val="1"/>
          <w:color w:val="auto"/>
        </w:rPr>
        <w:t>Exhibit C</w:t>
      </w:r>
      <w:r>
        <w:rPr>
          <w:rFonts w:ascii="Arial" w:cs="Arial" w:eastAsia="Arial" w:hAnsi="Arial"/>
          <w:sz w:val="16"/>
          <w:szCs w:val="16"/>
          <w:color w:val="auto"/>
        </w:rPr>
        <w:t>, no such notice may be given before November 1, 2002. Upon termination of the rental of any Work hereunder, Lessee shall have no further right or license with respect to such Work, except to the extent that, under Section 4 and Section 11, Lessee is specifically provided with a six-month period to discontinue sales and use of merchandise. Notwithstanding the foregoing, and without prejudice to any other rights or remedies that Lessor may have, Lessor may terminate the rental of all Works hereunder immediately by delivery of notice to Lessee at any time if any of the following events occurs: (i) Lessor ceases to be the Managing Member of Valvino Lamore, LLC, a Nevada limited liability company ("</w:t>
      </w:r>
      <w:r>
        <w:rPr>
          <w:rFonts w:ascii="Arial" w:cs="Arial" w:eastAsia="Arial" w:hAnsi="Arial"/>
          <w:sz w:val="16"/>
          <w:szCs w:val="16"/>
          <w:b w:val="1"/>
          <w:bCs w:val="1"/>
          <w:color w:val="auto"/>
        </w:rPr>
        <w:t>Valvino</w:t>
      </w:r>
      <w:r>
        <w:rPr>
          <w:rFonts w:ascii="Arial" w:cs="Arial" w:eastAsia="Arial" w:hAnsi="Arial"/>
          <w:sz w:val="16"/>
          <w:szCs w:val="16"/>
          <w:color w:val="auto"/>
        </w:rPr>
        <w:t>") or the controlling shareholder of any entity that is the sole member of Valvino; (ii) Valvino, Lessee, or any of Valvino's other subsidiary companies makes an assignment for the benefit of creditors, is adjudicated bankrupt, files a voluntary petition or answer seeking any relief under bankruptcy or insolvency laws, has filed against it an involuntary petition under such laws, or applies for or permits the appointment of a receiver or trustee for all or a substantial portion of its assets;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shall be cured immediately upon notice from Lessor. Upon termination of the rental of all Works hereunder or upon the termination of Lessee's lease of the Gallery from Valvino, this Agreement shall automatically terminate; provided, however, that the termination of this Agreement shall not affect the obligations of the parties under Sections 5, 7, 9, 10, or any other provision that can be fulfilled only after the termination date.</w:t>
      </w:r>
    </w:p>
    <w:p>
      <w:pPr>
        <w:spacing w:after="0" w:line="183" w:lineRule="exact"/>
        <w:rPr>
          <w:rFonts w:ascii="Arial" w:cs="Arial" w:eastAsia="Arial" w:hAnsi="Arial"/>
          <w:sz w:val="16"/>
          <w:szCs w:val="16"/>
          <w:color w:val="auto"/>
        </w:rPr>
      </w:pPr>
    </w:p>
    <w:p>
      <w:pPr>
        <w:ind w:right="120" w:firstLine="359"/>
        <w:spacing w:after="0" w:line="254" w:lineRule="auto"/>
        <w:tabs>
          <w:tab w:leader="none" w:pos="658" w:val="left"/>
        </w:tabs>
        <w:numPr>
          <w:ilvl w:val="1"/>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Lessee shall reimburse Lessor for the actual cost of insuring the Works on a "wall-to-wall" basis, for the full rental period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packing and shipping), for the value of the Works as stipulated in writing by Lessor, less the costs of insurance for the dates the Works are not on display or in transit to or from the Gallery. Upon reasonable prior notice to Lessee, Lessor shall have the right from time to time to reasonably increase the stated value of any one or more of the Works, and require Lessee to increase the reimbursement required by this Section 7. Lessee shall be named as an additional insured on Lessor's insurance policy. A certificate of insurance and a copy of those portions of the insurance policy covering the Works and setting forth any exclusions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coverage shall be furnished by Lessor to Lessee, and shall be subject to Lessor's reasonable approval as to form and content (including any deductible). The foregoing insurance policy shall include coverage against all risk of physical loss or damage from any external cause while in transit and on location in the Gallery during the rental period hereunder. Lessee shall bear sole responsibility and shall be liable to Lessor for all lose, damage, or destruction of the Works and any of them during the rental period hereunder (including loss, damage, or destruction incurred during packing or crating or while in transit),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been reimbursed by its insurance,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81" w:lineRule="exact"/>
        <w:rPr>
          <w:sz w:val="20"/>
          <w:szCs w:val="20"/>
          <w:color w:val="auto"/>
        </w:rPr>
      </w:pPr>
    </w:p>
    <w:p>
      <w:pPr>
        <w:ind w:right="120" w:firstLine="359"/>
        <w:spacing w:after="0" w:line="291" w:lineRule="auto"/>
        <w:tabs>
          <w:tab w:leader="none" w:pos="658"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 xml:space="preserve">Security. </w:t>
      </w:r>
      <w:r>
        <w:rPr>
          <w:rFonts w:ascii="Arial" w:cs="Arial" w:eastAsia="Arial" w:hAnsi="Arial"/>
          <w:sz w:val="16"/>
          <w:szCs w:val="16"/>
          <w:color w:val="auto"/>
        </w:rPr>
        <w:t>Lessee agrees to take all reasonable steps necessary to secure and protect the Works from loss, theft or injury and to treat them in a manner</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Gallery at all times while the Works are in the Gallery. All Works shall be within direct sight lines of the guards or under direct video surveillance at all times during the rental period hereunder. Lessee shall comply with further reasonable security restrictions and arrangements as directed in writing by Lessor. Lessee represents and warrants to Lessor that the Gallery is equipped with adequate fire detection/prevention systems and protected by alarm systems that are activated at all times.</w:t>
      </w:r>
    </w:p>
    <w:p>
      <w:pPr>
        <w:spacing w:after="0" w:line="174" w:lineRule="exact"/>
        <w:rPr>
          <w:rFonts w:ascii="Arial" w:cs="Arial" w:eastAsia="Arial" w:hAnsi="Arial"/>
          <w:sz w:val="16"/>
          <w:szCs w:val="16"/>
          <w:color w:val="auto"/>
        </w:rPr>
      </w:pPr>
    </w:p>
    <w:p>
      <w:pPr>
        <w:ind w:right="260" w:firstLine="359"/>
        <w:spacing w:after="0" w:line="255" w:lineRule="auto"/>
        <w:tabs>
          <w:tab w:leader="none" w:pos="658"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Lessee agrees to and does indemnify, defend, protect, and hold harmless Lessor, his agents, heirs, assigns, and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attorneys' fees, threatened against, incurred, or suffered by the Indemnitees, arising out of Lessee's breach of or failure to perform, under this Agreement, the inaccuracy when made of any representation or warranty made by Lessee, or any act or omission by or on behalf of Lessee or its respective agents, employees, contractors, or representatives, relating to the Works or this Agreement.</w:t>
      </w:r>
    </w:p>
    <w:p>
      <w:pPr>
        <w:spacing w:after="0" w:line="196" w:lineRule="exact"/>
        <w:rPr>
          <w:rFonts w:ascii="Arial" w:cs="Arial" w:eastAsia="Arial" w:hAnsi="Arial"/>
          <w:sz w:val="18"/>
          <w:szCs w:val="18"/>
          <w:color w:val="auto"/>
        </w:rPr>
      </w:pPr>
    </w:p>
    <w:p>
      <w:pPr>
        <w:ind w:right="20" w:firstLine="359"/>
        <w:spacing w:after="0" w:line="298" w:lineRule="auto"/>
        <w:tabs>
          <w:tab w:leader="none" w:pos="746"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Lessee shall pay all of the following Nevada state and local taxes, along with all interest, penalties, and other additions related thereto: (i)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use taxes applicable to the rental of the Works pursuant hereto; and (ii) except to the extent provided otherwise in the following sentence, personal property taxes applicable to each of the Works for each fiscal year during which Lessee is renting such Work hereunder and, if such Work was purchased no earlier than two years before the opening of the Gallery, for each of the two full fiscal years immediately preceding the opening of the Gallery. In the event that Lessor</w:t>
      </w:r>
    </w:p>
    <w:p>
      <w:pPr>
        <w:sectPr>
          <w:pgSz w:w="11900" w:h="16912" w:orient="portrait"/>
          <w:cols w:equalWidth="0" w:num="1">
            <w:col w:w="11420"/>
          </w:cols>
          <w:pgMar w:left="240" w:top="131" w:right="239" w:bottom="0" w:gutter="0" w:footer="0" w:header="0"/>
        </w:sectPr>
      </w:pPr>
    </w:p>
    <w:bookmarkStart w:id="151" w:name="page152"/>
    <w:bookmarkEnd w:id="151"/>
    <w:p>
      <w:pPr>
        <w:ind w:right="240"/>
        <w:spacing w:after="0" w:line="332" w:lineRule="auto"/>
        <w:rPr>
          <w:sz w:val="20"/>
          <w:szCs w:val="20"/>
          <w:color w:val="auto"/>
        </w:rPr>
      </w:pPr>
      <w:r>
        <w:rPr>
          <w:rFonts w:ascii="Arial" w:cs="Arial" w:eastAsia="Arial" w:hAnsi="Arial"/>
          <w:sz w:val="16"/>
          <w:szCs w:val="16"/>
          <w:color w:val="auto"/>
        </w:rPr>
        <w:t>withdraws any Work from this Agreement and terminates the rental of such Work hereunder pursuant to the first sentence of Section 6, Lessor and Lessee shall make an equitable allocation of the personal property taxes applicable to such Work for the fiscal year in which such withdrawal occurs.</w:t>
      </w:r>
    </w:p>
    <w:p>
      <w:pPr>
        <w:spacing w:after="0" w:line="139" w:lineRule="exact"/>
        <w:rPr>
          <w:sz w:val="20"/>
          <w:szCs w:val="20"/>
          <w:color w:val="auto"/>
        </w:rPr>
      </w:pPr>
    </w:p>
    <w:p>
      <w:pPr>
        <w:ind w:right="120" w:firstLine="359"/>
        <w:spacing w:after="0" w:line="298" w:lineRule="auto"/>
        <w:tabs>
          <w:tab w:leader="none" w:pos="740" w:val="left"/>
        </w:tabs>
        <w:numPr>
          <w:ilvl w:val="0"/>
          <w:numId w:val="210"/>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Properties. </w:t>
      </w:r>
      <w:r>
        <w:rPr>
          <w:rFonts w:ascii="Arial" w:cs="Arial" w:eastAsia="Arial" w:hAnsi="Arial"/>
          <w:sz w:val="16"/>
          <w:szCs w:val="16"/>
          <w:color w:val="auto"/>
        </w:rPr>
        <w:t>Lessor consents to the photography, filming, videotaping and recordation of the Works for the purpose of obtaining</w:t>
      </w:r>
      <w:r>
        <w:rPr>
          <w:rFonts w:ascii="Arial" w:cs="Arial" w:eastAsia="Arial" w:hAnsi="Arial"/>
          <w:sz w:val="16"/>
          <w:szCs w:val="16"/>
          <w:i w:val="1"/>
          <w:iCs w:val="1"/>
          <w:color w:val="auto"/>
        </w:rPr>
        <w:t xml:space="preserve"> </w:t>
      </w:r>
      <w:r>
        <w:rPr>
          <w:rFonts w:ascii="Arial" w:cs="Arial" w:eastAsia="Arial" w:hAnsi="Arial"/>
          <w:sz w:val="16"/>
          <w:szCs w:val="16"/>
          <w:color w:val="auto"/>
        </w:rPr>
        <w:t>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terminate; provided, however, that following such termination, Lessee shall have six (6) months to discontinue sales and use of the applicable merchandise.</w:t>
      </w:r>
    </w:p>
    <w:p>
      <w:pPr>
        <w:spacing w:after="0" w:line="248" w:lineRule="exact"/>
        <w:rPr>
          <w:sz w:val="20"/>
          <w:szCs w:val="20"/>
          <w:color w:val="auto"/>
        </w:rPr>
      </w:pPr>
    </w:p>
    <w:p>
      <w:pPr>
        <w:ind w:right="160" w:firstLine="359"/>
        <w:spacing w:after="0" w:line="294" w:lineRule="auto"/>
        <w:tabs>
          <w:tab w:leader="none" w:pos="746"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Any notice to be given pursuant to this Agreement by either party to the other may be effected either by personal delivery in writing or by</w:t>
      </w:r>
      <w:r>
        <w:rPr>
          <w:rFonts w:ascii="Arial" w:cs="Arial" w:eastAsia="Arial" w:hAnsi="Arial"/>
          <w:sz w:val="16"/>
          <w:szCs w:val="16"/>
          <w:i w:val="1"/>
          <w:iCs w:val="1"/>
          <w:color w:val="auto"/>
        </w:rPr>
        <w:t xml:space="preserve"> </w:t>
      </w:r>
      <w:r>
        <w:rPr>
          <w:rFonts w:ascii="Arial" w:cs="Arial" w:eastAsia="Arial" w:hAnsi="Arial"/>
          <w:sz w:val="16"/>
          <w:szCs w:val="16"/>
          <w:color w:val="auto"/>
        </w:rPr>
        <w:t>mail, registered or certified, postage prepaid, with return receipt requested, or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facsimile notices (with a concurrent mailing) shall be deemed communicated three (3) days after mailing. Notices shall be made as follows:</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3145 Las Vegas Boulevard South</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Shadow Creek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North Las Vegas, Nevada 89031</w:t>
      </w:r>
    </w:p>
    <w:p>
      <w:pPr>
        <w:spacing w:after="0" w:line="44" w:lineRule="exact"/>
        <w:rPr>
          <w:sz w:val="20"/>
          <w:szCs w:val="20"/>
          <w:color w:val="auto"/>
        </w:rPr>
      </w:pPr>
    </w:p>
    <w:p>
      <w:pPr>
        <w:sectPr>
          <w:pgSz w:w="11900" w:h="16838" w:orient="portrait"/>
          <w:cols w:equalWidth="0" w:num="2">
            <w:col w:w="5300" w:space="720"/>
            <w:col w:w="5400"/>
          </w:cols>
          <w:pgMar w:left="240" w:top="131" w:right="239" w:bottom="0" w:gutter="0" w:footer="0" w:header="0"/>
          <w:type w:val="continuous"/>
        </w:sectPr>
      </w:pPr>
    </w:p>
    <w:p>
      <w:pPr>
        <w:ind w:left="820"/>
        <w:spacing w:after="0"/>
        <w:rPr>
          <w:sz w:val="20"/>
          <w:szCs w:val="20"/>
          <w:color w:val="auto"/>
        </w:rPr>
      </w:pPr>
      <w:r>
        <w:rPr>
          <w:rFonts w:ascii="Arial" w:cs="Arial" w:eastAsia="Arial" w:hAnsi="Arial"/>
          <w:sz w:val="15"/>
          <w:szCs w:val="15"/>
          <w:color w:val="auto"/>
        </w:rPr>
        <w:t>Las Vegas, Nevada 89109</w:t>
      </w:r>
    </w:p>
    <w:p>
      <w:pPr>
        <w:sectPr>
          <w:pgSz w:w="11900" w:h="16838" w:orient="portrait"/>
          <w:cols w:equalWidth="0" w:num="1">
            <w:col w:w="11420"/>
          </w:cols>
          <w:pgMar w:left="240" w:top="131" w:right="239" w:bottom="0" w:gutter="0" w:footer="0" w:header="0"/>
          <w:type w:val="continuous"/>
        </w:sectPr>
      </w:pPr>
    </w:p>
    <w:p>
      <w:pPr>
        <w:spacing w:after="0" w:line="44"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Telephone: 702-733-4556</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Fax: 702-733-4596</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Telephone: 702-733-4123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Fax: 702-791-0167</w:t>
      </w:r>
    </w:p>
    <w:p>
      <w:pPr>
        <w:spacing w:after="0" w:line="200" w:lineRule="exact"/>
        <w:rPr>
          <w:sz w:val="20"/>
          <w:szCs w:val="20"/>
          <w:color w:val="auto"/>
        </w:rPr>
      </w:pPr>
    </w:p>
    <w:p>
      <w:pPr>
        <w:sectPr>
          <w:pgSz w:w="11900" w:h="16838" w:orient="portrait"/>
          <w:cols w:equalWidth="0" w:num="2">
            <w:col w:w="5300" w:space="720"/>
            <w:col w:w="5400"/>
          </w:cols>
          <w:pgMar w:left="240" w:top="131" w:right="239" w:bottom="0" w:gutter="0" w:footer="0" w:header="0"/>
          <w:type w:val="continuous"/>
        </w:sectPr>
      </w:pPr>
    </w:p>
    <w:p>
      <w:pPr>
        <w:spacing w:after="0" w:line="19" w:lineRule="exact"/>
        <w:rPr>
          <w:sz w:val="20"/>
          <w:szCs w:val="20"/>
          <w:color w:val="auto"/>
        </w:rPr>
      </w:pPr>
    </w:p>
    <w:p>
      <w:pPr>
        <w:ind w:right="200" w:firstLine="359"/>
        <w:spacing w:after="0" w:line="306" w:lineRule="auto"/>
        <w:tabs>
          <w:tab w:leader="none" w:pos="746"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Amendment. </w:t>
      </w:r>
      <w:r>
        <w:rPr>
          <w:rFonts w:ascii="Arial" w:cs="Arial" w:eastAsia="Arial" w:hAnsi="Arial"/>
          <w:sz w:val="16"/>
          <w:szCs w:val="16"/>
          <w:color w:val="auto"/>
        </w:rPr>
        <w:t>This Agreement constitutes the entire agreement between the parties and supersedes any oral 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between representatives of Lessor and Lessee, with respect to its subject matter, including without limitation the Prior Rental Agreement. This Agreement may be amended only if such amendment is set forth in writing and executed by each of the parties.</w:t>
      </w:r>
    </w:p>
    <w:p>
      <w:pPr>
        <w:spacing w:after="0" w:line="160" w:lineRule="exact"/>
        <w:rPr>
          <w:rFonts w:ascii="Arial" w:cs="Arial" w:eastAsia="Arial" w:hAnsi="Arial"/>
          <w:sz w:val="16"/>
          <w:szCs w:val="16"/>
          <w:color w:val="auto"/>
        </w:rPr>
      </w:pPr>
    </w:p>
    <w:p>
      <w:pPr>
        <w:ind w:right="40" w:firstLine="359"/>
        <w:spacing w:after="0" w:line="268" w:lineRule="auto"/>
        <w:tabs>
          <w:tab w:leader="none" w:pos="746"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in all respects be construed according to the laws of the State of Nevada, regardless of the choice or conflict of</w:t>
      </w:r>
      <w:r>
        <w:rPr>
          <w:rFonts w:ascii="Arial" w:cs="Arial" w:eastAsia="Arial" w:hAnsi="Arial"/>
          <w:sz w:val="18"/>
          <w:szCs w:val="18"/>
          <w:i w:val="1"/>
          <w:iCs w:val="1"/>
          <w:color w:val="auto"/>
        </w:rPr>
        <w:t xml:space="preserve"> </w:t>
      </w:r>
      <w:r>
        <w:rPr>
          <w:rFonts w:ascii="Arial" w:cs="Arial" w:eastAsia="Arial" w:hAnsi="Arial"/>
          <w:sz w:val="18"/>
          <w:szCs w:val="18"/>
          <w:color w:val="auto"/>
        </w:rPr>
        <w:t>laws provisions of Nevada or any other jurisdiction.</w:t>
      </w:r>
    </w:p>
    <w:p>
      <w:pPr>
        <w:spacing w:after="0" w:line="185" w:lineRule="exact"/>
        <w:rPr>
          <w:rFonts w:ascii="Arial" w:cs="Arial" w:eastAsia="Arial" w:hAnsi="Arial"/>
          <w:sz w:val="18"/>
          <w:szCs w:val="18"/>
          <w:color w:val="auto"/>
        </w:rPr>
      </w:pPr>
    </w:p>
    <w:p>
      <w:pPr>
        <w:ind w:right="20" w:firstLine="359"/>
        <w:spacing w:after="0" w:line="255" w:lineRule="auto"/>
        <w:tabs>
          <w:tab w:leader="none" w:pos="743"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Assignment; Binding Effect. </w:t>
      </w:r>
      <w:r>
        <w:rPr>
          <w:rFonts w:ascii="Arial" w:cs="Arial" w:eastAsia="Arial" w:hAnsi="Arial"/>
          <w:sz w:val="18"/>
          <w:szCs w:val="18"/>
          <w:color w:val="auto"/>
        </w:rPr>
        <w:t>Lessor may assign any or all of his rights and obligations under this Agreement. Lessee may not assign all or any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rights or obligations under this Agreement. Subject to the preceding,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assigns.</w:t>
      </w:r>
    </w:p>
    <w:p>
      <w:pPr>
        <w:spacing w:after="0" w:line="196" w:lineRule="exact"/>
        <w:rPr>
          <w:rFonts w:ascii="Arial" w:cs="Arial" w:eastAsia="Arial" w:hAnsi="Arial"/>
          <w:sz w:val="18"/>
          <w:szCs w:val="18"/>
          <w:color w:val="auto"/>
        </w:rPr>
      </w:pPr>
    </w:p>
    <w:p>
      <w:pPr>
        <w:ind w:right="80" w:firstLine="359"/>
        <w:spacing w:after="0" w:line="306" w:lineRule="auto"/>
        <w:tabs>
          <w:tab w:leader="none" w:pos="746"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Headings; Context. </w:t>
      </w:r>
      <w:r>
        <w:rPr>
          <w:rFonts w:ascii="Arial" w:cs="Arial" w:eastAsia="Arial" w:hAnsi="Arial"/>
          <w:sz w:val="16"/>
          <w:szCs w:val="16"/>
          <w:color w:val="auto"/>
        </w:rPr>
        <w:t>All headings herein are inserted only for convenience and ease of reference and shall not be considered in the construction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60" w:lineRule="exact"/>
        <w:rPr>
          <w:rFonts w:ascii="Arial" w:cs="Arial" w:eastAsia="Arial" w:hAnsi="Arial"/>
          <w:sz w:val="16"/>
          <w:szCs w:val="16"/>
          <w:color w:val="auto"/>
        </w:rPr>
      </w:pPr>
    </w:p>
    <w:p>
      <w:pPr>
        <w:ind w:right="120" w:firstLine="359"/>
        <w:spacing w:after="0" w:line="268" w:lineRule="auto"/>
        <w:tabs>
          <w:tab w:leader="none" w:pos="746"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shall constitute one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instrument.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WYNN RESORTS HOLDINGS, LLC</w:t>
            </w:r>
          </w:p>
        </w:tc>
      </w:tr>
      <w:tr>
        <w:trPr>
          <w:trHeight w:val="648"/>
        </w:trPr>
        <w:tc>
          <w:tcPr>
            <w:tcW w:w="5420" w:type="dxa"/>
            <w:vAlign w:val="bottom"/>
          </w:tcPr>
          <w:p>
            <w:pPr>
              <w:ind w:left="1660"/>
              <w:spacing w:after="0"/>
              <w:rPr>
                <w:sz w:val="20"/>
                <w:szCs w:val="20"/>
                <w:color w:val="auto"/>
              </w:rPr>
            </w:pPr>
            <w:r>
              <w:rPr>
                <w:rFonts w:ascii="Arial" w:cs="Arial" w:eastAsia="Arial" w:hAnsi="Arial"/>
                <w:sz w:val="18"/>
                <w:szCs w:val="18"/>
                <w:color w:val="auto"/>
              </w:rPr>
              <w:t>/s/ STEPHEN A. WYNN</w:t>
            </w:r>
          </w:p>
        </w:tc>
        <w:tc>
          <w:tcPr>
            <w:tcW w:w="580" w:type="dxa"/>
            <w:vAlign w:val="bottom"/>
          </w:tcPr>
          <w:p>
            <w:pPr>
              <w:spacing w:after="0"/>
              <w:rPr>
                <w:sz w:val="24"/>
                <w:szCs w:val="24"/>
                <w:color w:val="auto"/>
              </w:rPr>
            </w:pPr>
          </w:p>
        </w:tc>
        <w:tc>
          <w:tcPr>
            <w:tcW w:w="5420" w:type="dxa"/>
            <w:vAlign w:val="bottom"/>
          </w:tcPr>
          <w:p>
            <w:pPr>
              <w:ind w:left="1820"/>
              <w:spacing w:after="0"/>
              <w:rPr>
                <w:sz w:val="20"/>
                <w:szCs w:val="20"/>
                <w:color w:val="auto"/>
              </w:rPr>
            </w:pPr>
            <w:r>
              <w:rPr>
                <w:rFonts w:ascii="Arial" w:cs="Arial" w:eastAsia="Arial" w:hAnsi="Arial"/>
                <w:sz w:val="18"/>
                <w:szCs w:val="18"/>
                <w:color w:val="auto"/>
              </w:rPr>
              <w:t>/s/ MARC SCHORR</w:t>
            </w:r>
          </w:p>
        </w:tc>
      </w:tr>
      <w:tr>
        <w:trPr>
          <w:trHeight w:val="120"/>
        </w:trPr>
        <w:tc>
          <w:tcPr>
            <w:tcW w:w="54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3"/>
        </w:trPr>
        <w:tc>
          <w:tcPr>
            <w:tcW w:w="5420" w:type="dxa"/>
            <w:vAlign w:val="bottom"/>
          </w:tcPr>
          <w:p>
            <w:pPr>
              <w:ind w:left="2100"/>
              <w:spacing w:after="0"/>
              <w:rPr>
                <w:sz w:val="20"/>
                <w:szCs w:val="20"/>
                <w:color w:val="auto"/>
              </w:rPr>
            </w:pPr>
            <w:r>
              <w:rPr>
                <w:rFonts w:ascii="Arial" w:cs="Arial" w:eastAsia="Arial" w:hAnsi="Arial"/>
                <w:sz w:val="18"/>
                <w:szCs w:val="18"/>
                <w:color w:val="auto"/>
              </w:rPr>
              <w:t>Stephen A. Wynn</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Marc Schorr</w:t>
            </w:r>
          </w:p>
        </w:tc>
      </w:tr>
      <w:tr>
        <w:trPr>
          <w:trHeight w:val="222"/>
        </w:trPr>
        <w:tc>
          <w:tcPr>
            <w:tcW w:w="5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Chief Operating Officer</w:t>
            </w:r>
          </w:p>
        </w:tc>
      </w:tr>
      <w:tr>
        <w:trPr>
          <w:trHeight w:val="432"/>
        </w:trPr>
        <w:tc>
          <w:tcPr>
            <w:tcW w:w="542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5420" w:type="dxa"/>
            <w:vAlign w:val="bottom"/>
          </w:tcPr>
          <w:p>
            <w:pPr>
              <w:spacing w:after="0"/>
              <w:rPr>
                <w:sz w:val="24"/>
                <w:szCs w:val="24"/>
                <w:color w:val="auto"/>
              </w:rPr>
            </w:pPr>
          </w:p>
        </w:tc>
      </w:tr>
      <w:tr>
        <w:trPr>
          <w:trHeight w:val="228"/>
        </w:trPr>
        <w:tc>
          <w:tcPr>
            <w:tcW w:w="5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-786130</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-786130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WORKS OF ART</w:t>
      </w:r>
    </w:p>
    <w:p>
      <w:pPr>
        <w:sectPr>
          <w:pgSz w:w="11900" w:h="16838" w:orient="portrait"/>
          <w:cols w:equalWidth="0" w:num="1">
            <w:col w:w="11420"/>
          </w:cols>
          <w:pgMar w:left="240" w:top="131" w:right="23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Medium: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Paul Cézanne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Curtain, Jug and Fruit Bowl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(Rideau, Cruchon et Compotier)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 1893-94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on canvas</w:t>
      </w:r>
    </w:p>
    <w:p>
      <w:pPr>
        <w:spacing w:after="0" w:line="9" w:lineRule="exact"/>
        <w:rPr>
          <w:sz w:val="20"/>
          <w:szCs w:val="20"/>
          <w:color w:val="auto"/>
        </w:rPr>
      </w:pPr>
    </w:p>
    <w:p>
      <w:pPr>
        <w:sectPr>
          <w:pgSz w:w="11900" w:h="16838" w:orient="portrait"/>
          <w:cols w:equalWidth="0" w:num="2">
            <w:col w:w="1640" w:space="720"/>
            <w:col w:w="9060"/>
          </w:cols>
          <w:pgMar w:left="240" w:top="131" w:right="239" w:bottom="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w:t>
      </w:r>
      <w:r>
        <w:rPr>
          <w:rFonts w:ascii="Arial" w:cs="Arial" w:eastAsia="Arial" w:hAnsi="Arial"/>
          <w:sz w:val="12"/>
          <w:szCs w:val="12"/>
          <w:color w:val="auto"/>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 28</w:t>
      </w:r>
      <w:r>
        <w:rPr>
          <w:rFonts w:ascii="Arial" w:cs="Arial" w:eastAsia="Arial" w:hAnsi="Arial"/>
          <w:sz w:val="12"/>
          <w:szCs w:val="12"/>
          <w:color w:val="auto"/>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inches</w:t>
      </w:r>
    </w:p>
    <w:p>
      <w:pPr>
        <w:spacing w:after="0" w:line="211" w:lineRule="exact"/>
        <w:rPr>
          <w:sz w:val="20"/>
          <w:szCs w:val="20"/>
          <w:color w:val="auto"/>
        </w:rPr>
      </w:pPr>
    </w:p>
    <w:p>
      <w:pPr>
        <w:sectPr>
          <w:pgSz w:w="11900" w:h="16838" w:orient="portrait"/>
          <w:cols w:equalWidth="0" w:num="2">
            <w:col w:w="1640" w:space="720"/>
            <w:col w:w="9060"/>
          </w:cols>
          <w:pgMar w:left="240" w:top="131" w:right="239" w:bottom="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Artist: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Paul Gauguin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Bathers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(Promenade au bord de la mer)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(Famille Tahitlenne)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1902</w:t>
      </w:r>
    </w:p>
    <w:p>
      <w:pPr>
        <w:sectPr>
          <w:pgSz w:w="11900" w:h="16838" w:orient="portrait"/>
          <w:cols w:equalWidth="0" w:num="2">
            <w:col w:w="1640" w:space="720"/>
            <w:col w:w="9060"/>
          </w:cols>
          <w:pgMar w:left="240" w:top="131" w:right="239" w:bottom="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(92 cm. × 73 cm.)</w:t>
            </w:r>
          </w:p>
        </w:tc>
      </w:tr>
      <w:tr>
        <w:trPr>
          <w:trHeight w:val="30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Édouard Manet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Portrait of Mademoiselle Suzette Lemaire, In Profile</w:t>
            </w:r>
          </w:p>
        </w:tc>
      </w:tr>
      <w:tr>
        <w:trPr>
          <w:trHeight w:val="216"/>
        </w:trPr>
        <w:tc>
          <w:tcPr>
            <w:tcW w:w="150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(Portrait de Mademoiselle Suzette Lemaire, de profil)</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1880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Pastel on paper</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21</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17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(54.3 × 45.1 cm.)</w:t>
            </w:r>
          </w:p>
        </w:tc>
      </w:tr>
      <w:tr>
        <w:trPr>
          <w:trHeight w:val="30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Henri Matisse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La Robe Persane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1940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32 × 25</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in. (81 × 65 cm.)</w:t>
            </w:r>
          </w:p>
        </w:tc>
      </w:tr>
      <w:tr>
        <w:trPr>
          <w:trHeight w:val="30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Henri Matisse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Pineapple and Anemones</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1940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(73 × 92 cm.)</w:t>
            </w:r>
          </w:p>
        </w:tc>
      </w:tr>
      <w:tr>
        <w:trPr>
          <w:trHeight w:val="30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Amedeo Modigliani</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Nu Couche (sur le cote gauche)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1917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35 × 57 in. (88.9 × 144.8 cm)</w:t>
            </w: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Pablo Picasso</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Le Reve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1932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38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in. (129.8 × 97.2 cm)</w:t>
            </w:r>
          </w:p>
        </w:tc>
      </w:tr>
      <w:tr>
        <w:trPr>
          <w:trHeight w:val="30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Vincent van Gogh</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Portrait of a Peasant Girl in a Straw Hat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June 1890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(92 × 73 cm.)</w:t>
            </w:r>
          </w:p>
        </w:tc>
      </w:tr>
      <w:tr>
        <w:trPr>
          <w:trHeight w:val="312"/>
        </w:trPr>
        <w:tc>
          <w:tcPr>
            <w:tcW w:w="1500" w:type="dxa"/>
            <w:vAlign w:val="bottom"/>
          </w:tcPr>
          <w:p>
            <w:pPr>
              <w:spacing w:after="0"/>
              <w:rPr>
                <w:sz w:val="24"/>
                <w:szCs w:val="24"/>
                <w:color w:val="auto"/>
              </w:rPr>
            </w:pPr>
          </w:p>
        </w:tc>
        <w:tc>
          <w:tcPr>
            <w:tcW w:w="9920" w:type="dxa"/>
            <w:vAlign w:val="bottom"/>
          </w:tcPr>
          <w:p>
            <w:pPr>
              <w:ind w:left="4180"/>
              <w:spacing w:after="0"/>
              <w:rPr>
                <w:sz w:val="20"/>
                <w:szCs w:val="20"/>
                <w:color w:val="auto"/>
              </w:rPr>
            </w:pPr>
            <w:r>
              <w:rPr>
                <w:rFonts w:ascii="Arial" w:cs="Arial" w:eastAsia="Arial" w:hAnsi="Arial"/>
                <w:sz w:val="18"/>
                <w:szCs w:val="18"/>
                <w:color w:val="auto"/>
              </w:rPr>
              <w:t>5</w:t>
            </w:r>
          </w:p>
        </w:tc>
      </w:tr>
      <w:tr>
        <w:trPr>
          <w:trHeight w:val="228"/>
        </w:trPr>
        <w:tc>
          <w:tcPr>
            <w:tcW w:w="150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r>
        <w:trPr>
          <w:trHeight w:val="529"/>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Andrew Warhol</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Steve Wynn (three consisting of gold, white, red)</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1983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Synthetic polymer paint, silkscreen ink</w:t>
            </w:r>
          </w:p>
        </w:tc>
      </w:tr>
      <w:tr>
        <w:trPr>
          <w:trHeight w:val="216"/>
        </w:trPr>
        <w:tc>
          <w:tcPr>
            <w:tcW w:w="150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and diamond dust on canvas</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40 × 40 in. (each)</w:t>
            </w: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Artist:</w:t>
            </w:r>
          </w:p>
        </w:tc>
        <w:tc>
          <w:tcPr>
            <w:tcW w:w="9920" w:type="dxa"/>
            <w:vAlign w:val="bottom"/>
          </w:tcPr>
          <w:p>
            <w:pPr>
              <w:ind w:left="860"/>
              <w:spacing w:after="0"/>
              <w:rPr>
                <w:sz w:val="20"/>
                <w:szCs w:val="20"/>
                <w:color w:val="auto"/>
              </w:rPr>
            </w:pPr>
            <w:r>
              <w:rPr>
                <w:rFonts w:ascii="Arial" w:cs="Arial" w:eastAsia="Arial" w:hAnsi="Arial"/>
                <w:sz w:val="18"/>
                <w:szCs w:val="18"/>
                <w:color w:val="auto"/>
              </w:rPr>
              <w:t>Claude Monet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ind w:left="860"/>
              <w:spacing w:after="0"/>
              <w:rPr>
                <w:sz w:val="20"/>
                <w:szCs w:val="20"/>
                <w:color w:val="auto"/>
              </w:rPr>
            </w:pPr>
            <w:r>
              <w:rPr>
                <w:rFonts w:ascii="Arial" w:cs="Arial" w:eastAsia="Arial" w:hAnsi="Arial"/>
                <w:sz w:val="18"/>
                <w:szCs w:val="18"/>
                <w:color w:val="auto"/>
              </w:rPr>
              <w:t>Camille a l'Ombrelle Verte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9920" w:type="dxa"/>
            <w:vAlign w:val="bottom"/>
          </w:tcPr>
          <w:p>
            <w:pPr>
              <w:ind w:left="860"/>
              <w:spacing w:after="0"/>
              <w:rPr>
                <w:sz w:val="20"/>
                <w:szCs w:val="20"/>
                <w:color w:val="auto"/>
              </w:rPr>
            </w:pPr>
            <w:r>
              <w:rPr>
                <w:rFonts w:ascii="Arial" w:cs="Arial" w:eastAsia="Arial" w:hAnsi="Arial"/>
                <w:sz w:val="18"/>
                <w:szCs w:val="18"/>
                <w:color w:val="auto"/>
              </w:rPr>
              <w:t>1876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Medium:</w:t>
            </w:r>
          </w:p>
        </w:tc>
        <w:tc>
          <w:tcPr>
            <w:tcW w:w="9920" w:type="dxa"/>
            <w:vAlign w:val="bottom"/>
          </w:tcPr>
          <w:p>
            <w:pPr>
              <w:ind w:left="860"/>
              <w:spacing w:after="0"/>
              <w:rPr>
                <w:sz w:val="20"/>
                <w:szCs w:val="20"/>
                <w:color w:val="auto"/>
              </w:rPr>
            </w:pPr>
            <w:r>
              <w:rPr>
                <w:rFonts w:ascii="Arial" w:cs="Arial" w:eastAsia="Arial" w:hAnsi="Arial"/>
                <w:sz w:val="18"/>
                <w:szCs w:val="18"/>
                <w:color w:val="auto"/>
              </w:rPr>
              <w:t>Oil on Canvas</w:t>
            </w:r>
          </w:p>
        </w:tc>
      </w:tr>
      <w:tr>
        <w:trPr>
          <w:trHeight w:val="383"/>
        </w:trPr>
        <w:tc>
          <w:tcPr>
            <w:tcW w:w="1500" w:type="dxa"/>
            <w:vAlign w:val="bottom"/>
          </w:tcPr>
          <w:p>
            <w:pPr>
              <w:spacing w:after="0"/>
              <w:rPr>
                <w:sz w:val="20"/>
                <w:szCs w:val="20"/>
                <w:color w:val="auto"/>
              </w:rPr>
            </w:pPr>
            <w:r>
              <w:rPr>
                <w:rFonts w:ascii="Arial" w:cs="Arial" w:eastAsia="Arial" w:hAnsi="Arial"/>
                <w:sz w:val="18"/>
                <w:szCs w:val="18"/>
                <w:color w:val="auto"/>
              </w:rPr>
              <w:t>Size:</w:t>
            </w:r>
          </w:p>
        </w:tc>
        <w:tc>
          <w:tcPr>
            <w:tcW w:w="9920" w:type="dxa"/>
            <w:vAlign w:val="bottom"/>
          </w:tcPr>
          <w:p>
            <w:pPr>
              <w:ind w:left="860"/>
              <w:spacing w:after="0"/>
              <w:rPr>
                <w:sz w:val="20"/>
                <w:szCs w:val="20"/>
                <w:color w:val="auto"/>
              </w:rPr>
            </w:pPr>
            <w:r>
              <w:rPr>
                <w:rFonts w:ascii="Arial" w:cs="Arial" w:eastAsia="Arial" w:hAnsi="Arial"/>
                <w:sz w:val="18"/>
                <w:szCs w:val="18"/>
                <w:color w:val="auto"/>
              </w:rPr>
              <w:t>31</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23</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-1965325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-1965325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framed photograph of Pablo Picasso that is owned by Steve Wynn will also be included in the gallery. It is approximately 11 × 14 inches.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framed photograph of Henri Matisse that is owned by Wynn Design and Development, LLC. It is approximately 11 × 14 inches.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RENTAL FEES</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rental fee shall be due hereunder for the period from the effective date of this Agreement to April 30, 2002 (the "</w:t>
      </w:r>
      <w:r>
        <w:rPr>
          <w:rFonts w:ascii="Arial" w:cs="Arial" w:eastAsia="Arial" w:hAnsi="Arial"/>
          <w:sz w:val="16"/>
          <w:szCs w:val="16"/>
          <w:b w:val="1"/>
          <w:bCs w:val="1"/>
          <w:color w:val="auto"/>
        </w:rPr>
        <w:t>Abatement Period</w:t>
      </w:r>
      <w:r>
        <w:rPr>
          <w:rFonts w:ascii="Arial" w:cs="Arial" w:eastAsia="Arial" w:hAnsi="Arial"/>
          <w:sz w:val="16"/>
          <w:szCs w:val="16"/>
          <w:color w:val="auto"/>
        </w:rPr>
        <w:t>"). For each calendar month beginning after the Abatement Period, Lessee shall within fifteen (15) days after the end of such month (including any partial month in which the term</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hereof ends) pay to Lessor the lesser of (i) One Million Dollars ($1,000,000.00) or (ii) one-half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of all Adjusted Gross Proceeds (as hereinafter defined) for such month (or partial month as the case may be), and furnish to Lessor a written statement explaining the calculation of such Adjusted Gross Proceeds. The</w:t>
      </w:r>
    </w:p>
    <w:p>
      <w:pPr>
        <w:sectPr>
          <w:pgSz w:w="11900" w:h="16838" w:orient="portrait"/>
          <w:cols w:equalWidth="0" w:num="1">
            <w:col w:w="11420"/>
          </w:cols>
          <w:pgMar w:left="240" w:top="131" w:right="239" w:bottom="0" w:gutter="0" w:footer="0" w:header="0"/>
        </w:sectPr>
      </w:pPr>
    </w:p>
    <w:bookmarkStart w:id="153" w:name="page154"/>
    <w:bookmarkEnd w:id="153"/>
    <w:p>
      <w:pPr>
        <w:jc w:val="both"/>
        <w:ind w:right="140"/>
        <w:spacing w:after="0" w:line="335" w:lineRule="auto"/>
        <w:rPr>
          <w:sz w:val="20"/>
          <w:szCs w:val="20"/>
          <w:color w:val="auto"/>
        </w:rPr>
      </w:pPr>
      <w:r>
        <w:rPr>
          <w:rFonts w:ascii="Arial" w:cs="Arial" w:eastAsia="Arial" w:hAnsi="Arial"/>
          <w:sz w:val="15"/>
          <w:szCs w:val="15"/>
          <w:color w:val="auto"/>
        </w:rPr>
        <w:t>foregoing statement from Lessee shall be in form and style, and contain such detail, as Lessor may reasonably require. Lessee agrees to keep accurate books and records of all business activities conducted at or relating to the Gallery. Upon prior reasonable notice and at reasonable times, Lessor or his representatives shall have the right to inspect and copy such books and records for the purpose of auditing or verifying such business activities and monthly statements.</w:t>
      </w:r>
    </w:p>
    <w:p>
      <w:pPr>
        <w:spacing w:after="0" w:line="14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For purposes hereof, "Adjusted Gross Proceeds" means (i) all gross revenues received by the Gallery, including without limitation admission fees, fees for electronic touring devices, and merchandise sales revenues, less (ii) all out-of-pocket expenses paid by the Gallery in connection with the exhibition and promotion of the Works, including without limitation payroll for Gallery staff and security, advertising and printing costs, the cost of "Openings" and "Receptions," fine art transportation and insurance costs, the cost of goods sold, and Nevada state and local sales and use taxes and personal property taxes. Notwithstanding anything herein expressed or implied to the contrary, for purposes of calculating Adjusted Gross Proceeds, such out-of-pocket expenses shall not include: (i) indirect or overhead expenses of Valvino, Lessee, or any of Valvino's other subsidiary companies (such as real property rental costs and general and administrative expense allocations); (ii) any liability under any indemnity by Lessee; (iii) any costs or expenses associated with any damage to or loss of any of the Works; (iv) any costs or expenses associated with any breach, default, or failure to perform by Lessee relating to this Agreement; or (v) any capital expenditures or depreciation.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20" w:type="dxa"/>
            <w:vAlign w:val="bottom"/>
          </w:tcPr>
          <w:p>
            <w:pPr>
              <w:jc w:val="center"/>
              <w:ind w:left="256"/>
              <w:spacing w:after="0"/>
              <w:rPr>
                <w:sz w:val="20"/>
                <w:szCs w:val="20"/>
                <w:color w:val="auto"/>
              </w:rPr>
            </w:pPr>
            <w:r>
              <w:rPr>
                <w:rFonts w:ascii="Arial" w:cs="Arial" w:eastAsia="Arial" w:hAnsi="Arial"/>
                <w:sz w:val="18"/>
                <w:szCs w:val="18"/>
                <w:i w:val="1"/>
                <w:iCs w:val="1"/>
                <w:color w:val="auto"/>
                <w:w w:val="93"/>
              </w:rPr>
              <w:t>EXHIBIT C</w:t>
            </w:r>
          </w:p>
        </w:tc>
        <w:tc>
          <w:tcPr>
            <w:tcW w:w="2740" w:type="dxa"/>
            <w:vAlign w:val="bottom"/>
          </w:tcPr>
          <w:p>
            <w:pPr>
              <w:spacing w:after="0"/>
              <w:rPr>
                <w:sz w:val="19"/>
                <w:szCs w:val="19"/>
                <w:color w:val="auto"/>
              </w:rPr>
            </w:pPr>
          </w:p>
        </w:tc>
      </w:tr>
      <w:tr>
        <w:trPr>
          <w:trHeight w:val="432"/>
        </w:trPr>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tcPr>
          <w:p>
            <w:pPr>
              <w:jc w:val="center"/>
              <w:ind w:left="256"/>
              <w:spacing w:after="0"/>
              <w:rPr>
                <w:sz w:val="20"/>
                <w:szCs w:val="20"/>
                <w:color w:val="auto"/>
              </w:rPr>
            </w:pPr>
            <w:r>
              <w:rPr>
                <w:rFonts w:ascii="Arial" w:cs="Arial" w:eastAsia="Arial" w:hAnsi="Arial"/>
                <w:sz w:val="18"/>
                <w:szCs w:val="18"/>
                <w:color w:val="auto"/>
                <w:w w:val="94"/>
              </w:rPr>
              <w:t>LONG-TERM RENTALS</w:t>
            </w:r>
          </w:p>
        </w:tc>
        <w:tc>
          <w:tcPr>
            <w:tcW w:w="2740" w:type="dxa"/>
            <w:vAlign w:val="bottom"/>
          </w:tcPr>
          <w:p>
            <w:pPr>
              <w:spacing w:after="0"/>
              <w:rPr>
                <w:sz w:val="24"/>
                <w:szCs w:val="24"/>
                <w:color w:val="auto"/>
              </w:rPr>
            </w:pPr>
          </w:p>
        </w:tc>
      </w:tr>
      <w:tr>
        <w:trPr>
          <w:trHeight w:val="380"/>
        </w:trPr>
        <w:tc>
          <w:tcPr>
            <w:tcW w:w="2100" w:type="dxa"/>
            <w:vAlign w:val="bottom"/>
          </w:tcPr>
          <w:p>
            <w:pPr>
              <w:spacing w:after="0"/>
              <w:rPr>
                <w:sz w:val="20"/>
                <w:szCs w:val="20"/>
                <w:color w:val="auto"/>
              </w:rPr>
            </w:pPr>
            <w:r>
              <w:rPr>
                <w:rFonts w:ascii="Arial" w:cs="Arial" w:eastAsia="Arial" w:hAnsi="Arial"/>
                <w:sz w:val="14"/>
                <w:szCs w:val="14"/>
                <w:b w:val="1"/>
                <w:bCs w:val="1"/>
                <w:color w:val="auto"/>
              </w:rPr>
              <w:t>Artist</w:t>
            </w:r>
          </w:p>
        </w:tc>
        <w:tc>
          <w:tcPr>
            <w:tcW w:w="260" w:type="dxa"/>
            <w:vAlign w:val="bottom"/>
          </w:tcPr>
          <w:p>
            <w:pPr>
              <w:spacing w:after="0"/>
              <w:rPr>
                <w:sz w:val="24"/>
                <w:szCs w:val="24"/>
                <w:color w:val="auto"/>
              </w:rPr>
            </w:pPr>
          </w:p>
        </w:tc>
        <w:tc>
          <w:tcPr>
            <w:tcW w:w="6320" w:type="dxa"/>
            <w:vAlign w:val="bottom"/>
          </w:tcPr>
          <w:p>
            <w:pPr>
              <w:ind w:left="3020"/>
              <w:spacing w:after="0"/>
              <w:rPr>
                <w:sz w:val="20"/>
                <w:szCs w:val="20"/>
                <w:color w:val="auto"/>
              </w:rPr>
            </w:pPr>
            <w:r>
              <w:rPr>
                <w:rFonts w:ascii="Arial" w:cs="Arial" w:eastAsia="Arial" w:hAnsi="Arial"/>
                <w:sz w:val="14"/>
                <w:szCs w:val="14"/>
                <w:b w:val="1"/>
                <w:bCs w:val="1"/>
                <w:color w:val="auto"/>
              </w:rPr>
              <w:t>Title</w:t>
            </w:r>
          </w:p>
        </w:tc>
        <w:tc>
          <w:tcPr>
            <w:tcW w:w="2740" w:type="dxa"/>
            <w:vAlign w:val="bottom"/>
          </w:tcPr>
          <w:p>
            <w:pPr>
              <w:spacing w:after="0"/>
              <w:rPr>
                <w:sz w:val="24"/>
                <w:szCs w:val="24"/>
                <w:color w:val="auto"/>
              </w:rPr>
            </w:pPr>
          </w:p>
        </w:tc>
      </w:tr>
      <w:tr>
        <w:trPr>
          <w:trHeight w:val="105"/>
        </w:trPr>
        <w:tc>
          <w:tcPr>
            <w:tcW w:w="21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3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r>
      <w:tr>
        <w:trPr>
          <w:trHeight w:val="319"/>
        </w:trPr>
        <w:tc>
          <w:tcPr>
            <w:tcW w:w="2100" w:type="dxa"/>
            <w:vAlign w:val="bottom"/>
          </w:tcPr>
          <w:p>
            <w:pPr>
              <w:spacing w:after="0"/>
              <w:rPr>
                <w:sz w:val="20"/>
                <w:szCs w:val="20"/>
                <w:color w:val="auto"/>
              </w:rPr>
            </w:pPr>
            <w:r>
              <w:rPr>
                <w:rFonts w:ascii="Arial" w:cs="Arial" w:eastAsia="Arial" w:hAnsi="Arial"/>
                <w:sz w:val="18"/>
                <w:szCs w:val="18"/>
                <w:color w:val="auto"/>
              </w:rPr>
              <w:t>Amedeo Modigliani</w:t>
            </w:r>
          </w:p>
        </w:tc>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Nu Couche (sur le cote gauche)</w:t>
            </w:r>
          </w:p>
        </w:tc>
        <w:tc>
          <w:tcPr>
            <w:tcW w:w="274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Paul Gauguin</w:t>
            </w:r>
          </w:p>
        </w:tc>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Bathers</w:t>
            </w:r>
          </w:p>
        </w:tc>
        <w:tc>
          <w:tcPr>
            <w:tcW w:w="2740" w:type="dxa"/>
            <w:vAlign w:val="bottom"/>
          </w:tcPr>
          <w:p>
            <w:pPr>
              <w:spacing w:after="0"/>
              <w:rPr>
                <w:sz w:val="24"/>
                <w:szCs w:val="24"/>
                <w:color w:val="auto"/>
              </w:rPr>
            </w:pPr>
          </w:p>
        </w:tc>
      </w:tr>
      <w:tr>
        <w:trPr>
          <w:trHeight w:val="432"/>
        </w:trPr>
        <w:tc>
          <w:tcPr>
            <w:tcW w:w="2100" w:type="dxa"/>
            <w:vAlign w:val="bottom"/>
          </w:tcPr>
          <w:p>
            <w:pPr>
              <w:spacing w:after="0"/>
              <w:rPr>
                <w:sz w:val="24"/>
                <w:szCs w:val="24"/>
                <w:color w:val="auto"/>
              </w:rPr>
            </w:pPr>
          </w:p>
        </w:tc>
        <w:tc>
          <w:tcPr>
            <w:tcW w:w="6580" w:type="dxa"/>
            <w:vAlign w:val="bottom"/>
            <w:gridSpan w:val="2"/>
          </w:tcPr>
          <w:p>
            <w:pPr>
              <w:jc w:val="center"/>
              <w:ind w:left="572"/>
              <w:spacing w:after="0"/>
              <w:rPr>
                <w:sz w:val="20"/>
                <w:szCs w:val="20"/>
                <w:color w:val="auto"/>
              </w:rPr>
            </w:pPr>
            <w:r>
              <w:rPr>
                <w:rFonts w:ascii="Arial" w:cs="Arial" w:eastAsia="Arial" w:hAnsi="Arial"/>
                <w:sz w:val="18"/>
                <w:szCs w:val="18"/>
                <w:color w:val="auto"/>
                <w:w w:val="79"/>
              </w:rPr>
              <w:t>8</w:t>
            </w:r>
          </w:p>
        </w:tc>
        <w:tc>
          <w:tcPr>
            <w:tcW w:w="2740" w:type="dxa"/>
            <w:vAlign w:val="bottom"/>
          </w:tcPr>
          <w:p>
            <w:pPr>
              <w:spacing w:after="0"/>
              <w:rPr>
                <w:sz w:val="24"/>
                <w:szCs w:val="24"/>
                <w:color w:val="auto"/>
              </w:rPr>
            </w:pPr>
          </w:p>
        </w:tc>
      </w:tr>
      <w:tr>
        <w:trPr>
          <w:trHeight w:val="228"/>
        </w:trPr>
        <w:tc>
          <w:tcPr>
            <w:tcW w:w="2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-923290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-923290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-923290</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10.28</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AMENDED AND RESTATED ART RENTAL AND LICENSING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A WORKS OF ART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EXHIBIT B RENTAL FEES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EXHIBIT C LONG-TERM RENTALS</w:t>
        </w:r>
      </w:hyperlink>
    </w:p>
    <w:p>
      <w:pPr>
        <w:sectPr>
          <w:pgSz w:w="11900" w:h="16838" w:orient="portrait"/>
          <w:cols w:equalWidth="0" w:num="1">
            <w:col w:w="11420"/>
          </w:cols>
          <w:pgMar w:left="240" w:top="131" w:right="239" w:bottom="1440" w:gutter="0" w:footer="0" w:header="0"/>
        </w:sectPr>
      </w:pPr>
    </w:p>
    <w:bookmarkStart w:id="154" w:name="page155"/>
    <w:bookmarkEnd w:id="154"/>
    <w:p>
      <w:pPr>
        <w:spacing w:after="0" w:line="27" w:lineRule="exact"/>
        <w:rPr>
          <w:sz w:val="20"/>
          <w:szCs w:val="20"/>
          <w:color w:val="auto"/>
        </w:rPr>
      </w:pPr>
    </w:p>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ART RENTAL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LICENSING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STEPHEN A.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Lessor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HOLDINGS,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Lessee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ART RENTAL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LICENSING AGREEMENT</w:t>
      </w:r>
    </w:p>
    <w:p>
      <w:pPr>
        <w:spacing w:after="0" w:line="213" w:lineRule="exact"/>
        <w:rPr>
          <w:sz w:val="20"/>
          <w:szCs w:val="20"/>
          <w:color w:val="auto"/>
        </w:rPr>
      </w:pPr>
    </w:p>
    <w:p>
      <w:pPr>
        <w:ind w:right="780" w:firstLine="348"/>
        <w:spacing w:after="0" w:line="339" w:lineRule="auto"/>
        <w:rPr>
          <w:sz w:val="20"/>
          <w:szCs w:val="20"/>
          <w:color w:val="auto"/>
        </w:rPr>
      </w:pPr>
      <w:r>
        <w:rPr>
          <w:rFonts w:ascii="Arial" w:cs="Arial" w:eastAsia="Arial" w:hAnsi="Arial"/>
          <w:sz w:val="16"/>
          <w:szCs w:val="16"/>
          <w:color w:val="auto"/>
        </w:rPr>
        <w:t>This Amended and Restated Art Rental and Licensing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this 18 day of September, 2002, by and between STEPHEN A. WYNN ("</w:t>
      </w:r>
      <w:r>
        <w:rPr>
          <w:rFonts w:ascii="Arial" w:cs="Arial" w:eastAsia="Arial" w:hAnsi="Arial"/>
          <w:sz w:val="16"/>
          <w:szCs w:val="16"/>
          <w:b w:val="1"/>
          <w:bCs w:val="1"/>
          <w:color w:val="auto"/>
        </w:rPr>
        <w:t>Lessor</w:t>
      </w:r>
      <w:r>
        <w:rPr>
          <w:rFonts w:ascii="Arial" w:cs="Arial" w:eastAsia="Arial" w:hAnsi="Arial"/>
          <w:sz w:val="16"/>
          <w:szCs w:val="16"/>
          <w:color w:val="auto"/>
        </w:rPr>
        <w:t>") and WYNN RESORTS HOLDINGS, LLC, formerly known as Wynn Resorts, LLC ("</w:t>
      </w:r>
      <w:r>
        <w:rPr>
          <w:rFonts w:ascii="Arial" w:cs="Arial" w:eastAsia="Arial" w:hAnsi="Arial"/>
          <w:sz w:val="16"/>
          <w:szCs w:val="16"/>
          <w:b w:val="1"/>
          <w:bCs w:val="1"/>
          <w:color w:val="auto"/>
        </w:rPr>
        <w:t>Lessee</w:t>
      </w:r>
      <w:r>
        <w:rPr>
          <w:rFonts w:ascii="Arial" w:cs="Arial" w:eastAsia="Arial" w:hAnsi="Arial"/>
          <w:sz w:val="16"/>
          <w:szCs w:val="16"/>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 E C I T A L S</w:t>
      </w:r>
    </w:p>
    <w:p>
      <w:pPr>
        <w:spacing w:after="0" w:line="225" w:lineRule="exact"/>
        <w:rPr>
          <w:sz w:val="20"/>
          <w:szCs w:val="20"/>
          <w:color w:val="auto"/>
        </w:rPr>
      </w:pPr>
    </w:p>
    <w:p>
      <w:pPr>
        <w:ind w:right="200" w:firstLine="349"/>
        <w:spacing w:after="0" w:line="268" w:lineRule="auto"/>
        <w:tabs>
          <w:tab w:leader="none" w:pos="6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Lessor is the owner of the paintings and other art works identified in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20" w:firstLine="359"/>
        <w:spacing w:after="0" w:line="259" w:lineRule="auto"/>
        <w:tabs>
          <w:tab w:leader="none" w:pos="6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Lessor wishes to lease to Lessee, and Lessee wishes to lease from Lessor, the Works, in order to publicly display the Works in a gallery located in the former Desert Inn hotel at 3145 Las Vegas Boulevard South, Las Vegas, Nevada, and subsequently in a gallery to be opened in the Le Rêve resort at 3131 Las Vegas Boulevard South, Las Vegas, Nevada (each respectively, the "</w:t>
      </w:r>
      <w:r>
        <w:rPr>
          <w:rFonts w:ascii="Arial" w:cs="Arial" w:eastAsia="Arial" w:hAnsi="Arial"/>
          <w:sz w:val="18"/>
          <w:szCs w:val="18"/>
          <w:b w:val="1"/>
          <w:bCs w:val="1"/>
          <w:color w:val="auto"/>
        </w:rPr>
        <w:t>Gallery</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60" w:firstLine="359"/>
        <w:spacing w:after="0" w:line="268" w:lineRule="auto"/>
        <w:tabs>
          <w:tab w:leader="none" w:pos="6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By publicly displaying the Works, Lessor and Lessee desire to promote the Works and to enhance the cultural and educational opportunities for Nevada residents and visitors.</w:t>
      </w:r>
    </w:p>
    <w:p>
      <w:pPr>
        <w:spacing w:after="0" w:line="185" w:lineRule="exact"/>
        <w:rPr>
          <w:rFonts w:ascii="Arial" w:cs="Arial" w:eastAsia="Arial" w:hAnsi="Arial"/>
          <w:sz w:val="18"/>
          <w:szCs w:val="18"/>
          <w:color w:val="auto"/>
        </w:rPr>
      </w:pPr>
    </w:p>
    <w:p>
      <w:pPr>
        <w:ind w:right="120" w:firstLine="359"/>
        <w:spacing w:after="0" w:line="268" w:lineRule="auto"/>
        <w:tabs>
          <w:tab w:leader="none" w:pos="69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Lessor and Lessee previously entered into an Art Rental and Licensing Agreement dated November 1, 2002, and an Amended and Restated Art Rental and Licensing Agreement dated August 19, 2002 (the "</w:t>
      </w:r>
      <w:r>
        <w:rPr>
          <w:rFonts w:ascii="Arial" w:cs="Arial" w:eastAsia="Arial" w:hAnsi="Arial"/>
          <w:sz w:val="18"/>
          <w:szCs w:val="18"/>
          <w:b w:val="1"/>
          <w:bCs w:val="1"/>
          <w:color w:val="auto"/>
        </w:rPr>
        <w:t>Prior Rental Agreements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00" w:firstLine="359"/>
        <w:spacing w:after="0" w:line="268" w:lineRule="auto"/>
        <w:tabs>
          <w:tab w:leader="none" w:pos="6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Lessor and Lessee now desire to amend the Prior Rental Agreements, and in particular the rental terms and termination provisions thereof, and restate said agreement in its entirety.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the foregoing and the following terms and conditions, the parties hereto agree as follows:</w:t>
      </w:r>
    </w:p>
    <w:p>
      <w:pPr>
        <w:spacing w:after="0" w:line="225" w:lineRule="exact"/>
        <w:rPr>
          <w:sz w:val="20"/>
          <w:szCs w:val="20"/>
          <w:color w:val="auto"/>
        </w:rPr>
      </w:pPr>
    </w:p>
    <w:p>
      <w:pPr>
        <w:ind w:right="80" w:firstLine="359"/>
        <w:spacing w:after="0" w:line="259" w:lineRule="auto"/>
        <w:tabs>
          <w:tab w:leader="none" w:pos="65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Rental. </w:t>
      </w:r>
      <w:r>
        <w:rPr>
          <w:rFonts w:ascii="Arial" w:cs="Arial" w:eastAsia="Arial" w:hAnsi="Arial"/>
          <w:sz w:val="18"/>
          <w:szCs w:val="18"/>
          <w:color w:val="auto"/>
        </w:rPr>
        <w:t>Upon the terms and subject to the conditions of this Agreement, Lessor hereby grants to Lessee a continuing right to publicly display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Works, and Lessee hereby accepts from Lessor the rental of the works. The location of the Gallery in the former Desert inn and subsequently in Le Rêve, and the installation layout and plan for the Works, shall be subject to Lessor's prior approval.</w:t>
      </w:r>
    </w:p>
    <w:p>
      <w:pPr>
        <w:spacing w:after="0" w:line="194" w:lineRule="exact"/>
        <w:rPr>
          <w:rFonts w:ascii="Arial" w:cs="Arial" w:eastAsia="Arial" w:hAnsi="Arial"/>
          <w:sz w:val="18"/>
          <w:szCs w:val="18"/>
          <w:color w:val="auto"/>
        </w:rPr>
      </w:pPr>
    </w:p>
    <w:p>
      <w:pPr>
        <w:ind w:firstLine="359"/>
        <w:spacing w:after="0" w:line="259" w:lineRule="auto"/>
        <w:tabs>
          <w:tab w:leader="none" w:pos="65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Lessee agrees to maintain the Works on public display, make the Gallery available for student tours, and take such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may be necessary or appropriate for meeting the requirements of N.R.S. 361.068, 361.186, 374.291, 374.2911, and agrees to comply with N.R.S. 597.720,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and other applicable law.</w:t>
      </w:r>
    </w:p>
    <w:p>
      <w:pPr>
        <w:spacing w:after="0" w:line="194" w:lineRule="exact"/>
        <w:rPr>
          <w:rFonts w:ascii="Arial" w:cs="Arial" w:eastAsia="Arial" w:hAnsi="Arial"/>
          <w:sz w:val="18"/>
          <w:szCs w:val="18"/>
          <w:color w:val="auto"/>
        </w:rPr>
      </w:pPr>
    </w:p>
    <w:p>
      <w:pPr>
        <w:ind w:right="140" w:firstLine="359"/>
        <w:spacing w:after="0" w:line="259" w:lineRule="auto"/>
        <w:tabs>
          <w:tab w:leader="none" w:pos="65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Exhibition and Promotion. </w:t>
      </w:r>
      <w:r>
        <w:rPr>
          <w:rFonts w:ascii="Arial" w:cs="Arial" w:eastAsia="Arial" w:hAnsi="Arial"/>
          <w:sz w:val="18"/>
          <w:szCs w:val="18"/>
          <w:color w:val="auto"/>
        </w:rPr>
        <w:t>Lessee agrees (a) to exhibit the Works under the title "The Wynn Collection" or such other title as may be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Lessor, (b) to transport, handle, care for, and display the Works in a manner consistent with the world-class quality of the Works, (c) to maintain the Gallery as a first-class facility, and (d) to promote the Works through "Openings," "Receptions," and public event;.</w:t>
      </w:r>
    </w:p>
    <w:p>
      <w:pPr>
        <w:spacing w:after="0" w:line="194" w:lineRule="exact"/>
        <w:rPr>
          <w:rFonts w:ascii="Arial" w:cs="Arial" w:eastAsia="Arial" w:hAnsi="Arial"/>
          <w:sz w:val="18"/>
          <w:szCs w:val="18"/>
          <w:color w:val="auto"/>
        </w:rPr>
      </w:pPr>
    </w:p>
    <w:p>
      <w:pPr>
        <w:ind w:right="20" w:firstLine="359"/>
        <w:spacing w:after="0" w:line="290" w:lineRule="auto"/>
        <w:tabs>
          <w:tab w:leader="none" w:pos="658"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Merchandising. </w:t>
      </w:r>
      <w:r>
        <w:rPr>
          <w:rFonts w:ascii="Arial" w:cs="Arial" w:eastAsia="Arial" w:hAnsi="Arial"/>
          <w:sz w:val="16"/>
          <w:szCs w:val="16"/>
          <w:color w:val="auto"/>
        </w:rPr>
        <w:t>To the extent, if any, that he possesses the required rights, Lessor hereby authorizes Lessee to develop, manufacture (by subcontract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 The merchandise and promotional items based on the Works may include, but are not limited to, educational catalogues, educational works (including audiovisual and audio recordings), fine art reproductions, and retail merchandise based upon the Works.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Lessee shall be solely responsible for clearing and/or obtaining such rights, for obtaining all required permissions, and taking all reasonable steps necessary to obtain intellectual property</w:t>
      </w:r>
    </w:p>
    <w:p>
      <w:pPr>
        <w:sectPr>
          <w:pgSz w:w="11900" w:h="16865" w:orient="portrait"/>
          <w:cols w:equalWidth="0" w:num="1">
            <w:col w:w="11400"/>
          </w:cols>
          <w:pgMar w:left="240" w:top="361" w:right="259" w:bottom="0" w:gutter="0" w:footer="0" w:header="0"/>
        </w:sectPr>
      </w:pPr>
    </w:p>
    <w:bookmarkStart w:id="155" w:name="page156"/>
    <w:bookmarkEnd w:id="15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protection for said items based on the Works, all of which shall, with respect to any Work, inure to the benefit of Lessee during the rental of such Work hereunder and to the benefit of Lessor thereafter. Notwithstanding any other provision of this Agreement (including without limitation this Section 4 and Section 11 below), Lessor does not make (and hereby disclaims) any and all representations and/or warranties to Lessee or otherwise in respect of the Works or any right is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Gallery and/or reproduced (by, on behalf of, or with the consent of Lessee) in merchandising, promotional, or other items relating to the Works.</w:t>
      </w:r>
    </w:p>
    <w:p>
      <w:pPr>
        <w:spacing w:after="0" w:line="172" w:lineRule="exact"/>
        <w:rPr>
          <w:sz w:val="20"/>
          <w:szCs w:val="20"/>
          <w:color w:val="auto"/>
        </w:rPr>
      </w:pPr>
    </w:p>
    <w:p>
      <w:pPr>
        <w:jc w:val="both"/>
        <w:ind w:right="280" w:firstLine="359"/>
        <w:spacing w:after="0" w:line="306" w:lineRule="auto"/>
        <w:tabs>
          <w:tab w:leader="none" w:pos="658"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 xml:space="preserve">Rental Fee/Expense Reimbursement. </w:t>
      </w:r>
      <w:r>
        <w:rPr>
          <w:rFonts w:ascii="Arial" w:cs="Arial" w:eastAsia="Arial" w:hAnsi="Arial"/>
          <w:sz w:val="16"/>
          <w:szCs w:val="16"/>
          <w:color w:val="auto"/>
        </w:rPr>
        <w:t>Lessee agrees to pay to Lessor a monthly rental in the amounts and at the times set forth in</w:t>
      </w:r>
      <w:r>
        <w:rPr>
          <w:rFonts w:ascii="Arial" w:cs="Arial" w:eastAsia="Arial" w:hAnsi="Arial"/>
          <w:sz w:val="16"/>
          <w:szCs w:val="16"/>
          <w:i w:val="1"/>
          <w:iCs w:val="1"/>
          <w:color w:val="auto"/>
        </w:rPr>
        <w:t xml:space="preserve"> Exhibit B </w:t>
      </w:r>
      <w:r>
        <w:rPr>
          <w:rFonts w:ascii="Arial" w:cs="Arial" w:eastAsia="Arial" w:hAnsi="Arial"/>
          <w:sz w:val="16"/>
          <w:szCs w:val="16"/>
          <w:color w:val="auto"/>
        </w:rPr>
        <w:t>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and incorporated herein by this reference. In the event the computation of "Adjusted Gross Proceeds" as set forth in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results in a deficit in any particular month, Lessor agrees to reimburse Lessee within fifteen (15) days after the end of such month the amount of the deficit.</w:t>
      </w:r>
    </w:p>
    <w:p>
      <w:pPr>
        <w:spacing w:after="0" w:line="160" w:lineRule="exact"/>
        <w:rPr>
          <w:rFonts w:ascii="Arial" w:cs="Arial" w:eastAsia="Arial" w:hAnsi="Arial"/>
          <w:sz w:val="16"/>
          <w:szCs w:val="16"/>
          <w:color w:val="auto"/>
        </w:rPr>
      </w:pPr>
    </w:p>
    <w:p>
      <w:pPr>
        <w:ind w:right="120" w:firstLine="359"/>
        <w:spacing w:after="0" w:line="286" w:lineRule="auto"/>
        <w:tabs>
          <w:tab w:leader="none" w:pos="655"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 xml:space="preserve">Additions, Withdrawals, and Termination. </w:t>
      </w:r>
      <w:r>
        <w:rPr>
          <w:rFonts w:ascii="Arial" w:cs="Arial" w:eastAsia="Arial" w:hAnsi="Arial"/>
          <w:sz w:val="16"/>
          <w:szCs w:val="16"/>
          <w:color w:val="auto"/>
        </w:rPr>
        <w:t>Lessor and Lessee may, by mutual agreement, add other art works from time to time to the Worlds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this Agreement. Lessor shall have the right to withdraw any or all Works from this Agreement and terminate the rental of such Work(s) hereunder on fifteen</w:t>
      </w:r>
    </w:p>
    <w:p>
      <w:pPr>
        <w:ind w:right="20" w:firstLine="8"/>
        <w:spacing w:after="0" w:line="284" w:lineRule="auto"/>
        <w:tabs>
          <w:tab w:leader="none" w:pos="3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days' written notice to Lessee provided, however, that with respect to the Works identified as long-term rentals in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attached hereto and incorporated herein by this reference, no such notice may be given before November 1, 2002. Lessee shall have the right to return any or all Works covered by this Agreement and terminate the rental of such Work(s) hereunder on thirty (30) days' written notice to Lessor; provided, however, that with respect to the Works identified as long-term rentals in </w:t>
      </w:r>
      <w:r>
        <w:rPr>
          <w:rFonts w:ascii="Arial" w:cs="Arial" w:eastAsia="Arial" w:hAnsi="Arial"/>
          <w:sz w:val="16"/>
          <w:szCs w:val="16"/>
          <w:i w:val="1"/>
          <w:iCs w:val="1"/>
          <w:color w:val="auto"/>
        </w:rPr>
        <w:t>Exhibit C</w:t>
      </w:r>
      <w:r>
        <w:rPr>
          <w:rFonts w:ascii="Arial" w:cs="Arial" w:eastAsia="Arial" w:hAnsi="Arial"/>
          <w:sz w:val="16"/>
          <w:szCs w:val="16"/>
          <w:color w:val="auto"/>
        </w:rPr>
        <w:t>, no such notice may be given before November 1, 2002. Upon termination of the rental of any Work hereunder, Lessee shall have no further right or license with respect to such Work, except to the extent that, under Section 4 and Section 11, Lessee is specifically provided with a six-month period to discontinue sales and use of merchandise. Notwithstanding the foregoing, and without prejudice to any other rights or remedies that Lessor may have, 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Managing Member of Valvino Lamore, LLC, a Nevada limited liability company ("</w:t>
      </w:r>
      <w:r>
        <w:rPr>
          <w:rFonts w:ascii="Arial" w:cs="Arial" w:eastAsia="Arial" w:hAnsi="Arial"/>
          <w:sz w:val="16"/>
          <w:szCs w:val="16"/>
          <w:b w:val="1"/>
          <w:bCs w:val="1"/>
          <w:color w:val="auto"/>
        </w:rPr>
        <w:t>Valvino</w:t>
      </w:r>
      <w:r>
        <w:rPr>
          <w:rFonts w:ascii="Arial" w:cs="Arial" w:eastAsia="Arial" w:hAnsi="Arial"/>
          <w:sz w:val="16"/>
          <w:szCs w:val="16"/>
          <w:color w:val="auto"/>
        </w:rPr>
        <w:t>") or the controlling shareholder of any entity that is the sole member of Valvino; (ii) Valvino, Lessee, or any of Valvino's other subsidiary companies makes an assignment for the benefit of creditors, is adjudicated bankrupt, files a voluntary petition or answer seeking any relief under bankruptcy or insolvency laws, has filed against it an involuntary petition under such laws, or applies for or permits the appointment of a receiver or trustee for all or a substantial portion of its assets; or (iii) Lessee defaults under any material provision of this Agreement and falls to cure such default within seven (7) days after it receives written notice of such default from Lessor unless such default relates to the care, custody, or protection of any of the Works, in which event suet default shall be cured immediately upon notice from Lessor. Upon termination of the rental of all Works hereunder or upon the termination of Lessee's lease of the Gallery from Valvino (or, subsequently, Le Rêve), this Agreement shall automatically terminate; provided, however, that the termination of this Agreement shall not affect the obligations of the parties under Sections 5, 7, 9, 10, or any other provision that can be fulfilled only after the termination date.</w:t>
      </w:r>
    </w:p>
    <w:p>
      <w:pPr>
        <w:spacing w:after="0" w:line="181" w:lineRule="exact"/>
        <w:rPr>
          <w:rFonts w:ascii="Arial" w:cs="Arial" w:eastAsia="Arial" w:hAnsi="Arial"/>
          <w:sz w:val="16"/>
          <w:szCs w:val="16"/>
          <w:color w:val="auto"/>
        </w:rPr>
      </w:pPr>
    </w:p>
    <w:p>
      <w:pPr>
        <w:ind w:right="540" w:firstLine="359"/>
        <w:spacing w:after="0" w:line="332" w:lineRule="auto"/>
        <w:tabs>
          <w:tab w:leader="none" w:pos="658"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Lessee shall reimburse Lessor for the actual cost of insuring the Works on a "wall-to-wall" basis, for the full rental period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packing and shipping), for the value of the Works as stipulated in writing by Lessor, less the costs of insurance for the dates the Works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 on display or in transit to or from the Gallery. Upon reasonable prior notice to Lessee, Lessor shall have the right from time to time to reasonably increase the stated value of any one or more of the Works, and require Lessee to increase the reimbursement required by this Section 7. Lessee shall be named as an additional insured on Lessor's insurance policy. A certificate of insurance and a copy of those portions of the Insurance policy covering the Works and setting forth any exclusions to coverage shall be furnished by Lessor to Lessee, and shall be subject to Lessor's reasonable approval as to form and content (including any deductible). The foregoing insurance policy shall include coverage against all risk of physical loss or damage from any external cause while in transit and on location in the Gallery during the rental period hereunder. Lessee shall bear sole responsibility and shall be liable to Lessor for all loss, damage, or destruction of the Works and any of them during the rental period hereunder (including loss, damage, or destruction incurred during packing or crating or while in transit),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on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been reimbursed by its insurance,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82" w:lineRule="exact"/>
        <w:rPr>
          <w:sz w:val="20"/>
          <w:szCs w:val="20"/>
          <w:color w:val="auto"/>
        </w:rPr>
      </w:pPr>
    </w:p>
    <w:p>
      <w:pPr>
        <w:ind w:right="100" w:firstLine="359"/>
        <w:spacing w:after="0" w:line="314" w:lineRule="auto"/>
        <w:tabs>
          <w:tab w:leader="none" w:pos="658" w:val="left"/>
        </w:tabs>
        <w:numPr>
          <w:ilvl w:val="1"/>
          <w:numId w:val="217"/>
        </w:numPr>
        <w:rPr>
          <w:rFonts w:ascii="Arial" w:cs="Arial" w:eastAsia="Arial" w:hAnsi="Arial"/>
          <w:sz w:val="15"/>
          <w:szCs w:val="15"/>
          <w:color w:val="auto"/>
        </w:rPr>
      </w:pPr>
      <w:r>
        <w:rPr>
          <w:rFonts w:ascii="Arial" w:cs="Arial" w:eastAsia="Arial" w:hAnsi="Arial"/>
          <w:sz w:val="15"/>
          <w:szCs w:val="15"/>
          <w:i w:val="1"/>
          <w:iCs w:val="1"/>
          <w:color w:val="auto"/>
        </w:rPr>
        <w:t xml:space="preserve">Security. </w:t>
      </w:r>
      <w:r>
        <w:rPr>
          <w:rFonts w:ascii="Arial" w:cs="Arial" w:eastAsia="Arial" w:hAnsi="Arial"/>
          <w:sz w:val="15"/>
          <w:szCs w:val="15"/>
          <w:color w:val="auto"/>
        </w:rPr>
        <w:t>Lessee agrees to take all reasonable steps necessary to secure and protect the Works from loss, theft or injury and to treat them in a manner</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Gallery at all times while the Works are in the Gallery. All Works shall be within direct sight lines of the guards or under direct video surveillance at all times during the rental period hereunder. Lessee shall comply with further reasonable security restrictions and arrangements as directed in writing by Lessor. Lessee represents and warrants to Lessor that the Gallery is and shall be equipped with adequate fire detection/prevention systems and protected by alarm systems that are activated at all times.</w:t>
      </w:r>
    </w:p>
    <w:p>
      <w:pPr>
        <w:spacing w:after="0" w:line="158" w:lineRule="exact"/>
        <w:rPr>
          <w:rFonts w:ascii="Arial" w:cs="Arial" w:eastAsia="Arial" w:hAnsi="Arial"/>
          <w:sz w:val="15"/>
          <w:szCs w:val="15"/>
          <w:color w:val="auto"/>
        </w:rPr>
      </w:pPr>
    </w:p>
    <w:p>
      <w:pPr>
        <w:ind w:right="240" w:firstLine="359"/>
        <w:spacing w:after="0" w:line="255" w:lineRule="auto"/>
        <w:tabs>
          <w:tab w:leader="none" w:pos="658"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Lessee agrees to and does indemnify, defend, protect, and hold harmless Lessor, his agents, heirs, assigns, and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attorneys' fees, threatened against, incurred, or suffered by the Indemnitees, arising out of Lessee's breach of or failure to perform, under this Agreement, the inaccuracy when made of any representation or warranty made by Lessee, or any act or omission by or on behalf, of Lessee or its respective agents, employees, contractors, or representatives, relation to the Works or this Agreement.</w:t>
      </w:r>
    </w:p>
    <w:p>
      <w:pPr>
        <w:spacing w:after="0" w:line="196" w:lineRule="exact"/>
        <w:rPr>
          <w:rFonts w:ascii="Arial" w:cs="Arial" w:eastAsia="Arial" w:hAnsi="Arial"/>
          <w:sz w:val="18"/>
          <w:szCs w:val="18"/>
          <w:color w:val="auto"/>
        </w:rPr>
      </w:pPr>
    </w:p>
    <w:p>
      <w:pPr>
        <w:ind w:left="760" w:hanging="401"/>
        <w:spacing w:after="0"/>
        <w:tabs>
          <w:tab w:leader="none" w:pos="760"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Lessee shall pay all of the following Nevada state and local taxes, along with all interest, penalties, and other additions related thereto:</w:t>
      </w:r>
    </w:p>
    <w:p>
      <w:pPr>
        <w:spacing w:after="0" w:line="38" w:lineRule="exact"/>
        <w:rPr>
          <w:rFonts w:ascii="Arial" w:cs="Arial" w:eastAsia="Arial" w:hAnsi="Arial"/>
          <w:sz w:val="16"/>
          <w:szCs w:val="16"/>
          <w:color w:val="auto"/>
        </w:rPr>
      </w:pPr>
    </w:p>
    <w:p>
      <w:pPr>
        <w:ind w:right="20" w:firstLine="8"/>
        <w:spacing w:after="0" w:line="320" w:lineRule="auto"/>
        <w:tabs>
          <w:tab w:leader="none" w:pos="239" w:val="left"/>
        </w:tabs>
        <w:numPr>
          <w:ilvl w:val="0"/>
          <w:numId w:val="218"/>
        </w:numPr>
        <w:rPr>
          <w:rFonts w:ascii="Arial" w:cs="Arial" w:eastAsia="Arial" w:hAnsi="Arial"/>
          <w:sz w:val="15"/>
          <w:szCs w:val="15"/>
          <w:color w:val="auto"/>
        </w:rPr>
      </w:pPr>
      <w:r>
        <w:rPr>
          <w:rFonts w:ascii="Arial" w:cs="Arial" w:eastAsia="Arial" w:hAnsi="Arial"/>
          <w:sz w:val="15"/>
          <w:szCs w:val="15"/>
          <w:color w:val="auto"/>
        </w:rPr>
        <w:t>sales and use taxes applicable to the rental of the Works pursuant hereto; and (b) except to the extent provided otherwise in the following sentence, personal property taxes applicable to each of the Works for each fiscal year during which Lessee is renting such Work hereunder and, if such Work was purchased no earlier than two years before the opening of the Gallery in the Desert Inn, for each of the two full fiscal years immediately preceding the opening of the Gallery in the Desert Inn. In the event that Lessor withdraws any Work from this Agreement and terminates the rental of such Work hereunder pursuant to the first sentence</w:t>
      </w:r>
    </w:p>
    <w:p>
      <w:pPr>
        <w:sectPr>
          <w:pgSz w:w="11900" w:h="16838" w:orient="portrait"/>
          <w:cols w:equalWidth="0" w:num="1">
            <w:col w:w="11400"/>
          </w:cols>
          <w:pgMar w:left="240" w:top="725" w:right="259" w:bottom="0" w:gutter="0" w:footer="0" w:header="0"/>
        </w:sectPr>
      </w:pPr>
    </w:p>
    <w:bookmarkStart w:id="156" w:name="page157"/>
    <w:bookmarkEnd w:id="156"/>
    <w:p>
      <w:pPr>
        <w:ind w:right="580"/>
        <w:spacing w:after="0" w:line="268" w:lineRule="auto"/>
        <w:rPr>
          <w:sz w:val="20"/>
          <w:szCs w:val="20"/>
          <w:color w:val="auto"/>
        </w:rPr>
      </w:pPr>
      <w:r>
        <w:rPr>
          <w:rFonts w:ascii="Arial" w:cs="Arial" w:eastAsia="Arial" w:hAnsi="Arial"/>
          <w:sz w:val="18"/>
          <w:szCs w:val="18"/>
          <w:color w:val="auto"/>
        </w:rPr>
        <w:t>of Section 6, Lessor and Lessee shall make an equitable allocation of the personal property taxes applicable to such Work for the fiscal year in which such withdrawal occurs.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9"/>
        <w:spacing w:after="0" w:line="294" w:lineRule="auto"/>
        <w:tabs>
          <w:tab w:leader="none" w:pos="740"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Properties. </w:t>
      </w:r>
      <w:r>
        <w:rPr>
          <w:rFonts w:ascii="Arial" w:cs="Arial" w:eastAsia="Arial" w:hAnsi="Arial"/>
          <w:sz w:val="16"/>
          <w:szCs w:val="16"/>
          <w:color w:val="auto"/>
        </w:rPr>
        <w:t>Lessor consents to the photography, filming, videotaping and recordation of the Works for the purpose of obtaining</w:t>
      </w:r>
      <w:r>
        <w:rPr>
          <w:rFonts w:ascii="Arial" w:cs="Arial" w:eastAsia="Arial" w:hAnsi="Arial"/>
          <w:sz w:val="16"/>
          <w:szCs w:val="16"/>
          <w:i w:val="1"/>
          <w:iCs w:val="1"/>
          <w:color w:val="auto"/>
        </w:rPr>
        <w:t xml:space="preserve"> </w:t>
      </w:r>
      <w:r>
        <w:rPr>
          <w:rFonts w:ascii="Arial" w:cs="Arial" w:eastAsia="Arial" w:hAnsi="Arial"/>
          <w:sz w:val="16"/>
          <w:szCs w:val="16"/>
          <w:color w:val="auto"/>
        </w:rPr>
        <w:t>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69" w:lineRule="exact"/>
        <w:rPr>
          <w:rFonts w:ascii="Arial" w:cs="Arial" w:eastAsia="Arial" w:hAnsi="Arial"/>
          <w:sz w:val="16"/>
          <w:szCs w:val="16"/>
          <w:color w:val="auto"/>
        </w:rPr>
      </w:pPr>
    </w:p>
    <w:p>
      <w:pPr>
        <w:ind w:right="160" w:firstLine="359"/>
        <w:spacing w:after="0" w:line="294" w:lineRule="auto"/>
        <w:tabs>
          <w:tab w:leader="none" w:pos="746"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Any notice to be given pursuant to this Agreement by either party to the other may be effected either by personal delivery in writing or by</w:t>
      </w:r>
      <w:r>
        <w:rPr>
          <w:rFonts w:ascii="Arial" w:cs="Arial" w:eastAsia="Arial" w:hAnsi="Arial"/>
          <w:sz w:val="16"/>
          <w:szCs w:val="16"/>
          <w:i w:val="1"/>
          <w:iCs w:val="1"/>
          <w:color w:val="auto"/>
        </w:rPr>
        <w:t xml:space="preserve"> </w:t>
      </w:r>
      <w:r>
        <w:rPr>
          <w:rFonts w:ascii="Arial" w:cs="Arial" w:eastAsia="Arial" w:hAnsi="Arial"/>
          <w:sz w:val="16"/>
          <w:szCs w:val="16"/>
          <w:color w:val="auto"/>
        </w:rPr>
        <w:t>mail, registered or certified, postage prepaid, with return receipt requested, or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facsimile notices (with a concurrent mailing) shall be deemed communicated three (3) days after mailing. Notices shall be made as follows:</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3145 Las Vegas Boulevard South</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Shadow Creek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North Las Vegas, Nevada 89031</w:t>
      </w:r>
    </w:p>
    <w:p>
      <w:pPr>
        <w:spacing w:after="0" w:line="44" w:lineRule="exact"/>
        <w:rPr>
          <w:sz w:val="20"/>
          <w:szCs w:val="20"/>
          <w:color w:val="auto"/>
        </w:rPr>
      </w:pPr>
    </w:p>
    <w:p>
      <w:pPr>
        <w:sectPr>
          <w:pgSz w:w="11900" w:h="16838" w:orient="portrait"/>
          <w:cols w:equalWidth="0" w:num="2">
            <w:col w:w="5080" w:space="720"/>
            <w:col w:w="5620"/>
          </w:cols>
          <w:pgMar w:left="240" w:top="131" w:right="239" w:bottom="0" w:gutter="0" w:footer="0" w:header="0"/>
          <w:type w:val="continuous"/>
        </w:sectPr>
      </w:pPr>
    </w:p>
    <w:p>
      <w:pPr>
        <w:ind w:left="2120"/>
        <w:spacing w:after="0"/>
        <w:rPr>
          <w:sz w:val="20"/>
          <w:szCs w:val="20"/>
          <w:color w:val="auto"/>
        </w:rPr>
      </w:pPr>
      <w:r>
        <w:rPr>
          <w:rFonts w:ascii="Arial" w:cs="Arial" w:eastAsia="Arial" w:hAnsi="Arial"/>
          <w:sz w:val="15"/>
          <w:szCs w:val="15"/>
          <w:color w:val="auto"/>
        </w:rPr>
        <w:t>Las Vegas, Nevada 89109</w:t>
      </w:r>
    </w:p>
    <w:p>
      <w:pPr>
        <w:sectPr>
          <w:pgSz w:w="11900" w:h="16838" w:orient="portrait"/>
          <w:cols w:equalWidth="0" w:num="1">
            <w:col w:w="11420"/>
          </w:cols>
          <w:pgMar w:left="240" w:top="131" w:right="239" w:bottom="0" w:gutter="0" w:footer="0" w:header="0"/>
          <w:type w:val="continuous"/>
        </w:sectPr>
      </w:pPr>
    </w:p>
    <w:p>
      <w:pPr>
        <w:spacing w:after="0" w:line="44"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Telephone: 702-733-4556</w:t>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Fax: 702-733-4596</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Telephone: 702-733-4123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Fax: 702-791-0167</w:t>
      </w:r>
    </w:p>
    <w:p>
      <w:pPr>
        <w:spacing w:after="0" w:line="200" w:lineRule="exact"/>
        <w:rPr>
          <w:sz w:val="20"/>
          <w:szCs w:val="20"/>
          <w:color w:val="auto"/>
        </w:rPr>
      </w:pPr>
    </w:p>
    <w:p>
      <w:pPr>
        <w:sectPr>
          <w:pgSz w:w="11900" w:h="16838" w:orient="portrait"/>
          <w:cols w:equalWidth="0" w:num="2">
            <w:col w:w="5080" w:space="720"/>
            <w:col w:w="5620"/>
          </w:cols>
          <w:pgMar w:left="240" w:top="131" w:right="239" w:bottom="0" w:gutter="0" w:footer="0" w:header="0"/>
          <w:type w:val="continuous"/>
        </w:sectPr>
      </w:pPr>
    </w:p>
    <w:p>
      <w:pPr>
        <w:spacing w:after="0" w:line="19" w:lineRule="exact"/>
        <w:rPr>
          <w:sz w:val="20"/>
          <w:szCs w:val="20"/>
          <w:color w:val="auto"/>
        </w:rPr>
      </w:pPr>
    </w:p>
    <w:p>
      <w:pPr>
        <w:ind w:right="140" w:firstLine="359"/>
        <w:spacing w:after="0" w:line="259" w:lineRule="auto"/>
        <w:tabs>
          <w:tab w:leader="none" w:pos="746"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Amendment. </w:t>
      </w:r>
      <w:r>
        <w:rPr>
          <w:rFonts w:ascii="Arial" w:cs="Arial" w:eastAsia="Arial" w:hAnsi="Arial"/>
          <w:sz w:val="18"/>
          <w:szCs w:val="18"/>
          <w:color w:val="auto"/>
        </w:rPr>
        <w:t>This Agreement constitutes the entire agreement between the parties and supersedes any oral or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between representatives of Lessor and Lessee, with respect to its subject matter, including without limitation the Prior Rental Agreements. This Agreement may be amended only if such amendment is set forth in writing and executed by each of the parties.</w:t>
      </w:r>
    </w:p>
    <w:p>
      <w:pPr>
        <w:spacing w:after="0" w:line="194" w:lineRule="exact"/>
        <w:rPr>
          <w:rFonts w:ascii="Arial" w:cs="Arial" w:eastAsia="Arial" w:hAnsi="Arial"/>
          <w:sz w:val="18"/>
          <w:szCs w:val="18"/>
          <w:color w:val="auto"/>
        </w:rPr>
      </w:pPr>
    </w:p>
    <w:p>
      <w:pPr>
        <w:ind w:right="60" w:firstLine="359"/>
        <w:spacing w:after="0" w:line="268" w:lineRule="auto"/>
        <w:tabs>
          <w:tab w:leader="none" w:pos="746"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in all respect, be construed according to the laws of the State of Nevada, regardless of the choice or conflict of</w:t>
      </w:r>
      <w:r>
        <w:rPr>
          <w:rFonts w:ascii="Arial" w:cs="Arial" w:eastAsia="Arial" w:hAnsi="Arial"/>
          <w:sz w:val="18"/>
          <w:szCs w:val="18"/>
          <w:i w:val="1"/>
          <w:iCs w:val="1"/>
          <w:color w:val="auto"/>
        </w:rPr>
        <w:t xml:space="preserve"> </w:t>
      </w:r>
      <w:r>
        <w:rPr>
          <w:rFonts w:ascii="Arial" w:cs="Arial" w:eastAsia="Arial" w:hAnsi="Arial"/>
          <w:sz w:val="18"/>
          <w:szCs w:val="18"/>
          <w:color w:val="auto"/>
        </w:rPr>
        <w:t>laws provisions of Nevada or any other jurisdiction.</w:t>
      </w:r>
    </w:p>
    <w:p>
      <w:pPr>
        <w:spacing w:after="0" w:line="185" w:lineRule="exact"/>
        <w:rPr>
          <w:rFonts w:ascii="Arial" w:cs="Arial" w:eastAsia="Arial" w:hAnsi="Arial"/>
          <w:sz w:val="18"/>
          <w:szCs w:val="18"/>
          <w:color w:val="auto"/>
        </w:rPr>
      </w:pPr>
    </w:p>
    <w:p>
      <w:pPr>
        <w:ind w:right="20" w:firstLine="359"/>
        <w:spacing w:after="0" w:line="255" w:lineRule="auto"/>
        <w:tabs>
          <w:tab w:leader="none" w:pos="743"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Assignment; Binding Effect. </w:t>
      </w:r>
      <w:r>
        <w:rPr>
          <w:rFonts w:ascii="Arial" w:cs="Arial" w:eastAsia="Arial" w:hAnsi="Arial"/>
          <w:sz w:val="18"/>
          <w:szCs w:val="18"/>
          <w:color w:val="auto"/>
        </w:rPr>
        <w:t>Lessor may assign any or all of his rights and obligations under this Agreement. Lessee may not assign all or any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rights or obligations under this Agreement. Subject to the preceding,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assigns.</w:t>
      </w:r>
    </w:p>
    <w:p>
      <w:pPr>
        <w:spacing w:after="0" w:line="196" w:lineRule="exact"/>
        <w:rPr>
          <w:rFonts w:ascii="Arial" w:cs="Arial" w:eastAsia="Arial" w:hAnsi="Arial"/>
          <w:sz w:val="18"/>
          <w:szCs w:val="18"/>
          <w:color w:val="auto"/>
        </w:rPr>
      </w:pPr>
    </w:p>
    <w:p>
      <w:pPr>
        <w:ind w:right="80" w:firstLine="359"/>
        <w:spacing w:after="0" w:line="306" w:lineRule="auto"/>
        <w:tabs>
          <w:tab w:leader="none" w:pos="746"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Headings; Context. </w:t>
      </w:r>
      <w:r>
        <w:rPr>
          <w:rFonts w:ascii="Arial" w:cs="Arial" w:eastAsia="Arial" w:hAnsi="Arial"/>
          <w:sz w:val="16"/>
          <w:szCs w:val="16"/>
          <w:color w:val="auto"/>
        </w:rPr>
        <w:t>All headings herein are inserted only for convenience and ease of reference and shall not be considered in the construction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9"/>
        <w:spacing w:after="0" w:line="268" w:lineRule="auto"/>
        <w:tabs>
          <w:tab w:leader="none" w:pos="746"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shall constitute orbs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instrument.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WYNN RESORTS HOLDINGS, LLC</w:t>
            </w:r>
          </w:p>
        </w:tc>
      </w:tr>
      <w:tr>
        <w:trPr>
          <w:trHeight w:val="648"/>
        </w:trPr>
        <w:tc>
          <w:tcPr>
            <w:tcW w:w="5420" w:type="dxa"/>
            <w:vAlign w:val="bottom"/>
          </w:tcPr>
          <w:p>
            <w:pPr>
              <w:ind w:left="1660"/>
              <w:spacing w:after="0"/>
              <w:rPr>
                <w:sz w:val="20"/>
                <w:szCs w:val="20"/>
                <w:color w:val="auto"/>
              </w:rPr>
            </w:pPr>
            <w:r>
              <w:rPr>
                <w:rFonts w:ascii="Arial" w:cs="Arial" w:eastAsia="Arial" w:hAnsi="Arial"/>
                <w:sz w:val="18"/>
                <w:szCs w:val="18"/>
                <w:color w:val="auto"/>
              </w:rPr>
              <w:t>/s/ STEPHEN A. WYNN</w:t>
            </w:r>
          </w:p>
        </w:tc>
        <w:tc>
          <w:tcPr>
            <w:tcW w:w="580" w:type="dxa"/>
            <w:vAlign w:val="bottom"/>
          </w:tcPr>
          <w:p>
            <w:pPr>
              <w:spacing w:after="0"/>
              <w:rPr>
                <w:sz w:val="24"/>
                <w:szCs w:val="24"/>
                <w:color w:val="auto"/>
              </w:rPr>
            </w:pPr>
          </w:p>
        </w:tc>
        <w:tc>
          <w:tcPr>
            <w:tcW w:w="5420" w:type="dxa"/>
            <w:vAlign w:val="bottom"/>
          </w:tcPr>
          <w:p>
            <w:pPr>
              <w:ind w:left="1820"/>
              <w:spacing w:after="0"/>
              <w:rPr>
                <w:sz w:val="20"/>
                <w:szCs w:val="20"/>
                <w:color w:val="auto"/>
              </w:rPr>
            </w:pPr>
            <w:r>
              <w:rPr>
                <w:rFonts w:ascii="Arial" w:cs="Arial" w:eastAsia="Arial" w:hAnsi="Arial"/>
                <w:sz w:val="18"/>
                <w:szCs w:val="18"/>
                <w:color w:val="auto"/>
              </w:rPr>
              <w:t>/s/ MARC SCHORR</w:t>
            </w:r>
          </w:p>
        </w:tc>
      </w:tr>
      <w:tr>
        <w:trPr>
          <w:trHeight w:val="120"/>
        </w:trPr>
        <w:tc>
          <w:tcPr>
            <w:tcW w:w="54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3"/>
        </w:trPr>
        <w:tc>
          <w:tcPr>
            <w:tcW w:w="5420" w:type="dxa"/>
            <w:vAlign w:val="bottom"/>
          </w:tcPr>
          <w:p>
            <w:pPr>
              <w:ind w:left="2100"/>
              <w:spacing w:after="0"/>
              <w:rPr>
                <w:sz w:val="20"/>
                <w:szCs w:val="20"/>
                <w:color w:val="auto"/>
              </w:rPr>
            </w:pPr>
            <w:r>
              <w:rPr>
                <w:rFonts w:ascii="Arial" w:cs="Arial" w:eastAsia="Arial" w:hAnsi="Arial"/>
                <w:sz w:val="18"/>
                <w:szCs w:val="18"/>
                <w:color w:val="auto"/>
              </w:rPr>
              <w:t>Stephen A. Wynn</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Marc Schorr</w:t>
            </w:r>
          </w:p>
        </w:tc>
      </w:tr>
      <w:tr>
        <w:trPr>
          <w:trHeight w:val="222"/>
        </w:trPr>
        <w:tc>
          <w:tcPr>
            <w:tcW w:w="5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Chief Operating Officer</w:t>
            </w:r>
          </w:p>
        </w:tc>
      </w:tr>
      <w:tr>
        <w:trPr>
          <w:trHeight w:val="432"/>
        </w:trPr>
        <w:tc>
          <w:tcPr>
            <w:tcW w:w="542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5420" w:type="dxa"/>
            <w:vAlign w:val="bottom"/>
          </w:tcPr>
          <w:p>
            <w:pPr>
              <w:spacing w:after="0"/>
              <w:rPr>
                <w:sz w:val="24"/>
                <w:szCs w:val="24"/>
                <w:color w:val="auto"/>
              </w:rPr>
            </w:pPr>
          </w:p>
        </w:tc>
      </w:tr>
      <w:tr>
        <w:trPr>
          <w:trHeight w:val="228"/>
        </w:trPr>
        <w:tc>
          <w:tcPr>
            <w:tcW w:w="5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-786130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-786130</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EXHIBIT A</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WORKS OF ART</w:t>
      </w:r>
    </w:p>
    <w:p>
      <w:pPr>
        <w:sectPr>
          <w:pgSz w:w="11900" w:h="16838" w:orient="portrait"/>
          <w:cols w:equalWidth="0" w:num="1">
            <w:col w:w="11420"/>
          </w:cols>
          <w:pgMar w:left="240" w:top="131" w:right="239"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Artist: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Medium</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Paul Cézanne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Curtain, Jug and Fruit Bowl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(Rideau, Cruchon et Compotier)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 1893-94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on Canvas</w:t>
      </w:r>
    </w:p>
    <w:p>
      <w:pPr>
        <w:spacing w:after="0" w:line="9" w:lineRule="exact"/>
        <w:rPr>
          <w:sz w:val="20"/>
          <w:szCs w:val="20"/>
          <w:color w:val="auto"/>
        </w:rPr>
      </w:pPr>
    </w:p>
    <w:p>
      <w:pPr>
        <w:sectPr>
          <w:pgSz w:w="11900" w:h="16838" w:orient="portrait"/>
          <w:cols w:equalWidth="0" w:num="2">
            <w:col w:w="1640" w:space="720"/>
            <w:col w:w="9060"/>
          </w:cols>
          <w:pgMar w:left="240" w:top="131" w:right="239" w:bottom="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 28</w:t>
      </w:r>
      <w:r>
        <w:rPr>
          <w:rFonts w:ascii="Arial" w:cs="Arial" w:eastAsia="Arial" w:hAnsi="Arial"/>
          <w:sz w:val="13"/>
          <w:szCs w:val="13"/>
          <w:color w:val="auto"/>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in.</w:t>
      </w:r>
    </w:p>
    <w:p>
      <w:pPr>
        <w:spacing w:after="0" w:line="200" w:lineRule="exact"/>
        <w:rPr>
          <w:sz w:val="20"/>
          <w:szCs w:val="20"/>
          <w:color w:val="auto"/>
        </w:rPr>
      </w:pPr>
    </w:p>
    <w:p>
      <w:pPr>
        <w:sectPr>
          <w:pgSz w:w="11900" w:h="16838" w:orient="portrait"/>
          <w:cols w:equalWidth="0" w:num="2">
            <w:col w:w="1640" w:space="720"/>
            <w:col w:w="9060"/>
          </w:cols>
          <w:pgMar w:left="240" w:top="131" w:right="239" w:bottom="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Artist: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Paul Gauguin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Bathers</w:t>
      </w:r>
    </w:p>
    <w:p>
      <w:pPr>
        <w:sectPr>
          <w:pgSz w:w="11900" w:h="16838" w:orient="portrait"/>
          <w:cols w:equalWidth="0" w:num="2">
            <w:col w:w="1640" w:space="720"/>
            <w:col w:w="9060"/>
          </w:cols>
          <w:pgMar w:left="240" w:top="131" w:right="239" w:bottom="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9940" w:type="dxa"/>
            <w:vAlign w:val="bottom"/>
          </w:tcPr>
          <w:p>
            <w:pPr>
              <w:ind w:left="880"/>
              <w:spacing w:after="0"/>
              <w:rPr>
                <w:sz w:val="20"/>
                <w:szCs w:val="20"/>
                <w:color w:val="auto"/>
              </w:rPr>
            </w:pPr>
            <w:r>
              <w:rPr>
                <w:rFonts w:ascii="Arial" w:cs="Arial" w:eastAsia="Arial" w:hAnsi="Arial"/>
                <w:sz w:val="18"/>
                <w:szCs w:val="18"/>
                <w:color w:val="auto"/>
              </w:rPr>
              <w:t>(Promenade au bord de la mer)</w:t>
            </w:r>
          </w:p>
        </w:tc>
      </w:tr>
      <w:tr>
        <w:trPr>
          <w:trHeight w:val="216"/>
        </w:trPr>
        <w:tc>
          <w:tcPr>
            <w:tcW w:w="1480" w:type="dxa"/>
            <w:vAlign w:val="bottom"/>
          </w:tcPr>
          <w:p>
            <w:pPr>
              <w:spacing w:after="0"/>
              <w:rPr>
                <w:sz w:val="18"/>
                <w:szCs w:val="18"/>
                <w:color w:val="auto"/>
              </w:rPr>
            </w:pPr>
          </w:p>
        </w:tc>
        <w:tc>
          <w:tcPr>
            <w:tcW w:w="9940" w:type="dxa"/>
            <w:vAlign w:val="bottom"/>
          </w:tcPr>
          <w:p>
            <w:pPr>
              <w:ind w:left="880"/>
              <w:spacing w:after="0"/>
              <w:rPr>
                <w:sz w:val="20"/>
                <w:szCs w:val="20"/>
                <w:color w:val="auto"/>
              </w:rPr>
            </w:pPr>
            <w:r>
              <w:rPr>
                <w:rFonts w:ascii="Arial" w:cs="Arial" w:eastAsia="Arial" w:hAnsi="Arial"/>
                <w:sz w:val="18"/>
                <w:szCs w:val="18"/>
                <w:color w:val="auto"/>
              </w:rPr>
              <w:t>(Famille Tahitienne)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c. 1902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(92 cm × 73 cm.)</w:t>
            </w:r>
          </w:p>
        </w:tc>
      </w:tr>
      <w:tr>
        <w:trPr>
          <w:trHeight w:val="30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Édouard Manet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Portrait of Mademoiselle Suzette Lemaire, In Profile</w:t>
            </w:r>
          </w:p>
        </w:tc>
      </w:tr>
      <w:tr>
        <w:trPr>
          <w:trHeight w:val="216"/>
        </w:trPr>
        <w:tc>
          <w:tcPr>
            <w:tcW w:w="1480" w:type="dxa"/>
            <w:vAlign w:val="bottom"/>
          </w:tcPr>
          <w:p>
            <w:pPr>
              <w:spacing w:after="0"/>
              <w:rPr>
                <w:sz w:val="18"/>
                <w:szCs w:val="18"/>
                <w:color w:val="auto"/>
              </w:rPr>
            </w:pPr>
          </w:p>
        </w:tc>
        <w:tc>
          <w:tcPr>
            <w:tcW w:w="9940" w:type="dxa"/>
            <w:vAlign w:val="bottom"/>
          </w:tcPr>
          <w:p>
            <w:pPr>
              <w:ind w:left="880"/>
              <w:spacing w:after="0"/>
              <w:rPr>
                <w:sz w:val="20"/>
                <w:szCs w:val="20"/>
                <w:color w:val="auto"/>
              </w:rPr>
            </w:pPr>
            <w:r>
              <w:rPr>
                <w:rFonts w:ascii="Arial" w:cs="Arial" w:eastAsia="Arial" w:hAnsi="Arial"/>
                <w:sz w:val="18"/>
                <w:szCs w:val="18"/>
                <w:color w:val="auto"/>
              </w:rPr>
              <w:t>(Portrait de Mademoiselle Suzette Lemaire, de profil)</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c. 1880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Pastel on Paper</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21</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17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(54.3 × 45.1 cm.)</w:t>
            </w:r>
          </w:p>
        </w:tc>
      </w:tr>
      <w:tr>
        <w:trPr>
          <w:trHeight w:val="30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Henri Matisse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La Robe Persane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c. 1940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32 × 25 in. (81 × 65 cm.)</w:t>
            </w: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Henri Matisse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Pineapple and Anemones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c. 1940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(73 × 92 cm.)</w:t>
            </w:r>
          </w:p>
        </w:tc>
      </w:tr>
      <w:tr>
        <w:trPr>
          <w:trHeight w:val="30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Amedeo Modigliani</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Nu Couche (sur le cote gauche)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1917</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35 × 57 in. (88.9 × 144.8 cm)</w:t>
            </w: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Pablo Picasso</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Le Reve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1932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38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in. (129.8 × 97.2 cm)</w:t>
            </w:r>
          </w:p>
        </w:tc>
      </w:tr>
      <w:tr>
        <w:trPr>
          <w:trHeight w:val="30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Vincent Van Gogh</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Portrait of a Peasant Girl in a Straw Hat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June 1890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36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 28</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 (92 × 73 cm)</w:t>
            </w:r>
          </w:p>
        </w:tc>
      </w:tr>
      <w:tr>
        <w:trPr>
          <w:trHeight w:val="30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Andrew Warhol</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Steve Wynn (three consisting of gold, white, red)</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1983</w:t>
            </w:r>
          </w:p>
        </w:tc>
      </w:tr>
      <w:tr>
        <w:trPr>
          <w:trHeight w:val="120"/>
        </w:trPr>
        <w:tc>
          <w:tcPr>
            <w:tcW w:w="1480" w:type="dxa"/>
            <w:vAlign w:val="bottom"/>
            <w:tcBorders>
              <w:bottom w:val="single" w:sz="8" w:color="808080"/>
            </w:tcBorders>
          </w:tcPr>
          <w:p>
            <w:pPr>
              <w:spacing w:after="0"/>
              <w:rPr>
                <w:sz w:val="10"/>
                <w:szCs w:val="10"/>
                <w:color w:val="auto"/>
              </w:rPr>
            </w:pPr>
          </w:p>
        </w:tc>
        <w:tc>
          <w:tcPr>
            <w:tcW w:w="9940" w:type="dxa"/>
            <w:vAlign w:val="bottom"/>
            <w:tcBorders>
              <w:bottom w:val="single" w:sz="8" w:color="808080"/>
            </w:tcBorders>
          </w:tcPr>
          <w:p>
            <w:pPr>
              <w:spacing w:after="0"/>
              <w:rPr>
                <w:sz w:val="10"/>
                <w:szCs w:val="10"/>
                <w:color w:val="auto"/>
              </w:rPr>
            </w:pPr>
          </w:p>
        </w:tc>
      </w:tr>
      <w:tr>
        <w:trPr>
          <w:trHeight w:val="313"/>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Synthetic polymer paint, silkscreen ink and diamond dust on canvas</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40 × 40 in. (each)</w:t>
            </w:r>
          </w:p>
        </w:tc>
      </w:tr>
      <w:tr>
        <w:trPr>
          <w:trHeight w:val="426"/>
        </w:trPr>
        <w:tc>
          <w:tcPr>
            <w:tcW w:w="1480" w:type="dxa"/>
            <w:vAlign w:val="bottom"/>
          </w:tcPr>
          <w:p>
            <w:pPr>
              <w:spacing w:after="0"/>
              <w:rPr>
                <w:sz w:val="20"/>
                <w:szCs w:val="20"/>
                <w:color w:val="auto"/>
              </w:rPr>
            </w:pPr>
            <w:r>
              <w:rPr>
                <w:rFonts w:ascii="Arial" w:cs="Arial" w:eastAsia="Arial" w:hAnsi="Arial"/>
                <w:sz w:val="18"/>
                <w:szCs w:val="18"/>
                <w:color w:val="auto"/>
              </w:rPr>
              <w:t>Artist:</w:t>
            </w:r>
          </w:p>
        </w:tc>
        <w:tc>
          <w:tcPr>
            <w:tcW w:w="9940" w:type="dxa"/>
            <w:vAlign w:val="bottom"/>
          </w:tcPr>
          <w:p>
            <w:pPr>
              <w:ind w:left="880"/>
              <w:spacing w:after="0"/>
              <w:rPr>
                <w:sz w:val="20"/>
                <w:szCs w:val="20"/>
                <w:color w:val="auto"/>
              </w:rPr>
            </w:pPr>
            <w:r>
              <w:rPr>
                <w:rFonts w:ascii="Arial" w:cs="Arial" w:eastAsia="Arial" w:hAnsi="Arial"/>
                <w:sz w:val="18"/>
                <w:szCs w:val="18"/>
                <w:color w:val="auto"/>
              </w:rPr>
              <w:t>Claude Monet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ind w:left="880"/>
              <w:spacing w:after="0"/>
              <w:rPr>
                <w:sz w:val="20"/>
                <w:szCs w:val="20"/>
                <w:color w:val="auto"/>
              </w:rPr>
            </w:pPr>
            <w:r>
              <w:rPr>
                <w:rFonts w:ascii="Arial" w:cs="Arial" w:eastAsia="Arial" w:hAnsi="Arial"/>
                <w:sz w:val="18"/>
                <w:szCs w:val="18"/>
                <w:color w:val="auto"/>
              </w:rPr>
              <w:t>Camille a l'Ombrelle Verte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9940" w:type="dxa"/>
            <w:vAlign w:val="bottom"/>
          </w:tcPr>
          <w:p>
            <w:pPr>
              <w:ind w:left="880"/>
              <w:spacing w:after="0"/>
              <w:rPr>
                <w:sz w:val="20"/>
                <w:szCs w:val="20"/>
                <w:color w:val="auto"/>
              </w:rPr>
            </w:pPr>
            <w:r>
              <w:rPr>
                <w:rFonts w:ascii="Arial" w:cs="Arial" w:eastAsia="Arial" w:hAnsi="Arial"/>
                <w:sz w:val="18"/>
                <w:szCs w:val="18"/>
                <w:color w:val="auto"/>
              </w:rPr>
              <w:t>1876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Medium</w:t>
            </w:r>
          </w:p>
        </w:tc>
        <w:tc>
          <w:tcPr>
            <w:tcW w:w="9940" w:type="dxa"/>
            <w:vAlign w:val="bottom"/>
          </w:tcPr>
          <w:p>
            <w:pPr>
              <w:ind w:left="880"/>
              <w:spacing w:after="0"/>
              <w:rPr>
                <w:sz w:val="20"/>
                <w:szCs w:val="20"/>
                <w:color w:val="auto"/>
              </w:rPr>
            </w:pPr>
            <w:r>
              <w:rPr>
                <w:rFonts w:ascii="Arial" w:cs="Arial" w:eastAsia="Arial" w:hAnsi="Arial"/>
                <w:sz w:val="18"/>
                <w:szCs w:val="18"/>
                <w:color w:val="auto"/>
              </w:rPr>
              <w:t>Oil on Canvas</w:t>
            </w:r>
          </w:p>
        </w:tc>
      </w:tr>
      <w:tr>
        <w:trPr>
          <w:trHeight w:val="383"/>
        </w:trPr>
        <w:tc>
          <w:tcPr>
            <w:tcW w:w="1480" w:type="dxa"/>
            <w:vAlign w:val="bottom"/>
          </w:tcPr>
          <w:p>
            <w:pPr>
              <w:spacing w:after="0"/>
              <w:rPr>
                <w:sz w:val="20"/>
                <w:szCs w:val="20"/>
                <w:color w:val="auto"/>
              </w:rPr>
            </w:pPr>
            <w:r>
              <w:rPr>
                <w:rFonts w:ascii="Arial" w:cs="Arial" w:eastAsia="Arial" w:hAnsi="Arial"/>
                <w:sz w:val="18"/>
                <w:szCs w:val="18"/>
                <w:color w:val="auto"/>
              </w:rPr>
              <w:t>Size</w:t>
            </w:r>
          </w:p>
        </w:tc>
        <w:tc>
          <w:tcPr>
            <w:tcW w:w="9940" w:type="dxa"/>
            <w:vAlign w:val="bottom"/>
          </w:tcPr>
          <w:p>
            <w:pPr>
              <w:ind w:left="880"/>
              <w:spacing w:after="0"/>
              <w:rPr>
                <w:sz w:val="20"/>
                <w:szCs w:val="20"/>
                <w:color w:val="auto"/>
              </w:rPr>
            </w:pPr>
            <w:r>
              <w:rPr>
                <w:rFonts w:ascii="Arial" w:cs="Arial" w:eastAsia="Arial" w:hAnsi="Arial"/>
                <w:sz w:val="18"/>
                <w:szCs w:val="18"/>
                <w:color w:val="auto"/>
              </w:rPr>
              <w:t>31</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 23</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xml:space="preserve">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-1278890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-1278890</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framed photograph of Pablo Picasso that is owned by Steve Wynn will also be included in the gallery. It is approximately 11 × 14 inches.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framed photograph of Henri Matisse that is owned by Wynn Design and Development, LLC. It is approximately 11 × 14 inches.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EXHIBIT B</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RENTAL FEES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rental fee shall be due hereunder for the period from the effective date of this Agreement to April 30, 2002 (the "</w:t>
      </w:r>
      <w:r>
        <w:rPr>
          <w:rFonts w:ascii="Arial" w:cs="Arial" w:eastAsia="Arial" w:hAnsi="Arial"/>
          <w:sz w:val="16"/>
          <w:szCs w:val="16"/>
          <w:b w:val="1"/>
          <w:bCs w:val="1"/>
          <w:color w:val="auto"/>
        </w:rPr>
        <w:t>Abatement Period</w:t>
      </w:r>
      <w:r>
        <w:rPr>
          <w:rFonts w:ascii="Arial" w:cs="Arial" w:eastAsia="Arial" w:hAnsi="Arial"/>
          <w:sz w:val="16"/>
          <w:szCs w:val="16"/>
          <w:color w:val="auto"/>
        </w:rPr>
        <w:t>"). For each calendar month beginning after the Abatement Period, Lessee shall within fifteen (15) days after the end of such month (including any partial month in which the term</w:t>
      </w:r>
    </w:p>
    <w:p>
      <w:pPr>
        <w:spacing w:after="0" w:line="1"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auto"/>
        </w:rPr>
        <w:t>hereof ends pay to Lessor the lesser of (i) One Million Dollars ($1,000,000.00) or (ii) one-half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of all Adjusted Gross Proceeds (as hereinafter defined) for such month (or partial month as the case may be), and furnish to Lessor a written statement explaining the calculation of such Adjusted Gross Proceeds. The foregoing statement from Lessee shall be in form and style, and contain such detail, as Lessor may reasonably require. Lessee agrees to keep accurate books and records of all business activities conducted at or relating to the Gallery. Upon prior reasonable notice and at reasonable times, Lessor or his representatives shall have the right to inspect and copy such books and records for the purpose of auditing or verifying such business activities and monthly statements.</w:t>
      </w:r>
    </w:p>
    <w:p>
      <w:pPr>
        <w:sectPr>
          <w:pgSz w:w="11900" w:h="16838" w:orient="portrait"/>
          <w:cols w:equalWidth="0" w:num="1">
            <w:col w:w="11420"/>
          </w:cols>
          <w:pgMar w:left="240" w:top="131" w:right="239" w:bottom="0" w:gutter="0" w:footer="0" w:header="0"/>
        </w:sectPr>
      </w:pPr>
    </w:p>
    <w:bookmarkStart w:id="158" w:name="page159"/>
    <w:bookmarkEnd w:id="158"/>
    <w:p>
      <w:pPr>
        <w:ind w:right="20" w:firstLine="351"/>
        <w:spacing w:after="0" w:line="288" w:lineRule="auto"/>
        <w:rPr>
          <w:sz w:val="20"/>
          <w:szCs w:val="20"/>
          <w:color w:val="auto"/>
        </w:rPr>
      </w:pPr>
      <w:r>
        <w:rPr>
          <w:rFonts w:ascii="Arial" w:cs="Arial" w:eastAsia="Arial" w:hAnsi="Arial"/>
          <w:sz w:val="16"/>
          <w:szCs w:val="16"/>
          <w:color w:val="auto"/>
        </w:rPr>
        <w:t>For purposes hereof, "Adjusted Gross Proceeds" means (i) all gross revenues received by the Gallery, including without limitation admission fees, fees for electronic touring devices, and merchandise sales revenues, less (ii) all out-of-pocket expenses paid by the Gallery in connection with the exhibition and promotion of the Works, including without limitation payroll and benefits for Gallery staff and security, advertising and printing costs, the cost of "Openings" and "Receptions," fine art transportation and insurance costs, the cost of goods sold, and Nevada state and local sales and use taxes and personal property taxes. Notwithstanding anything herein expressed or implied to the contrary, for purposes of calculating Adjusted Gross Proceeds, such out-of-pocket expenses shall not include: (i) indirect or overhead expenses of Valvino, Lessee, or any of Valvino's other subsidiary companies (such as real property and/or Gallery rental costs and general and administrative expense allocations); (ii) any liability under any indemnity by Lessee; (iii) any costs or expenses associated with any damage to or loss of any of the Works; (iv) any costs or expenses associated with any breach, default, or failure to perform by Lessee relating to this Agreement; or (v) any capital expenditures or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20" w:type="dxa"/>
            <w:vAlign w:val="bottom"/>
          </w:tcPr>
          <w:p>
            <w:pPr>
              <w:jc w:val="center"/>
              <w:ind w:left="256"/>
              <w:spacing w:after="0"/>
              <w:rPr>
                <w:sz w:val="20"/>
                <w:szCs w:val="20"/>
                <w:color w:val="auto"/>
              </w:rPr>
            </w:pPr>
            <w:r>
              <w:rPr>
                <w:rFonts w:ascii="Arial" w:cs="Arial" w:eastAsia="Arial" w:hAnsi="Arial"/>
                <w:sz w:val="18"/>
                <w:szCs w:val="18"/>
                <w:b w:val="1"/>
                <w:bCs w:val="1"/>
                <w:i w:val="1"/>
                <w:iCs w:val="1"/>
                <w:color w:val="auto"/>
              </w:rPr>
              <w:t>EXHIBIT C</w:t>
            </w:r>
          </w:p>
        </w:tc>
        <w:tc>
          <w:tcPr>
            <w:tcW w:w="2740" w:type="dxa"/>
            <w:vAlign w:val="bottom"/>
          </w:tcPr>
          <w:p>
            <w:pPr>
              <w:spacing w:after="0"/>
              <w:rPr>
                <w:sz w:val="19"/>
                <w:szCs w:val="19"/>
                <w:color w:val="auto"/>
              </w:rPr>
            </w:pPr>
          </w:p>
        </w:tc>
      </w:tr>
      <w:tr>
        <w:trPr>
          <w:trHeight w:val="432"/>
        </w:trPr>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tcPr>
          <w:p>
            <w:pPr>
              <w:jc w:val="center"/>
              <w:ind w:left="276"/>
              <w:spacing w:after="0"/>
              <w:rPr>
                <w:sz w:val="20"/>
                <w:szCs w:val="20"/>
                <w:color w:val="auto"/>
              </w:rPr>
            </w:pPr>
            <w:r>
              <w:rPr>
                <w:rFonts w:ascii="Arial" w:cs="Arial" w:eastAsia="Arial" w:hAnsi="Arial"/>
                <w:sz w:val="18"/>
                <w:szCs w:val="18"/>
                <w:b w:val="1"/>
                <w:bCs w:val="1"/>
                <w:color w:val="auto"/>
                <w:w w:val="98"/>
              </w:rPr>
              <w:t>LONG-TERM RENTALS</w:t>
            </w:r>
          </w:p>
        </w:tc>
        <w:tc>
          <w:tcPr>
            <w:tcW w:w="2740" w:type="dxa"/>
            <w:vAlign w:val="bottom"/>
          </w:tcPr>
          <w:p>
            <w:pPr>
              <w:spacing w:after="0"/>
              <w:rPr>
                <w:sz w:val="24"/>
                <w:szCs w:val="24"/>
                <w:color w:val="auto"/>
              </w:rPr>
            </w:pPr>
          </w:p>
        </w:tc>
      </w:tr>
      <w:tr>
        <w:trPr>
          <w:trHeight w:val="380"/>
        </w:trPr>
        <w:tc>
          <w:tcPr>
            <w:tcW w:w="2100" w:type="dxa"/>
            <w:vAlign w:val="bottom"/>
          </w:tcPr>
          <w:p>
            <w:pPr>
              <w:spacing w:after="0"/>
              <w:rPr>
                <w:sz w:val="20"/>
                <w:szCs w:val="20"/>
                <w:color w:val="auto"/>
              </w:rPr>
            </w:pPr>
            <w:r>
              <w:rPr>
                <w:rFonts w:ascii="Arial" w:cs="Arial" w:eastAsia="Arial" w:hAnsi="Arial"/>
                <w:sz w:val="14"/>
                <w:szCs w:val="14"/>
                <w:b w:val="1"/>
                <w:bCs w:val="1"/>
                <w:color w:val="auto"/>
              </w:rPr>
              <w:t>Artist</w:t>
            </w:r>
          </w:p>
        </w:tc>
        <w:tc>
          <w:tcPr>
            <w:tcW w:w="260" w:type="dxa"/>
            <w:vAlign w:val="bottom"/>
          </w:tcPr>
          <w:p>
            <w:pPr>
              <w:spacing w:after="0"/>
              <w:rPr>
                <w:sz w:val="24"/>
                <w:szCs w:val="24"/>
                <w:color w:val="auto"/>
              </w:rPr>
            </w:pPr>
          </w:p>
        </w:tc>
        <w:tc>
          <w:tcPr>
            <w:tcW w:w="6320" w:type="dxa"/>
            <w:vAlign w:val="bottom"/>
          </w:tcPr>
          <w:p>
            <w:pPr>
              <w:ind w:left="3020"/>
              <w:spacing w:after="0"/>
              <w:rPr>
                <w:sz w:val="20"/>
                <w:szCs w:val="20"/>
                <w:color w:val="auto"/>
              </w:rPr>
            </w:pPr>
            <w:r>
              <w:rPr>
                <w:rFonts w:ascii="Arial" w:cs="Arial" w:eastAsia="Arial" w:hAnsi="Arial"/>
                <w:sz w:val="14"/>
                <w:szCs w:val="14"/>
                <w:b w:val="1"/>
                <w:bCs w:val="1"/>
                <w:color w:val="auto"/>
              </w:rPr>
              <w:t>Title</w:t>
            </w:r>
          </w:p>
        </w:tc>
        <w:tc>
          <w:tcPr>
            <w:tcW w:w="2740" w:type="dxa"/>
            <w:vAlign w:val="bottom"/>
          </w:tcPr>
          <w:p>
            <w:pPr>
              <w:spacing w:after="0"/>
              <w:rPr>
                <w:sz w:val="24"/>
                <w:szCs w:val="24"/>
                <w:color w:val="auto"/>
              </w:rPr>
            </w:pPr>
          </w:p>
        </w:tc>
      </w:tr>
      <w:tr>
        <w:trPr>
          <w:trHeight w:val="105"/>
        </w:trPr>
        <w:tc>
          <w:tcPr>
            <w:tcW w:w="21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3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r>
      <w:tr>
        <w:trPr>
          <w:trHeight w:val="319"/>
        </w:trPr>
        <w:tc>
          <w:tcPr>
            <w:tcW w:w="2100" w:type="dxa"/>
            <w:vAlign w:val="bottom"/>
          </w:tcPr>
          <w:p>
            <w:pPr>
              <w:spacing w:after="0"/>
              <w:rPr>
                <w:sz w:val="20"/>
                <w:szCs w:val="20"/>
                <w:color w:val="auto"/>
              </w:rPr>
            </w:pPr>
            <w:r>
              <w:rPr>
                <w:rFonts w:ascii="Arial" w:cs="Arial" w:eastAsia="Arial" w:hAnsi="Arial"/>
                <w:sz w:val="18"/>
                <w:szCs w:val="18"/>
                <w:color w:val="auto"/>
              </w:rPr>
              <w:t>Amedeo Modigliani</w:t>
            </w:r>
          </w:p>
        </w:tc>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Nu Couche (surle cote gauche)</w:t>
            </w:r>
          </w:p>
        </w:tc>
        <w:tc>
          <w:tcPr>
            <w:tcW w:w="274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Paul Gauguin</w:t>
            </w:r>
          </w:p>
        </w:tc>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Bathers</w:t>
            </w:r>
          </w:p>
        </w:tc>
        <w:tc>
          <w:tcPr>
            <w:tcW w:w="2740" w:type="dxa"/>
            <w:vAlign w:val="bottom"/>
          </w:tcPr>
          <w:p>
            <w:pPr>
              <w:spacing w:after="0"/>
              <w:rPr>
                <w:sz w:val="24"/>
                <w:szCs w:val="24"/>
                <w:color w:val="auto"/>
              </w:rPr>
            </w:pPr>
          </w:p>
        </w:tc>
      </w:tr>
      <w:tr>
        <w:trPr>
          <w:trHeight w:val="120"/>
        </w:trPr>
        <w:tc>
          <w:tcPr>
            <w:tcW w:w="2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32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-580390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-580390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-580390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Exhibit 10.42</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SECOND AMENDED AND RESTATED ART RENTAL AND LICENSING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EXHIBIT A WORKS OF ART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B RENTAL FEES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EXHIBIT C LONG-TERM RENTALS</w:t>
        </w:r>
      </w:hyperlink>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22"/>
          <w:szCs w:val="22"/>
          <w:color w:val="0000EE"/>
        </w:rPr>
      </w:pPr>
      <w:hyperlink w:anchor="page1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by and between -</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DESIGN &amp; DEVELOPMENT,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and -</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WYNN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September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820"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("Agreement") </w:t>
      </w:r>
      <w:r>
        <w:rPr>
          <w:rFonts w:ascii="Arial" w:cs="Arial" w:eastAsia="Arial" w:hAnsi="Arial"/>
          <w:sz w:val="18"/>
          <w:szCs w:val="18"/>
          <w:color w:val="auto"/>
        </w:rPr>
        <w:t>is made and entered into as of the 18 day of September 2002, by and between</w:t>
      </w:r>
      <w:r>
        <w:rPr>
          <w:rFonts w:ascii="Arial" w:cs="Arial" w:eastAsia="Arial" w:hAnsi="Arial"/>
          <w:sz w:val="18"/>
          <w:szCs w:val="18"/>
          <w:b w:val="1"/>
          <w:bCs w:val="1"/>
          <w:color w:val="auto"/>
        </w:rPr>
        <w:t xml:space="preserve"> WYNN DESIGN &amp; DEVELOPMENT, LC ("Employer") </w:t>
      </w:r>
      <w:r>
        <w:rPr>
          <w:rFonts w:ascii="Arial" w:cs="Arial" w:eastAsia="Arial" w:hAnsi="Arial"/>
          <w:sz w:val="18"/>
          <w:szCs w:val="18"/>
          <w:color w:val="auto"/>
        </w:rPr>
        <w:t>and</w:t>
      </w:r>
      <w:r>
        <w:rPr>
          <w:rFonts w:ascii="Arial" w:cs="Arial" w:eastAsia="Arial" w:hAnsi="Arial"/>
          <w:sz w:val="18"/>
          <w:szCs w:val="18"/>
          <w:b w:val="1"/>
          <w:bCs w:val="1"/>
          <w:color w:val="auto"/>
        </w:rPr>
        <w:t xml:space="preserve"> KENNETH R. WYNN ("Employee")</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 I T N E S S E T H:</w:t>
      </w:r>
    </w:p>
    <w:p>
      <w:pPr>
        <w:spacing w:after="0" w:line="219"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is a limited liability company duly organized and existing under the laws of the State of Nevada, maintains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3145 Las Vegas Blvd. South, Las Vegas, Nevada 89109, and is engaged at such place in the business of designing, developing and constructing casino resorts;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an adult individual residing at 1717 Enclave Court, Las Vegas, Nevada 89134; and,</w:t>
      </w:r>
    </w:p>
    <w:p>
      <w:pPr>
        <w:spacing w:after="0" w:line="225"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represented and warranted to Employer that Employee possesses sufficient qualifications and expertise in order to fulfill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stated in this Agreement; and,</w:t>
      </w:r>
    </w:p>
    <w:p>
      <w:pPr>
        <w:spacing w:after="0" w:line="174"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is willing to employ Employee, and Employee is desirous of accepting employment from Employer under the terms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74"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2" w:lineRule="exact"/>
        <w:rPr>
          <w:sz w:val="20"/>
          <w:szCs w:val="20"/>
          <w:color w:val="auto"/>
        </w:rPr>
      </w:pPr>
    </w:p>
    <w:p>
      <w:pPr>
        <w:ind w:right="180" w:firstLine="359"/>
        <w:spacing w:after="0" w:line="268" w:lineRule="auto"/>
        <w:tabs>
          <w:tab w:leader="none" w:pos="658"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85" w:lineRule="exact"/>
        <w:rPr>
          <w:rFonts w:ascii="Arial" w:cs="Arial" w:eastAsia="Arial" w:hAnsi="Arial"/>
          <w:sz w:val="18"/>
          <w:szCs w:val="18"/>
          <w:b w:val="1"/>
          <w:bCs w:val="1"/>
          <w:color w:val="auto"/>
        </w:rPr>
      </w:pPr>
    </w:p>
    <w:p>
      <w:pPr>
        <w:ind w:left="540" w:right="20" w:firstLine="359"/>
        <w:spacing w:after="0" w:line="294" w:lineRule="auto"/>
        <w:tabs>
          <w:tab w:leader="none" w:pos="117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9" w:lineRule="exact"/>
        <w:rPr>
          <w:rFonts w:ascii="Arial" w:cs="Arial" w:eastAsia="Arial" w:hAnsi="Arial"/>
          <w:sz w:val="16"/>
          <w:szCs w:val="16"/>
          <w:color w:val="auto"/>
        </w:rPr>
      </w:pPr>
    </w:p>
    <w:p>
      <w:pPr>
        <w:ind w:left="1200" w:hanging="301"/>
        <w:spacing w:after="0"/>
        <w:tabs>
          <w:tab w:leader="none" w:pos="12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3"/>
          <w:numId w:val="222"/>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300" w:firstLine="360"/>
        <w:spacing w:after="0" w:line="332" w:lineRule="auto"/>
        <w:tabs>
          <w:tab w:leader="none" w:pos="1782" w:val="left"/>
        </w:tabs>
        <w:numPr>
          <w:ilvl w:val="2"/>
          <w:numId w:val="222"/>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39" w:lineRule="exact"/>
        <w:rPr>
          <w:rFonts w:ascii="Arial" w:cs="Arial" w:eastAsia="Arial" w:hAnsi="Arial"/>
          <w:sz w:val="16"/>
          <w:szCs w:val="16"/>
          <w:color w:val="auto"/>
        </w:rPr>
      </w:pPr>
    </w:p>
    <w:p>
      <w:pPr>
        <w:ind w:left="1080" w:right="520" w:firstLine="360"/>
        <w:spacing w:after="0" w:line="332" w:lineRule="auto"/>
        <w:tabs>
          <w:tab w:leader="none" w:pos="1772" w:val="left"/>
        </w:tabs>
        <w:numPr>
          <w:ilvl w:val="2"/>
          <w:numId w:val="222"/>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bookmarkStart w:id="160" w:name="page161"/>
    <w:bookmarkEnd w:id="160"/>
    <w:p>
      <w:pPr>
        <w:ind w:left="540"/>
        <w:spacing w:after="0"/>
        <w:rPr>
          <w:sz w:val="20"/>
          <w:szCs w:val="20"/>
          <w:color w:val="auto"/>
        </w:rPr>
      </w:pPr>
      <w:r>
        <w:rPr>
          <w:rFonts w:ascii="Arial" w:cs="Arial" w:eastAsia="Arial" w:hAnsi="Arial"/>
          <w:sz w:val="18"/>
          <w:szCs w:val="18"/>
          <w:color w:val="auto"/>
        </w:rPr>
        <w:t>is not cured within fifteen (15) days after Employee has received written notice thereof from the Board;</w:t>
      </w:r>
    </w:p>
    <w:p>
      <w:pPr>
        <w:spacing w:after="0" w:line="225" w:lineRule="exact"/>
        <w:rPr>
          <w:sz w:val="20"/>
          <w:szCs w:val="20"/>
          <w:color w:val="auto"/>
        </w:rPr>
      </w:pPr>
    </w:p>
    <w:p>
      <w:pPr>
        <w:ind w:left="1200" w:hanging="300"/>
        <w:spacing w:after="0"/>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25" w:lineRule="exact"/>
        <w:rPr>
          <w:rFonts w:ascii="Arial" w:cs="Arial" w:eastAsia="Arial" w:hAnsi="Arial"/>
          <w:sz w:val="18"/>
          <w:szCs w:val="18"/>
          <w:color w:val="auto"/>
        </w:rPr>
      </w:pPr>
    </w:p>
    <w:p>
      <w:pPr>
        <w:ind w:left="540" w:right="760" w:firstLine="360"/>
        <w:spacing w:after="0" w:line="268" w:lineRule="auto"/>
        <w:tabs>
          <w:tab w:leader="none" w:pos="12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(vii) Employee's material violation of a statutory or common law duty of loyalty or fiduciary duty to Employer,</w:t>
      </w:r>
    </w:p>
    <w:p>
      <w:pPr>
        <w:spacing w:after="0" w:line="225"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86" w:lineRule="exact"/>
        <w:rPr>
          <w:sz w:val="20"/>
          <w:szCs w:val="20"/>
          <w:color w:val="auto"/>
        </w:rPr>
      </w:pPr>
    </w:p>
    <w:p>
      <w:pPr>
        <w:ind w:left="640" w:hanging="281"/>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"—means the occurrence, after the Effective Date, of any of the following events:</w:t>
      </w:r>
    </w:p>
    <w:p>
      <w:pPr>
        <w:spacing w:after="0" w:line="225" w:lineRule="exact"/>
        <w:rPr>
          <w:rFonts w:ascii="Arial" w:cs="Arial" w:eastAsia="Arial" w:hAnsi="Arial"/>
          <w:sz w:val="18"/>
          <w:szCs w:val="18"/>
          <w:color w:val="auto"/>
        </w:rPr>
      </w:pPr>
    </w:p>
    <w:p>
      <w:pPr>
        <w:ind w:left="540" w:right="160" w:firstLine="447"/>
        <w:spacing w:after="0" w:line="255" w:lineRule="auto"/>
        <w:tabs>
          <w:tab w:leader="none" w:pos="1232"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196" w:lineRule="exact"/>
        <w:rPr>
          <w:rFonts w:ascii="Arial" w:cs="Arial" w:eastAsia="Arial" w:hAnsi="Arial"/>
          <w:sz w:val="18"/>
          <w:szCs w:val="18"/>
          <w:color w:val="auto"/>
        </w:rPr>
      </w:pPr>
    </w:p>
    <w:p>
      <w:pPr>
        <w:ind w:left="540" w:firstLine="360"/>
        <w:spacing w:after="0" w:line="283" w:lineRule="auto"/>
        <w:tabs>
          <w:tab w:leader="none" w:pos="119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w:t>
      </w:r>
    </w:p>
    <w:p>
      <w:pPr>
        <w:spacing w:after="0" w:line="1" w:lineRule="exact"/>
        <w:rPr>
          <w:rFonts w:ascii="Arial" w:cs="Arial" w:eastAsia="Arial" w:hAnsi="Arial"/>
          <w:sz w:val="16"/>
          <w:szCs w:val="16"/>
          <w:color w:val="auto"/>
        </w:rPr>
      </w:pPr>
    </w:p>
    <w:p>
      <w:pPr>
        <w:ind w:left="540" w:right="260"/>
        <w:spacing w:after="0" w:line="323" w:lineRule="auto"/>
        <w:rPr>
          <w:rFonts w:ascii="Arial" w:cs="Arial" w:eastAsia="Arial" w:hAnsi="Arial"/>
          <w:sz w:val="16"/>
          <w:szCs w:val="16"/>
          <w:color w:val="auto"/>
        </w:rPr>
      </w:pPr>
      <w:r>
        <w:rPr>
          <w:rFonts w:ascii="Arial" w:cs="Arial" w:eastAsia="Arial" w:hAnsi="Arial"/>
          <w:sz w:val="16"/>
          <w:szCs w:val="16"/>
          <w:color w:val="auto"/>
        </w:rPr>
        <w:t>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46" w:lineRule="exact"/>
        <w:rPr>
          <w:rFonts w:ascii="Arial" w:cs="Arial" w:eastAsia="Arial" w:hAnsi="Arial"/>
          <w:sz w:val="16"/>
          <w:szCs w:val="16"/>
          <w:color w:val="auto"/>
        </w:rPr>
      </w:pPr>
    </w:p>
    <w:p>
      <w:pPr>
        <w:ind w:left="540" w:right="20" w:firstLine="360"/>
        <w:spacing w:after="0" w:line="286" w:lineRule="auto"/>
        <w:tabs>
          <w:tab w:leader="none" w:pos="124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proportions in which such Beneficial Owners held voting stock in Employer immediately before such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4" w:lineRule="exact"/>
        <w:rPr>
          <w:sz w:val="20"/>
          <w:szCs w:val="20"/>
          <w:color w:val="auto"/>
        </w:rPr>
      </w:pPr>
    </w:p>
    <w:p>
      <w:pPr>
        <w:ind w:right="580" w:firstLine="359"/>
        <w:spacing w:after="0" w:line="268" w:lineRule="auto"/>
        <w:tabs>
          <w:tab w:leader="none" w:pos="64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 obligations under this Agreement for a period as defined by Employer's disability plan or plans.</w:t>
      </w:r>
    </w:p>
    <w:p>
      <w:pPr>
        <w:spacing w:after="0" w:line="185" w:lineRule="exact"/>
        <w:rPr>
          <w:rFonts w:ascii="Arial" w:cs="Arial" w:eastAsia="Arial" w:hAnsi="Arial"/>
          <w:sz w:val="18"/>
          <w:szCs w:val="18"/>
          <w:color w:val="auto"/>
        </w:rPr>
      </w:pPr>
    </w:p>
    <w:p>
      <w:pPr>
        <w:ind w:right="20" w:firstLine="359"/>
        <w:spacing w:after="0" w:line="332" w:lineRule="auto"/>
        <w:tabs>
          <w:tab w:leader="none" w:pos="63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"—means the later of the effective date of Wynn Resort's initial public offering of shares of its common stock or October 1, 2002,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initial public offering does not occur on or before April 1, 2003, then this agreement shall be come null and void.</w:t>
      </w:r>
    </w:p>
    <w:p>
      <w:pPr>
        <w:spacing w:after="0" w:line="139" w:lineRule="exact"/>
        <w:rPr>
          <w:sz w:val="20"/>
          <w:szCs w:val="20"/>
          <w:color w:val="auto"/>
        </w:rPr>
      </w:pPr>
    </w:p>
    <w:p>
      <w:pPr>
        <w:ind w:firstLine="359"/>
        <w:spacing w:after="0" w:line="259" w:lineRule="auto"/>
        <w:tabs>
          <w:tab w:leader="none" w:pos="6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540" w:right="160" w:firstLine="360"/>
        <w:spacing w:after="0" w:line="306" w:lineRule="auto"/>
        <w:tabs>
          <w:tab w:leader="none" w:pos="119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540" w:right="380" w:firstLine="360"/>
        <w:spacing w:after="0" w:line="268" w:lineRule="auto"/>
        <w:tabs>
          <w:tab w:leader="none" w:pos="124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185" w:lineRule="exact"/>
        <w:rPr>
          <w:rFonts w:ascii="Arial" w:cs="Arial" w:eastAsia="Arial" w:hAnsi="Arial"/>
          <w:sz w:val="18"/>
          <w:szCs w:val="18"/>
          <w:color w:val="auto"/>
        </w:rPr>
      </w:pPr>
    </w:p>
    <w:p>
      <w:pPr>
        <w:ind w:left="540" w:right="140" w:firstLine="360"/>
        <w:spacing w:after="0" w:line="332" w:lineRule="auto"/>
        <w:tabs>
          <w:tab w:leader="none" w:pos="1232"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ectPr>
          <w:pgSz w:w="11900" w:h="16838" w:orient="portrait"/>
          <w:cols w:equalWidth="0" w:num="1">
            <w:col w:w="10860"/>
          </w:cols>
          <w:pgMar w:left="780" w:top="591" w:right="259" w:bottom="0" w:gutter="0" w:footer="0" w:header="0"/>
        </w:sectPr>
      </w:pPr>
    </w:p>
    <w:bookmarkStart w:id="161" w:name="page162"/>
    <w:bookmarkEnd w:id="161"/>
    <w:p>
      <w:pPr>
        <w:ind w:left="1040" w:right="720" w:firstLine="360"/>
        <w:spacing w:after="0" w:line="268" w:lineRule="auto"/>
        <w:tabs>
          <w:tab w:leader="none" w:pos="16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85" w:lineRule="exact"/>
        <w:rPr>
          <w:rFonts w:ascii="Arial" w:cs="Arial" w:eastAsia="Arial" w:hAnsi="Arial"/>
          <w:sz w:val="18"/>
          <w:szCs w:val="18"/>
          <w:color w:val="auto"/>
        </w:rPr>
      </w:pPr>
    </w:p>
    <w:p>
      <w:pPr>
        <w:ind w:left="1740" w:hanging="340"/>
        <w:spacing w:after="0"/>
        <w:tabs>
          <w:tab w:leader="none" w:pos="17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248" w:lineRule="exact"/>
        <w:rPr>
          <w:sz w:val="20"/>
          <w:szCs w:val="20"/>
          <w:color w:val="auto"/>
        </w:rPr>
      </w:pPr>
    </w:p>
    <w:p>
      <w:pPr>
        <w:ind w:left="1040" w:right="3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86" w:lineRule="exact"/>
        <w:rPr>
          <w:sz w:val="20"/>
          <w:szCs w:val="20"/>
          <w:color w:val="auto"/>
        </w:rPr>
      </w:pPr>
    </w:p>
    <w:p>
      <w:pPr>
        <w:ind w:left="1160" w:hanging="301"/>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rFonts w:ascii="Arial" w:cs="Arial" w:eastAsia="Arial" w:hAnsi="Arial"/>
          <w:sz w:val="18"/>
          <w:szCs w:val="18"/>
          <w:color w:val="auto"/>
        </w:rPr>
      </w:pPr>
    </w:p>
    <w:p>
      <w:pPr>
        <w:jc w:val="both"/>
        <w:ind w:left="500" w:right="180" w:firstLine="359"/>
        <w:spacing w:after="0" w:line="259" w:lineRule="auto"/>
        <w:tabs>
          <w:tab w:leader="none" w:pos="119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Payment</w:t>
      </w:r>
      <w:r>
        <w:rPr>
          <w:rFonts w:ascii="Arial" w:cs="Arial" w:eastAsia="Arial" w:hAnsi="Arial"/>
          <w:sz w:val="18"/>
          <w:szCs w:val="18"/>
          <w:color w:val="auto"/>
        </w:rPr>
        <w:t>"—means a lump sum equal to (A) Employee's Base Salary (as defined in Subparagraph 8(a) of this Agreement) for the twelve (12) months immediately following termination, plus (B) the bonus that was paid to Employee under Subparagraph 8(b) for the preceding bonus period, projected over the twelve (12) months following that bonus period, plus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500" w:firstLine="8"/>
        <w:spacing w:after="0" w:line="268" w:lineRule="auto"/>
        <w:tabs>
          <w:tab w:leader="none" w:pos="77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accrued but unpaid vacation pay, plus (D) any Gross-Up Payment required by Exhibit 1 to this Agreement, which is incorporated herein by reference.</w:t>
      </w:r>
    </w:p>
    <w:p>
      <w:pPr>
        <w:spacing w:after="0" w:line="185" w:lineRule="exact"/>
        <w:rPr>
          <w:rFonts w:ascii="Arial" w:cs="Arial" w:eastAsia="Arial" w:hAnsi="Arial"/>
          <w:sz w:val="18"/>
          <w:szCs w:val="18"/>
          <w:color w:val="auto"/>
        </w:rPr>
      </w:pPr>
    </w:p>
    <w:p>
      <w:pPr>
        <w:ind w:left="1200" w:hanging="341"/>
        <w:spacing w:after="0"/>
        <w:tabs>
          <w:tab w:leader="none" w:pos="120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Wynn Resorts</w:t>
      </w:r>
      <w:r>
        <w:rPr>
          <w:rFonts w:ascii="Arial" w:cs="Arial" w:eastAsia="Arial" w:hAnsi="Arial"/>
          <w:sz w:val="18"/>
          <w:szCs w:val="18"/>
          <w:color w:val="auto"/>
        </w:rPr>
        <w:t>"—means Wynn Resorts, Limited, a Nevada corporation.</w:t>
      </w:r>
    </w:p>
    <w:p>
      <w:pPr>
        <w:spacing w:after="0" w:line="225" w:lineRule="exact"/>
        <w:rPr>
          <w:rFonts w:ascii="Arial" w:cs="Arial" w:eastAsia="Arial" w:hAnsi="Arial"/>
          <w:sz w:val="18"/>
          <w:szCs w:val="18"/>
          <w:color w:val="auto"/>
        </w:rPr>
      </w:pPr>
    </w:p>
    <w:p>
      <w:pPr>
        <w:ind w:left="-40" w:right="160" w:firstLine="359"/>
        <w:spacing w:after="0" w:line="255" w:lineRule="auto"/>
        <w:tabs>
          <w:tab w:leader="none" w:pos="61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From and after the Effective Date, Employee shall be the employee of Employer under the terms and pursuant to the conditions set forth in this Agreement.</w:t>
      </w:r>
    </w:p>
    <w:p>
      <w:pPr>
        <w:spacing w:after="0" w:line="196" w:lineRule="exact"/>
        <w:rPr>
          <w:rFonts w:ascii="Arial" w:cs="Arial" w:eastAsia="Arial" w:hAnsi="Arial"/>
          <w:sz w:val="18"/>
          <w:szCs w:val="18"/>
          <w:b w:val="1"/>
          <w:bCs w:val="1"/>
          <w:color w:val="auto"/>
        </w:rPr>
      </w:pPr>
    </w:p>
    <w:p>
      <w:pPr>
        <w:ind w:left="-40" w:right="80" w:firstLine="359"/>
        <w:spacing w:after="0" w:line="254" w:lineRule="auto"/>
        <w:tabs>
          <w:tab w:leader="none" w:pos="61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BASIC EMPLOYMENT AGREEMENT. </w:t>
      </w:r>
      <w:r>
        <w:rPr>
          <w:rFonts w:ascii="Arial" w:cs="Arial" w:eastAsia="Arial" w:hAnsi="Arial"/>
          <w:sz w:val="18"/>
          <w:szCs w:val="18"/>
          <w:color w:val="auto"/>
        </w:rPr>
        <w:t>Subject to the terms and pursuant to the conditions hereinafter set forth, Employer hereby employs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in itself be a basis for finding a material reduction in the level of duties.</w:t>
      </w:r>
    </w:p>
    <w:p>
      <w:pPr>
        <w:spacing w:after="0" w:line="198" w:lineRule="exact"/>
        <w:rPr>
          <w:rFonts w:ascii="Arial" w:cs="Arial" w:eastAsia="Arial" w:hAnsi="Arial"/>
          <w:sz w:val="18"/>
          <w:szCs w:val="18"/>
          <w:b w:val="1"/>
          <w:bCs w:val="1"/>
          <w:color w:val="auto"/>
        </w:rPr>
      </w:pPr>
    </w:p>
    <w:p>
      <w:pPr>
        <w:ind w:left="-40" w:firstLine="359"/>
        <w:spacing w:after="0" w:line="253" w:lineRule="auto"/>
        <w:tabs>
          <w:tab w:leader="none" w:pos="61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President </w:t>
      </w:r>
      <w:r>
        <w:rPr>
          <w:rFonts w:ascii="Arial" w:cs="Arial" w:eastAsia="Arial" w:hAnsi="Arial"/>
          <w:sz w:val="18"/>
          <w:szCs w:val="18"/>
          <w:color w:val="auto"/>
        </w:rPr>
        <w:t>of Employer or such similar duties as may be assigned to Employee by Employer as Employer may determine, including, but not limited to (a) the</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201" w:lineRule="exact"/>
        <w:rPr>
          <w:rFonts w:ascii="Arial" w:cs="Arial" w:eastAsia="Arial" w:hAnsi="Arial"/>
          <w:sz w:val="18"/>
          <w:szCs w:val="18"/>
          <w:b w:val="1"/>
          <w:bCs w:val="1"/>
          <w:color w:val="auto"/>
        </w:rPr>
      </w:pPr>
    </w:p>
    <w:p>
      <w:pPr>
        <w:ind w:left="-40" w:right="20" w:firstLine="359"/>
        <w:spacing w:after="0" w:line="255" w:lineRule="auto"/>
        <w:tabs>
          <w:tab w:leader="none" w:pos="612"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0" w:lineRule="exact"/>
        <w:rPr>
          <w:rFonts w:ascii="Arial" w:cs="Arial" w:eastAsia="Arial" w:hAnsi="Arial"/>
          <w:sz w:val="18"/>
          <w:szCs w:val="18"/>
          <w:b w:val="1"/>
          <w:bCs w:val="1"/>
          <w:color w:val="auto"/>
        </w:rPr>
      </w:pPr>
    </w:p>
    <w:p>
      <w:pPr>
        <w:ind w:left="-40" w:right="200" w:firstLine="359"/>
        <w:spacing w:after="0" w:line="275" w:lineRule="auto"/>
        <w:tabs>
          <w:tab w:leader="none" w:pos="61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expire at the end of the day on May 31, 2005.</w:t>
      </w:r>
    </w:p>
    <w:p>
      <w:pPr>
        <w:spacing w:after="0" w:line="179" w:lineRule="exact"/>
        <w:rPr>
          <w:rFonts w:ascii="Arial" w:cs="Arial" w:eastAsia="Arial" w:hAnsi="Arial"/>
          <w:sz w:val="18"/>
          <w:szCs w:val="18"/>
          <w:b w:val="1"/>
          <w:bCs w:val="1"/>
          <w:color w:val="auto"/>
        </w:rPr>
      </w:pPr>
    </w:p>
    <w:p>
      <w:pPr>
        <w:ind w:left="-40" w:right="160" w:firstLine="359"/>
        <w:spacing w:after="0" w:line="268" w:lineRule="auto"/>
        <w:tabs>
          <w:tab w:leader="none" w:pos="61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185" w:lineRule="exact"/>
        <w:rPr>
          <w:rFonts w:ascii="Arial" w:cs="Arial" w:eastAsia="Arial" w:hAnsi="Arial"/>
          <w:sz w:val="18"/>
          <w:szCs w:val="18"/>
          <w:b w:val="1"/>
          <w:bCs w:val="1"/>
          <w:color w:val="auto"/>
        </w:rPr>
      </w:pPr>
    </w:p>
    <w:p>
      <w:pPr>
        <w:ind w:left="1140" w:hanging="281"/>
        <w:spacing w:after="0"/>
        <w:tabs>
          <w:tab w:leader="none" w:pos="114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60" w:hanging="301"/>
        <w:spacing w:after="0"/>
        <w:tabs>
          <w:tab w:leader="none" w:pos="11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40" w:hanging="281"/>
        <w:spacing w:after="0"/>
        <w:tabs>
          <w:tab w:leader="none" w:pos="114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rFonts w:ascii="Arial" w:cs="Arial" w:eastAsia="Arial" w:hAnsi="Arial"/>
          <w:sz w:val="16"/>
          <w:szCs w:val="16"/>
          <w:color w:val="auto"/>
        </w:rPr>
      </w:pPr>
    </w:p>
    <w:p>
      <w:pPr>
        <w:ind w:left="500" w:right="420" w:firstLine="359"/>
        <w:spacing w:after="0" w:line="268" w:lineRule="auto"/>
        <w:tabs>
          <w:tab w:leader="none" w:pos="114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185" w:lineRule="exact"/>
        <w:rPr>
          <w:rFonts w:ascii="Arial" w:cs="Arial" w:eastAsia="Arial" w:hAnsi="Arial"/>
          <w:sz w:val="18"/>
          <w:szCs w:val="18"/>
          <w:color w:val="auto"/>
        </w:rPr>
      </w:pPr>
    </w:p>
    <w:p>
      <w:pPr>
        <w:ind w:left="1140" w:hanging="281"/>
        <w:spacing w:after="0"/>
        <w:tabs>
          <w:tab w:leader="none" w:pos="114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within ten</w:t>
      </w:r>
    </w:p>
    <w:p>
      <w:pPr>
        <w:spacing w:after="0" w:line="38" w:lineRule="exact"/>
        <w:rPr>
          <w:rFonts w:ascii="Arial" w:cs="Arial" w:eastAsia="Arial" w:hAnsi="Arial"/>
          <w:sz w:val="16"/>
          <w:szCs w:val="16"/>
          <w:color w:val="auto"/>
        </w:rPr>
      </w:pPr>
    </w:p>
    <w:p>
      <w:pPr>
        <w:ind w:left="840" w:hanging="332"/>
        <w:spacing w:after="0"/>
        <w:tabs>
          <w:tab w:leader="none" w:pos="8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218" w:lineRule="exact"/>
        <w:rPr>
          <w:rFonts w:ascii="Arial" w:cs="Arial" w:eastAsia="Arial" w:hAnsi="Arial"/>
          <w:sz w:val="18"/>
          <w:szCs w:val="18"/>
          <w:color w:val="auto"/>
        </w:rPr>
      </w:pPr>
    </w:p>
    <w:p>
      <w:pPr>
        <w:ind w:left="500" w:right="180" w:firstLine="359"/>
        <w:spacing w:after="0" w:line="306" w:lineRule="auto"/>
        <w:tabs>
          <w:tab w:leader="none" w:pos="1202"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within ten (10) days after the expiration of such cure period without the cure having been effected, Employer must tender the Separation Payment to Employee; or</w:t>
      </w:r>
    </w:p>
    <w:p>
      <w:pPr>
        <w:sectPr>
          <w:pgSz w:w="11900" w:h="16838" w:orient="portrait"/>
          <w:cols w:equalWidth="0" w:num="1">
            <w:col w:w="11340"/>
          </w:cols>
          <w:pgMar w:left="280" w:top="131" w:right="279" w:bottom="0" w:gutter="0" w:footer="0" w:header="0"/>
        </w:sectPr>
      </w:pPr>
    </w:p>
    <w:bookmarkStart w:id="162" w:name="page163"/>
    <w:bookmarkEnd w:id="162"/>
    <w:p>
      <w:pPr>
        <w:ind w:left="540" w:right="360" w:firstLine="359"/>
        <w:spacing w:after="0" w:line="259" w:lineRule="auto"/>
        <w:tabs>
          <w:tab w:leader="none" w:pos="11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within ten (10) calendar days after Employer's receipt of Employee's written election, Employer must tender the Separation Payment to Employee.</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80" w:lineRule="exact"/>
        <w:rPr>
          <w:sz w:val="20"/>
          <w:szCs w:val="20"/>
          <w:color w:val="auto"/>
        </w:rPr>
      </w:pPr>
    </w:p>
    <w:p>
      <w:pPr>
        <w:ind w:right="100" w:firstLine="359"/>
        <w:spacing w:after="0" w:line="268" w:lineRule="auto"/>
        <w:tabs>
          <w:tab w:leader="none" w:pos="658"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agrees to pay to Employee, and Employee hereby covenants and agrees to accept from Employer, the following items of compensation:</w:t>
      </w:r>
    </w:p>
    <w:p>
      <w:pPr>
        <w:spacing w:after="0" w:line="225" w:lineRule="exact"/>
        <w:rPr>
          <w:sz w:val="20"/>
          <w:szCs w:val="20"/>
          <w:color w:val="auto"/>
        </w:rPr>
      </w:pPr>
    </w:p>
    <w:p>
      <w:pPr>
        <w:ind w:left="540" w:right="20" w:firstLine="359"/>
        <w:spacing w:after="0" w:line="253" w:lineRule="auto"/>
        <w:tabs>
          <w:tab w:leader="none" w:pos="1174"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Employer hereby covenants and agrees to pay to Employee, and Employee hereby covenants and agrees to accept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 base salary at the rate of Two Hundred Fifty Thousand Dollars ($250,000.00)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Employee's Base Salary shall be exclusive of and in addition to any other benefits which Employer, in its sole discretion, may make available to Employee, including, but not limited to, those benefits described in Subparagraphs 8(b) through (f) of this Agreement. Employee's Base Salary shall be subject to merit review by Employer or by Wynn Resorts' Board of Directors upon the opening of the Le Reve resort in Las Vegas, and periodically before and after such opening, and may be increased, but not decreased, as a result of any such review.</w:t>
      </w:r>
    </w:p>
    <w:p>
      <w:pPr>
        <w:spacing w:after="0" w:line="201" w:lineRule="exact"/>
        <w:rPr>
          <w:rFonts w:ascii="Arial" w:cs="Arial" w:eastAsia="Arial" w:hAnsi="Arial"/>
          <w:sz w:val="18"/>
          <w:szCs w:val="18"/>
          <w:color w:val="auto"/>
        </w:rPr>
      </w:pPr>
    </w:p>
    <w:p>
      <w:pPr>
        <w:jc w:val="both"/>
        <w:ind w:left="540" w:right="60" w:firstLine="359"/>
        <w:spacing w:after="0" w:line="256" w:lineRule="auto"/>
        <w:tabs>
          <w:tab w:leader="none" w:pos="1184"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BONUS COMPENSATION</w:t>
      </w:r>
      <w:r>
        <w:rPr>
          <w:rFonts w:ascii="Arial" w:cs="Arial" w:eastAsia="Arial" w:hAnsi="Arial"/>
          <w:sz w:val="18"/>
          <w:szCs w:val="18"/>
          <w:color w:val="auto"/>
        </w:rPr>
        <w:t>. Employee also will be eligible to receive a bonus at such times and in such amounts as Employer, in its sole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discretion, may determine until such time as Employer may adopt a performance based bonus plan, and thereafter in accordance with such plan. Nothing in this Agreement shall limit Employer's or Wynn Resorts' discretion to adopt, amend or terminate any performance based bonus plan at any time prior to a Change of Control.</w:t>
      </w:r>
    </w:p>
    <w:p>
      <w:pPr>
        <w:spacing w:after="0" w:line="197" w:lineRule="exact"/>
        <w:rPr>
          <w:rFonts w:ascii="Arial" w:cs="Arial" w:eastAsia="Arial" w:hAnsi="Arial"/>
          <w:sz w:val="18"/>
          <w:szCs w:val="18"/>
          <w:color w:val="auto"/>
        </w:rPr>
      </w:pPr>
    </w:p>
    <w:p>
      <w:pPr>
        <w:ind w:left="540" w:right="40" w:firstLine="359"/>
        <w:spacing w:after="0" w:line="290" w:lineRule="auto"/>
        <w:tabs>
          <w:tab w:leader="none" w:pos="1174" w:val="left"/>
        </w:tabs>
        <w:numPr>
          <w:ilvl w:val="0"/>
          <w:numId w:val="235"/>
        </w:numPr>
        <w:rPr>
          <w:rFonts w:ascii="Arial" w:cs="Arial" w:eastAsia="Arial" w:hAnsi="Arial"/>
          <w:sz w:val="16"/>
          <w:szCs w:val="16"/>
          <w:color w:val="auto"/>
        </w:rPr>
      </w:pPr>
      <w:r>
        <w:rPr>
          <w:rFonts w:ascii="Arial" w:cs="Arial" w:eastAsia="Arial" w:hAnsi="Arial"/>
          <w:sz w:val="16"/>
          <w:szCs w:val="16"/>
          <w:b w:val="1"/>
          <w:bCs w:val="1"/>
          <w:i w:val="1"/>
          <w:iCs w:val="1"/>
          <w:color w:val="auto"/>
        </w:rPr>
        <w:t>EMPLOYEE BENEFIT PLANS</w:t>
      </w:r>
      <w:r>
        <w:rPr>
          <w:rFonts w:ascii="Arial" w:cs="Arial" w:eastAsia="Arial" w:hAnsi="Arial"/>
          <w:sz w:val="16"/>
          <w:szCs w:val="16"/>
          <w:color w:val="auto"/>
        </w:rPr>
        <w:t>. Employer hereby covenants and agrees that it shall include Employee, if otherwise eligible, in any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(i) Employee shall receive medical, dental and life insurance coverage and benefits commensurate with the coverage and benefits provided to the President of Wynn Resorts, and (ii) Employee's eligibility for medical and/or hospitalization benefits shall commence on the Effective Date. Nothing in this Agreement shall limit Employer's or any of its Affiliates' ability to (x) exercise the discretion provided to it under any such plan, or (y) adopt, amend or terminate any such benefit plans at any time prior to a Change of Control.</w:t>
      </w:r>
    </w:p>
    <w:p>
      <w:pPr>
        <w:spacing w:after="0" w:line="172" w:lineRule="exact"/>
        <w:rPr>
          <w:rFonts w:ascii="Arial" w:cs="Arial" w:eastAsia="Arial" w:hAnsi="Arial"/>
          <w:sz w:val="16"/>
          <w:szCs w:val="16"/>
          <w:color w:val="auto"/>
        </w:rPr>
      </w:pPr>
    </w:p>
    <w:p>
      <w:pPr>
        <w:ind w:left="540" w:right="160" w:firstLine="359"/>
        <w:spacing w:after="0" w:line="291" w:lineRule="auto"/>
        <w:tabs>
          <w:tab w:leader="none" w:pos="1184" w:val="left"/>
        </w:tabs>
        <w:numPr>
          <w:ilvl w:val="0"/>
          <w:numId w:val="235"/>
        </w:numPr>
        <w:rPr>
          <w:rFonts w:ascii="Arial" w:cs="Arial" w:eastAsia="Arial" w:hAnsi="Arial"/>
          <w:sz w:val="16"/>
          <w:szCs w:val="16"/>
          <w:color w:val="auto"/>
        </w:rPr>
      </w:pPr>
      <w:r>
        <w:rPr>
          <w:rFonts w:ascii="Arial" w:cs="Arial" w:eastAsia="Arial" w:hAnsi="Arial"/>
          <w:sz w:val="16"/>
          <w:szCs w:val="16"/>
          <w:b w:val="1"/>
          <w:bCs w:val="1"/>
          <w:i w:val="1"/>
          <w:iCs w:val="1"/>
          <w:color w:val="auto"/>
        </w:rPr>
        <w:t>EXPENSE REIMBURSEMENT</w:t>
      </w:r>
      <w:r>
        <w:rPr>
          <w:rFonts w:ascii="Arial" w:cs="Arial" w:eastAsia="Arial" w:hAnsi="Arial"/>
          <w:sz w:val="16"/>
          <w:szCs w:val="16"/>
          <w:color w:val="auto"/>
        </w:rPr>
        <w:t>. During the Term and provided the same are authorized by Employer, Employer shall either pay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74" w:lineRule="exact"/>
        <w:rPr>
          <w:rFonts w:ascii="Arial" w:cs="Arial" w:eastAsia="Arial" w:hAnsi="Arial"/>
          <w:sz w:val="16"/>
          <w:szCs w:val="16"/>
          <w:color w:val="auto"/>
        </w:rPr>
      </w:pPr>
    </w:p>
    <w:p>
      <w:pPr>
        <w:ind w:left="540" w:firstLine="359"/>
        <w:spacing w:after="0" w:line="256" w:lineRule="auto"/>
        <w:tabs>
          <w:tab w:leader="none" w:pos="1174"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AIRCRAFT</w:t>
      </w:r>
      <w:r>
        <w:rPr>
          <w:rFonts w:ascii="Arial" w:cs="Arial" w:eastAsia="Arial" w:hAnsi="Arial"/>
          <w:sz w:val="18"/>
          <w:szCs w:val="18"/>
          <w:color w:val="auto"/>
        </w:rPr>
        <w:t>. Employee shall have the right to the personal use of Employer's aircraft by Employee and his family.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 shall enter into a separate time-sharing agreement for such personal use, which agreement shall provide, among other things, that Employee shall pay Employer the lesser of Employee's and his family's share of the direct costs incurred by Employer in operating the aircraft or the amount required by applicable federal aviation regulations to be paid by Employee.</w:t>
      </w:r>
    </w:p>
    <w:p>
      <w:pPr>
        <w:spacing w:after="0" w:line="197" w:lineRule="exact"/>
        <w:rPr>
          <w:rFonts w:ascii="Arial" w:cs="Arial" w:eastAsia="Arial" w:hAnsi="Arial"/>
          <w:sz w:val="18"/>
          <w:szCs w:val="18"/>
          <w:color w:val="auto"/>
        </w:rPr>
      </w:pPr>
    </w:p>
    <w:p>
      <w:pPr>
        <w:ind w:left="540" w:right="100" w:firstLine="359"/>
        <w:spacing w:after="0" w:line="259" w:lineRule="auto"/>
        <w:tabs>
          <w:tab w:leader="none" w:pos="1242"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VACATIONS AND HOLIDAYS</w:t>
      </w:r>
      <w:r>
        <w:rPr>
          <w:rFonts w:ascii="Arial" w:cs="Arial" w:eastAsia="Arial" w:hAnsi="Arial"/>
          <w:sz w:val="18"/>
          <w:szCs w:val="18"/>
          <w:color w:val="auto"/>
        </w:rPr>
        <w:t>. Commencing as of the Effective Date of this Agreement, Employee shall be entitled to (i) annual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Employer's option, an equivalent number of paid days off) in accordance with Employer's standard policy.</w:t>
      </w:r>
    </w:p>
    <w:p>
      <w:pPr>
        <w:spacing w:after="0" w:line="225" w:lineRule="exact"/>
        <w:rPr>
          <w:sz w:val="20"/>
          <w:szCs w:val="20"/>
          <w:color w:val="auto"/>
        </w:rPr>
      </w:pPr>
    </w:p>
    <w:p>
      <w:pPr>
        <w:ind w:left="540" w:right="140" w:firstLine="359"/>
        <w:spacing w:after="0" w:line="332" w:lineRule="auto"/>
        <w:tabs>
          <w:tab w:leader="none" w:pos="1184" w:val="left"/>
        </w:tabs>
        <w:numPr>
          <w:ilvl w:val="0"/>
          <w:numId w:val="236"/>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WITHHOLDINGS</w:t>
      </w:r>
      <w:r>
        <w:rPr>
          <w:rFonts w:ascii="Arial" w:cs="Arial" w:eastAsia="Arial" w:hAnsi="Arial"/>
          <w:sz w:val="16"/>
          <w:szCs w:val="16"/>
          <w:color w:val="auto"/>
        </w:rPr>
        <w:t>. All compensation to Employee identified in this Paragraph 8 shall be subject to applicable withholdings for federal,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local income or other taxes, Social Security Tax, Medicare Tax, State Unemployment Insurance, State Disability Insurance, voluntary charitable</w:t>
      </w:r>
    </w:p>
    <w:p>
      <w:pPr>
        <w:sectPr>
          <w:pgSz w:w="11900" w:h="16838" w:orient="portrait"/>
          <w:cols w:equalWidth="0" w:num="1">
            <w:col w:w="11420"/>
          </w:cols>
          <w:pgMar w:left="240" w:top="131" w:right="239" w:bottom="0" w:gutter="0" w:footer="0" w:header="0"/>
        </w:sectPr>
      </w:pPr>
    </w:p>
    <w:bookmarkStart w:id="163" w:name="page164"/>
    <w:bookmarkEnd w:id="163"/>
    <w:p>
      <w:pPr>
        <w:ind w:left="540"/>
        <w:spacing w:after="0"/>
        <w:rPr>
          <w:sz w:val="20"/>
          <w:szCs w:val="20"/>
          <w:color w:val="auto"/>
        </w:rPr>
      </w:pPr>
      <w:r>
        <w:rPr>
          <w:rFonts w:ascii="Arial" w:cs="Arial" w:eastAsia="Arial" w:hAnsi="Arial"/>
          <w:sz w:val="18"/>
          <w:szCs w:val="18"/>
          <w:color w:val="auto"/>
        </w:rPr>
        <w:t>contributions and the like.</w:t>
      </w:r>
    </w:p>
    <w:p>
      <w:pPr>
        <w:spacing w:after="0" w:line="225" w:lineRule="exact"/>
        <w:rPr>
          <w:sz w:val="20"/>
          <w:szCs w:val="20"/>
          <w:color w:val="auto"/>
        </w:rPr>
      </w:pPr>
    </w:p>
    <w:p>
      <w:pPr>
        <w:ind w:left="660" w:hanging="301"/>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b w:val="1"/>
          <w:bCs w:val="1"/>
          <w:color w:val="auto"/>
        </w:rPr>
      </w:pPr>
    </w:p>
    <w:p>
      <w:pPr>
        <w:ind w:left="540" w:right="40" w:firstLine="359"/>
        <w:spacing w:after="0" w:line="253" w:lineRule="auto"/>
        <w:tabs>
          <w:tab w:leader="none" w:pos="11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201" w:lineRule="exact"/>
        <w:rPr>
          <w:rFonts w:ascii="Arial" w:cs="Arial" w:eastAsia="Arial" w:hAnsi="Arial"/>
          <w:sz w:val="18"/>
          <w:szCs w:val="18"/>
          <w:color w:val="auto"/>
        </w:rPr>
      </w:pPr>
    </w:p>
    <w:p>
      <w:pPr>
        <w:ind w:left="540" w:firstLine="359"/>
        <w:spacing w:after="0" w:line="288" w:lineRule="auto"/>
        <w:tabs>
          <w:tab w:leader="none" w:pos="1184"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73" w:lineRule="exact"/>
        <w:rPr>
          <w:rFonts w:ascii="Arial" w:cs="Arial" w:eastAsia="Arial" w:hAnsi="Arial"/>
          <w:sz w:val="16"/>
          <w:szCs w:val="16"/>
          <w:color w:val="auto"/>
        </w:rPr>
      </w:pPr>
    </w:p>
    <w:p>
      <w:pPr>
        <w:ind w:left="540" w:right="20" w:firstLine="359"/>
        <w:spacing w:after="0" w:line="268" w:lineRule="auto"/>
        <w:tabs>
          <w:tab w:leader="none" w:pos="11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20" w:firstLine="359"/>
        <w:spacing w:after="0" w:line="288" w:lineRule="auto"/>
        <w:tabs>
          <w:tab w:leader="none" w:pos="746"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Paragraph 10 shall not expire, shall survive this Agreement and shall be binding upon Employee without regard to the passage of time or other events.</w:t>
      </w:r>
    </w:p>
    <w:p>
      <w:pPr>
        <w:spacing w:after="0" w:line="248" w:lineRule="exact"/>
        <w:rPr>
          <w:sz w:val="20"/>
          <w:szCs w:val="20"/>
          <w:color w:val="auto"/>
        </w:rPr>
      </w:pPr>
    </w:p>
    <w:p>
      <w:pPr>
        <w:ind w:left="740" w:hanging="381"/>
        <w:spacing w:after="0"/>
        <w:tabs>
          <w:tab w:leader="none" w:pos="7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RESTRICTIVE COVENANT / NO SOLICITATION.</w:t>
      </w:r>
    </w:p>
    <w:p>
      <w:pPr>
        <w:spacing w:after="0" w:line="225" w:lineRule="exact"/>
        <w:rPr>
          <w:rFonts w:ascii="Arial" w:cs="Arial" w:eastAsia="Arial" w:hAnsi="Arial"/>
          <w:sz w:val="18"/>
          <w:szCs w:val="18"/>
          <w:b w:val="1"/>
          <w:bCs w:val="1"/>
          <w:color w:val="auto"/>
        </w:rPr>
      </w:pPr>
    </w:p>
    <w:p>
      <w:pPr>
        <w:ind w:left="540" w:firstLine="359"/>
        <w:spacing w:after="0" w:line="310" w:lineRule="auto"/>
        <w:tabs>
          <w:tab w:leader="none" w:pos="1174" w:val="left"/>
        </w:tabs>
        <w:numPr>
          <w:ilvl w:val="1"/>
          <w:numId w:val="238"/>
        </w:numPr>
        <w:rPr>
          <w:rFonts w:ascii="Arial" w:cs="Arial" w:eastAsia="Arial" w:hAnsi="Arial"/>
          <w:sz w:val="15"/>
          <w:szCs w:val="15"/>
          <w:color w:val="auto"/>
        </w:rPr>
      </w:pPr>
      <w:r>
        <w:rPr>
          <w:rFonts w:ascii="Arial" w:cs="Arial" w:eastAsia="Arial" w:hAnsi="Arial"/>
          <w:sz w:val="15"/>
          <w:szCs w:val="15"/>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162" w:lineRule="exact"/>
        <w:rPr>
          <w:rFonts w:ascii="Arial" w:cs="Arial" w:eastAsia="Arial" w:hAnsi="Arial"/>
          <w:sz w:val="15"/>
          <w:szCs w:val="15"/>
          <w:color w:val="auto"/>
        </w:rPr>
      </w:pPr>
    </w:p>
    <w:p>
      <w:pPr>
        <w:ind w:left="540" w:firstLine="359"/>
        <w:spacing w:after="0" w:line="256" w:lineRule="auto"/>
        <w:tabs>
          <w:tab w:leader="none" w:pos="118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60" w:firstLine="359"/>
        <w:spacing w:after="0" w:line="268" w:lineRule="auto"/>
        <w:tabs>
          <w:tab w:leader="none" w:pos="746"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b w:val="1"/>
          <w:bCs w:val="1"/>
          <w:color w:val="auto"/>
        </w:rPr>
      </w:pPr>
    </w:p>
    <w:p>
      <w:pPr>
        <w:ind w:left="760" w:hanging="401"/>
        <w:spacing w:after="0"/>
        <w:tabs>
          <w:tab w:leader="none" w:pos="760"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b w:val="1"/>
          <w:bCs w:val="1"/>
          <w:color w:val="auto"/>
        </w:rPr>
      </w:pPr>
    </w:p>
    <w:p>
      <w:pPr>
        <w:ind w:right="40" w:firstLine="359"/>
        <w:spacing w:after="0" w:line="255" w:lineRule="auto"/>
        <w:tabs>
          <w:tab w:leader="none" w:pos="7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96" w:lineRule="exact"/>
        <w:rPr>
          <w:rFonts w:ascii="Arial" w:cs="Arial" w:eastAsia="Arial" w:hAnsi="Arial"/>
          <w:sz w:val="18"/>
          <w:szCs w:val="18"/>
          <w:b w:val="1"/>
          <w:bCs w:val="1"/>
          <w:color w:val="auto"/>
        </w:rPr>
      </w:pPr>
    </w:p>
    <w:p>
      <w:pPr>
        <w:ind w:right="440" w:firstLine="359"/>
        <w:spacing w:after="0" w:line="268" w:lineRule="auto"/>
        <w:tabs>
          <w:tab w:leader="none" w:pos="7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b w:val="1"/>
          <w:bCs w:val="1"/>
          <w:color w:val="auto"/>
        </w:rPr>
      </w:pPr>
    </w:p>
    <w:p>
      <w:pPr>
        <w:ind w:right="80" w:firstLine="359"/>
        <w:spacing w:after="0" w:line="268" w:lineRule="auto"/>
        <w:tabs>
          <w:tab w:leader="none" w:pos="746"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b w:val="1"/>
          <w:bCs w:val="1"/>
          <w:color w:val="auto"/>
        </w:rPr>
      </w:pPr>
    </w:p>
    <w:p>
      <w:pPr>
        <w:ind w:right="160" w:firstLine="359"/>
        <w:spacing w:after="0" w:line="268" w:lineRule="auto"/>
        <w:tabs>
          <w:tab w:leader="none" w:pos="746"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ectPr>
          <w:pgSz w:w="11900" w:h="16838" w:orient="portrait"/>
          <w:cols w:equalWidth="0" w:num="1">
            <w:col w:w="11420"/>
          </w:cols>
          <w:pgMar w:left="240" w:top="131" w:right="239" w:bottom="0" w:gutter="0" w:footer="0" w:header="0"/>
        </w:sectPr>
      </w:pPr>
    </w:p>
    <w:bookmarkStart w:id="164" w:name="page165"/>
    <w:bookmarkEnd w:id="164"/>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ind w:left="2120"/>
              <w:spacing w:after="0"/>
              <w:rPr>
                <w:sz w:val="20"/>
                <w:szCs w:val="20"/>
                <w:color w:val="auto"/>
              </w:rPr>
            </w:pPr>
            <w:r>
              <w:rPr>
                <w:rFonts w:ascii="Arial" w:cs="Arial" w:eastAsia="Arial" w:hAnsi="Arial"/>
                <w:sz w:val="18"/>
                <w:szCs w:val="18"/>
                <w:i w:val="1"/>
                <w:iCs w:val="1"/>
                <w:color w:val="auto"/>
              </w:rPr>
              <w:t>TO EMPLOYER:</w:t>
            </w:r>
          </w:p>
        </w:tc>
        <w:tc>
          <w:tcPr>
            <w:tcW w:w="7200" w:type="dxa"/>
            <w:vAlign w:val="bottom"/>
          </w:tcPr>
          <w:p>
            <w:pPr>
              <w:ind w:left="860"/>
              <w:spacing w:after="0"/>
              <w:rPr>
                <w:sz w:val="20"/>
                <w:szCs w:val="20"/>
                <w:color w:val="auto"/>
              </w:rPr>
            </w:pPr>
            <w:r>
              <w:rPr>
                <w:rFonts w:ascii="Arial" w:cs="Arial" w:eastAsia="Arial" w:hAnsi="Arial"/>
                <w:sz w:val="18"/>
                <w:szCs w:val="18"/>
                <w:color w:val="auto"/>
              </w:rPr>
              <w:t>Wynn Design &amp; Development, LLC</w:t>
            </w:r>
          </w:p>
        </w:tc>
      </w:tr>
      <w:tr>
        <w:trPr>
          <w:trHeight w:val="216"/>
        </w:trPr>
        <w:tc>
          <w:tcPr>
            <w:tcW w:w="42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3145 Las Vegas Boulevard South</w:t>
            </w:r>
          </w:p>
        </w:tc>
      </w:tr>
      <w:tr>
        <w:trPr>
          <w:trHeight w:val="222"/>
        </w:trPr>
        <w:tc>
          <w:tcPr>
            <w:tcW w:w="4220" w:type="dxa"/>
            <w:vAlign w:val="bottom"/>
          </w:tcPr>
          <w:p>
            <w:pPr>
              <w:spacing w:after="0"/>
              <w:rPr>
                <w:sz w:val="19"/>
                <w:szCs w:val="19"/>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Las Vegas, Nevada 89109</w:t>
            </w:r>
          </w:p>
        </w:tc>
      </w:tr>
      <w:tr>
        <w:trPr>
          <w:trHeight w:val="432"/>
        </w:trPr>
        <w:tc>
          <w:tcPr>
            <w:tcW w:w="4220" w:type="dxa"/>
            <w:vAlign w:val="bottom"/>
          </w:tcPr>
          <w:p>
            <w:pPr>
              <w:spacing w:after="0"/>
              <w:rPr>
                <w:sz w:val="24"/>
                <w:szCs w:val="24"/>
                <w:color w:val="auto"/>
              </w:rPr>
            </w:pPr>
          </w:p>
        </w:tc>
        <w:tc>
          <w:tcPr>
            <w:tcW w:w="7200" w:type="dxa"/>
            <w:vAlign w:val="bottom"/>
          </w:tcPr>
          <w:p>
            <w:pPr>
              <w:jc w:val="right"/>
              <w:ind w:right="5572"/>
              <w:spacing w:after="0"/>
              <w:rPr>
                <w:sz w:val="20"/>
                <w:szCs w:val="20"/>
                <w:color w:val="auto"/>
              </w:rPr>
            </w:pPr>
            <w:r>
              <w:rPr>
                <w:rFonts w:ascii="Arial" w:cs="Arial" w:eastAsia="Arial" w:hAnsi="Arial"/>
                <w:sz w:val="18"/>
                <w:szCs w:val="18"/>
                <w:color w:val="auto"/>
              </w:rPr>
              <w:t>8</w:t>
            </w:r>
          </w:p>
        </w:tc>
      </w:tr>
      <w:tr>
        <w:trPr>
          <w:trHeight w:val="228"/>
        </w:trPr>
        <w:tc>
          <w:tcPr>
            <w:tcW w:w="422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46" w:orient="portrait"/>
          <w:cols w:equalWidth="0" w:num="1">
            <w:col w:w="11420"/>
          </w:cols>
          <w:pgMar w:left="240" w:top="131" w:right="239" w:bottom="0" w:gutter="0" w:footer="0" w:header="0"/>
        </w:sectPr>
      </w:pPr>
    </w:p>
    <w:p>
      <w:pPr>
        <w:spacing w:after="0" w:line="340"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WITH A COPY THAT SHALL NOT</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BE NOTICE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TO EMPLOYEE: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Kenneth R.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1717 Enclave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89134</w:t>
      </w:r>
    </w:p>
    <w:p>
      <w:pPr>
        <w:spacing w:after="0" w:line="200" w:lineRule="exact"/>
        <w:rPr>
          <w:sz w:val="20"/>
          <w:szCs w:val="20"/>
          <w:color w:val="auto"/>
        </w:rPr>
      </w:pPr>
    </w:p>
    <w:p>
      <w:pPr>
        <w:sectPr>
          <w:pgSz w:w="11900" w:h="16946" w:orient="portrait"/>
          <w:cols w:equalWidth="0" w:num="2">
            <w:col w:w="4600" w:space="480"/>
            <w:col w:w="6340"/>
          </w:cols>
          <w:pgMar w:left="240" w:top="131" w:right="239" w:bottom="0" w:gutter="0" w:footer="0" w:header="0"/>
          <w:type w:val="continuous"/>
        </w:sectPr>
      </w:pPr>
    </w:p>
    <w:p>
      <w:pPr>
        <w:spacing w:after="0" w:line="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200" w:firstLine="359"/>
        <w:spacing w:after="0" w:line="268" w:lineRule="auto"/>
        <w:tabs>
          <w:tab w:leader="none" w:pos="746"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5" w:lineRule="exact"/>
        <w:rPr>
          <w:rFonts w:ascii="Arial" w:cs="Arial" w:eastAsia="Arial" w:hAnsi="Arial"/>
          <w:sz w:val="18"/>
          <w:szCs w:val="18"/>
          <w:b w:val="1"/>
          <w:bCs w:val="1"/>
          <w:color w:val="auto"/>
        </w:rPr>
      </w:pPr>
    </w:p>
    <w:p>
      <w:pPr>
        <w:ind w:right="20" w:firstLine="359"/>
        <w:spacing w:after="0" w:line="332" w:lineRule="auto"/>
        <w:tabs>
          <w:tab w:leader="none" w:pos="746"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b w:val="1"/>
          <w:bCs w:val="1"/>
          <w:color w:val="auto"/>
        </w:rPr>
      </w:pPr>
    </w:p>
    <w:p>
      <w:pPr>
        <w:ind w:right="140" w:firstLine="359"/>
        <w:spacing w:after="0" w:line="291" w:lineRule="auto"/>
        <w:tabs>
          <w:tab w:leader="none" w:pos="746"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DISPUTE RESOLUTION.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74" w:lineRule="exact"/>
        <w:rPr>
          <w:rFonts w:ascii="Arial" w:cs="Arial" w:eastAsia="Arial" w:hAnsi="Arial"/>
          <w:sz w:val="16"/>
          <w:szCs w:val="16"/>
          <w:b w:val="1"/>
          <w:bCs w:val="1"/>
          <w:color w:val="auto"/>
        </w:rPr>
      </w:pPr>
    </w:p>
    <w:p>
      <w:pPr>
        <w:ind w:right="140" w:firstLine="359"/>
        <w:spacing w:after="0" w:line="259" w:lineRule="auto"/>
        <w:tabs>
          <w:tab w:leader="none" w:pos="743"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b w:val="1"/>
          <w:bCs w:val="1"/>
          <w:color w:val="auto"/>
        </w:rPr>
      </w:pPr>
    </w:p>
    <w:p>
      <w:pPr>
        <w:ind w:right="120" w:firstLine="359"/>
        <w:spacing w:after="0" w:line="298" w:lineRule="auto"/>
        <w:tabs>
          <w:tab w:leader="none" w:pos="746"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IN WITNESS WHEREOF AND INTENDING TO BE LEGALLY BOUND THEREBY</w:t>
      </w:r>
      <w:r>
        <w:rPr>
          <w:rFonts w:ascii="Arial" w:cs="Arial" w:eastAsia="Arial" w:hAnsi="Arial"/>
          <w:sz w:val="18"/>
          <w:szCs w:val="18"/>
          <w:color w:val="auto"/>
        </w:rPr>
        <w:t>, the parties hereto have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year and date first above written.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WYNN DESIGN &amp; DEVELOPMENT, LLC</w:t>
            </w:r>
          </w:p>
        </w:tc>
        <w:tc>
          <w:tcPr>
            <w:tcW w:w="960" w:type="dxa"/>
            <w:vAlign w:val="bottom"/>
          </w:tcPr>
          <w:p>
            <w:pPr>
              <w:spacing w:after="0"/>
              <w:rPr>
                <w:sz w:val="18"/>
                <w:szCs w:val="18"/>
                <w:color w:val="auto"/>
              </w:rPr>
            </w:pPr>
          </w:p>
        </w:tc>
        <w:tc>
          <w:tcPr>
            <w:tcW w:w="5600" w:type="dxa"/>
            <w:vAlign w:val="bottom"/>
            <w:gridSpan w:val="2"/>
          </w:tcPr>
          <w:p>
            <w:pPr>
              <w:ind w:left="580"/>
              <w:spacing w:after="0"/>
              <w:rPr>
                <w:sz w:val="20"/>
                <w:szCs w:val="20"/>
                <w:color w:val="auto"/>
              </w:rPr>
            </w:pPr>
            <w:r>
              <w:rPr>
                <w:rFonts w:ascii="Arial" w:cs="Arial" w:eastAsia="Arial" w:hAnsi="Arial"/>
                <w:sz w:val="18"/>
                <w:szCs w:val="18"/>
                <w:b w:val="1"/>
                <w:bCs w:val="1"/>
                <w:color w:val="auto"/>
              </w:rPr>
              <w:t>EMPLOYEE</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By Valvino Lamore, LLC,</w:t>
            </w:r>
          </w:p>
        </w:tc>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Its Sole Member,</w:t>
            </w:r>
          </w:p>
        </w:tc>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3"/>
              </w:rPr>
              <w:t>By Wynn Resorts, Limited,</w:t>
            </w:r>
          </w:p>
        </w:tc>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Its Sole Member</w:t>
            </w: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648"/>
        </w:trPr>
        <w:tc>
          <w:tcPr>
            <w:tcW w:w="2160" w:type="dxa"/>
            <w:vAlign w:val="bottom"/>
            <w:gridSpan w:val="2"/>
          </w:tcPr>
          <w:p>
            <w:pPr>
              <w:spacing w:after="0"/>
              <w:rPr>
                <w:sz w:val="20"/>
                <w:szCs w:val="20"/>
                <w:color w:val="auto"/>
              </w:rPr>
            </w:pPr>
            <w:r>
              <w:rPr>
                <w:rFonts w:ascii="Arial" w:cs="Arial" w:eastAsia="Arial" w:hAnsi="Arial"/>
                <w:sz w:val="18"/>
                <w:szCs w:val="18"/>
                <w:color w:val="auto"/>
              </w:rPr>
              <w:t>By:</w:t>
            </w:r>
          </w:p>
        </w:tc>
        <w:tc>
          <w:tcPr>
            <w:tcW w:w="2700" w:type="dxa"/>
            <w:vAlign w:val="bottom"/>
          </w:tcPr>
          <w:p>
            <w:pPr>
              <w:ind w:left="100"/>
              <w:spacing w:after="0"/>
              <w:rPr>
                <w:sz w:val="20"/>
                <w:szCs w:val="20"/>
                <w:color w:val="auto"/>
              </w:rPr>
            </w:pPr>
            <w:r>
              <w:rPr>
                <w:rFonts w:ascii="Arial" w:cs="Arial" w:eastAsia="Arial" w:hAnsi="Arial"/>
                <w:sz w:val="18"/>
                <w:szCs w:val="18"/>
                <w:color w:val="auto"/>
              </w:rPr>
              <w:t>/s/ MARC D. SCHORR</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8"/>
              </w:rPr>
              <w:t>/s/ Kenneth R. Wynn</w:t>
            </w:r>
          </w:p>
        </w:tc>
      </w:tr>
      <w:tr>
        <w:trPr>
          <w:trHeight w:val="120"/>
        </w:trPr>
        <w:tc>
          <w:tcPr>
            <w:tcW w:w="700" w:type="dxa"/>
            <w:vAlign w:val="bottom"/>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3"/>
        </w:trPr>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jc w:val="center"/>
              <w:ind w:right="392"/>
              <w:spacing w:after="0"/>
              <w:rPr>
                <w:sz w:val="20"/>
                <w:szCs w:val="20"/>
                <w:color w:val="auto"/>
              </w:rPr>
            </w:pPr>
            <w:r>
              <w:rPr>
                <w:rFonts w:ascii="Arial" w:cs="Arial" w:eastAsia="Arial" w:hAnsi="Arial"/>
                <w:sz w:val="18"/>
                <w:szCs w:val="18"/>
                <w:color w:val="auto"/>
                <w:w w:val="90"/>
              </w:rPr>
              <w:t>Marc D. Schorr</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Kenneth R. Wynn</w:t>
            </w:r>
          </w:p>
        </w:tc>
      </w:tr>
      <w:tr>
        <w:trPr>
          <w:trHeight w:val="222"/>
        </w:trPr>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700" w:type="dxa"/>
            <w:vAlign w:val="bottom"/>
          </w:tcPr>
          <w:p>
            <w:pPr>
              <w:jc w:val="center"/>
              <w:ind w:right="412"/>
              <w:spacing w:after="0"/>
              <w:rPr>
                <w:sz w:val="20"/>
                <w:szCs w:val="20"/>
                <w:color w:val="auto"/>
              </w:rPr>
            </w:pPr>
            <w:r>
              <w:rPr>
                <w:rFonts w:ascii="Arial" w:cs="Arial" w:eastAsia="Arial" w:hAnsi="Arial"/>
                <w:sz w:val="18"/>
                <w:szCs w:val="18"/>
                <w:i w:val="1"/>
                <w:iCs w:val="1"/>
                <w:color w:val="auto"/>
                <w:w w:val="91"/>
              </w:rPr>
              <w:t>Chief Operating Officer</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32"/>
        </w:trPr>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-786130</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-786130</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-786130</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Indemnification and Gross-Up for Excise Taxes</w:t>
      </w:r>
    </w:p>
    <w:p>
      <w:pPr>
        <w:spacing w:after="0" w:line="225" w:lineRule="exact"/>
        <w:rPr>
          <w:sz w:val="20"/>
          <w:szCs w:val="20"/>
          <w:color w:val="auto"/>
        </w:rPr>
      </w:pPr>
    </w:p>
    <w:p>
      <w:pPr>
        <w:ind w:right="140" w:firstLine="359"/>
        <w:spacing w:after="0" w:line="312" w:lineRule="auto"/>
        <w:tabs>
          <w:tab w:leader="none" w:pos="634" w:val="left"/>
        </w:tabs>
        <w:numPr>
          <w:ilvl w:val="0"/>
          <w:numId w:val="240"/>
        </w:numPr>
        <w:rPr>
          <w:rFonts w:ascii="Arial" w:cs="Arial" w:eastAsia="Arial" w:hAnsi="Arial"/>
          <w:sz w:val="15"/>
          <w:szCs w:val="15"/>
          <w:color w:val="auto"/>
        </w:rPr>
      </w:pPr>
      <w:r>
        <w:rPr>
          <w:rFonts w:ascii="Arial" w:cs="Arial" w:eastAsia="Arial" w:hAnsi="Arial"/>
          <w:sz w:val="15"/>
          <w:szCs w:val="15"/>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w:t>
      </w:r>
    </w:p>
    <w:p>
      <w:pPr>
        <w:sectPr>
          <w:pgSz w:w="11900" w:h="16946" w:orient="portrait"/>
          <w:cols w:equalWidth="0" w:num="1">
            <w:col w:w="11420"/>
          </w:cols>
          <w:pgMar w:left="240" w:top="131" w:right="239" w:bottom="0" w:gutter="0" w:footer="0" w:header="0"/>
          <w:type w:val="continuous"/>
        </w:sectPr>
      </w:pPr>
    </w:p>
    <w:bookmarkStart w:id="165" w:name="page166"/>
    <w:bookmarkEnd w:id="165"/>
    <w:p>
      <w:pPr>
        <w:ind w:right="80"/>
        <w:spacing w:after="0" w:line="287" w:lineRule="auto"/>
        <w:rPr>
          <w:sz w:val="20"/>
          <w:szCs w:val="20"/>
          <w:color w:val="auto"/>
        </w:rPr>
      </w:pPr>
      <w:r>
        <w:rPr>
          <w:rFonts w:ascii="Arial" w:cs="Arial" w:eastAsia="Arial" w:hAnsi="Arial"/>
          <w:sz w:val="16"/>
          <w:szCs w:val="16"/>
          <w:color w:val="auto"/>
        </w:rPr>
        <w:t>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77" w:lineRule="exact"/>
        <w:rPr>
          <w:sz w:val="20"/>
          <w:szCs w:val="20"/>
          <w:color w:val="auto"/>
        </w:rPr>
      </w:pPr>
    </w:p>
    <w:p>
      <w:pPr>
        <w:ind w:right="20" w:firstLine="359"/>
        <w:spacing w:after="0" w:line="302" w:lineRule="auto"/>
        <w:tabs>
          <w:tab w:leader="none" w:pos="644" w:val="left"/>
        </w:tabs>
        <w:numPr>
          <w:ilvl w:val="0"/>
          <w:numId w:val="241"/>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w:t>
      </w:r>
    </w:p>
    <w:p>
      <w:pPr>
        <w:spacing w:after="0" w:line="1" w:lineRule="exact"/>
        <w:rPr>
          <w:rFonts w:ascii="Arial" w:cs="Arial" w:eastAsia="Arial" w:hAnsi="Arial"/>
          <w:sz w:val="15"/>
          <w:szCs w:val="15"/>
          <w:color w:val="auto"/>
        </w:rPr>
      </w:pPr>
    </w:p>
    <w:p>
      <w:pPr>
        <w:ind w:right="180"/>
        <w:spacing w:after="0" w:line="255" w:lineRule="auto"/>
        <w:rPr>
          <w:rFonts w:ascii="Arial" w:cs="Arial" w:eastAsia="Arial" w:hAnsi="Arial"/>
          <w:sz w:val="15"/>
          <w:szCs w:val="15"/>
          <w:color w:val="auto"/>
        </w:rPr>
      </w:pPr>
      <w:r>
        <w:rPr>
          <w:rFonts w:ascii="Arial" w:cs="Arial" w:eastAsia="Arial" w:hAnsi="Arial"/>
          <w:sz w:val="18"/>
          <w:szCs w:val="18"/>
          <w:color w:val="auto"/>
        </w:rPr>
        <w:t>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98" w:lineRule="exact"/>
        <w:rPr>
          <w:rFonts w:ascii="Arial" w:cs="Arial" w:eastAsia="Arial" w:hAnsi="Arial"/>
          <w:sz w:val="15"/>
          <w:szCs w:val="15"/>
          <w:color w:val="auto"/>
        </w:rPr>
      </w:pPr>
    </w:p>
    <w:p>
      <w:pPr>
        <w:ind w:right="420" w:firstLine="359"/>
        <w:spacing w:after="0" w:line="291" w:lineRule="auto"/>
        <w:tabs>
          <w:tab w:leader="none" w:pos="63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Employee shall not be obligated to furnish to Employer copies of any portion of his or her tax returns which do not bear upon, and are not affected by, the Controversy.</w:t>
      </w:r>
    </w:p>
    <w:p>
      <w:pPr>
        <w:spacing w:after="0" w:line="172" w:lineRule="exact"/>
        <w:rPr>
          <w:sz w:val="20"/>
          <w:szCs w:val="20"/>
          <w:color w:val="auto"/>
        </w:rPr>
      </w:pPr>
    </w:p>
    <w:p>
      <w:pPr>
        <w:ind w:firstLine="359"/>
        <w:spacing w:after="0" w:line="253" w:lineRule="auto"/>
        <w:tabs>
          <w:tab w:leader="none" w:pos="6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10.43</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EMPLOYMENT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EXHIBIT 1 Indemnification and Gross-Up for Excise Taxes</w:t>
        </w:r>
      </w:hyperlink>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22"/>
          <w:szCs w:val="22"/>
          <w:color w:val="0000EE"/>
        </w:rPr>
      </w:pPr>
      <w:hyperlink w:anchor="page1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 INDEMNIFICATION AGREEMENT</w:t>
      </w:r>
    </w:p>
    <w:p>
      <w:pPr>
        <w:spacing w:after="0" w:line="225" w:lineRule="exact"/>
        <w:rPr>
          <w:sz w:val="20"/>
          <w:szCs w:val="20"/>
          <w:color w:val="auto"/>
        </w:rPr>
      </w:pPr>
    </w:p>
    <w:p>
      <w:pPr>
        <w:ind w:right="280" w:firstLine="348"/>
        <w:spacing w:after="0" w:line="296" w:lineRule="auto"/>
        <w:rPr>
          <w:sz w:val="20"/>
          <w:szCs w:val="20"/>
          <w:color w:val="auto"/>
        </w:rPr>
      </w:pPr>
      <w:r>
        <w:rPr>
          <w:rFonts w:ascii="Arial" w:cs="Arial" w:eastAsia="Arial" w:hAnsi="Arial"/>
          <w:sz w:val="16"/>
          <w:szCs w:val="16"/>
          <w:color w:val="auto"/>
        </w:rPr>
        <w:t>This Tax Indemnification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effective as of September 24, 2002, by and among Stephen A. Wynn, an individual, Aruze USA, Inc., a Nevada corporation, Baron Asset Fund, a Massachusetts business trust, on behalf of the Baron Asset Fund Series, Baron Asset Fund, a Massachusetts business trust, on behalf of the Baron Growth Fund Series, and Kenneth R. Wynn Family Trust dated February 20, 1985 (each of the foregoing, individually, a "</w:t>
      </w:r>
      <w:r>
        <w:rPr>
          <w:rFonts w:ascii="Arial" w:cs="Arial" w:eastAsia="Arial" w:hAnsi="Arial"/>
          <w:sz w:val="16"/>
          <w:szCs w:val="16"/>
          <w:b w:val="1"/>
          <w:bCs w:val="1"/>
          <w:color w:val="auto"/>
        </w:rPr>
        <w:t>Member,</w:t>
      </w:r>
      <w:r>
        <w:rPr>
          <w:rFonts w:ascii="Arial" w:cs="Arial" w:eastAsia="Arial" w:hAnsi="Arial"/>
          <w:sz w:val="16"/>
          <w:szCs w:val="16"/>
          <w:color w:val="auto"/>
        </w:rPr>
        <w:t>" and, collectively, the "</w:t>
      </w:r>
      <w:r>
        <w:rPr>
          <w:rFonts w:ascii="Arial" w:cs="Arial" w:eastAsia="Arial" w:hAnsi="Arial"/>
          <w:sz w:val="16"/>
          <w:szCs w:val="16"/>
          <w:b w:val="1"/>
          <w:bCs w:val="1"/>
          <w:color w:val="auto"/>
        </w:rPr>
        <w:t>Members</w:t>
      </w:r>
      <w:r>
        <w:rPr>
          <w:rFonts w:ascii="Arial" w:cs="Arial" w:eastAsia="Arial" w:hAnsi="Arial"/>
          <w:sz w:val="16"/>
          <w:szCs w:val="16"/>
          <w:color w:val="auto"/>
        </w:rPr>
        <w:t>"), Valvino Lamore, LLC, a Nevada limited liability company (the "</w:t>
      </w:r>
      <w:r>
        <w:rPr>
          <w:rFonts w:ascii="Arial" w:cs="Arial" w:eastAsia="Arial" w:hAnsi="Arial"/>
          <w:sz w:val="16"/>
          <w:szCs w:val="16"/>
          <w:b w:val="1"/>
          <w:bCs w:val="1"/>
          <w:color w:val="auto"/>
        </w:rPr>
        <w:t>LLC</w:t>
      </w:r>
      <w:r>
        <w:rPr>
          <w:rFonts w:ascii="Arial" w:cs="Arial" w:eastAsia="Arial" w:hAnsi="Arial"/>
          <w:sz w:val="16"/>
          <w:szCs w:val="16"/>
          <w:color w:val="auto"/>
        </w:rPr>
        <w:t>"), and Wynn Resorts, Limited, a Nevada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with reference to the following facts:</w:t>
      </w:r>
    </w:p>
    <w:p>
      <w:pPr>
        <w:spacing w:after="0" w:line="162" w:lineRule="exact"/>
        <w:rPr>
          <w:sz w:val="20"/>
          <w:szCs w:val="20"/>
          <w:color w:val="auto"/>
        </w:rPr>
      </w:pPr>
    </w:p>
    <w:p>
      <w:pPr>
        <w:ind w:right="160" w:firstLine="348"/>
        <w:spacing w:after="0" w:line="275" w:lineRule="auto"/>
        <w:rPr>
          <w:sz w:val="20"/>
          <w:szCs w:val="20"/>
          <w:color w:val="auto"/>
        </w:rPr>
      </w:pPr>
      <w:r>
        <w:rPr>
          <w:rFonts w:ascii="Arial" w:cs="Arial" w:eastAsia="Arial" w:hAnsi="Arial"/>
          <w:sz w:val="18"/>
          <w:szCs w:val="18"/>
          <w:color w:val="auto"/>
        </w:rPr>
        <w:t>WHEREAS, each Member owns an interest in the LLC (an "</w:t>
      </w:r>
      <w:r>
        <w:rPr>
          <w:rFonts w:ascii="Arial" w:cs="Arial" w:eastAsia="Arial" w:hAnsi="Arial"/>
          <w:sz w:val="18"/>
          <w:szCs w:val="18"/>
          <w:b w:val="1"/>
          <w:bCs w:val="1"/>
          <w:color w:val="auto"/>
        </w:rPr>
        <w:t>LLC Interest</w:t>
      </w:r>
      <w:r>
        <w:rPr>
          <w:rFonts w:ascii="Arial" w:cs="Arial" w:eastAsia="Arial" w:hAnsi="Arial"/>
          <w:sz w:val="18"/>
          <w:szCs w:val="18"/>
          <w:color w:val="auto"/>
        </w:rPr>
        <w:t>") and has entered into that certain Amended and Restated Operating Agreement of the LLC dated as of October 3, 2000, as amended (the "</w:t>
      </w:r>
      <w:r>
        <w:rPr>
          <w:rFonts w:ascii="Arial" w:cs="Arial" w:eastAsia="Arial" w:hAnsi="Arial"/>
          <w:sz w:val="18"/>
          <w:szCs w:val="18"/>
          <w:b w:val="1"/>
          <w:bCs w:val="1"/>
          <w:color w:val="auto"/>
        </w:rPr>
        <w:t>Operating Agreement</w:t>
      </w:r>
      <w:r>
        <w:rPr>
          <w:rFonts w:ascii="Arial" w:cs="Arial" w:eastAsia="Arial" w:hAnsi="Arial"/>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Members constitute all of the members of the LLC;</w:t>
      </w:r>
    </w:p>
    <w:p>
      <w:pPr>
        <w:spacing w:after="0" w:line="219" w:lineRule="exact"/>
        <w:rPr>
          <w:sz w:val="20"/>
          <w:szCs w:val="20"/>
          <w:color w:val="auto"/>
        </w:rPr>
      </w:pPr>
    </w:p>
    <w:p>
      <w:pPr>
        <w:ind w:right="400" w:firstLine="348"/>
        <w:spacing w:after="0" w:line="310" w:lineRule="auto"/>
        <w:rPr>
          <w:sz w:val="20"/>
          <w:szCs w:val="20"/>
          <w:color w:val="auto"/>
        </w:rPr>
      </w:pPr>
      <w:r>
        <w:rPr>
          <w:rFonts w:ascii="Arial" w:cs="Arial" w:eastAsia="Arial" w:hAnsi="Arial"/>
          <w:sz w:val="16"/>
          <w:szCs w:val="16"/>
          <w:color w:val="auto"/>
        </w:rPr>
        <w:t>WHEREAS, the Members and the Corporation have entered into that certain Contribution Agreement, effective as of June 10, 2002 (the "</w:t>
      </w:r>
      <w:r>
        <w:rPr>
          <w:rFonts w:ascii="Arial" w:cs="Arial" w:eastAsia="Arial" w:hAnsi="Arial"/>
          <w:sz w:val="16"/>
          <w:szCs w:val="16"/>
          <w:b w:val="1"/>
          <w:bCs w:val="1"/>
          <w:color w:val="auto"/>
        </w:rPr>
        <w:t>Contribution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pursuant to which each Member has agreed to contribute to the Corporation all of his or its LLC Interest, effective as of the Closing Date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Contribution Agreement), in exchange for shares of common stock, $0.01 par value per share, of the Corporation;</w:t>
      </w:r>
    </w:p>
    <w:p>
      <w:pPr>
        <w:spacing w:after="0" w:line="151" w:lineRule="exact"/>
        <w:rPr>
          <w:sz w:val="20"/>
          <w:szCs w:val="20"/>
          <w:color w:val="auto"/>
        </w:rPr>
      </w:pPr>
    </w:p>
    <w:p>
      <w:pPr>
        <w:ind w:right="140" w:firstLine="348"/>
        <w:spacing w:after="0" w:line="262" w:lineRule="auto"/>
        <w:rPr>
          <w:sz w:val="20"/>
          <w:szCs w:val="20"/>
          <w:color w:val="auto"/>
        </w:rPr>
      </w:pPr>
      <w:r>
        <w:rPr>
          <w:rFonts w:ascii="Arial" w:cs="Arial" w:eastAsia="Arial" w:hAnsi="Arial"/>
          <w:sz w:val="18"/>
          <w:szCs w:val="18"/>
          <w:color w:val="auto"/>
        </w:rPr>
        <w:t>WHEREAS, the LLC has been classified as a partnership for federal tax purposes (a "</w:t>
      </w:r>
      <w:r>
        <w:rPr>
          <w:rFonts w:ascii="Arial" w:cs="Arial" w:eastAsia="Arial" w:hAnsi="Arial"/>
          <w:sz w:val="18"/>
          <w:szCs w:val="18"/>
          <w:b w:val="1"/>
          <w:bCs w:val="1"/>
          <w:color w:val="auto"/>
        </w:rPr>
        <w:t>Tax Partnership</w:t>
      </w:r>
      <w:r>
        <w:rPr>
          <w:rFonts w:ascii="Arial" w:cs="Arial" w:eastAsia="Arial" w:hAnsi="Arial"/>
          <w:sz w:val="18"/>
          <w:szCs w:val="18"/>
          <w:color w:val="auto"/>
        </w:rPr>
        <w:t>") since October 3, 2000 (the "</w:t>
      </w:r>
      <w:r>
        <w:rPr>
          <w:rFonts w:ascii="Arial" w:cs="Arial" w:eastAsia="Arial" w:hAnsi="Arial"/>
          <w:sz w:val="18"/>
          <w:szCs w:val="18"/>
          <w:b w:val="1"/>
          <w:bCs w:val="1"/>
          <w:color w:val="auto"/>
        </w:rPr>
        <w:t>Partnership</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will continue to be classified as a partnership for federal tax purposes until the contribution of the LLC Interests to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Contribution Agreement (the "</w:t>
      </w:r>
      <w:r>
        <w:rPr>
          <w:rFonts w:ascii="Arial" w:cs="Arial" w:eastAsia="Arial" w:hAnsi="Arial"/>
          <w:sz w:val="18"/>
          <w:szCs w:val="18"/>
          <w:b w:val="1"/>
          <w:bCs w:val="1"/>
          <w:color w:val="auto"/>
        </w:rPr>
        <w:t>Contribution</w:t>
      </w:r>
      <w:r>
        <w:rPr>
          <w:rFonts w:ascii="Arial" w:cs="Arial" w:eastAsia="Arial" w:hAnsi="Arial"/>
          <w:sz w:val="18"/>
          <w:szCs w:val="18"/>
          <w:color w:val="auto"/>
        </w:rPr>
        <w:t>");</w:t>
      </w:r>
    </w:p>
    <w:p>
      <w:pPr>
        <w:spacing w:after="0" w:line="192"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WHEREAS, commencing upon the Contribution, the LLC will for federal tax purposes be disregarded as an entity separate from the Corporation, and the LLC's activities will be treated in the same manner as a division of the Corporation;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will be classified as a corporation for federal tax purposes (a "</w:t>
      </w:r>
      <w:r>
        <w:rPr>
          <w:rFonts w:ascii="Arial" w:cs="Arial" w:eastAsia="Arial" w:hAnsi="Arial"/>
          <w:sz w:val="18"/>
          <w:szCs w:val="18"/>
          <w:b w:val="1"/>
          <w:bCs w:val="1"/>
          <w:color w:val="auto"/>
        </w:rPr>
        <w:t>C Corporation</w:t>
      </w:r>
      <w:r>
        <w:rPr>
          <w:rFonts w:ascii="Arial" w:cs="Arial" w:eastAsia="Arial" w:hAnsi="Arial"/>
          <w:sz w:val="18"/>
          <w:szCs w:val="18"/>
          <w:color w:val="auto"/>
        </w:rPr>
        <w:t>"); and</w:t>
      </w:r>
    </w:p>
    <w:p>
      <w:pPr>
        <w:spacing w:after="0" w:line="231"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WHEREAS, in entering into the Contribution Agreement, the Members and the Corporation understood that, in connection with the Contribution and the resulting termination of the LLC's classification as a Tax Partnership, there would be a tax indemnification agreement among the Members, the LLC, and the Corporation.</w:t>
      </w:r>
    </w:p>
    <w:p>
      <w:pPr>
        <w:spacing w:after="0" w:line="194" w:lineRule="exact"/>
        <w:rPr>
          <w:sz w:val="20"/>
          <w:szCs w:val="20"/>
          <w:color w:val="auto"/>
        </w:rPr>
      </w:pPr>
    </w:p>
    <w:p>
      <w:pPr>
        <w:ind w:right="980" w:firstLine="351"/>
        <w:spacing w:after="0" w:line="332" w:lineRule="auto"/>
        <w:rPr>
          <w:sz w:val="20"/>
          <w:szCs w:val="20"/>
          <w:color w:val="auto"/>
        </w:rPr>
      </w:pPr>
      <w:r>
        <w:rPr>
          <w:rFonts w:ascii="Arial" w:cs="Arial" w:eastAsia="Arial" w:hAnsi="Arial"/>
          <w:sz w:val="16"/>
          <w:szCs w:val="16"/>
          <w:color w:val="auto"/>
        </w:rPr>
        <w:t>NOW, THEREFORE, in light of the above recitals and in consideration of the mutual agreements contained herein and other good and valuable consideration, the receipt and sufficiency of which are hereby acknowledged, the parties hereby agree as follows:</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Partnership Classification; Termination.</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Tax Partnership.</w:t>
      </w:r>
      <w:r>
        <w:rPr>
          <w:rFonts w:ascii="Arial" w:cs="Arial" w:eastAsia="Arial" w:hAnsi="Arial"/>
          <w:sz w:val="18"/>
          <w:szCs w:val="18"/>
          <w:color w:val="auto"/>
        </w:rPr>
        <w:t xml:space="preserve"> The Members and the LLC represent and warrant that the LLC has been a Tax Partnership since the Partnership Commencement Date until the date hereof.</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Termination of Tax Partnership.</w:t>
      </w:r>
      <w:r>
        <w:rPr>
          <w:rFonts w:ascii="Arial" w:cs="Arial" w:eastAsia="Arial" w:hAnsi="Arial"/>
          <w:sz w:val="18"/>
          <w:szCs w:val="18"/>
          <w:color w:val="auto"/>
        </w:rPr>
        <w:t xml:space="preserve"> Effective upon the Contribution, the LLC and the Corporation intend to terminate the LLC's classification as a Tax Partnership and to treat the LLC as a division of a C Corporation.</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4"/>
          <w:szCs w:val="14"/>
          <w:b w:val="1"/>
          <w:bCs w:val="1"/>
          <w:color w:val="auto"/>
        </w:rPr>
        <w:t>Taxes.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Liability for Taxes Incurred During Partnership Taxable Years.</w:t>
      </w:r>
      <w:r>
        <w:rPr>
          <w:rFonts w:ascii="Arial" w:cs="Arial" w:eastAsia="Arial" w:hAnsi="Arial"/>
          <w:sz w:val="16"/>
          <w:szCs w:val="16"/>
          <w:color w:val="auto"/>
        </w:rPr>
        <w:t xml:space="preserve"> Each Member, severally and not jointly, covenants and agrees that: (i) such Member has duly included, or will duly include, in his or its own federal and, if applicable, state or other income tax returns, his or its allocable share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to such Member by the LLC on Schedule K-1 to Form 1065 (U.S. Return of Partnership Income) or other applicable form) of the LLC's items of income, gain, loss, deduction, or credit (such items, "</w:t>
      </w:r>
      <w:r>
        <w:rPr>
          <w:rFonts w:ascii="Arial" w:cs="Arial" w:eastAsia="Arial" w:hAnsi="Arial"/>
          <w:sz w:val="16"/>
          <w:szCs w:val="16"/>
          <w:b w:val="1"/>
          <w:bCs w:val="1"/>
          <w:color w:val="auto"/>
        </w:rPr>
        <w:t>Tax Items</w:t>
      </w:r>
      <w:r>
        <w:rPr>
          <w:rFonts w:ascii="Arial" w:cs="Arial" w:eastAsia="Arial" w:hAnsi="Arial"/>
          <w:sz w:val="16"/>
          <w:szCs w:val="16"/>
          <w:color w:val="auto"/>
        </w:rPr>
        <w:t>") attributable to taxable years ending on or before the date of the Contribution during which the LLC was or is classified as a Tax Partnership (such taxable years, "</w:t>
      </w:r>
      <w:r>
        <w:rPr>
          <w:rFonts w:ascii="Arial" w:cs="Arial" w:eastAsia="Arial" w:hAnsi="Arial"/>
          <w:sz w:val="16"/>
          <w:szCs w:val="16"/>
          <w:b w:val="1"/>
          <w:bCs w:val="1"/>
          <w:color w:val="auto"/>
        </w:rPr>
        <w:t>Partnership Taxable Years</w:t>
      </w:r>
      <w:r>
        <w:rPr>
          <w:rFonts w:ascii="Arial" w:cs="Arial" w:eastAsia="Arial" w:hAnsi="Arial"/>
          <w:sz w:val="16"/>
          <w:szCs w:val="16"/>
          <w:color w:val="auto"/>
        </w:rPr>
        <w:t>"); and (ii) such Member has paid, or will pay, any and all taxes attributable to such allocable share. Each Member, severally (according to his or its allocable share of the LLC's Tax Items as determined under the applicable provisions of the Operating Agreement) and not jointly, covenants and agrees to pay any income taxes, interest, or penalties thereon assessed with respect to the LLC for Partnership Taxable Years (subject to such Member's right to indemnification hereunder).</w:t>
      </w:r>
    </w:p>
    <w:p>
      <w:pPr>
        <w:spacing w:after="0" w:line="174"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Preparation of Returns; Liability for Taxes Following Contribution.</w:t>
      </w:r>
      <w:r>
        <w:rPr>
          <w:rFonts w:ascii="Arial" w:cs="Arial" w:eastAsia="Arial" w:hAnsi="Arial"/>
          <w:sz w:val="18"/>
          <w:szCs w:val="18"/>
          <w:color w:val="auto"/>
        </w:rPr>
        <w:t xml:space="preserve"> The LLC and the Corporation covenant and agree that: (i) the LLC and the Corporation shall be responsible for and shall effect the filing of all federal, state, foreign, and other tax returns required to be filed by the LLC with respect to any and all taxable periods; (ii) such returns shall include the LLC's income (or loss) from all sources for all periods covered by such returns; and (iii) the LLC and/or the Corporation shall pay (and/or shall cause one or more entities in which the LLC and/or the Corporation, either directly or through one or more other entities, holds an interest to pay) any and all taxes required to be paid by the LLC and/or the Corporation (and/or such entities in which the LLC and/or the Corporation, either directly or through one or more other entities, holds an interest) for all taxable years commencing on or after the date of the Contribution as required by applicable law.</w:t>
      </w:r>
    </w:p>
    <w:p>
      <w:pPr>
        <w:spacing w:after="0" w:line="20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Responsibility for Tax Matters.</w:t>
      </w:r>
      <w:r>
        <w:rPr>
          <w:rFonts w:ascii="Arial" w:cs="Arial" w:eastAsia="Arial" w:hAnsi="Arial"/>
          <w:sz w:val="16"/>
          <w:szCs w:val="16"/>
          <w:color w:val="auto"/>
        </w:rPr>
        <w:t xml:space="preserve"> The LLC and the Corporation shall have full responsibility and discretion for the handling of all tax matters with respect to which the LLC and the Corporation may be required to indemnify a party under Section 2.4 (such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including without limitation all disagreements with federal, state, local, or foreign governmental authorities that impose or have jurisdiction over taxes or similar assessments or charges (such authorities, "</w:t>
      </w:r>
      <w:r>
        <w:rPr>
          <w:rFonts w:ascii="Arial" w:cs="Arial" w:eastAsia="Arial" w:hAnsi="Arial"/>
          <w:sz w:val="16"/>
          <w:szCs w:val="16"/>
          <w:b w:val="1"/>
          <w:bCs w:val="1"/>
          <w:color w:val="auto"/>
        </w:rPr>
        <w:t>Taxing Authorities</w:t>
      </w:r>
      <w:r>
        <w:rPr>
          <w:rFonts w:ascii="Arial" w:cs="Arial" w:eastAsia="Arial" w:hAnsi="Arial"/>
          <w:sz w:val="16"/>
          <w:szCs w:val="16"/>
          <w:color w:val="auto"/>
        </w:rPr>
        <w:t>") involving the treatment of Tax Items in the context of audits, protests to administrative appeals authorities, litigation, or otherwise (such disagreements, "</w:t>
      </w:r>
      <w:r>
        <w:rPr>
          <w:rFonts w:ascii="Arial" w:cs="Arial" w:eastAsia="Arial" w:hAnsi="Arial"/>
          <w:sz w:val="16"/>
          <w:szCs w:val="16"/>
          <w:b w:val="1"/>
          <w:bCs w:val="1"/>
          <w:color w:val="auto"/>
        </w:rPr>
        <w:t>Tax Controversies</w:t>
      </w:r>
      <w:r>
        <w:rPr>
          <w:rFonts w:ascii="Arial" w:cs="Arial" w:eastAsia="Arial" w:hAnsi="Arial"/>
          <w:sz w:val="16"/>
          <w:szCs w:val="16"/>
          <w:color w:val="auto"/>
        </w:rPr>
        <w:t>"); provided, however, that the LLC and the Corporation shall reasonably keep the Indemnified Party advised and shall reasonably consult with the Indemnified Party with respect to any such tax matter. The LLC and the Corporation shall furnish the Indemnified Party with a copy of any correspondence received from a Taxing Authority with respect to any Tax Controversy with respect to which the LLC and the Corporation may be required to indemnify the Indemnified Party as provided hereunder. The Indemnified Party shall provide all reasonable cooperation and</w:t>
      </w:r>
    </w:p>
    <w:p>
      <w:pPr>
        <w:sectPr>
          <w:pgSz w:w="11900" w:h="16838" w:orient="portrait"/>
          <w:cols w:equalWidth="0" w:num="1">
            <w:col w:w="11420"/>
          </w:cols>
          <w:pgMar w:left="240" w:top="361" w:right="239" w:bottom="0" w:gutter="0" w:footer="0" w:header="0"/>
        </w:sectPr>
      </w:pPr>
    </w:p>
    <w:bookmarkStart w:id="167" w:name="page168"/>
    <w:bookmarkEnd w:id="167"/>
    <w:p>
      <w:pPr>
        <w:ind w:right="280"/>
        <w:spacing w:after="0" w:line="268" w:lineRule="auto"/>
        <w:rPr>
          <w:sz w:val="20"/>
          <w:szCs w:val="20"/>
          <w:color w:val="auto"/>
        </w:rPr>
      </w:pPr>
      <w:r>
        <w:rPr>
          <w:rFonts w:ascii="Arial" w:cs="Arial" w:eastAsia="Arial" w:hAnsi="Arial"/>
          <w:sz w:val="18"/>
          <w:szCs w:val="18"/>
          <w:color w:val="auto"/>
        </w:rPr>
        <w:t>assistance as requested by the LLC and the Corporation in order for them to handle such tax matter and shall execute and deliver such documents and perform such actions as are reasonably requested with respect thereto.</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Indemnification by LLC and Corporation for Tax Liabilities.</w:t>
      </w:r>
      <w:r>
        <w:rPr>
          <w:rFonts w:ascii="Arial" w:cs="Arial" w:eastAsia="Arial" w:hAnsi="Arial"/>
          <w:sz w:val="16"/>
          <w:szCs w:val="16"/>
          <w:color w:val="auto"/>
        </w:rPr>
        <w:t xml:space="preserve"> The LLC and the Corporation, jointly and severally, hereby indemnify and agree to defend and hold harmless each Member from, against, and in respect of (a) any federal, state, and other income tax liability (including without limitation interest and penalties) incurred by such Member for any taxable year as a result of an increase in taxable income (or decrease in tax loss) of the LLC for any Partnership Taxable Year (by reason of an amended return, claim for refund, audit, or otherwise) that is accompanied by a related decrease in the taxable income (or increase in tax loss, including carryforwards, or increase in the adjusted basis for federal, state, or other income tax purposes of any assets) of the LLC, the Corporation, or any entity in which the LLC or the Corporation, either directly or through one or more other entities, holds an interest; and (b) all costs and expenses, including without limitation attorneys' fees and costs, reasonably incurred by such Member in fulfilling his or its obligations hereunder to cooperate, assist, and otherwise act at the request of the LLC and the Corporation.</w:t>
      </w:r>
    </w:p>
    <w:p>
      <w:pPr>
        <w:spacing w:after="0" w:line="172"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Notice of Certain Facts, Conditions, and Events.</w:t>
      </w:r>
      <w:r>
        <w:rPr>
          <w:rFonts w:ascii="Arial" w:cs="Arial" w:eastAsia="Arial" w:hAnsi="Arial"/>
          <w:sz w:val="16"/>
          <w:szCs w:val="16"/>
          <w:color w:val="auto"/>
        </w:rPr>
        <w:t xml:space="preserve"> Upon any party to this Agreement becoming aware of a fact, condition, or event that could reasonably lead to a claim for indemnification under Section 2.4, the discovering party shall give prompt notice of such fact, condition, or event to all other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parties to this Agreement; provided, however, that failure to give any such notice shall not relieve the LLC or the Corporation of any of their obligations of indemnification hereunder, unless such failure materially prejudices the ability of the LLC or the Corporation to exercise their rights under Section 2.3.</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All payments of indemnification to be made by the LLC and the Corporation hereunder shall be made in immediately available funds by the later of (a) ten (10) days following receipt of a written notice from the Indemnified Party setting forth in reasonable detail the basis of the claim hereunder and</w:t>
      </w:r>
    </w:p>
    <w:p>
      <w:pPr>
        <w:ind w:right="80" w:firstLine="8"/>
        <w:spacing w:after="0" w:line="295" w:lineRule="auto"/>
        <w:tabs>
          <w:tab w:leader="none" w:pos="24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one business day before the date on which the Indemnified Party is to pay the increase in his or its tax liability or the cost or expense for which he or it is entitled to indemnification under this Agreement. The Indemnified Party shall promptly furnish the LLC and the Corporation with such additional substantiation of such claim as they may reasonably request. Any payment not made by the LLC or the Corporation when due hereunder shall bear interest from the due date at a rate per annum equal to the rate of interest then announced by Bank of America as its prime commercial lending rate plus 200 basis points.</w:t>
      </w:r>
    </w:p>
    <w:p>
      <w:pPr>
        <w:spacing w:after="0" w:line="16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Refund.</w:t>
      </w:r>
      <w:r>
        <w:rPr>
          <w:rFonts w:ascii="Arial" w:cs="Arial" w:eastAsia="Arial" w:hAnsi="Arial"/>
          <w:sz w:val="16"/>
          <w:szCs w:val="16"/>
          <w:color w:val="auto"/>
        </w:rPr>
        <w:t xml:space="preserve"> If the Indemnified Party receives a payment of indemnification hereunder, the Indemnified Party shall provide all reasonable cooperation and assistance as may later be requested by the LLC and the Corporation in order to pursue a refund from a Taxing Authority of part or all of the increase in the Indemnified Party's tax liability in respect of which such payment of indemnification was made. In connection therewith, the Indemnified Party shall execute and deliver such documents and perform such actions as are reasonably requested with respect thereto. If the Indemnified Party receives such a refund, the Indemnified Party shall return such payment of indemnification to the extent of the amount of such refund.</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Miscellaneous.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Complete Agreement; Modifications.</w:t>
      </w:r>
      <w:r>
        <w:rPr>
          <w:rFonts w:ascii="Arial" w:cs="Arial" w:eastAsia="Arial" w:hAnsi="Arial"/>
          <w:sz w:val="18"/>
          <w:szCs w:val="18"/>
          <w:color w:val="auto"/>
        </w:rPr>
        <w:t xml:space="preserve"> This Agreement constitutes the parties' entire agreement with respect to the subject matter hereof and supersedes all agreements, representations, warranties, statements, promises, and understandings, whether oral or written, with respect to the subject matter hereof. Nothing in the Contribution Agreement shall be interpreted as limiting or expanding the rights or obligations of the parties hereunder. Nothing in this Agreement shall be interpreted as limiting or expanding the representations or warranties made by any party to the Contribution Agreement. This Agreement may not be amended, altered, or modified except by a writing signed by each of the parties.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The representations and warranties in this Agreement shall survive the execution hereof and remain in full force and effect regardless of any disclosures made to or investigations made by a party.</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Additional Documents.</w:t>
      </w:r>
      <w:r>
        <w:rPr>
          <w:rFonts w:ascii="Arial" w:cs="Arial" w:eastAsia="Arial" w:hAnsi="Arial"/>
          <w:sz w:val="18"/>
          <w:szCs w:val="18"/>
          <w:color w:val="auto"/>
        </w:rPr>
        <w:t xml:space="preserve"> Each party hereto agrees to execute and deliver any and all further documents and to perform such other actions that may be or become necessary or expedient to effectuate and carry out this Agreement.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Unless otherwise specifically permitted by this Agreement, all notices under this Agreement shall be in writing and shall be delivered by personal service, telex, facsimile, telegram, e-mail, or first class or certified mail, postage prepaid, to such address as may be designated from time to time by the relevant party, and which shall initially be as follows: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LLC or the Corporation: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3145 Las Vegas Boulevard South</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620" w:right="7860" w:firstLine="9"/>
        <w:spacing w:after="0" w:line="323" w:lineRule="auto"/>
        <w:tabs>
          <w:tab w:leader="none" w:pos="204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733-4596 (facsimile) Attn: Legal Department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Irell &amp; Manella LLP</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1800 Avenue of the Stars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Suite 900 Los Angeles, California 90067</w:t>
      </w:r>
    </w:p>
    <w:p>
      <w:pPr>
        <w:spacing w:after="0" w:line="9" w:lineRule="exact"/>
        <w:rPr>
          <w:sz w:val="20"/>
          <w:szCs w:val="20"/>
          <w:color w:val="auto"/>
        </w:rPr>
      </w:pPr>
    </w:p>
    <w:p>
      <w:pPr>
        <w:ind w:left="1620" w:right="7520" w:firstLine="9"/>
        <w:spacing w:after="0" w:line="323" w:lineRule="auto"/>
        <w:tabs>
          <w:tab w:leader="none" w:pos="20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203-7199 (facsimile) Attn: C. Kevin McGeehan, Esq.</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the Members:</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As set forth on </w:t>
      </w:r>
      <w:r>
        <w:rPr>
          <w:rFonts w:ascii="Arial" w:cs="Arial" w:eastAsia="Arial" w:hAnsi="Arial"/>
          <w:sz w:val="18"/>
          <w:szCs w:val="18"/>
          <w:b w:val="1"/>
          <w:bCs w:val="1"/>
          <w:color w:val="auto"/>
        </w:rPr>
        <w:t>Schedule A</w:t>
      </w:r>
      <w:r>
        <w:rPr>
          <w:rFonts w:ascii="Arial" w:cs="Arial" w:eastAsia="Arial" w:hAnsi="Arial"/>
          <w:sz w:val="18"/>
          <w:szCs w:val="18"/>
          <w:color w:val="auto"/>
        </w:rPr>
        <w:t>.</w:t>
      </w:r>
    </w:p>
    <w:p>
      <w:pPr>
        <w:sectPr>
          <w:pgSz w:w="11900" w:h="16838" w:orient="portrait"/>
          <w:cols w:equalWidth="0" w:num="1">
            <w:col w:w="11400"/>
          </w:cols>
          <w:pgMar w:left="240" w:top="132" w:right="259" w:bottom="0" w:gutter="0" w:footer="0" w:header="0"/>
        </w:sectPr>
      </w:pPr>
    </w:p>
    <w:bookmarkStart w:id="168" w:name="page169"/>
    <w:bookmarkEnd w:id="168"/>
    <w:p>
      <w:pPr>
        <w:ind w:firstLine="341"/>
        <w:spacing w:after="0" w:line="370" w:lineRule="auto"/>
        <w:rPr>
          <w:sz w:val="20"/>
          <w:szCs w:val="20"/>
          <w:color w:val="auto"/>
        </w:rPr>
      </w:pPr>
      <w:r>
        <w:rPr>
          <w:rFonts w:ascii="Arial" w:cs="Arial" w:eastAsia="Arial" w:hAnsi="Arial"/>
          <w:sz w:val="15"/>
          <w:szCs w:val="15"/>
          <w:color w:val="auto"/>
        </w:rPr>
        <w:t>Any notice sent by first class or certified mail shall be deemed to have been given three (3) days after the date on which it is mailed. All other notices shall be deemed given when received. No objection may be made to the manner of delivery of any notice actually received in writing by an authorized agent of a party.</w:t>
      </w:r>
    </w:p>
    <w:p>
      <w:pPr>
        <w:spacing w:after="0" w:line="116" w:lineRule="exact"/>
        <w:rPr>
          <w:sz w:val="20"/>
          <w:szCs w:val="20"/>
          <w:color w:val="auto"/>
        </w:rPr>
      </w:pPr>
    </w:p>
    <w:p>
      <w:pPr>
        <w:ind w:left="360"/>
        <w:spacing w:after="0"/>
        <w:tabs>
          <w:tab w:leader="none" w:pos="740" w:val="left"/>
          <w:tab w:leader="none" w:pos="2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No Third-Party Benefits.</w:t>
      </w:r>
      <w:r>
        <w:rPr>
          <w:sz w:val="20"/>
          <w:szCs w:val="20"/>
          <w:color w:val="auto"/>
        </w:rPr>
        <w:tab/>
      </w:r>
      <w:r>
        <w:rPr>
          <w:rFonts w:ascii="Arial" w:cs="Arial" w:eastAsia="Arial" w:hAnsi="Arial"/>
          <w:sz w:val="16"/>
          <w:szCs w:val="16"/>
          <w:color w:val="auto"/>
        </w:rPr>
        <w:t>None of the provisions of this Agreement shall be for the benefit of, or enforceable by, any third-party beneficiary.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Agreement shall be binding upon and inure to the benefit of the parties and their respective successors and permitted assigns.</w:t>
      </w:r>
    </w:p>
    <w:p>
      <w:pPr>
        <w:spacing w:after="0" w:line="186" w:lineRule="exact"/>
        <w:rPr>
          <w:sz w:val="20"/>
          <w:szCs w:val="20"/>
          <w:color w:val="auto"/>
        </w:rPr>
      </w:pPr>
    </w:p>
    <w:p>
      <w:pPr>
        <w:ind w:left="360"/>
        <w:spacing w:after="0"/>
        <w:tabs>
          <w:tab w:leader="none" w:pos="740" w:val="left"/>
          <w:tab w:leader="none" w:pos="20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No Assignment.</w:t>
      </w:r>
      <w:r>
        <w:rPr>
          <w:sz w:val="20"/>
          <w:szCs w:val="20"/>
          <w:color w:val="auto"/>
        </w:rPr>
        <w:tab/>
      </w:r>
      <w:r>
        <w:rPr>
          <w:rFonts w:ascii="Arial" w:cs="Arial" w:eastAsia="Arial" w:hAnsi="Arial"/>
          <w:sz w:val="16"/>
          <w:szCs w:val="16"/>
          <w:color w:val="auto"/>
        </w:rPr>
        <w:t>None of the parties may assign any of his or its rights under this Agreement without the prior written consent of the others.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case any one or more of the provisions contained in this Agreement shall, for any reason, be held to be invalid, illegal, or unenforceable in any respect, such invalidity, illegality, or unenforceability shall not affect any other provisions of this Agreement, and this Agreement shall be construed as if such invalid, illegal or unenforceable provision had never been contained herein. No term or provision of this Agreement shall be construed so as to require the commission of any act contrary to law, and wherever there is any conflict between any provision of this Agreement and any present or future statute, law, ordinance, or regulation contrary to which the parties have no legal right to contract, the latter shall prevail, but in such event the provision of this Agreement so affected shall be curtailed and limited only to the extent necessary to bring it within the requirements of the law.</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laws of the State of Nevada applicable to contracts made in that State, without giving effect to its conflict of law rules, shall govern the validity, construction, performance, and effect of this Agreement.</w:t>
      </w:r>
    </w:p>
    <w:p>
      <w:pPr>
        <w:spacing w:after="0" w:line="186" w:lineRule="exact"/>
        <w:rPr>
          <w:sz w:val="20"/>
          <w:szCs w:val="20"/>
          <w:color w:val="auto"/>
        </w:rPr>
      </w:pPr>
    </w:p>
    <w:p>
      <w:pPr>
        <w:ind w:right="440" w:firstLine="351"/>
        <w:spacing w:after="0" w:line="25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Attorneys' Fees.</w:t>
      </w:r>
      <w:r>
        <w:rPr>
          <w:rFonts w:ascii="Arial" w:cs="Arial" w:eastAsia="Arial" w:hAnsi="Arial"/>
          <w:sz w:val="18"/>
          <w:szCs w:val="18"/>
          <w:color w:val="auto"/>
        </w:rPr>
        <w:t xml:space="preserve"> Should any litigation be commenced (including any proceedings in a bankruptcy court) between the parties hereto or their representatives concerning any provision of this Agreement or the rights and duties of any person or entity hereunder, the party or parties prevailing in such proceeding shall be entitled, in addition to such other relief as may be granted, to the reasonable attorneys' fees and court costs incurred by reason of such litigation.</w:t>
      </w:r>
    </w:p>
    <w:p>
      <w:pPr>
        <w:spacing w:after="0" w:line="197" w:lineRule="exact"/>
        <w:rPr>
          <w:sz w:val="20"/>
          <w:szCs w:val="20"/>
          <w:color w:val="auto"/>
        </w:rPr>
      </w:pPr>
    </w:p>
    <w:p>
      <w:pPr>
        <w:jc w:val="both"/>
        <w:ind w:right="60" w:firstLine="351"/>
        <w:spacing w:after="0" w:line="323"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i w:val="1"/>
          <w:iCs w:val="1"/>
          <w:color w:val="auto"/>
        </w:rPr>
        <w:t>Construction.</w:t>
      </w:r>
      <w:r>
        <w:rPr>
          <w:rFonts w:ascii="Arial" w:cs="Arial" w:eastAsia="Arial" w:hAnsi="Arial"/>
          <w:sz w:val="15"/>
          <w:szCs w:val="15"/>
          <w:color w:val="auto"/>
        </w:rPr>
        <w:t xml:space="preserve"> In the interpretation of this Agreement, the singular may be read as the plural, and </w:t>
      </w:r>
      <w:r>
        <w:rPr>
          <w:rFonts w:ascii="Arial" w:cs="Arial" w:eastAsia="Arial" w:hAnsi="Arial"/>
          <w:sz w:val="15"/>
          <w:szCs w:val="15"/>
          <w:i w:val="1"/>
          <w:iCs w:val="1"/>
          <w:color w:val="auto"/>
        </w:rPr>
        <w:t>vice versa</w:t>
      </w:r>
      <w:r>
        <w:rPr>
          <w:rFonts w:ascii="Arial" w:cs="Arial" w:eastAsia="Arial" w:hAnsi="Arial"/>
          <w:sz w:val="15"/>
          <w:szCs w:val="15"/>
          <w:color w:val="auto"/>
        </w:rPr>
        <w:t xml:space="preserve">, the neuter gender as the masculine or feminine, and </w:t>
      </w:r>
      <w:r>
        <w:rPr>
          <w:rFonts w:ascii="Arial" w:cs="Arial" w:eastAsia="Arial" w:hAnsi="Arial"/>
          <w:sz w:val="15"/>
          <w:szCs w:val="15"/>
          <w:i w:val="1"/>
          <w:iCs w:val="1"/>
          <w:color w:val="auto"/>
        </w:rPr>
        <w:t>vice versa</w:t>
      </w:r>
      <w:r>
        <w:rPr>
          <w:rFonts w:ascii="Arial" w:cs="Arial" w:eastAsia="Arial" w:hAnsi="Arial"/>
          <w:sz w:val="15"/>
          <w:szCs w:val="15"/>
          <w:color w:val="auto"/>
        </w:rPr>
        <w:t xml:space="preserve">, and the future tense as the past or present, and </w:t>
      </w:r>
      <w:r>
        <w:rPr>
          <w:rFonts w:ascii="Arial" w:cs="Arial" w:eastAsia="Arial" w:hAnsi="Arial"/>
          <w:sz w:val="15"/>
          <w:szCs w:val="15"/>
          <w:i w:val="1"/>
          <w:iCs w:val="1"/>
          <w:color w:val="auto"/>
        </w:rPr>
        <w:t>vice versa</w:t>
      </w:r>
      <w:r>
        <w:rPr>
          <w:rFonts w:ascii="Arial" w:cs="Arial" w:eastAsia="Arial" w:hAnsi="Arial"/>
          <w:sz w:val="15"/>
          <w:szCs w:val="15"/>
          <w:color w:val="auto"/>
        </w:rPr>
        <w:t>, all interchangeably as the context may require in order to effectuate fully the intent of the parties and the transactions contemplated herein. Syntax shall yield to the substance of the terms and provisions hereof. The section headings in this Agreement are inserted only as a matter of convenience, and in no way define, limit, extend, or interpret the scope of this Agreement or of any particular section.</w:t>
      </w:r>
    </w:p>
    <w:p>
      <w:pPr>
        <w:spacing w:after="0" w:line="15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two or more counterparts, each of which shall be deemed an original, but all of which together shall constitute one and the same instrument.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to Tax Indemnification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this Agreement as of the day and year first set forth above.</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77470</wp:posOffset>
            </wp:positionV>
            <wp:extent cx="3691890" cy="215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A. WYNN</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ARUZE USA,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 xml:space="preserve">BARON ASSET FUND, </w:t>
      </w:r>
      <w:r>
        <w:rPr>
          <w:rFonts w:ascii="Arial" w:cs="Arial" w:eastAsia="Arial" w:hAnsi="Arial"/>
          <w:sz w:val="16"/>
          <w:szCs w:val="16"/>
          <w:color w:val="auto"/>
        </w:rPr>
        <w:t>a Massachusetts business trust, on behalf of the</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BARON ASSET FUND SERIES</w:t>
      </w:r>
    </w:p>
    <w:p>
      <w:pPr>
        <w:spacing w:after="0" w:line="21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LINDA MARTINSON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 xml:space="preserve">BARON ASSET FUND, </w:t>
      </w:r>
      <w:r>
        <w:rPr>
          <w:rFonts w:ascii="Arial" w:cs="Arial" w:eastAsia="Arial" w:hAnsi="Arial"/>
          <w:sz w:val="16"/>
          <w:szCs w:val="16"/>
          <w:color w:val="auto"/>
        </w:rPr>
        <w:t>a Massachusetts business trust, on behalf of the</w:t>
      </w:r>
    </w:p>
    <w:p>
      <w:pPr>
        <w:spacing w:after="0" w:line="4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BARON GROWTH FUND SERIES</w:t>
      </w:r>
    </w:p>
    <w:p>
      <w:pPr>
        <w:spacing w:after="0" w:line="21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LINDA MARTINSON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KENNETH R. WYNN FAMILY TRUST DATED FEBRUARY 20, 1985</w:t>
      </w:r>
    </w:p>
    <w:p>
      <w:pPr>
        <w:spacing w:after="0" w:line="231" w:lineRule="exact"/>
        <w:rPr>
          <w:sz w:val="20"/>
          <w:szCs w:val="20"/>
          <w:color w:val="auto"/>
        </w:rPr>
      </w:pPr>
    </w:p>
    <w:p>
      <w:pPr>
        <w:jc w:val="center"/>
        <w:ind w:left="558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R. Wynn,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Trustee</w:t>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VALVINO LAMORE, LLC,</w:t>
      </w:r>
    </w:p>
    <w:p>
      <w:pPr>
        <w:sectPr>
          <w:pgSz w:w="11900" w:h="16838" w:orient="portrait"/>
          <w:cols w:equalWidth="0" w:num="1">
            <w:col w:w="11380"/>
          </w:cols>
          <w:pgMar w:left="240" w:top="131" w:right="279" w:bottom="0" w:gutter="0" w:footer="0" w:header="0"/>
          <w:type w:val="continuous"/>
        </w:sectPr>
      </w:pPr>
    </w:p>
    <w:bookmarkStart w:id="169" w:name="page170"/>
    <w:bookmarkEnd w:id="169"/>
    <w:p>
      <w:pPr>
        <w:ind w:left="5620"/>
        <w:spacing w:after="0"/>
        <w:rPr>
          <w:sz w:val="20"/>
          <w:szCs w:val="20"/>
          <w:color w:val="auto"/>
        </w:rPr>
      </w:pPr>
      <w:r>
        <w:rPr>
          <w:rFonts w:ascii="Arial" w:cs="Arial" w:eastAsia="Arial" w:hAnsi="Arial"/>
          <w:sz w:val="18"/>
          <w:szCs w:val="18"/>
          <w:color w:val="auto"/>
        </w:rPr>
        <w:t>a Nevada limited liability company</w:t>
      </w:r>
    </w:p>
    <w:p>
      <w:pPr>
        <w:spacing w:after="0" w:line="225" w:lineRule="exact"/>
        <w:rPr>
          <w:sz w:val="20"/>
          <w:szCs w:val="20"/>
          <w:color w:val="auto"/>
        </w:rPr>
      </w:pPr>
    </w:p>
    <w:p>
      <w:pPr>
        <w:jc w:val="center"/>
        <w:ind w:left="56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r>
      <w:tr>
        <w:trPr>
          <w:trHeight w:val="313"/>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32"/>
        </w:trPr>
        <w:tc>
          <w:tcPr>
            <w:tcW w:w="3660" w:type="dxa"/>
            <w:vAlign w:val="bottom"/>
          </w:tcPr>
          <w:p>
            <w:pPr>
              <w:spacing w:after="0"/>
              <w:rPr>
                <w:sz w:val="24"/>
                <w:szCs w:val="24"/>
                <w:color w:val="auto"/>
              </w:rPr>
            </w:pPr>
          </w:p>
        </w:tc>
        <w:tc>
          <w:tcPr>
            <w:tcW w:w="2520" w:type="dxa"/>
            <w:vAlign w:val="bottom"/>
            <w:gridSpan w:val="2"/>
          </w:tcPr>
          <w:p>
            <w:pPr>
              <w:jc w:val="center"/>
              <w:ind w:left="1512"/>
              <w:spacing w:after="0"/>
              <w:rPr>
                <w:sz w:val="20"/>
                <w:szCs w:val="20"/>
                <w:color w:val="auto"/>
              </w:rPr>
            </w:pPr>
            <w:r>
              <w:rPr>
                <w:rFonts w:ascii="Arial" w:cs="Arial" w:eastAsia="Arial" w:hAnsi="Arial"/>
                <w:sz w:val="18"/>
                <w:szCs w:val="18"/>
                <w:color w:val="auto"/>
                <w:w w:val="79"/>
              </w:rPr>
              <w:t>5</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gridSpan w:val="2"/>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r>
      <w:tr>
        <w:trPr>
          <w:trHeight w:val="427"/>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2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7"/>
              </w:rPr>
              <w:t>SCHEDULE A</w:t>
            </w:r>
          </w:p>
        </w:tc>
      </w:tr>
      <w:tr>
        <w:trPr>
          <w:trHeight w:val="432"/>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jc w:val="center"/>
              <w:ind w:left="1153"/>
              <w:spacing w:after="0"/>
              <w:rPr>
                <w:sz w:val="20"/>
                <w:szCs w:val="20"/>
                <w:color w:val="auto"/>
              </w:rPr>
            </w:pPr>
            <w:r>
              <w:rPr>
                <w:rFonts w:ascii="Arial" w:cs="Arial" w:eastAsia="Arial" w:hAnsi="Arial"/>
                <w:sz w:val="18"/>
                <w:szCs w:val="18"/>
                <w:i w:val="1"/>
                <w:iCs w:val="1"/>
                <w:color w:val="auto"/>
                <w:w w:val="87"/>
              </w:rPr>
              <w:t>Members</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8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9"/>
              </w:rPr>
              <w:t>Member</w:t>
            </w:r>
          </w:p>
        </w:tc>
        <w:tc>
          <w:tcPr>
            <w:tcW w:w="340" w:type="dxa"/>
            <w:vAlign w:val="bottom"/>
          </w:tcPr>
          <w:p>
            <w:pPr>
              <w:spacing w:after="0"/>
              <w:rPr>
                <w:sz w:val="24"/>
                <w:szCs w:val="24"/>
                <w:color w:val="auto"/>
              </w:rPr>
            </w:pPr>
          </w:p>
        </w:tc>
        <w:tc>
          <w:tcPr>
            <w:tcW w:w="2180" w:type="dxa"/>
            <w:vAlign w:val="bottom"/>
          </w:tcPr>
          <w:p>
            <w:pPr>
              <w:jc w:val="center"/>
              <w:ind w:left="1393"/>
              <w:spacing w:after="0"/>
              <w:rPr>
                <w:sz w:val="20"/>
                <w:szCs w:val="20"/>
                <w:color w:val="auto"/>
              </w:rPr>
            </w:pPr>
            <w:r>
              <w:rPr>
                <w:rFonts w:ascii="Arial" w:cs="Arial" w:eastAsia="Arial" w:hAnsi="Arial"/>
                <w:sz w:val="14"/>
                <w:szCs w:val="14"/>
                <w:b w:val="1"/>
                <w:bCs w:val="1"/>
                <w:color w:val="auto"/>
                <w:w w:val="82"/>
              </w:rPr>
              <w:t>Address</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05"/>
        </w:trPr>
        <w:tc>
          <w:tcPr>
            <w:tcW w:w="3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3760" w:type="dxa"/>
            <w:vAlign w:val="bottom"/>
          </w:tcPr>
          <w:p>
            <w:pPr>
              <w:spacing w:after="0"/>
              <w:rPr>
                <w:sz w:val="9"/>
                <w:szCs w:val="9"/>
                <w:color w:val="auto"/>
              </w:rPr>
            </w:pPr>
          </w:p>
        </w:tc>
      </w:tr>
      <w:tr>
        <w:trPr>
          <w:trHeight w:val="313"/>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0" w:type="dxa"/>
            <w:vAlign w:val="bottom"/>
          </w:tcPr>
          <w:p>
            <w:pPr>
              <w:spacing w:after="0"/>
              <w:rPr>
                <w:sz w:val="24"/>
                <w:szCs w:val="24"/>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7"/>
              </w:rPr>
              <w:t>3145 Las Vegas Blvd. South</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7"/>
              </w:rPr>
              <w:t>Las Vegas, NV 89109</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0"/>
              </w:rPr>
              <w:t>(702) 791-0167 (facsimile)</w:t>
            </w:r>
          </w:p>
        </w:tc>
      </w:tr>
      <w:tr>
        <w:trPr>
          <w:trHeight w:val="426"/>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Aruze USA, Inc.</w:t>
            </w:r>
          </w:p>
        </w:tc>
        <w:tc>
          <w:tcPr>
            <w:tcW w:w="340" w:type="dxa"/>
            <w:vAlign w:val="bottom"/>
          </w:tcPr>
          <w:p>
            <w:pPr>
              <w:spacing w:after="0"/>
              <w:rPr>
                <w:sz w:val="24"/>
                <w:szCs w:val="24"/>
                <w:color w:val="auto"/>
              </w:rPr>
            </w:pPr>
          </w:p>
        </w:tc>
        <w:tc>
          <w:tcPr>
            <w:tcW w:w="7420" w:type="dxa"/>
            <w:vAlign w:val="bottom"/>
            <w:gridSpan w:val="3"/>
          </w:tcPr>
          <w:p>
            <w:pPr>
              <w:jc w:val="center"/>
              <w:ind w:right="3780"/>
              <w:spacing w:after="0"/>
              <w:rPr>
                <w:sz w:val="20"/>
                <w:szCs w:val="20"/>
                <w:color w:val="auto"/>
              </w:rPr>
            </w:pPr>
            <w:r>
              <w:rPr>
                <w:rFonts w:ascii="Arial" w:cs="Arial" w:eastAsia="Arial" w:hAnsi="Arial"/>
                <w:sz w:val="18"/>
                <w:szCs w:val="18"/>
                <w:color w:val="auto"/>
                <w:w w:val="91"/>
              </w:rPr>
              <w:t>745 Grier Drive</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7"/>
              </w:rPr>
              <w:t>Las Vegas, NV 89119</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0"/>
              </w:rPr>
              <w:t>(702) 361-3407 (facsimile)</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3"/>
              </w:rPr>
              <w:t>Attn: Koiki Ohba</w:t>
            </w:r>
          </w:p>
        </w:tc>
      </w:tr>
      <w:tr>
        <w:trPr>
          <w:trHeight w:val="426"/>
        </w:trPr>
        <w:tc>
          <w:tcPr>
            <w:tcW w:w="3660" w:type="dxa"/>
            <w:vAlign w:val="bottom"/>
          </w:tcPr>
          <w:p>
            <w:pPr>
              <w:jc w:val="center"/>
              <w:spacing w:after="0"/>
              <w:rPr>
                <w:sz w:val="20"/>
                <w:szCs w:val="20"/>
                <w:color w:val="auto"/>
              </w:rPr>
            </w:pPr>
            <w:r>
              <w:rPr>
                <w:rFonts w:ascii="Arial" w:cs="Arial" w:eastAsia="Arial" w:hAnsi="Arial"/>
                <w:sz w:val="18"/>
                <w:szCs w:val="18"/>
                <w:color w:val="auto"/>
                <w:w w:val="88"/>
              </w:rPr>
              <w:t>Baron Asset Fund, on behalf of the Baron Asset</w:t>
            </w:r>
          </w:p>
        </w:tc>
        <w:tc>
          <w:tcPr>
            <w:tcW w:w="340" w:type="dxa"/>
            <w:vAlign w:val="bottom"/>
          </w:tcPr>
          <w:p>
            <w:pPr>
              <w:spacing w:after="0"/>
              <w:rPr>
                <w:sz w:val="24"/>
                <w:szCs w:val="24"/>
                <w:color w:val="auto"/>
              </w:rPr>
            </w:pPr>
          </w:p>
        </w:tc>
        <w:tc>
          <w:tcPr>
            <w:tcW w:w="7420" w:type="dxa"/>
            <w:vAlign w:val="bottom"/>
            <w:gridSpan w:val="3"/>
          </w:tcPr>
          <w:p>
            <w:pPr>
              <w:jc w:val="center"/>
              <w:ind w:right="3780"/>
              <w:spacing w:after="0"/>
              <w:rPr>
                <w:sz w:val="20"/>
                <w:szCs w:val="20"/>
                <w:color w:val="auto"/>
              </w:rPr>
            </w:pPr>
            <w:r>
              <w:rPr>
                <w:rFonts w:ascii="Arial" w:cs="Arial" w:eastAsia="Arial" w:hAnsi="Arial"/>
                <w:sz w:val="18"/>
                <w:szCs w:val="18"/>
                <w:color w:val="auto"/>
                <w:w w:val="87"/>
              </w:rPr>
              <w:t>c/o Baron Funds</w:t>
            </w:r>
          </w:p>
        </w:tc>
      </w:tr>
      <w:tr>
        <w:trPr>
          <w:trHeight w:val="25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Fund Series</w:t>
            </w:r>
          </w:p>
        </w:tc>
        <w:tc>
          <w:tcPr>
            <w:tcW w:w="340" w:type="dxa"/>
            <w:vAlign w:val="bottom"/>
          </w:tcPr>
          <w:p>
            <w:pPr>
              <w:spacing w:after="0"/>
              <w:rPr>
                <w:sz w:val="22"/>
                <w:szCs w:val="22"/>
                <w:color w:val="auto"/>
              </w:rPr>
            </w:pPr>
          </w:p>
        </w:tc>
        <w:tc>
          <w:tcPr>
            <w:tcW w:w="7420" w:type="dxa"/>
            <w:vAlign w:val="bottom"/>
            <w:gridSpan w:val="3"/>
          </w:tcPr>
          <w:p>
            <w:pPr>
              <w:jc w:val="center"/>
              <w:ind w:right="3760"/>
              <w:spacing w:after="0" w:line="256" w:lineRule="exact"/>
              <w:rPr>
                <w:sz w:val="20"/>
                <w:szCs w:val="20"/>
                <w:color w:val="auto"/>
              </w:rPr>
            </w:pPr>
            <w:r>
              <w:rPr>
                <w:rFonts w:ascii="Arial" w:cs="Arial" w:eastAsia="Arial" w:hAnsi="Arial"/>
                <w:sz w:val="18"/>
                <w:szCs w:val="18"/>
                <w:color w:val="auto"/>
                <w:w w:val="88"/>
              </w:rPr>
              <w:t>767 Fifth Avenue, 49</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Floor</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1"/>
              </w:rPr>
              <w:t>New York, NY 10153</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0"/>
              </w:rPr>
              <w:t>(212) 583-2014 (facsimile)</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20" w:type="dxa"/>
            <w:vAlign w:val="bottom"/>
            <w:gridSpan w:val="3"/>
          </w:tcPr>
          <w:p>
            <w:pPr>
              <w:jc w:val="center"/>
              <w:ind w:right="3780"/>
              <w:spacing w:after="0"/>
              <w:rPr>
                <w:sz w:val="20"/>
                <w:szCs w:val="20"/>
                <w:color w:val="auto"/>
              </w:rPr>
            </w:pPr>
            <w:r>
              <w:rPr>
                <w:rFonts w:ascii="Arial" w:cs="Arial" w:eastAsia="Arial" w:hAnsi="Arial"/>
                <w:sz w:val="18"/>
                <w:szCs w:val="18"/>
                <w:color w:val="auto"/>
                <w:w w:val="90"/>
              </w:rPr>
              <w:t>Attn: Linda S. Martinson, Esq.</w:t>
            </w:r>
          </w:p>
        </w:tc>
      </w:tr>
      <w:tr>
        <w:trPr>
          <w:trHeight w:val="426"/>
        </w:trPr>
        <w:tc>
          <w:tcPr>
            <w:tcW w:w="3660" w:type="dxa"/>
            <w:vAlign w:val="bottom"/>
          </w:tcPr>
          <w:p>
            <w:pPr>
              <w:jc w:val="center"/>
              <w:spacing w:after="0"/>
              <w:rPr>
                <w:sz w:val="20"/>
                <w:szCs w:val="20"/>
                <w:color w:val="auto"/>
              </w:rPr>
            </w:pPr>
            <w:r>
              <w:rPr>
                <w:rFonts w:ascii="Arial" w:cs="Arial" w:eastAsia="Arial" w:hAnsi="Arial"/>
                <w:sz w:val="18"/>
                <w:szCs w:val="18"/>
                <w:color w:val="auto"/>
                <w:w w:val="89"/>
              </w:rPr>
              <w:t>Baron Asset Fund, on behalf of the Baron Growth</w:t>
            </w:r>
          </w:p>
        </w:tc>
        <w:tc>
          <w:tcPr>
            <w:tcW w:w="340" w:type="dxa"/>
            <w:vAlign w:val="bottom"/>
          </w:tcPr>
          <w:p>
            <w:pPr>
              <w:spacing w:after="0"/>
              <w:rPr>
                <w:sz w:val="24"/>
                <w:szCs w:val="24"/>
                <w:color w:val="auto"/>
              </w:rPr>
            </w:pPr>
          </w:p>
        </w:tc>
        <w:tc>
          <w:tcPr>
            <w:tcW w:w="7420" w:type="dxa"/>
            <w:vAlign w:val="bottom"/>
            <w:gridSpan w:val="3"/>
          </w:tcPr>
          <w:p>
            <w:pPr>
              <w:jc w:val="center"/>
              <w:ind w:right="3780"/>
              <w:spacing w:after="0"/>
              <w:rPr>
                <w:sz w:val="20"/>
                <w:szCs w:val="20"/>
                <w:color w:val="auto"/>
              </w:rPr>
            </w:pPr>
            <w:r>
              <w:rPr>
                <w:rFonts w:ascii="Arial" w:cs="Arial" w:eastAsia="Arial" w:hAnsi="Arial"/>
                <w:sz w:val="18"/>
                <w:szCs w:val="18"/>
                <w:color w:val="auto"/>
                <w:w w:val="87"/>
              </w:rPr>
              <w:t>c/o Baron Funds</w:t>
            </w:r>
          </w:p>
        </w:tc>
      </w:tr>
      <w:tr>
        <w:trPr>
          <w:trHeight w:val="25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Fund Series</w:t>
            </w:r>
          </w:p>
        </w:tc>
        <w:tc>
          <w:tcPr>
            <w:tcW w:w="340" w:type="dxa"/>
            <w:vAlign w:val="bottom"/>
          </w:tcPr>
          <w:p>
            <w:pPr>
              <w:spacing w:after="0"/>
              <w:rPr>
                <w:sz w:val="22"/>
                <w:szCs w:val="22"/>
                <w:color w:val="auto"/>
              </w:rPr>
            </w:pPr>
          </w:p>
        </w:tc>
        <w:tc>
          <w:tcPr>
            <w:tcW w:w="7420" w:type="dxa"/>
            <w:vAlign w:val="bottom"/>
            <w:gridSpan w:val="3"/>
          </w:tcPr>
          <w:p>
            <w:pPr>
              <w:jc w:val="center"/>
              <w:ind w:right="3760"/>
              <w:spacing w:after="0" w:line="256" w:lineRule="exact"/>
              <w:rPr>
                <w:sz w:val="20"/>
                <w:szCs w:val="20"/>
                <w:color w:val="auto"/>
              </w:rPr>
            </w:pPr>
            <w:r>
              <w:rPr>
                <w:rFonts w:ascii="Arial" w:cs="Arial" w:eastAsia="Arial" w:hAnsi="Arial"/>
                <w:sz w:val="18"/>
                <w:szCs w:val="18"/>
                <w:color w:val="auto"/>
                <w:w w:val="88"/>
              </w:rPr>
              <w:t>767 Fifth Avenue, 49</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Floor</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1"/>
              </w:rPr>
              <w:t>New York, NY 10153</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0"/>
              </w:rPr>
              <w:t>(212) 583-2014 (facsimile)</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20" w:type="dxa"/>
            <w:vAlign w:val="bottom"/>
            <w:gridSpan w:val="3"/>
          </w:tcPr>
          <w:p>
            <w:pPr>
              <w:jc w:val="center"/>
              <w:ind w:right="3780"/>
              <w:spacing w:after="0"/>
              <w:rPr>
                <w:sz w:val="20"/>
                <w:szCs w:val="20"/>
                <w:color w:val="auto"/>
              </w:rPr>
            </w:pPr>
            <w:r>
              <w:rPr>
                <w:rFonts w:ascii="Arial" w:cs="Arial" w:eastAsia="Arial" w:hAnsi="Arial"/>
                <w:sz w:val="18"/>
                <w:szCs w:val="18"/>
                <w:color w:val="auto"/>
                <w:w w:val="90"/>
              </w:rPr>
              <w:t>Attn: Linda S. Martinson, Esq.</w:t>
            </w:r>
          </w:p>
        </w:tc>
      </w:tr>
      <w:tr>
        <w:trPr>
          <w:trHeight w:val="426"/>
        </w:trPr>
        <w:tc>
          <w:tcPr>
            <w:tcW w:w="3660" w:type="dxa"/>
            <w:vAlign w:val="bottom"/>
          </w:tcPr>
          <w:p>
            <w:pPr>
              <w:jc w:val="center"/>
              <w:spacing w:after="0"/>
              <w:rPr>
                <w:sz w:val="20"/>
                <w:szCs w:val="20"/>
                <w:color w:val="auto"/>
              </w:rPr>
            </w:pPr>
            <w:r>
              <w:rPr>
                <w:rFonts w:ascii="Arial" w:cs="Arial" w:eastAsia="Arial" w:hAnsi="Arial"/>
                <w:sz w:val="18"/>
                <w:szCs w:val="18"/>
                <w:color w:val="auto"/>
                <w:w w:val="89"/>
              </w:rPr>
              <w:t>Kenneth R. Wynn Family Trust dated February 20,</w:t>
            </w:r>
          </w:p>
        </w:tc>
        <w:tc>
          <w:tcPr>
            <w:tcW w:w="340" w:type="dxa"/>
            <w:vAlign w:val="bottom"/>
          </w:tcPr>
          <w:p>
            <w:pPr>
              <w:spacing w:after="0"/>
              <w:rPr>
                <w:sz w:val="24"/>
                <w:szCs w:val="24"/>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8"/>
              </w:rPr>
              <w:t>c/o Kenneth R. Wynn, Trustee</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89"/>
              </w:rPr>
              <w:t>1985</w:t>
            </w: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7"/>
              </w:rPr>
              <w:t>3145 Las Vegas Blvd. South</w:t>
            </w:r>
          </w:p>
        </w:tc>
      </w:tr>
      <w:tr>
        <w:trPr>
          <w:trHeight w:val="216"/>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87"/>
              </w:rPr>
              <w:t>Las Vegas, NV 89109</w:t>
            </w: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20" w:type="dxa"/>
            <w:vAlign w:val="bottom"/>
            <w:gridSpan w:val="3"/>
          </w:tcPr>
          <w:p>
            <w:pPr>
              <w:jc w:val="center"/>
              <w:ind w:right="3760"/>
              <w:spacing w:after="0"/>
              <w:rPr>
                <w:sz w:val="20"/>
                <w:szCs w:val="20"/>
                <w:color w:val="auto"/>
              </w:rPr>
            </w:pPr>
            <w:r>
              <w:rPr>
                <w:rFonts w:ascii="Arial" w:cs="Arial" w:eastAsia="Arial" w:hAnsi="Arial"/>
                <w:sz w:val="18"/>
                <w:szCs w:val="18"/>
                <w:color w:val="auto"/>
                <w:w w:val="90"/>
              </w:rPr>
              <w:t>(702) 733-4738 (facsimile)</w:t>
            </w:r>
          </w:p>
        </w:tc>
      </w:tr>
      <w:tr>
        <w:trPr>
          <w:trHeight w:val="432"/>
        </w:trPr>
        <w:tc>
          <w:tcPr>
            <w:tcW w:w="3660" w:type="dxa"/>
            <w:vAlign w:val="bottom"/>
          </w:tcPr>
          <w:p>
            <w:pPr>
              <w:spacing w:after="0"/>
              <w:rPr>
                <w:sz w:val="24"/>
                <w:szCs w:val="24"/>
                <w:color w:val="auto"/>
              </w:rPr>
            </w:pPr>
          </w:p>
        </w:tc>
        <w:tc>
          <w:tcPr>
            <w:tcW w:w="2520" w:type="dxa"/>
            <w:vAlign w:val="bottom"/>
            <w:gridSpan w:val="2"/>
          </w:tcPr>
          <w:p>
            <w:pPr>
              <w:jc w:val="center"/>
              <w:ind w:left="1512"/>
              <w:spacing w:after="0"/>
              <w:rPr>
                <w:sz w:val="20"/>
                <w:szCs w:val="20"/>
                <w:color w:val="auto"/>
              </w:rPr>
            </w:pPr>
            <w:r>
              <w:rPr>
                <w:rFonts w:ascii="Arial" w:cs="Arial" w:eastAsia="Arial" w:hAnsi="Arial"/>
                <w:sz w:val="18"/>
                <w:szCs w:val="18"/>
                <w:color w:val="auto"/>
                <w:w w:val="79"/>
              </w:rPr>
              <w:t>6</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8"/>
        </w:trPr>
        <w:tc>
          <w:tcPr>
            <w:tcW w:w="3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-5631180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-5631180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-4859655</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-4859655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-3993515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-3993515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-3993515</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TAX INDEMNIFICATION AGREEMENT</w:t>
        </w:r>
      </w:hyperlink>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22"/>
          <w:szCs w:val="22"/>
          <w:color w:val="0000EE"/>
        </w:rPr>
      </w:pPr>
      <w:hyperlink w:anchor="page1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164465</wp:posOffset>
            </wp:positionV>
            <wp:extent cx="1050290" cy="215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DESIGN &amp; DEVELOPMENT,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DERUYTER O. BUTLER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September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26" w:lineRule="exact"/>
        <w:rPr>
          <w:sz w:val="20"/>
          <w:szCs w:val="20"/>
          <w:color w:val="auto"/>
        </w:rPr>
      </w:pPr>
    </w:p>
    <w:p>
      <w:pPr>
        <w:ind w:right="760" w:firstLine="351"/>
        <w:spacing w:after="0" w:line="21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2002, by and between</w:t>
      </w:r>
      <w:r>
        <w:rPr>
          <w:rFonts w:ascii="Arial" w:cs="Arial" w:eastAsia="Arial" w:hAnsi="Arial"/>
          <w:sz w:val="18"/>
          <w:szCs w:val="18"/>
          <w:b w:val="1"/>
          <w:bCs w:val="1"/>
          <w:color w:val="auto"/>
        </w:rPr>
        <w:t xml:space="preserve"> WYNN DESIGN &amp; DEVELOPMENT,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DERUYTER O. BUTLER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 I T N E S S E T H:</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3145 Las Vegas Blvd. South, Las Vegas, Nevada 89109, and is engaged at such place in the business of designing, developing and constructing casino resorts;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Employee is an adult individual residing at 1972 Redbird Drive, Las Vegas, Nevada 89134; and,</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color w:val="auto"/>
        </w:rPr>
        <w:t>, 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4" w:lineRule="exact"/>
        <w:rPr>
          <w:sz w:val="20"/>
          <w:szCs w:val="20"/>
          <w:color w:val="auto"/>
        </w:rPr>
      </w:pPr>
    </w:p>
    <w:p>
      <w:pPr>
        <w:ind w:right="180" w:firstLine="359"/>
        <w:spacing w:after="0" w:line="268" w:lineRule="auto"/>
        <w:tabs>
          <w:tab w:leader="none" w:pos="658" w:val="left"/>
        </w:tabs>
        <w:numPr>
          <w:ilvl w:val="0"/>
          <w:numId w:val="2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85" w:lineRule="exact"/>
        <w:rPr>
          <w:rFonts w:ascii="Arial" w:cs="Arial" w:eastAsia="Arial" w:hAnsi="Arial"/>
          <w:sz w:val="18"/>
          <w:szCs w:val="18"/>
          <w:b w:val="1"/>
          <w:bCs w:val="1"/>
          <w:i w:val="1"/>
          <w:iCs w:val="1"/>
          <w:color w:val="auto"/>
        </w:rPr>
      </w:pPr>
    </w:p>
    <w:p>
      <w:pPr>
        <w:ind w:left="540" w:right="20" w:firstLine="359"/>
        <w:spacing w:after="0" w:line="294" w:lineRule="auto"/>
        <w:tabs>
          <w:tab w:leader="none" w:pos="126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9" w:lineRule="exact"/>
        <w:rPr>
          <w:rFonts w:ascii="Arial" w:cs="Arial" w:eastAsia="Arial" w:hAnsi="Arial"/>
          <w:sz w:val="16"/>
          <w:szCs w:val="16"/>
          <w:color w:val="auto"/>
        </w:rPr>
      </w:pPr>
    </w:p>
    <w:p>
      <w:pPr>
        <w:ind w:left="1280" w:hanging="381"/>
        <w:spacing w:after="0"/>
        <w:tabs>
          <w:tab w:leader="none" w:pos="12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 means</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246"/>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246"/>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300" w:firstLine="360"/>
        <w:spacing w:after="0" w:line="332" w:lineRule="auto"/>
        <w:tabs>
          <w:tab w:leader="none" w:pos="178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39" w:lineRule="exact"/>
        <w:rPr>
          <w:rFonts w:ascii="Arial" w:cs="Arial" w:eastAsia="Arial" w:hAnsi="Arial"/>
          <w:sz w:val="16"/>
          <w:szCs w:val="16"/>
          <w:color w:val="auto"/>
        </w:rPr>
      </w:pPr>
    </w:p>
    <w:p>
      <w:pPr>
        <w:ind w:left="1080" w:right="520" w:firstLine="360"/>
        <w:spacing w:after="0" w:line="332" w:lineRule="auto"/>
        <w:tabs>
          <w:tab w:leader="none" w:pos="177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97" w:gutter="0" w:footer="0" w:header="0"/>
        </w:sectPr>
      </w:pPr>
    </w:p>
    <w:bookmarkStart w:id="171" w:name="page172"/>
    <w:bookmarkEnd w:id="171"/>
    <w:p>
      <w:pPr>
        <w:ind w:left="540"/>
        <w:spacing w:after="0"/>
        <w:rPr>
          <w:sz w:val="20"/>
          <w:szCs w:val="20"/>
          <w:color w:val="auto"/>
        </w:rPr>
      </w:pPr>
      <w:r>
        <w:rPr>
          <w:rFonts w:ascii="Arial" w:cs="Arial" w:eastAsia="Arial" w:hAnsi="Arial"/>
          <w:sz w:val="18"/>
          <w:szCs w:val="18"/>
          <w:color w:val="auto"/>
        </w:rPr>
        <w:t>is not cured within fifteen (15) days after Employee has received written notice thereof from the Board;</w:t>
      </w:r>
    </w:p>
    <w:p>
      <w:pPr>
        <w:spacing w:after="0" w:line="225" w:lineRule="exact"/>
        <w:rPr>
          <w:sz w:val="20"/>
          <w:szCs w:val="20"/>
          <w:color w:val="auto"/>
        </w:rPr>
      </w:pPr>
    </w:p>
    <w:p>
      <w:pPr>
        <w:ind w:left="1200" w:hanging="300"/>
        <w:spacing w:after="0"/>
        <w:tabs>
          <w:tab w:leader="none" w:pos="12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25" w:lineRule="exact"/>
        <w:rPr>
          <w:rFonts w:ascii="Arial" w:cs="Arial" w:eastAsia="Arial" w:hAnsi="Arial"/>
          <w:sz w:val="18"/>
          <w:szCs w:val="18"/>
          <w:color w:val="auto"/>
        </w:rPr>
      </w:pPr>
    </w:p>
    <w:p>
      <w:pPr>
        <w:ind w:left="540" w:right="760" w:firstLine="360"/>
        <w:spacing w:after="0" w:line="268" w:lineRule="auto"/>
        <w:tabs>
          <w:tab w:leader="none" w:pos="123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provided, however,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w:t>
      </w:r>
    </w:p>
    <w:p>
      <w:pPr>
        <w:spacing w:after="0" w:line="186" w:lineRule="exact"/>
        <w:rPr>
          <w:sz w:val="20"/>
          <w:szCs w:val="20"/>
          <w:color w:val="auto"/>
        </w:rPr>
      </w:pPr>
    </w:p>
    <w:p>
      <w:pPr>
        <w:ind w:left="720" w:hanging="361"/>
        <w:spacing w:after="0"/>
        <w:tabs>
          <w:tab w:leader="none" w:pos="720" w:val="left"/>
        </w:tabs>
        <w:numPr>
          <w:ilvl w:val="0"/>
          <w:numId w:val="2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 means the occurrence, after the Effective Date, of any of the following events:</w:t>
      </w:r>
    </w:p>
    <w:p>
      <w:pPr>
        <w:spacing w:after="0" w:line="225" w:lineRule="exact"/>
        <w:rPr>
          <w:rFonts w:ascii="Arial" w:cs="Arial" w:eastAsia="Arial" w:hAnsi="Arial"/>
          <w:sz w:val="18"/>
          <w:szCs w:val="18"/>
          <w:color w:val="auto"/>
        </w:rPr>
      </w:pPr>
    </w:p>
    <w:p>
      <w:pPr>
        <w:ind w:left="540" w:right="160" w:firstLine="360"/>
        <w:spacing w:after="0" w:line="255" w:lineRule="auto"/>
        <w:tabs>
          <w:tab w:leader="none" w:pos="123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196" w:lineRule="exact"/>
        <w:rPr>
          <w:rFonts w:ascii="Arial" w:cs="Arial" w:eastAsia="Arial" w:hAnsi="Arial"/>
          <w:sz w:val="18"/>
          <w:szCs w:val="18"/>
          <w:color w:val="auto"/>
        </w:rPr>
      </w:pPr>
    </w:p>
    <w:p>
      <w:pPr>
        <w:ind w:left="540" w:right="20" w:firstLine="360"/>
        <w:spacing w:after="0" w:line="283" w:lineRule="auto"/>
        <w:tabs>
          <w:tab w:leader="none" w:pos="1194"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no individual shall be considered an Existing Director if such individual initially assumed office as a result of either an actual or threatened "Election Contest" (as described in</w:t>
      </w:r>
    </w:p>
    <w:p>
      <w:pPr>
        <w:spacing w:after="0" w:line="1" w:lineRule="exact"/>
        <w:rPr>
          <w:rFonts w:ascii="Arial" w:cs="Arial" w:eastAsia="Arial" w:hAnsi="Arial"/>
          <w:sz w:val="16"/>
          <w:szCs w:val="16"/>
          <w:color w:val="auto"/>
        </w:rPr>
      </w:pPr>
    </w:p>
    <w:p>
      <w:pPr>
        <w:ind w:left="540" w:right="260"/>
        <w:spacing w:after="0" w:line="323" w:lineRule="auto"/>
        <w:rPr>
          <w:rFonts w:ascii="Arial" w:cs="Arial" w:eastAsia="Arial" w:hAnsi="Arial"/>
          <w:sz w:val="16"/>
          <w:szCs w:val="16"/>
          <w:color w:val="auto"/>
        </w:rPr>
      </w:pPr>
      <w:r>
        <w:rPr>
          <w:rFonts w:ascii="Arial" w:cs="Arial" w:eastAsia="Arial" w:hAnsi="Arial"/>
          <w:sz w:val="16"/>
          <w:szCs w:val="16"/>
          <w:color w:val="auto"/>
        </w:rPr>
        <w:t>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46" w:lineRule="exact"/>
        <w:rPr>
          <w:rFonts w:ascii="Arial" w:cs="Arial" w:eastAsia="Arial" w:hAnsi="Arial"/>
          <w:sz w:val="16"/>
          <w:szCs w:val="16"/>
          <w:color w:val="auto"/>
        </w:rPr>
      </w:pPr>
    </w:p>
    <w:p>
      <w:pPr>
        <w:ind w:left="540" w:right="40" w:firstLine="360"/>
        <w:spacing w:after="0" w:line="308" w:lineRule="auto"/>
        <w:tabs>
          <w:tab w:leader="none" w:pos="1242" w:val="left"/>
        </w:tabs>
        <w:numPr>
          <w:ilvl w:val="1"/>
          <w:numId w:val="248"/>
        </w:numPr>
        <w:rPr>
          <w:rFonts w:ascii="Arial" w:cs="Arial" w:eastAsia="Arial" w:hAnsi="Arial"/>
          <w:sz w:val="15"/>
          <w:szCs w:val="15"/>
          <w:color w:val="auto"/>
        </w:rPr>
      </w:pPr>
      <w:r>
        <w:rPr>
          <w:rFonts w:ascii="Arial" w:cs="Arial" w:eastAsia="Arial" w:hAnsi="Arial"/>
          <w:sz w:val="15"/>
          <w:szCs w:val="15"/>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subparagraph (iii), in substantially the same proportions in which such Beneficial Owners held voting stock in Employer immediately before such Transaction.</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4" w:lineRule="exact"/>
        <w:rPr>
          <w:sz w:val="20"/>
          <w:szCs w:val="20"/>
          <w:color w:val="auto"/>
        </w:rPr>
      </w:pPr>
    </w:p>
    <w:p>
      <w:pPr>
        <w:ind w:right="480" w:firstLine="359"/>
        <w:spacing w:after="0" w:line="268" w:lineRule="auto"/>
        <w:tabs>
          <w:tab w:leader="none" w:pos="731" w:val="left"/>
        </w:tabs>
        <w:numPr>
          <w:ilvl w:val="0"/>
          <w:numId w:val="2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"Complete Disability" </w:t>
      </w:r>
      <w:r>
        <w:rPr>
          <w:rFonts w:ascii="Arial" w:cs="Arial" w:eastAsia="Arial" w:hAnsi="Arial"/>
          <w:sz w:val="18"/>
          <w:szCs w:val="18"/>
          <w:color w:val="auto"/>
        </w:rPr>
        <w:t>- means the inability of Employee, due to illness or accident or other mental or physical incapacity, to perform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under this Agreement for a period as defined by Employer's disability plan or plans.</w:t>
      </w:r>
    </w:p>
    <w:p>
      <w:pPr>
        <w:spacing w:after="0" w:line="185" w:lineRule="exact"/>
        <w:rPr>
          <w:rFonts w:ascii="Arial" w:cs="Arial" w:eastAsia="Arial" w:hAnsi="Arial"/>
          <w:sz w:val="18"/>
          <w:szCs w:val="18"/>
          <w:color w:val="auto"/>
        </w:rPr>
      </w:pPr>
    </w:p>
    <w:p>
      <w:pPr>
        <w:jc w:val="both"/>
        <w:ind w:right="340" w:firstLine="359"/>
        <w:spacing w:after="0" w:line="332" w:lineRule="auto"/>
        <w:tabs>
          <w:tab w:leader="none" w:pos="722" w:val="left"/>
        </w:tabs>
        <w:numPr>
          <w:ilvl w:val="0"/>
          <w:numId w:val="2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"Effective Date" </w:t>
      </w:r>
      <w:r>
        <w:rPr>
          <w:rFonts w:ascii="Arial" w:cs="Arial" w:eastAsia="Arial" w:hAnsi="Arial"/>
          <w:sz w:val="16"/>
          <w:szCs w:val="16"/>
          <w:color w:val="auto"/>
        </w:rPr>
        <w:t>- means the later of the effective date of Wynn Resort's initial public offering of shares of its common stock or October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2002,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initial public offering does not occur on or before April 1, 2003, then this agreement shall be come null and void.</w:t>
      </w:r>
    </w:p>
    <w:p>
      <w:pPr>
        <w:spacing w:after="0" w:line="139" w:lineRule="exact"/>
        <w:rPr>
          <w:sz w:val="20"/>
          <w:szCs w:val="20"/>
          <w:color w:val="auto"/>
        </w:rPr>
      </w:pPr>
    </w:p>
    <w:p>
      <w:pPr>
        <w:ind w:firstLine="359"/>
        <w:spacing w:after="0" w:line="259" w:lineRule="auto"/>
        <w:tabs>
          <w:tab w:leader="none" w:pos="731" w:val="left"/>
        </w:tabs>
        <w:numPr>
          <w:ilvl w:val="0"/>
          <w:numId w:val="2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 means the occurrence, on or after the occurrence of a Change in Control, of any of the following (except with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 or resulting from an isolated, insubstantial and inadvertent action not taken in bad faith and which is remedied by Employer or its Affiliate promptly after receipt of notice thereof from Employee):</w:t>
      </w:r>
    </w:p>
    <w:p>
      <w:pPr>
        <w:spacing w:after="0" w:line="194" w:lineRule="exact"/>
        <w:rPr>
          <w:rFonts w:ascii="Arial" w:cs="Arial" w:eastAsia="Arial" w:hAnsi="Arial"/>
          <w:sz w:val="18"/>
          <w:szCs w:val="18"/>
          <w:color w:val="auto"/>
        </w:rPr>
      </w:pPr>
    </w:p>
    <w:p>
      <w:pPr>
        <w:ind w:left="1240" w:hanging="340"/>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540" w:right="160" w:firstLine="360"/>
        <w:spacing w:after="0" w:line="306" w:lineRule="auto"/>
        <w:tabs>
          <w:tab w:leader="none" w:pos="119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540" w:right="380" w:firstLine="360"/>
        <w:spacing w:after="0" w:line="268" w:lineRule="auto"/>
        <w:tabs>
          <w:tab w:leader="none" w:pos="124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185" w:lineRule="exact"/>
        <w:rPr>
          <w:rFonts w:ascii="Arial" w:cs="Arial" w:eastAsia="Arial" w:hAnsi="Arial"/>
          <w:sz w:val="18"/>
          <w:szCs w:val="18"/>
          <w:color w:val="auto"/>
        </w:rPr>
      </w:pPr>
    </w:p>
    <w:p>
      <w:pPr>
        <w:ind w:left="540" w:right="140" w:firstLine="360"/>
        <w:spacing w:after="0" w:line="332" w:lineRule="auto"/>
        <w:tabs>
          <w:tab w:leader="none" w:pos="123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39" w:lineRule="exact"/>
        <w:rPr>
          <w:rFonts w:ascii="Arial" w:cs="Arial" w:eastAsia="Arial" w:hAnsi="Arial"/>
          <w:sz w:val="16"/>
          <w:szCs w:val="16"/>
          <w:color w:val="auto"/>
        </w:rPr>
      </w:pPr>
    </w:p>
    <w:p>
      <w:pPr>
        <w:ind w:left="540" w:right="740" w:firstLine="360"/>
        <w:spacing w:after="0" w:line="268" w:lineRule="auto"/>
        <w:tabs>
          <w:tab w:leader="none" w:pos="118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ectPr>
          <w:pgSz w:w="11900" w:h="16838" w:orient="portrait"/>
          <w:cols w:equalWidth="0" w:num="1">
            <w:col w:w="10860"/>
          </w:cols>
          <w:pgMar w:left="780" w:top="131" w:right="259" w:bottom="0" w:gutter="0" w:footer="0" w:header="0"/>
        </w:sectPr>
      </w:pPr>
    </w:p>
    <w:bookmarkStart w:id="172" w:name="page173"/>
    <w:bookmarkEnd w:id="172"/>
    <w:p>
      <w:pPr>
        <w:ind w:left="1380"/>
        <w:spacing w:after="0"/>
        <w:rPr>
          <w:sz w:val="20"/>
          <w:szCs w:val="20"/>
          <w:color w:val="auto"/>
        </w:rPr>
      </w:pPr>
      <w:r>
        <w:rPr>
          <w:rFonts w:ascii="Arial" w:cs="Arial" w:eastAsia="Arial" w:hAnsi="Arial"/>
          <w:sz w:val="16"/>
          <w:szCs w:val="16"/>
          <w:color w:val="auto"/>
        </w:rPr>
        <w:t>(vi) the successor to Employer fails or refuses expressly to assume in writing the obligations of Employer under this Agreement.</w:t>
      </w:r>
    </w:p>
    <w:p>
      <w:pPr>
        <w:spacing w:after="0" w:line="248" w:lineRule="exact"/>
        <w:rPr>
          <w:sz w:val="20"/>
          <w:szCs w:val="20"/>
          <w:color w:val="auto"/>
        </w:rPr>
      </w:pPr>
    </w:p>
    <w:p>
      <w:pPr>
        <w:ind w:left="480" w:right="12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86" w:lineRule="exact"/>
        <w:rPr>
          <w:sz w:val="20"/>
          <w:szCs w:val="20"/>
          <w:color w:val="auto"/>
        </w:rPr>
      </w:pPr>
    </w:p>
    <w:p>
      <w:pPr>
        <w:ind w:left="1220" w:hanging="381"/>
        <w:spacing w:after="0"/>
        <w:tabs>
          <w:tab w:leader="none" w:pos="1220" w:val="left"/>
        </w:tabs>
        <w:numPr>
          <w:ilvl w:val="0"/>
          <w:numId w:val="2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 means any prior employment Employee has had with either Employer or Employer's Affiliate.</w:t>
      </w:r>
    </w:p>
    <w:p>
      <w:pPr>
        <w:spacing w:after="0" w:line="225" w:lineRule="exact"/>
        <w:rPr>
          <w:rFonts w:ascii="Arial" w:cs="Arial" w:eastAsia="Arial" w:hAnsi="Arial"/>
          <w:sz w:val="18"/>
          <w:szCs w:val="18"/>
          <w:color w:val="auto"/>
        </w:rPr>
      </w:pPr>
    </w:p>
    <w:p>
      <w:pPr>
        <w:jc w:val="both"/>
        <w:ind w:left="480" w:right="160" w:firstLine="359"/>
        <w:spacing w:after="0" w:line="259" w:lineRule="auto"/>
        <w:tabs>
          <w:tab w:leader="none" w:pos="1172" w:val="left"/>
        </w:tabs>
        <w:numPr>
          <w:ilvl w:val="0"/>
          <w:numId w:val="2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"Separation Payment" </w:t>
      </w:r>
      <w:r>
        <w:rPr>
          <w:rFonts w:ascii="Arial" w:cs="Arial" w:eastAsia="Arial" w:hAnsi="Arial"/>
          <w:sz w:val="18"/>
          <w:szCs w:val="18"/>
          <w:color w:val="auto"/>
        </w:rPr>
        <w:t>- means a lump sum equal to (A) Employee's Base Salary (as defined in Subparagraph 8(a) of this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twelve (12) months immediately following termination, plus (B) the bonus that was paid to Employee under Subparagraph 8(b) for the preceding bonus period, projected over the twelve (12) months following that bonus period, plus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right="480" w:firstLine="8"/>
        <w:spacing w:after="0" w:line="268" w:lineRule="auto"/>
        <w:tabs>
          <w:tab w:leader="none" w:pos="75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accrued but unpaid vacation pay, plus (D) any Gross-Up Payment required by Exhibit 1 to this Agreement, which is incorporated herein by reference.</w:t>
      </w:r>
    </w:p>
    <w:p>
      <w:pPr>
        <w:spacing w:after="0" w:line="185" w:lineRule="exact"/>
        <w:rPr>
          <w:rFonts w:ascii="Arial" w:cs="Arial" w:eastAsia="Arial" w:hAnsi="Arial"/>
          <w:sz w:val="18"/>
          <w:szCs w:val="18"/>
          <w:color w:val="auto"/>
        </w:rPr>
      </w:pPr>
    </w:p>
    <w:p>
      <w:pPr>
        <w:ind w:left="1180" w:hanging="341"/>
        <w:spacing w:after="0"/>
        <w:tabs>
          <w:tab w:leader="none" w:pos="1180" w:val="left"/>
        </w:tabs>
        <w:numPr>
          <w:ilvl w:val="2"/>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"Wynn Resorts" </w:t>
      </w:r>
      <w:r>
        <w:rPr>
          <w:rFonts w:ascii="Arial" w:cs="Arial" w:eastAsia="Arial" w:hAnsi="Arial"/>
          <w:sz w:val="18"/>
          <w:szCs w:val="18"/>
          <w:color w:val="auto"/>
        </w:rPr>
        <w:t>- means Wynn Resorts, Limited, a Nevada corporation.</w:t>
      </w:r>
    </w:p>
    <w:p>
      <w:pPr>
        <w:spacing w:after="0" w:line="225" w:lineRule="exact"/>
        <w:rPr>
          <w:rFonts w:ascii="Arial" w:cs="Arial" w:eastAsia="Arial" w:hAnsi="Arial"/>
          <w:sz w:val="18"/>
          <w:szCs w:val="18"/>
          <w:color w:val="auto"/>
        </w:rPr>
      </w:pPr>
    </w:p>
    <w:p>
      <w:pPr>
        <w:ind w:left="-60" w:right="140" w:firstLine="359"/>
        <w:spacing w:after="0" w:line="255" w:lineRule="auto"/>
        <w:tabs>
          <w:tab w:leader="none" w:pos="598"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From and after the Effective Date, Employee shall be the employee of Employer under the terms and pursuant to the conditions set forth in this Agreement.</w:t>
      </w:r>
    </w:p>
    <w:p>
      <w:pPr>
        <w:spacing w:after="0" w:line="196" w:lineRule="exact"/>
        <w:rPr>
          <w:rFonts w:ascii="Arial" w:cs="Arial" w:eastAsia="Arial" w:hAnsi="Arial"/>
          <w:sz w:val="18"/>
          <w:szCs w:val="18"/>
          <w:b w:val="1"/>
          <w:bCs w:val="1"/>
          <w:i w:val="1"/>
          <w:iCs w:val="1"/>
          <w:color w:val="auto"/>
        </w:rPr>
      </w:pPr>
    </w:p>
    <w:p>
      <w:pPr>
        <w:ind w:left="-60" w:right="60" w:firstLine="359"/>
        <w:spacing w:after="0" w:line="254" w:lineRule="auto"/>
        <w:tabs>
          <w:tab w:leader="none" w:pos="598"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BASIC EMPLOYMENT AGREEMENT. </w:t>
      </w:r>
      <w:r>
        <w:rPr>
          <w:rFonts w:ascii="Arial" w:cs="Arial" w:eastAsia="Arial" w:hAnsi="Arial"/>
          <w:sz w:val="18"/>
          <w:szCs w:val="18"/>
          <w:color w:val="auto"/>
        </w:rPr>
        <w:t>Subject to the terms and pursuant to the conditions hereinafter set forth, Employer hereby employs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in itself be a basis for finding a material reduction in the level of duties.</w:t>
      </w:r>
    </w:p>
    <w:p>
      <w:pPr>
        <w:spacing w:after="0" w:line="198" w:lineRule="exact"/>
        <w:rPr>
          <w:rFonts w:ascii="Arial" w:cs="Arial" w:eastAsia="Arial" w:hAnsi="Arial"/>
          <w:sz w:val="18"/>
          <w:szCs w:val="18"/>
          <w:b w:val="1"/>
          <w:bCs w:val="1"/>
          <w:i w:val="1"/>
          <w:iCs w:val="1"/>
          <w:color w:val="auto"/>
        </w:rPr>
      </w:pPr>
    </w:p>
    <w:p>
      <w:pPr>
        <w:ind w:left="-60" w:right="60" w:firstLine="359"/>
        <w:spacing w:after="0" w:line="253" w:lineRule="auto"/>
        <w:tabs>
          <w:tab w:leader="none" w:pos="598"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Executive Vice President—Architecture </w:t>
      </w:r>
      <w:r>
        <w:rPr>
          <w:rFonts w:ascii="Arial" w:cs="Arial" w:eastAsia="Arial" w:hAnsi="Arial"/>
          <w:sz w:val="18"/>
          <w:szCs w:val="18"/>
          <w:color w:val="auto"/>
        </w:rPr>
        <w:t>of Employer or such similar duties as may be assigned to Employee by Employer as Employer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201" w:lineRule="exact"/>
        <w:rPr>
          <w:rFonts w:ascii="Arial" w:cs="Arial" w:eastAsia="Arial" w:hAnsi="Arial"/>
          <w:sz w:val="18"/>
          <w:szCs w:val="18"/>
          <w:b w:val="1"/>
          <w:bCs w:val="1"/>
          <w:i w:val="1"/>
          <w:iCs w:val="1"/>
          <w:color w:val="auto"/>
        </w:rPr>
      </w:pPr>
    </w:p>
    <w:p>
      <w:pPr>
        <w:ind w:left="-60" w:firstLine="359"/>
        <w:spacing w:after="0" w:line="255" w:lineRule="auto"/>
        <w:tabs>
          <w:tab w:leader="none" w:pos="592"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0" w:lineRule="exact"/>
        <w:rPr>
          <w:rFonts w:ascii="Arial" w:cs="Arial" w:eastAsia="Arial" w:hAnsi="Arial"/>
          <w:sz w:val="18"/>
          <w:szCs w:val="18"/>
          <w:b w:val="1"/>
          <w:bCs w:val="1"/>
          <w:i w:val="1"/>
          <w:iCs w:val="1"/>
          <w:color w:val="auto"/>
        </w:rPr>
      </w:pPr>
    </w:p>
    <w:p>
      <w:pPr>
        <w:ind w:left="-60" w:right="180" w:firstLine="359"/>
        <w:spacing w:after="0" w:line="275" w:lineRule="auto"/>
        <w:tabs>
          <w:tab w:leader="none" w:pos="598"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expire at the end of the day on May 31, 2006.</w:t>
      </w:r>
    </w:p>
    <w:p>
      <w:pPr>
        <w:spacing w:after="0" w:line="179" w:lineRule="exact"/>
        <w:rPr>
          <w:rFonts w:ascii="Arial" w:cs="Arial" w:eastAsia="Arial" w:hAnsi="Arial"/>
          <w:sz w:val="18"/>
          <w:szCs w:val="18"/>
          <w:b w:val="1"/>
          <w:bCs w:val="1"/>
          <w:i w:val="1"/>
          <w:iCs w:val="1"/>
          <w:color w:val="auto"/>
        </w:rPr>
      </w:pPr>
    </w:p>
    <w:p>
      <w:pPr>
        <w:ind w:left="-60" w:right="140" w:firstLine="359"/>
        <w:spacing w:after="0" w:line="268" w:lineRule="auto"/>
        <w:tabs>
          <w:tab w:leader="none" w:pos="598" w:val="left"/>
        </w:tabs>
        <w:numPr>
          <w:ilvl w:val="0"/>
          <w:numId w:val="2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185" w:lineRule="exact"/>
        <w:rPr>
          <w:rFonts w:ascii="Arial" w:cs="Arial" w:eastAsia="Arial" w:hAnsi="Arial"/>
          <w:sz w:val="18"/>
          <w:szCs w:val="18"/>
          <w:b w:val="1"/>
          <w:bCs w:val="1"/>
          <w:i w:val="1"/>
          <w:iCs w:val="1"/>
          <w:color w:val="auto"/>
        </w:rPr>
      </w:pPr>
    </w:p>
    <w:p>
      <w:pPr>
        <w:ind w:left="1120" w:hanging="281"/>
        <w:spacing w:after="0"/>
        <w:tabs>
          <w:tab w:leader="none" w:pos="112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140" w:hanging="301"/>
        <w:spacing w:after="0"/>
        <w:tabs>
          <w:tab w:leader="none" w:pos="1140" w:val="left"/>
        </w:tabs>
        <w:numPr>
          <w:ilvl w:val="2"/>
          <w:numId w:val="253"/>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20" w:hanging="281"/>
        <w:spacing w:after="0"/>
        <w:tabs>
          <w:tab w:leader="none" w:pos="1120" w:val="left"/>
        </w:tabs>
        <w:numPr>
          <w:ilvl w:val="2"/>
          <w:numId w:val="253"/>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right="400" w:firstLine="359"/>
        <w:spacing w:after="0" w:line="268" w:lineRule="auto"/>
        <w:tabs>
          <w:tab w:leader="none" w:pos="112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185" w:lineRule="exact"/>
        <w:rPr>
          <w:rFonts w:ascii="Arial" w:cs="Arial" w:eastAsia="Arial" w:hAnsi="Arial"/>
          <w:sz w:val="18"/>
          <w:szCs w:val="18"/>
          <w:color w:val="auto"/>
        </w:rPr>
      </w:pPr>
    </w:p>
    <w:p>
      <w:pPr>
        <w:ind w:left="1120" w:hanging="281"/>
        <w:spacing w:after="0"/>
        <w:tabs>
          <w:tab w:leader="none" w:pos="112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within ten</w:t>
      </w:r>
    </w:p>
    <w:p>
      <w:pPr>
        <w:spacing w:after="0" w:line="38" w:lineRule="exact"/>
        <w:rPr>
          <w:rFonts w:ascii="Arial" w:cs="Arial" w:eastAsia="Arial" w:hAnsi="Arial"/>
          <w:sz w:val="16"/>
          <w:szCs w:val="16"/>
          <w:color w:val="auto"/>
        </w:rPr>
      </w:pPr>
    </w:p>
    <w:p>
      <w:pPr>
        <w:ind w:left="820" w:hanging="332"/>
        <w:spacing w:after="0"/>
        <w:tabs>
          <w:tab w:leader="none" w:pos="8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218" w:lineRule="exact"/>
        <w:rPr>
          <w:rFonts w:ascii="Arial" w:cs="Arial" w:eastAsia="Arial" w:hAnsi="Arial"/>
          <w:sz w:val="18"/>
          <w:szCs w:val="18"/>
          <w:color w:val="auto"/>
        </w:rPr>
      </w:pPr>
    </w:p>
    <w:p>
      <w:pPr>
        <w:ind w:left="480" w:right="160" w:firstLine="359"/>
        <w:spacing w:after="0" w:line="306" w:lineRule="auto"/>
        <w:tabs>
          <w:tab w:leader="none" w:pos="1182"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within ten (10) days after the expiration of such cure period without the cure having been effected, Employer must tender the Separation Payment to Employee; or</w:t>
      </w:r>
    </w:p>
    <w:p>
      <w:pPr>
        <w:sectPr>
          <w:pgSz w:w="11900" w:h="16838" w:orient="portrait"/>
          <w:cols w:equalWidth="0" w:num="1">
            <w:col w:w="11300"/>
          </w:cols>
          <w:pgMar w:left="300" w:top="131" w:right="299" w:bottom="0" w:gutter="0" w:footer="0" w:header="0"/>
        </w:sectPr>
      </w:pPr>
    </w:p>
    <w:bookmarkStart w:id="173" w:name="page174"/>
    <w:bookmarkEnd w:id="173"/>
    <w:p>
      <w:pPr>
        <w:ind w:left="540" w:right="340" w:firstLine="359"/>
        <w:spacing w:after="0" w:line="259" w:lineRule="auto"/>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within ten (10) calendar days after Employer's receipt of Employee's written election, Employer must tender the Separation Payment to Employee.</w:t>
      </w:r>
    </w:p>
    <w:p>
      <w:pPr>
        <w:spacing w:after="0" w:line="19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80" w:lineRule="exact"/>
        <w:rPr>
          <w:sz w:val="20"/>
          <w:szCs w:val="20"/>
          <w:color w:val="auto"/>
        </w:rPr>
      </w:pPr>
    </w:p>
    <w:p>
      <w:pPr>
        <w:ind w:right="80" w:firstLine="359"/>
        <w:spacing w:after="0" w:line="259" w:lineRule="auto"/>
        <w:tabs>
          <w:tab w:leader="none" w:pos="658" w:val="left"/>
        </w:tabs>
        <w:numPr>
          <w:ilvl w:val="0"/>
          <w:numId w:val="2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94" w:lineRule="exact"/>
        <w:rPr>
          <w:rFonts w:ascii="Arial" w:cs="Arial" w:eastAsia="Arial" w:hAnsi="Arial"/>
          <w:sz w:val="18"/>
          <w:szCs w:val="18"/>
          <w:b w:val="1"/>
          <w:bCs w:val="1"/>
          <w:i w:val="1"/>
          <w:iCs w:val="1"/>
          <w:color w:val="auto"/>
        </w:rPr>
      </w:pPr>
    </w:p>
    <w:p>
      <w:pPr>
        <w:ind w:left="540" w:right="400" w:firstLine="359"/>
        <w:spacing w:after="0" w:line="256" w:lineRule="auto"/>
        <w:tabs>
          <w:tab w:leader="none" w:pos="1262" w:val="left"/>
        </w:tabs>
        <w:numPr>
          <w:ilvl w:val="1"/>
          <w:numId w:val="2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 base salary at the rate of Three Hundred Fifty Thousand Dollars ($350,000.00)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Employee's Base Salary shall be exclusive of and in addition to any other benefits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Employer, in its sole discretion, may make available to Employee, including, but not limited to, those benefits described in Subparagraphs 8(b) through</w:t>
      </w:r>
    </w:p>
    <w:p>
      <w:pPr>
        <w:spacing w:after="0" w:line="38" w:lineRule="exact"/>
        <w:rPr>
          <w:sz w:val="20"/>
          <w:szCs w:val="20"/>
          <w:color w:val="auto"/>
        </w:rPr>
      </w:pPr>
    </w:p>
    <w:p>
      <w:pPr>
        <w:ind w:left="540" w:right="160" w:firstLine="8"/>
        <w:spacing w:after="0" w:line="261" w:lineRule="auto"/>
        <w:tabs>
          <w:tab w:leader="none" w:pos="77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of this Agreement. Employee's Base Salary shall be subject to periodic merit review, and may be increased, but not decreased, as a result of any such review.</w:t>
      </w:r>
    </w:p>
    <w:p>
      <w:pPr>
        <w:spacing w:after="0" w:line="191" w:lineRule="exact"/>
        <w:rPr>
          <w:rFonts w:ascii="Arial" w:cs="Arial" w:eastAsia="Arial" w:hAnsi="Arial"/>
          <w:sz w:val="18"/>
          <w:szCs w:val="18"/>
          <w:color w:val="auto"/>
        </w:rPr>
      </w:pPr>
    </w:p>
    <w:p>
      <w:pPr>
        <w:jc w:val="both"/>
        <w:ind w:left="540" w:firstLine="359"/>
        <w:spacing w:after="0" w:line="256" w:lineRule="auto"/>
        <w:tabs>
          <w:tab w:leader="none" w:pos="1271" w:val="left"/>
        </w:tabs>
        <w:numPr>
          <w:ilvl w:val="2"/>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 in its sole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discretion, may determine until such time as Employer may adopt a performance based bonus plan, and thereafter in accordance with such plan. Nothing in this Agreement shall limit Employer's or Wynn Resorts' discretion to adopt, amend or terminate any performance based bonus plan at any time prior to a Change of Control.</w:t>
      </w:r>
    </w:p>
    <w:p>
      <w:pPr>
        <w:spacing w:after="0" w:line="197" w:lineRule="exact"/>
        <w:rPr>
          <w:rFonts w:ascii="Arial" w:cs="Arial" w:eastAsia="Arial" w:hAnsi="Arial"/>
          <w:sz w:val="18"/>
          <w:szCs w:val="18"/>
          <w:color w:val="auto"/>
        </w:rPr>
      </w:pPr>
    </w:p>
    <w:p>
      <w:pPr>
        <w:jc w:val="both"/>
        <w:ind w:left="540" w:right="180" w:firstLine="359"/>
        <w:spacing w:after="0" w:line="284" w:lineRule="auto"/>
        <w:tabs>
          <w:tab w:leader="none" w:pos="1262" w:val="left"/>
        </w:tabs>
        <w:numPr>
          <w:ilvl w:val="2"/>
          <w:numId w:val="2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w:t>
      </w:r>
    </w:p>
    <w:p>
      <w:pPr>
        <w:spacing w:after="0" w:line="1" w:lineRule="exact"/>
        <w:rPr>
          <w:rFonts w:ascii="Arial" w:cs="Arial" w:eastAsia="Arial" w:hAnsi="Arial"/>
          <w:sz w:val="16"/>
          <w:szCs w:val="16"/>
          <w:color w:val="auto"/>
        </w:rPr>
      </w:pPr>
    </w:p>
    <w:p>
      <w:pPr>
        <w:ind w:left="540"/>
        <w:spacing w:after="0" w:line="302" w:lineRule="auto"/>
        <w:rPr>
          <w:rFonts w:ascii="Arial" w:cs="Arial" w:eastAsia="Arial" w:hAnsi="Arial"/>
          <w:sz w:val="16"/>
          <w:szCs w:val="16"/>
          <w:color w:val="auto"/>
        </w:rPr>
      </w:pPr>
      <w:r>
        <w:rPr>
          <w:rFonts w:ascii="Arial" w:cs="Arial" w:eastAsia="Arial" w:hAnsi="Arial"/>
          <w:sz w:val="16"/>
          <w:szCs w:val="16"/>
          <w:color w:val="auto"/>
        </w:rPr>
        <w:t>Unless prohibited by law or the terms of the applicable plan, Employee's eligibility for medical and/or hospitalization benefits shall commence on the Effective Date of this Agreement. Nothing in this Agreement shall limit Employer's or any of its Affiliates' ability to (i) exercise the discretion provided to it under any such plan, or (ii) adopt, amend or terminate any such benefit plans at any time prior to a Change of Control.</w:t>
      </w:r>
    </w:p>
    <w:p>
      <w:pPr>
        <w:spacing w:after="0" w:line="163" w:lineRule="exact"/>
        <w:rPr>
          <w:rFonts w:ascii="Arial" w:cs="Arial" w:eastAsia="Arial" w:hAnsi="Arial"/>
          <w:sz w:val="16"/>
          <w:szCs w:val="16"/>
          <w:color w:val="auto"/>
        </w:rPr>
      </w:pPr>
    </w:p>
    <w:p>
      <w:pPr>
        <w:ind w:left="540" w:right="80" w:firstLine="359"/>
        <w:spacing w:after="0" w:line="291" w:lineRule="auto"/>
        <w:tabs>
          <w:tab w:leader="none" w:pos="1271" w:val="left"/>
        </w:tabs>
        <w:numPr>
          <w:ilvl w:val="2"/>
          <w:numId w:val="2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EXPENSE REIMBURSEMENT.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74" w:lineRule="exact"/>
        <w:rPr>
          <w:rFonts w:ascii="Arial" w:cs="Arial" w:eastAsia="Arial" w:hAnsi="Arial"/>
          <w:sz w:val="16"/>
          <w:szCs w:val="16"/>
          <w:color w:val="auto"/>
        </w:rPr>
      </w:pPr>
    </w:p>
    <w:p>
      <w:pPr>
        <w:ind w:left="540" w:right="80" w:firstLine="359"/>
        <w:spacing w:after="0" w:line="256" w:lineRule="auto"/>
        <w:tabs>
          <w:tab w:leader="none" w:pos="1262" w:val="left"/>
        </w:tabs>
        <w:numPr>
          <w:ilvl w:val="2"/>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7" w:lineRule="exact"/>
        <w:rPr>
          <w:rFonts w:ascii="Arial" w:cs="Arial" w:eastAsia="Arial" w:hAnsi="Arial"/>
          <w:sz w:val="18"/>
          <w:szCs w:val="18"/>
          <w:color w:val="auto"/>
        </w:rPr>
      </w:pPr>
    </w:p>
    <w:p>
      <w:pPr>
        <w:ind w:left="540" w:right="80" w:firstLine="359"/>
        <w:spacing w:after="0" w:line="259" w:lineRule="auto"/>
        <w:tabs>
          <w:tab w:leader="none" w:pos="1239" w:val="left"/>
        </w:tabs>
        <w:numPr>
          <w:ilvl w:val="2"/>
          <w:numId w:val="2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WITHHOLDINGS. </w:t>
      </w:r>
      <w:r>
        <w:rPr>
          <w:rFonts w:ascii="Arial" w:cs="Arial" w:eastAsia="Arial" w:hAnsi="Arial"/>
          <w:sz w:val="18"/>
          <w:szCs w:val="18"/>
          <w:color w:val="auto"/>
        </w:rPr>
        <w:t>All compensation to Employee identified in this Paragraph 8 shall be subject to applicable withholdings for federal,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local income or other taxes, Social Security Tax, Medicare Tax, State Unemployment Insurance, State Disability Insurance, voluntary charitable contributions and the like.</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b w:val="1"/>
          <w:bCs w:val="1"/>
          <w:i w:val="1"/>
          <w:iCs w:val="1"/>
          <w:color w:val="auto"/>
        </w:rPr>
      </w:pPr>
    </w:p>
    <w:p>
      <w:pPr>
        <w:ind w:left="540" w:right="160" w:firstLine="359"/>
        <w:spacing w:after="0" w:line="294" w:lineRule="auto"/>
        <w:tabs>
          <w:tab w:leader="none" w:pos="1174" w:val="left"/>
        </w:tabs>
        <w:numPr>
          <w:ilvl w:val="2"/>
          <w:numId w:val="259"/>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Gaming Authorities</w:t>
      </w:r>
      <w:r>
        <w:rPr>
          <w:rFonts w:ascii="Arial" w:cs="Arial" w:eastAsia="Arial" w:hAnsi="Arial"/>
          <w:sz w:val="16"/>
          <w:szCs w:val="16"/>
          <w:color w:val="auto"/>
        </w:rPr>
        <w:t>") pursuant to the provisions of the applicable gaming regulatory statutes and the regulations promulgated thereunder (the "</w:t>
      </w:r>
      <w:r>
        <w:rPr>
          <w:rFonts w:ascii="Arial" w:cs="Arial" w:eastAsia="Arial" w:hAnsi="Arial"/>
          <w:sz w:val="16"/>
          <w:szCs w:val="16"/>
          <w:b w:val="1"/>
          <w:bCs w:val="1"/>
          <w:color w:val="auto"/>
        </w:rPr>
        <w:t>Gaming Laws</w:t>
      </w:r>
      <w:r>
        <w:rPr>
          <w:rFonts w:ascii="Arial" w:cs="Arial" w:eastAsia="Arial" w:hAnsi="Arial"/>
          <w:sz w:val="16"/>
          <w:szCs w:val="16"/>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w:t>
      </w:r>
    </w:p>
    <w:p>
      <w:pPr>
        <w:sectPr>
          <w:pgSz w:w="11900" w:h="16838" w:orient="portrait"/>
          <w:cols w:equalWidth="0" w:num="1">
            <w:col w:w="11400"/>
          </w:cols>
          <w:pgMar w:left="240" w:top="131" w:right="259" w:bottom="396"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96" w:gutter="0" w:footer="0" w:header="0"/>
          <w:type w:val="continuous"/>
        </w:sectPr>
      </w:pPr>
    </w:p>
    <w:bookmarkStart w:id="174" w:name="page175"/>
    <w:bookmarkEnd w:id="174"/>
    <w:p>
      <w:pPr>
        <w:ind w:left="540" w:right="200"/>
        <w:spacing w:after="0" w:line="268" w:lineRule="auto"/>
        <w:rPr>
          <w:sz w:val="20"/>
          <w:szCs w:val="20"/>
          <w:color w:val="auto"/>
        </w:rPr>
      </w:pPr>
      <w:r>
        <w:rPr>
          <w:rFonts w:ascii="Arial" w:cs="Arial" w:eastAsia="Arial" w:hAnsi="Arial"/>
          <w:sz w:val="18"/>
          <w:szCs w:val="18"/>
          <w:color w:val="auto"/>
        </w:rPr>
        <w:t>Agreement, (ii) Employer and Employee have used their best efforts to obtain such approval, and (iii) this Agreement is not so approved by the Gaming Authorities, then this Agreement shall immediately terminate and shall be null and void.</w:t>
      </w:r>
    </w:p>
    <w:p>
      <w:pPr>
        <w:spacing w:after="0" w:line="186" w:lineRule="exact"/>
        <w:rPr>
          <w:sz w:val="20"/>
          <w:szCs w:val="20"/>
          <w:color w:val="auto"/>
        </w:rPr>
      </w:pPr>
    </w:p>
    <w:p>
      <w:pPr>
        <w:ind w:left="540" w:firstLine="359"/>
        <w:spacing w:after="0" w:line="288" w:lineRule="auto"/>
        <w:tabs>
          <w:tab w:leader="none" w:pos="1184"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73" w:lineRule="exact"/>
        <w:rPr>
          <w:rFonts w:ascii="Arial" w:cs="Arial" w:eastAsia="Arial" w:hAnsi="Arial"/>
          <w:sz w:val="16"/>
          <w:szCs w:val="16"/>
          <w:color w:val="auto"/>
        </w:rPr>
      </w:pPr>
    </w:p>
    <w:p>
      <w:pPr>
        <w:ind w:left="540" w:right="20" w:firstLine="359"/>
        <w:spacing w:after="0" w:line="268" w:lineRule="auto"/>
        <w:tabs>
          <w:tab w:leader="none" w:pos="117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20" w:firstLine="359"/>
        <w:spacing w:after="0" w:line="287" w:lineRule="auto"/>
        <w:tabs>
          <w:tab w:leader="none" w:pos="746" w:val="left"/>
        </w:tabs>
        <w:numPr>
          <w:ilvl w:val="0"/>
          <w:numId w:val="2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76" w:lineRule="exact"/>
        <w:rPr>
          <w:rFonts w:ascii="Arial" w:cs="Arial" w:eastAsia="Arial" w:hAnsi="Arial"/>
          <w:sz w:val="16"/>
          <w:szCs w:val="16"/>
          <w:b w:val="1"/>
          <w:bCs w:val="1"/>
          <w:i w:val="1"/>
          <w:iCs w:val="1"/>
          <w:color w:val="auto"/>
        </w:rPr>
      </w:pPr>
    </w:p>
    <w:p>
      <w:pPr>
        <w:ind w:left="740" w:hanging="381"/>
        <w:spacing w:after="0"/>
        <w:tabs>
          <w:tab w:leader="none" w:pos="740" w:val="left"/>
        </w:tabs>
        <w:numPr>
          <w:ilvl w:val="0"/>
          <w:numId w:val="2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RESTRICTIVE COVENANT/NO SOLICITATION.</w:t>
      </w:r>
    </w:p>
    <w:p>
      <w:pPr>
        <w:spacing w:after="0" w:line="225" w:lineRule="exact"/>
        <w:rPr>
          <w:rFonts w:ascii="Arial" w:cs="Arial" w:eastAsia="Arial" w:hAnsi="Arial"/>
          <w:sz w:val="18"/>
          <w:szCs w:val="18"/>
          <w:b w:val="1"/>
          <w:bCs w:val="1"/>
          <w:i w:val="1"/>
          <w:iCs w:val="1"/>
          <w:color w:val="auto"/>
        </w:rPr>
      </w:pPr>
    </w:p>
    <w:p>
      <w:pPr>
        <w:ind w:left="540" w:firstLine="359"/>
        <w:spacing w:after="0" w:line="290" w:lineRule="auto"/>
        <w:tabs>
          <w:tab w:leader="none" w:pos="1174"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to duration, terms and geographical area and that the same protects the legitimate interests of Employer, imposes no undue hardship on Employee, and is not injurious to the public.</w:t>
      </w:r>
    </w:p>
    <w:p>
      <w:pPr>
        <w:spacing w:after="0" w:line="186" w:lineRule="exact"/>
        <w:rPr>
          <w:sz w:val="20"/>
          <w:szCs w:val="20"/>
          <w:color w:val="auto"/>
        </w:rPr>
      </w:pPr>
    </w:p>
    <w:p>
      <w:pPr>
        <w:ind w:left="540" w:firstLine="359"/>
        <w:spacing w:after="0" w:line="256" w:lineRule="auto"/>
        <w:tabs>
          <w:tab w:leader="none" w:pos="118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60" w:firstLine="359"/>
        <w:spacing w:after="0" w:line="268" w:lineRule="auto"/>
        <w:tabs>
          <w:tab w:leader="none" w:pos="746"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b w:val="1"/>
          <w:bCs w:val="1"/>
          <w:i w:val="1"/>
          <w:iCs w:val="1"/>
          <w:color w:val="auto"/>
        </w:rPr>
      </w:pPr>
    </w:p>
    <w:p>
      <w:pPr>
        <w:ind w:left="760" w:hanging="401"/>
        <w:spacing w:after="0"/>
        <w:tabs>
          <w:tab w:leader="none" w:pos="760" w:val="left"/>
        </w:tabs>
        <w:numPr>
          <w:ilvl w:val="0"/>
          <w:numId w:val="2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b w:val="1"/>
          <w:bCs w:val="1"/>
          <w:i w:val="1"/>
          <w:iCs w:val="1"/>
          <w:color w:val="auto"/>
        </w:rPr>
      </w:pPr>
    </w:p>
    <w:p>
      <w:pPr>
        <w:ind w:right="40" w:firstLine="359"/>
        <w:spacing w:after="0" w:line="255" w:lineRule="auto"/>
        <w:tabs>
          <w:tab w:leader="none" w:pos="740"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96" w:lineRule="exact"/>
        <w:rPr>
          <w:rFonts w:ascii="Arial" w:cs="Arial" w:eastAsia="Arial" w:hAnsi="Arial"/>
          <w:sz w:val="18"/>
          <w:szCs w:val="18"/>
          <w:b w:val="1"/>
          <w:bCs w:val="1"/>
          <w:i w:val="1"/>
          <w:iCs w:val="1"/>
          <w:color w:val="auto"/>
        </w:rPr>
      </w:pPr>
    </w:p>
    <w:p>
      <w:pPr>
        <w:ind w:right="440" w:firstLine="359"/>
        <w:spacing w:after="0" w:line="268" w:lineRule="auto"/>
        <w:tabs>
          <w:tab w:leader="none" w:pos="740"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b w:val="1"/>
          <w:bCs w:val="1"/>
          <w:i w:val="1"/>
          <w:iCs w:val="1"/>
          <w:color w:val="auto"/>
        </w:rPr>
      </w:pPr>
    </w:p>
    <w:p>
      <w:pPr>
        <w:ind w:right="80" w:firstLine="359"/>
        <w:spacing w:after="0" w:line="268" w:lineRule="auto"/>
        <w:tabs>
          <w:tab w:leader="none" w:pos="746"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b w:val="1"/>
          <w:bCs w:val="1"/>
          <w:i w:val="1"/>
          <w:iCs w:val="1"/>
          <w:color w:val="auto"/>
        </w:rPr>
      </w:pPr>
    </w:p>
    <w:p>
      <w:pPr>
        <w:ind w:right="160" w:firstLine="359"/>
        <w:spacing w:after="0" w:line="268" w:lineRule="auto"/>
        <w:tabs>
          <w:tab w:leader="none" w:pos="746"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200" w:lineRule="exact"/>
        <w:rPr>
          <w:sz w:val="20"/>
          <w:szCs w:val="20"/>
          <w:color w:val="auto"/>
        </w:rPr>
      </w:pPr>
    </w:p>
    <w:p>
      <w:pPr>
        <w:spacing w:after="0" w:line="202"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i w:val="1"/>
                <w:iCs w:val="1"/>
                <w:color w:val="auto"/>
              </w:rPr>
              <w:t>TO EMPLOYER</w:t>
            </w:r>
            <w:r>
              <w:rPr>
                <w:rFonts w:ascii="Arial" w:cs="Arial" w:eastAsia="Arial" w:hAnsi="Arial"/>
                <w:sz w:val="18"/>
                <w:szCs w:val="18"/>
                <w:color w:val="auto"/>
              </w:rPr>
              <w:t>:</w:t>
            </w:r>
          </w:p>
        </w:tc>
        <w:tc>
          <w:tcPr>
            <w:tcW w:w="2680" w:type="dxa"/>
            <w:vAlign w:val="bottom"/>
          </w:tcPr>
          <w:p>
            <w:pPr>
              <w:ind w:left="120"/>
              <w:spacing w:after="0"/>
              <w:rPr>
                <w:sz w:val="20"/>
                <w:szCs w:val="20"/>
                <w:color w:val="auto"/>
              </w:rPr>
            </w:pPr>
            <w:r>
              <w:rPr>
                <w:rFonts w:ascii="Arial" w:cs="Arial" w:eastAsia="Arial" w:hAnsi="Arial"/>
                <w:sz w:val="18"/>
                <w:szCs w:val="18"/>
                <w:color w:val="auto"/>
                <w:w w:val="91"/>
              </w:rPr>
              <w:t>Wynn Design &amp; Development, LLC</w:t>
            </w:r>
          </w:p>
        </w:tc>
      </w:tr>
      <w:tr>
        <w:trPr>
          <w:trHeight w:val="216"/>
        </w:trPr>
        <w:tc>
          <w:tcPr>
            <w:tcW w:w="356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w w:val="94"/>
              </w:rPr>
              <w:t>3145 Las Vegas Boulevard South</w:t>
            </w:r>
          </w:p>
        </w:tc>
      </w:tr>
      <w:tr>
        <w:trPr>
          <w:trHeight w:val="222"/>
        </w:trPr>
        <w:tc>
          <w:tcPr>
            <w:tcW w:w="3560" w:type="dxa"/>
            <w:vAlign w:val="bottom"/>
          </w:tcPr>
          <w:p>
            <w:pPr>
              <w:spacing w:after="0"/>
              <w:rPr>
                <w:sz w:val="19"/>
                <w:szCs w:val="19"/>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Las Vegas, Nevada 89109</w:t>
            </w:r>
          </w:p>
        </w:tc>
      </w:tr>
      <w:tr>
        <w:trPr>
          <w:trHeight w:val="426"/>
        </w:trPr>
        <w:tc>
          <w:tcPr>
            <w:tcW w:w="3560" w:type="dxa"/>
            <w:vAlign w:val="bottom"/>
          </w:tcPr>
          <w:p>
            <w:pPr>
              <w:spacing w:after="0"/>
              <w:rPr>
                <w:sz w:val="20"/>
                <w:szCs w:val="20"/>
                <w:color w:val="auto"/>
              </w:rPr>
            </w:pPr>
            <w:r>
              <w:rPr>
                <w:rFonts w:ascii="Arial" w:cs="Arial" w:eastAsia="Arial" w:hAnsi="Arial"/>
                <w:sz w:val="18"/>
                <w:szCs w:val="18"/>
                <w:i w:val="1"/>
                <w:iCs w:val="1"/>
                <w:color w:val="auto"/>
                <w:w w:val="93"/>
              </w:rPr>
              <w:t>WITH A COPY THAT SHALL NOT BE NOTICE</w:t>
            </w:r>
          </w:p>
        </w:tc>
        <w:tc>
          <w:tcPr>
            <w:tcW w:w="2680" w:type="dxa"/>
            <w:vAlign w:val="bottom"/>
          </w:tcPr>
          <w:p>
            <w:pPr>
              <w:ind w:left="120"/>
              <w:spacing w:after="0"/>
              <w:rPr>
                <w:sz w:val="20"/>
                <w:szCs w:val="20"/>
                <w:color w:val="auto"/>
              </w:rPr>
            </w:pPr>
            <w:r>
              <w:rPr>
                <w:rFonts w:ascii="Arial" w:cs="Arial" w:eastAsia="Arial" w:hAnsi="Arial"/>
                <w:sz w:val="18"/>
                <w:szCs w:val="18"/>
                <w:color w:val="auto"/>
              </w:rPr>
              <w:t>Wynn Resorts, Limited</w:t>
            </w:r>
          </w:p>
        </w:tc>
      </w:tr>
      <w:tr>
        <w:trPr>
          <w:trHeight w:val="249"/>
        </w:trPr>
        <w:tc>
          <w:tcPr>
            <w:tcW w:w="3560" w:type="dxa"/>
            <w:vAlign w:val="bottom"/>
          </w:tcPr>
          <w:p>
            <w:pPr>
              <w:spacing w:after="0"/>
              <w:rPr>
                <w:sz w:val="20"/>
                <w:szCs w:val="20"/>
                <w:color w:val="auto"/>
              </w:rPr>
            </w:pPr>
            <w:r>
              <w:rPr>
                <w:rFonts w:ascii="Arial" w:cs="Arial" w:eastAsia="Arial" w:hAnsi="Arial"/>
                <w:sz w:val="18"/>
                <w:szCs w:val="18"/>
                <w:i w:val="1"/>
                <w:iCs w:val="1"/>
                <w:color w:val="auto"/>
              </w:rPr>
              <w:t>TO</w:t>
            </w:r>
            <w:r>
              <w:rPr>
                <w:rFonts w:ascii="Arial" w:cs="Arial" w:eastAsia="Arial" w:hAnsi="Arial"/>
                <w:sz w:val="18"/>
                <w:szCs w:val="18"/>
                <w:color w:val="auto"/>
              </w:rPr>
              <w:t>:</w:t>
            </w:r>
          </w:p>
        </w:tc>
        <w:tc>
          <w:tcPr>
            <w:tcW w:w="2680" w:type="dxa"/>
            <w:vAlign w:val="bottom"/>
          </w:tcPr>
          <w:p>
            <w:pPr>
              <w:ind w:left="120"/>
              <w:spacing w:after="0"/>
              <w:rPr>
                <w:sz w:val="20"/>
                <w:szCs w:val="20"/>
                <w:color w:val="auto"/>
              </w:rPr>
            </w:pPr>
            <w:r>
              <w:rPr>
                <w:rFonts w:ascii="Arial" w:cs="Arial" w:eastAsia="Arial" w:hAnsi="Arial"/>
                <w:sz w:val="18"/>
                <w:szCs w:val="18"/>
                <w:color w:val="auto"/>
                <w:w w:val="94"/>
              </w:rPr>
              <w:t>3145 Las Vegas Boulevard South</w:t>
            </w:r>
          </w:p>
        </w:tc>
      </w:tr>
    </w:tbl>
    <w:p>
      <w:pPr>
        <w:sectPr>
          <w:pgSz w:w="11900" w:h="16838" w:orient="portrait"/>
          <w:cols w:equalWidth="0" w:num="1">
            <w:col w:w="11420"/>
          </w:cols>
          <w:pgMar w:left="240" w:top="131" w:right="239" w:bottom="0" w:gutter="0" w:footer="0" w:header="0"/>
        </w:sectPr>
      </w:pPr>
    </w:p>
    <w:bookmarkStart w:id="175" w:name="page176"/>
    <w:bookmarkEnd w:id="175"/>
    <w:p>
      <w:pPr>
        <w:ind w:left="5800"/>
        <w:spacing w:after="0"/>
        <w:rPr>
          <w:sz w:val="20"/>
          <w:szCs w:val="20"/>
          <w:color w:val="auto"/>
        </w:rPr>
      </w:pPr>
      <w:r>
        <w:rPr>
          <w:rFonts w:ascii="Arial" w:cs="Arial" w:eastAsia="Arial" w:hAnsi="Arial"/>
          <w:sz w:val="15"/>
          <w:szCs w:val="15"/>
          <w:color w:val="auto"/>
        </w:rPr>
        <w:t>Las Vegas, Nevada 89109</w:t>
      </w:r>
    </w:p>
    <w:p>
      <w:pPr>
        <w:spacing w:after="0" w:line="50"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Attn: Legal Department</w:t>
      </w:r>
    </w:p>
    <w:p>
      <w:pPr>
        <w:sectPr>
          <w:pgSz w:w="11900" w:h="16838" w:orient="portrait"/>
          <w:cols w:equalWidth="0" w:num="1">
            <w:col w:w="11420"/>
          </w:cols>
          <w:pgMar w:left="240" w:top="131" w:right="239" w:bottom="0" w:gutter="0" w:footer="0" w:header="0"/>
        </w:sectPr>
      </w:pPr>
    </w:p>
    <w:p>
      <w:pPr>
        <w:spacing w:after="0" w:line="269"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TO 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DeRuyter O. Butler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1972 Redbird Drive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Las Vegas, NV 89134</w:t>
      </w:r>
    </w:p>
    <w:p>
      <w:pPr>
        <w:spacing w:after="0" w:line="200" w:lineRule="exact"/>
        <w:rPr>
          <w:sz w:val="20"/>
          <w:szCs w:val="20"/>
          <w:color w:val="auto"/>
        </w:rPr>
      </w:pPr>
    </w:p>
    <w:p>
      <w:pPr>
        <w:sectPr>
          <w:pgSz w:w="11900" w:h="16838" w:orient="portrait"/>
          <w:cols w:equalWidth="0" w:num="2">
            <w:col w:w="5080" w:space="720"/>
            <w:col w:w="5620"/>
          </w:cols>
          <w:pgMar w:left="240" w:top="131" w:right="239" w:bottom="0" w:gutter="0" w:footer="0" w:header="0"/>
          <w:type w:val="continuous"/>
        </w:sectPr>
      </w:pPr>
    </w:p>
    <w:p>
      <w:pPr>
        <w:spacing w:after="0" w:line="5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200" w:firstLine="359"/>
        <w:spacing w:after="0" w:line="268" w:lineRule="auto"/>
        <w:tabs>
          <w:tab w:leader="none" w:pos="746" w:val="left"/>
        </w:tabs>
        <w:numPr>
          <w:ilvl w:val="0"/>
          <w:numId w:val="2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9"/>
        <w:spacing w:after="0" w:line="332" w:lineRule="auto"/>
        <w:tabs>
          <w:tab w:leader="none" w:pos="746" w:val="left"/>
        </w:tabs>
        <w:numPr>
          <w:ilvl w:val="0"/>
          <w:numId w:val="2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b w:val="1"/>
          <w:bCs w:val="1"/>
          <w:i w:val="1"/>
          <w:iCs w:val="1"/>
          <w:color w:val="auto"/>
        </w:rPr>
      </w:pPr>
    </w:p>
    <w:p>
      <w:pPr>
        <w:ind w:right="140" w:firstLine="359"/>
        <w:spacing w:after="0" w:line="291" w:lineRule="auto"/>
        <w:tabs>
          <w:tab w:leader="none" w:pos="746" w:val="left"/>
        </w:tabs>
        <w:numPr>
          <w:ilvl w:val="0"/>
          <w:numId w:val="2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DISPUTE RESOLUTION.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74" w:lineRule="exact"/>
        <w:rPr>
          <w:rFonts w:ascii="Arial" w:cs="Arial" w:eastAsia="Arial" w:hAnsi="Arial"/>
          <w:sz w:val="16"/>
          <w:szCs w:val="16"/>
          <w:b w:val="1"/>
          <w:bCs w:val="1"/>
          <w:i w:val="1"/>
          <w:iCs w:val="1"/>
          <w:color w:val="auto"/>
        </w:rPr>
      </w:pPr>
    </w:p>
    <w:p>
      <w:pPr>
        <w:ind w:right="140" w:firstLine="359"/>
        <w:spacing w:after="0" w:line="259" w:lineRule="auto"/>
        <w:tabs>
          <w:tab w:leader="none" w:pos="743" w:val="left"/>
        </w:tabs>
        <w:numPr>
          <w:ilvl w:val="0"/>
          <w:numId w:val="2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b w:val="1"/>
          <w:bCs w:val="1"/>
          <w:i w:val="1"/>
          <w:iCs w:val="1"/>
          <w:color w:val="auto"/>
        </w:rPr>
      </w:pPr>
    </w:p>
    <w:p>
      <w:pPr>
        <w:ind w:right="120" w:firstLine="359"/>
        <w:spacing w:after="0" w:line="298" w:lineRule="auto"/>
        <w:tabs>
          <w:tab w:leader="none" w:pos="746" w:val="left"/>
        </w:tabs>
        <w:numPr>
          <w:ilvl w:val="0"/>
          <w:numId w:val="2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IN WITNESS WHEREOF AND INTENDING TO BE LEGALLY BOUND THEREBY</w:t>
      </w:r>
      <w:r>
        <w:rPr>
          <w:rFonts w:ascii="Arial" w:cs="Arial" w:eastAsia="Arial" w:hAnsi="Arial"/>
          <w:sz w:val="18"/>
          <w:szCs w:val="18"/>
          <w:color w:val="auto"/>
        </w:rPr>
        <w:t>, 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WYNN DESIGN &amp; DEVELOPMENT, LLC</w:t>
            </w:r>
          </w:p>
        </w:tc>
        <w:tc>
          <w:tcPr>
            <w:tcW w:w="108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b w:val="1"/>
                <w:bCs w:val="1"/>
                <w:color w:val="auto"/>
              </w:rPr>
              <w:t>EMPLOYEE</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By Valvino Lamore, LLC,</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Its Sole Member,</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By Wynn Resorts, Limited,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8"/>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Its Sole Member</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642"/>
        </w:trPr>
        <w:tc>
          <w:tcPr>
            <w:tcW w:w="4980" w:type="dxa"/>
            <w:vAlign w:val="bottom"/>
            <w:gridSpan w:val="2"/>
          </w:tcPr>
          <w:p>
            <w:pPr>
              <w:spacing w:after="0"/>
              <w:rPr>
                <w:sz w:val="20"/>
                <w:szCs w:val="20"/>
                <w:color w:val="auto"/>
              </w:rPr>
            </w:pPr>
            <w:r>
              <w:rPr>
                <w:rFonts w:ascii="Arial" w:cs="Arial" w:eastAsia="Arial" w:hAnsi="Arial"/>
                <w:sz w:val="18"/>
                <w:szCs w:val="18"/>
                <w:color w:val="auto"/>
              </w:rPr>
              <w:t>By:</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4060" w:type="dxa"/>
            <w:vAlign w:val="bottom"/>
          </w:tcPr>
          <w:p>
            <w:pPr>
              <w:ind w:left="1580"/>
              <w:spacing w:after="0"/>
              <w:rPr>
                <w:sz w:val="20"/>
                <w:szCs w:val="20"/>
                <w:color w:val="auto"/>
              </w:rPr>
            </w:pPr>
            <w:r>
              <w:rPr>
                <w:rFonts w:ascii="Arial" w:cs="Arial" w:eastAsia="Arial" w:hAnsi="Arial"/>
                <w:sz w:val="18"/>
                <w:szCs w:val="18"/>
                <w:color w:val="auto"/>
              </w:rPr>
              <w:t>/s/ MARC D. SCHORR</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/s/ DERUYTER O. BUTLER</w:t>
            </w:r>
          </w:p>
        </w:tc>
      </w:tr>
      <w:tr>
        <w:trPr>
          <w:trHeight w:val="120"/>
        </w:trPr>
        <w:tc>
          <w:tcPr>
            <w:tcW w:w="9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3"/>
        </w:trPr>
        <w:tc>
          <w:tcPr>
            <w:tcW w:w="920" w:type="dxa"/>
            <w:vAlign w:val="bottom"/>
          </w:tcPr>
          <w:p>
            <w:pPr>
              <w:spacing w:after="0"/>
              <w:rPr>
                <w:sz w:val="24"/>
                <w:szCs w:val="24"/>
                <w:color w:val="auto"/>
              </w:rPr>
            </w:pPr>
          </w:p>
        </w:tc>
        <w:tc>
          <w:tcPr>
            <w:tcW w:w="4060" w:type="dxa"/>
            <w:vAlign w:val="bottom"/>
          </w:tcPr>
          <w:p>
            <w:pPr>
              <w:jc w:val="center"/>
              <w:ind w:left="992"/>
              <w:spacing w:after="0"/>
              <w:rPr>
                <w:sz w:val="20"/>
                <w:szCs w:val="20"/>
                <w:color w:val="auto"/>
              </w:rPr>
            </w:pPr>
            <w:r>
              <w:rPr>
                <w:rFonts w:ascii="Arial" w:cs="Arial" w:eastAsia="Arial" w:hAnsi="Arial"/>
                <w:sz w:val="18"/>
                <w:szCs w:val="18"/>
                <w:color w:val="auto"/>
                <w:w w:val="90"/>
              </w:rPr>
              <w:t>Marc D. Schorr</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1820"/>
              <w:spacing w:after="0"/>
              <w:rPr>
                <w:sz w:val="20"/>
                <w:szCs w:val="20"/>
                <w:color w:val="auto"/>
              </w:rPr>
            </w:pPr>
            <w:r>
              <w:rPr>
                <w:rFonts w:ascii="Arial" w:cs="Arial" w:eastAsia="Arial" w:hAnsi="Arial"/>
                <w:sz w:val="18"/>
                <w:szCs w:val="18"/>
                <w:color w:val="auto"/>
              </w:rPr>
              <w:t>DeRuyter O. Butler</w:t>
            </w:r>
          </w:p>
        </w:tc>
      </w:tr>
      <w:tr>
        <w:trPr>
          <w:trHeight w:val="222"/>
        </w:trPr>
        <w:tc>
          <w:tcPr>
            <w:tcW w:w="920" w:type="dxa"/>
            <w:vAlign w:val="bottom"/>
          </w:tcPr>
          <w:p>
            <w:pPr>
              <w:spacing w:after="0"/>
              <w:rPr>
                <w:sz w:val="19"/>
                <w:szCs w:val="19"/>
                <w:color w:val="auto"/>
              </w:rPr>
            </w:pPr>
          </w:p>
        </w:tc>
        <w:tc>
          <w:tcPr>
            <w:tcW w:w="4060" w:type="dxa"/>
            <w:vAlign w:val="bottom"/>
          </w:tcPr>
          <w:p>
            <w:pPr>
              <w:jc w:val="center"/>
              <w:ind w:left="992"/>
              <w:spacing w:after="0"/>
              <w:rPr>
                <w:sz w:val="20"/>
                <w:szCs w:val="20"/>
                <w:color w:val="auto"/>
              </w:rPr>
            </w:pPr>
            <w:r>
              <w:rPr>
                <w:rFonts w:ascii="Arial" w:cs="Arial" w:eastAsia="Arial" w:hAnsi="Arial"/>
                <w:sz w:val="18"/>
                <w:szCs w:val="18"/>
                <w:i w:val="1"/>
                <w:iCs w:val="1"/>
                <w:color w:val="auto"/>
                <w:w w:val="92"/>
              </w:rPr>
              <w:t>Chief Operating Officer</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32"/>
        </w:trPr>
        <w:tc>
          <w:tcPr>
            <w:tcW w:w="9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-786130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-786130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-786130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Gross-Up for Excise Taxes</w:t>
      </w:r>
    </w:p>
    <w:p>
      <w:pPr>
        <w:spacing w:after="0" w:line="225" w:lineRule="exact"/>
        <w:rPr>
          <w:sz w:val="20"/>
          <w:szCs w:val="20"/>
          <w:color w:val="auto"/>
        </w:rPr>
      </w:pPr>
    </w:p>
    <w:p>
      <w:pPr>
        <w:ind w:right="80" w:firstLine="359"/>
        <w:spacing w:after="0" w:line="306" w:lineRule="auto"/>
        <w:tabs>
          <w:tab w:leader="none" w:pos="634" w:val="left"/>
        </w:tabs>
        <w:numPr>
          <w:ilvl w:val="0"/>
          <w:numId w:val="266"/>
        </w:numPr>
        <w:rPr>
          <w:rFonts w:ascii="Arial" w:cs="Arial" w:eastAsia="Arial" w:hAnsi="Arial"/>
          <w:sz w:val="15"/>
          <w:szCs w:val="15"/>
          <w:color w:val="auto"/>
        </w:rPr>
      </w:pPr>
      <w:r>
        <w:rPr>
          <w:rFonts w:ascii="Arial" w:cs="Arial" w:eastAsia="Arial" w:hAnsi="Arial"/>
          <w:sz w:val="15"/>
          <w:szCs w:val="15"/>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w:t>
      </w:r>
    </w:p>
    <w:p>
      <w:pPr>
        <w:sectPr>
          <w:pgSz w:w="11900" w:h="16838" w:orient="portrait"/>
          <w:cols w:equalWidth="0" w:num="1">
            <w:col w:w="11420"/>
          </w:cols>
          <w:pgMar w:left="240" w:top="131" w:right="239" w:bottom="0" w:gutter="0" w:footer="0" w:header="0"/>
          <w:type w:val="continuous"/>
        </w:sectPr>
      </w:pPr>
    </w:p>
    <w:bookmarkStart w:id="176" w:name="page177"/>
    <w:bookmarkEnd w:id="176"/>
    <w:p>
      <w:pPr>
        <w:ind w:right="140"/>
        <w:spacing w:after="0" w:line="255" w:lineRule="auto"/>
        <w:rPr>
          <w:sz w:val="20"/>
          <w:szCs w:val="20"/>
          <w:color w:val="auto"/>
        </w:rPr>
      </w:pPr>
      <w:r>
        <w:rPr>
          <w:rFonts w:ascii="Arial" w:cs="Arial" w:eastAsia="Arial" w:hAnsi="Arial"/>
          <w:sz w:val="18"/>
          <w:szCs w:val="18"/>
          <w:color w:val="auto"/>
        </w:rPr>
        <w:t>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97" w:lineRule="exact"/>
        <w:rPr>
          <w:sz w:val="20"/>
          <w:szCs w:val="20"/>
          <w:color w:val="auto"/>
        </w:rPr>
      </w:pPr>
    </w:p>
    <w:p>
      <w:pPr>
        <w:ind w:right="20" w:firstLine="359"/>
        <w:spacing w:after="0" w:line="302" w:lineRule="auto"/>
        <w:tabs>
          <w:tab w:leader="none" w:pos="644" w:val="left"/>
        </w:tabs>
        <w:numPr>
          <w:ilvl w:val="0"/>
          <w:numId w:val="267"/>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w:t>
      </w:r>
    </w:p>
    <w:p>
      <w:pPr>
        <w:spacing w:after="0" w:line="1" w:lineRule="exact"/>
        <w:rPr>
          <w:rFonts w:ascii="Arial" w:cs="Arial" w:eastAsia="Arial" w:hAnsi="Arial"/>
          <w:sz w:val="15"/>
          <w:szCs w:val="15"/>
          <w:color w:val="auto"/>
        </w:rPr>
      </w:pPr>
    </w:p>
    <w:p>
      <w:pPr>
        <w:ind w:right="180"/>
        <w:spacing w:after="0" w:line="255" w:lineRule="auto"/>
        <w:rPr>
          <w:rFonts w:ascii="Arial" w:cs="Arial" w:eastAsia="Arial" w:hAnsi="Arial"/>
          <w:sz w:val="15"/>
          <w:szCs w:val="15"/>
          <w:color w:val="auto"/>
        </w:rPr>
      </w:pPr>
      <w:r>
        <w:rPr>
          <w:rFonts w:ascii="Arial" w:cs="Arial" w:eastAsia="Arial" w:hAnsi="Arial"/>
          <w:sz w:val="18"/>
          <w:szCs w:val="18"/>
          <w:color w:val="auto"/>
        </w:rPr>
        <w:t>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98" w:lineRule="exact"/>
        <w:rPr>
          <w:rFonts w:ascii="Arial" w:cs="Arial" w:eastAsia="Arial" w:hAnsi="Arial"/>
          <w:sz w:val="15"/>
          <w:szCs w:val="15"/>
          <w:color w:val="auto"/>
        </w:rPr>
      </w:pPr>
    </w:p>
    <w:p>
      <w:pPr>
        <w:ind w:right="420" w:firstLine="359"/>
        <w:spacing w:after="0" w:line="254" w:lineRule="auto"/>
        <w:tabs>
          <w:tab w:leader="none" w:pos="63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2" w:lineRule="exact"/>
        <w:rPr>
          <w:sz w:val="20"/>
          <w:szCs w:val="20"/>
          <w:color w:val="auto"/>
        </w:rPr>
      </w:pPr>
    </w:p>
    <w:p>
      <w:pPr>
        <w:ind w:firstLine="359"/>
        <w:spacing w:after="0" w:line="253" w:lineRule="auto"/>
        <w:tabs>
          <w:tab w:leader="none" w:pos="64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Exhibit 10.45</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EMPLOYMENT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W I T N E S S E T 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EXHIBIT 1 Indemnification and Gross-Up for Excise Taxes</w:t>
        </w:r>
      </w:hyperlink>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22"/>
          <w:szCs w:val="22"/>
          <w:color w:val="0000EE"/>
        </w:rPr>
      </w:pPr>
      <w:hyperlink w:anchor="page18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STEPHEN A. WYNN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5"/>
          <w:szCs w:val="15"/>
          <w:color w:val="auto"/>
        </w:rPr>
        <w:t>as of October 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493395</wp:posOffset>
            </wp:positionV>
            <wp:extent cx="1050290" cy="215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4th day of October 2002,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Stephen A. Wynn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 I T N E S S E T H:</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 3145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Las Vegas Blvd. South, Las Vegas, Nevada 89109, and is engaged in the business of developing, constructing and operating casino resorts; and,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One Shadow Creek Drive, North Las Vegas, Nevada 89031; and,</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4" w:lineRule="exact"/>
        <w:rPr>
          <w:sz w:val="20"/>
          <w:szCs w:val="20"/>
          <w:color w:val="auto"/>
        </w:rPr>
      </w:pPr>
    </w:p>
    <w:p>
      <w:pPr>
        <w:ind w:right="300" w:firstLine="359"/>
        <w:spacing w:after="0" w:line="268" w:lineRule="auto"/>
        <w:tabs>
          <w:tab w:leader="none" w:pos="658" w:val="left"/>
        </w:tabs>
        <w:numPr>
          <w:ilvl w:val="0"/>
          <w:numId w:val="2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85" w:lineRule="exact"/>
        <w:rPr>
          <w:rFonts w:ascii="Arial" w:cs="Arial" w:eastAsia="Arial" w:hAnsi="Arial"/>
          <w:sz w:val="18"/>
          <w:szCs w:val="18"/>
          <w:color w:val="auto"/>
        </w:rPr>
      </w:pPr>
    </w:p>
    <w:p>
      <w:pPr>
        <w:ind w:left="540" w:right="20" w:firstLine="359"/>
        <w:spacing w:after="0" w:line="294" w:lineRule="auto"/>
        <w:tabs>
          <w:tab w:leader="none" w:pos="117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9" w:lineRule="exact"/>
        <w:rPr>
          <w:rFonts w:ascii="Arial" w:cs="Arial" w:eastAsia="Arial" w:hAnsi="Arial"/>
          <w:sz w:val="16"/>
          <w:szCs w:val="16"/>
          <w:color w:val="auto"/>
        </w:rPr>
      </w:pPr>
    </w:p>
    <w:p>
      <w:pPr>
        <w:ind w:left="1200" w:hanging="301"/>
        <w:spacing w:after="0"/>
        <w:tabs>
          <w:tab w:leader="none" w:pos="12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Anniversary</w:t>
      </w:r>
      <w:r>
        <w:rPr>
          <w:rFonts w:ascii="Arial" w:cs="Arial" w:eastAsia="Arial" w:hAnsi="Arial"/>
          <w:sz w:val="16"/>
          <w:szCs w:val="16"/>
          <w:color w:val="auto"/>
        </w:rPr>
        <w:t>"—means each anniversary date of the Effective Date during the Term of this Agreement (as defined in Paragraph 6 hereof).</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269"/>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269"/>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300" w:firstLine="360"/>
        <w:spacing w:after="0" w:line="332" w:lineRule="auto"/>
        <w:tabs>
          <w:tab w:leader="none" w:pos="1782" w:val="left"/>
        </w:tabs>
        <w:numPr>
          <w:ilvl w:val="2"/>
          <w:numId w:val="269"/>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bookmarkStart w:id="178" w:name="page179"/>
    <w:bookmarkEnd w:id="178"/>
    <w:p>
      <w:pPr>
        <w:ind w:left="540" w:right="80" w:firstLine="360"/>
        <w:spacing w:after="0" w:line="259" w:lineRule="auto"/>
        <w:tabs>
          <w:tab w:leader="none" w:pos="12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194" w:lineRule="exact"/>
        <w:rPr>
          <w:rFonts w:ascii="Arial" w:cs="Arial" w:eastAsia="Arial" w:hAnsi="Arial"/>
          <w:sz w:val="18"/>
          <w:szCs w:val="18"/>
          <w:color w:val="auto"/>
        </w:rPr>
      </w:pPr>
    </w:p>
    <w:p>
      <w:pPr>
        <w:ind w:left="1200" w:hanging="300"/>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25" w:lineRule="exact"/>
        <w:rPr>
          <w:rFonts w:ascii="Arial" w:cs="Arial" w:eastAsia="Arial" w:hAnsi="Arial"/>
          <w:sz w:val="18"/>
          <w:szCs w:val="18"/>
          <w:color w:val="auto"/>
        </w:rPr>
      </w:pPr>
    </w:p>
    <w:p>
      <w:pPr>
        <w:ind w:left="540" w:right="760" w:firstLine="360"/>
        <w:spacing w:after="0" w:line="268" w:lineRule="auto"/>
        <w:tabs>
          <w:tab w:leader="none" w:pos="12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86" w:lineRule="exact"/>
        <w:rPr>
          <w:sz w:val="20"/>
          <w:szCs w:val="20"/>
          <w:color w:val="auto"/>
        </w:rPr>
      </w:pPr>
    </w:p>
    <w:p>
      <w:pPr>
        <w:ind w:left="660" w:hanging="301"/>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"—means the occurrence, after the Effective Date, of any of the following events:</w:t>
      </w:r>
    </w:p>
    <w:p>
      <w:pPr>
        <w:spacing w:after="0" w:line="225" w:lineRule="exact"/>
        <w:rPr>
          <w:rFonts w:ascii="Arial" w:cs="Arial" w:eastAsia="Arial" w:hAnsi="Arial"/>
          <w:sz w:val="18"/>
          <w:szCs w:val="18"/>
          <w:color w:val="auto"/>
        </w:rPr>
      </w:pPr>
    </w:p>
    <w:p>
      <w:pPr>
        <w:ind w:left="540" w:right="240" w:firstLine="360"/>
        <w:spacing w:after="0" w:line="259" w:lineRule="auto"/>
        <w:tabs>
          <w:tab w:leader="none" w:pos="12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direct or indirect acquisition by an unrelated "Person" or "Group" of "Beneficial Ownership" (as such terms are defined below) of more than fifty percent (50%) of the voting power of Employer's issued and outstanding voting securities in a single transaction or a series of related transactions;</w:t>
      </w:r>
    </w:p>
    <w:p>
      <w:pPr>
        <w:spacing w:after="0" w:line="194" w:lineRule="exact"/>
        <w:rPr>
          <w:rFonts w:ascii="Arial" w:cs="Arial" w:eastAsia="Arial" w:hAnsi="Arial"/>
          <w:sz w:val="18"/>
          <w:szCs w:val="18"/>
          <w:color w:val="auto"/>
        </w:rPr>
      </w:pPr>
    </w:p>
    <w:p>
      <w:pPr>
        <w:ind w:left="540" w:right="60" w:firstLine="360"/>
        <w:spacing w:after="0" w:line="268" w:lineRule="auto"/>
        <w:tabs>
          <w:tab w:leader="none" w:pos="11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direct or indirect sale or transfer by Employer of substantially all of its assets to one or more unrelated Persons or Groups in a single transaction or a series of related transactions;</w:t>
      </w:r>
    </w:p>
    <w:p>
      <w:pPr>
        <w:spacing w:after="0" w:line="185" w:lineRule="exact"/>
        <w:rPr>
          <w:rFonts w:ascii="Arial" w:cs="Arial" w:eastAsia="Arial" w:hAnsi="Arial"/>
          <w:sz w:val="18"/>
          <w:szCs w:val="18"/>
          <w:color w:val="auto"/>
        </w:rPr>
      </w:pPr>
    </w:p>
    <w:p>
      <w:pPr>
        <w:ind w:left="540" w:right="20" w:firstLine="360"/>
        <w:spacing w:after="0" w:line="298" w:lineRule="auto"/>
        <w:tabs>
          <w:tab w:leader="none" w:pos="123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merger, consolidation or reorganization of Employer with or into another corporation or other entity in which the Beneficial Owners of more than fifty percent (50%) of the voting power of Employer's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166" w:lineRule="exact"/>
        <w:rPr>
          <w:rFonts w:ascii="Arial" w:cs="Arial" w:eastAsia="Arial" w:hAnsi="Arial"/>
          <w:sz w:val="16"/>
          <w:szCs w:val="16"/>
          <w:color w:val="auto"/>
        </w:rPr>
      </w:pPr>
    </w:p>
    <w:p>
      <w:pPr>
        <w:ind w:left="540" w:right="180" w:firstLine="360"/>
        <w:spacing w:after="0" w:line="256" w:lineRule="auto"/>
        <w:tabs>
          <w:tab w:leader="none" w:pos="12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More than fifty percent (50%) of the members of Employer's Board of Directors (the "Board") are individuals who were neither members of the Board immediately following the closing of Employer's initial public offering nor individuals whose election (or nomination for election) to the Board was approved by a vote of at least fifty percent (50%) of the members of the Board immediately before such election or nomination ("Approved Directors").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w:t>
      </w:r>
    </w:p>
    <w:p>
      <w:pPr>
        <w:spacing w:after="0" w:line="38" w:lineRule="exact"/>
        <w:rPr>
          <w:sz w:val="20"/>
          <w:szCs w:val="20"/>
          <w:color w:val="auto"/>
        </w:rPr>
      </w:pPr>
    </w:p>
    <w:p>
      <w:pPr>
        <w:jc w:val="both"/>
        <w:ind w:right="180" w:firstLine="8"/>
        <w:spacing w:after="0" w:line="281" w:lineRule="auto"/>
        <w:tabs>
          <w:tab w:leader="none" w:pos="28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Employer's voting securities immediately before the transaction in question,</w:t>
      </w:r>
    </w:p>
    <w:p>
      <w:pPr>
        <w:spacing w:after="0" w:line="2" w:lineRule="exact"/>
        <w:rPr>
          <w:rFonts w:ascii="Arial" w:cs="Arial" w:eastAsia="Arial" w:hAnsi="Arial"/>
          <w:sz w:val="16"/>
          <w:szCs w:val="16"/>
          <w:color w:val="auto"/>
        </w:rPr>
      </w:pPr>
    </w:p>
    <w:p>
      <w:pPr>
        <w:ind w:right="20" w:firstLine="8"/>
        <w:spacing w:after="0" w:line="253" w:lineRule="auto"/>
        <w:tabs>
          <w:tab w:leader="none" w:pos="27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Person or Group of which Employer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Employer's voting securities immediately before the transaction in question. The terms "Person," "Group," "Beneficial Owner," and "Beneficial Ownership" shall</w:t>
      </w:r>
    </w:p>
    <w:p>
      <w:pPr>
        <w:spacing w:after="0" w:line="1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 the meanings used in the Securities Exchange Act of 1934 and the rules and regulations promulgated thereunder (the "Exchange Act"). 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"Proxy Contest"), or as a result of an agreement to avoid or settle an Election Contest or Proxy Contest.</w:t>
      </w:r>
    </w:p>
    <w:p>
      <w:pPr>
        <w:spacing w:after="0" w:line="197" w:lineRule="exact"/>
        <w:rPr>
          <w:sz w:val="20"/>
          <w:szCs w:val="20"/>
          <w:color w:val="auto"/>
        </w:rPr>
      </w:pPr>
    </w:p>
    <w:p>
      <w:pPr>
        <w:ind w:right="280" w:firstLine="359"/>
        <w:spacing w:after="0" w:line="306" w:lineRule="auto"/>
        <w:tabs>
          <w:tab w:leader="none" w:pos="63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Complete Disability</w:t>
      </w:r>
      <w:r>
        <w:rPr>
          <w:rFonts w:ascii="Arial" w:cs="Arial" w:eastAsia="Arial" w:hAnsi="Arial"/>
          <w:sz w:val="16"/>
          <w:szCs w:val="16"/>
          <w:color w:val="auto"/>
        </w:rPr>
        <w:t>"—means the inability of Employee, due to illness or accident or other mental or physical incapacity, to perform his obligations under this Agreement for a period as defined by Employer's disability plan or plans, it being expressly understood that any visual handicap from Employee's condition commonly known as Retinitis Pigmentosa (RP) shall not be deemed a Complete Disability.</w:t>
      </w:r>
    </w:p>
    <w:p>
      <w:pPr>
        <w:spacing w:after="0" w:line="160" w:lineRule="exact"/>
        <w:rPr>
          <w:rFonts w:ascii="Arial" w:cs="Arial" w:eastAsia="Arial" w:hAnsi="Arial"/>
          <w:sz w:val="16"/>
          <w:szCs w:val="16"/>
          <w:color w:val="auto"/>
        </w:rPr>
      </w:pPr>
    </w:p>
    <w:p>
      <w:pPr>
        <w:ind w:right="180" w:firstLine="359"/>
        <w:spacing w:after="0" w:line="332" w:lineRule="auto"/>
        <w:tabs>
          <w:tab w:leader="none" w:pos="70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"—means the later of the effective date of Employer's initial public offering of shares of its common stock or October 1, 2002,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initial public offering does not occur on or before April 1, 2003, then this agreement shall become null and void.</w:t>
      </w:r>
    </w:p>
    <w:p>
      <w:pPr>
        <w:spacing w:after="0" w:line="139" w:lineRule="exact"/>
        <w:rPr>
          <w:rFonts w:ascii="Arial" w:cs="Arial" w:eastAsia="Arial" w:hAnsi="Arial"/>
          <w:sz w:val="16"/>
          <w:szCs w:val="16"/>
          <w:color w:val="auto"/>
        </w:rPr>
      </w:pPr>
    </w:p>
    <w:p>
      <w:pPr>
        <w:ind w:firstLine="359"/>
        <w:spacing w:after="0" w:line="259" w:lineRule="auto"/>
        <w:tabs>
          <w:tab w:leader="none" w:pos="64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"—means the occurrence, on or after the occurrence of a Change of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4" w:lineRule="exact"/>
        <w:rPr>
          <w:rFonts w:ascii="Arial" w:cs="Arial" w:eastAsia="Arial" w:hAnsi="Arial"/>
          <w:sz w:val="18"/>
          <w:szCs w:val="18"/>
          <w:color w:val="auto"/>
        </w:rPr>
      </w:pPr>
    </w:p>
    <w:p>
      <w:pPr>
        <w:ind w:left="1240" w:hanging="340"/>
        <w:spacing w:after="0"/>
        <w:tabs>
          <w:tab w:leader="none" w:pos="12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540" w:right="160" w:firstLine="360"/>
        <w:spacing w:after="0" w:line="306" w:lineRule="auto"/>
        <w:tabs>
          <w:tab w:leader="none" w:pos="1194"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of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540" w:right="380" w:firstLine="360"/>
        <w:spacing w:after="0" w:line="268" w:lineRule="auto"/>
        <w:tabs>
          <w:tab w:leader="none" w:pos="124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of Control;</w:t>
      </w:r>
    </w:p>
    <w:p>
      <w:pPr>
        <w:spacing w:after="0" w:line="185" w:lineRule="exact"/>
        <w:rPr>
          <w:rFonts w:ascii="Arial" w:cs="Arial" w:eastAsia="Arial" w:hAnsi="Arial"/>
          <w:sz w:val="18"/>
          <w:szCs w:val="18"/>
          <w:color w:val="auto"/>
        </w:rPr>
      </w:pPr>
    </w:p>
    <w:p>
      <w:pPr>
        <w:ind w:left="540" w:right="140" w:firstLine="360"/>
        <w:spacing w:after="0" w:line="332" w:lineRule="auto"/>
        <w:tabs>
          <w:tab w:leader="none" w:pos="123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10 miles from the location of Employee's job or office immediately before the Change of Control;</w:t>
      </w:r>
    </w:p>
    <w:p>
      <w:pPr>
        <w:sectPr>
          <w:pgSz w:w="11900" w:h="16838" w:orient="portrait"/>
          <w:cols w:equalWidth="0" w:num="1">
            <w:col w:w="10860"/>
          </w:cols>
          <w:pgMar w:left="780" w:top="131" w:right="259" w:bottom="48" w:gutter="0" w:footer="0" w:header="0"/>
        </w:sectPr>
      </w:pPr>
    </w:p>
    <w:bookmarkStart w:id="179" w:name="page180"/>
    <w:bookmarkEnd w:id="179"/>
    <w:p>
      <w:pPr>
        <w:ind w:left="1060" w:right="760" w:firstLine="360"/>
        <w:spacing w:after="0" w:line="268" w:lineRule="auto"/>
        <w:tabs>
          <w:tab w:leader="none" w:pos="17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of Control; or</w:t>
      </w:r>
    </w:p>
    <w:p>
      <w:pPr>
        <w:spacing w:after="0" w:line="185" w:lineRule="exact"/>
        <w:rPr>
          <w:rFonts w:ascii="Arial" w:cs="Arial" w:eastAsia="Arial" w:hAnsi="Arial"/>
          <w:sz w:val="18"/>
          <w:szCs w:val="18"/>
          <w:color w:val="auto"/>
        </w:rPr>
      </w:pPr>
    </w:p>
    <w:p>
      <w:pPr>
        <w:ind w:left="1760" w:hanging="340"/>
        <w:spacing w:after="0"/>
        <w:tabs>
          <w:tab w:leader="none" w:pos="17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248" w:lineRule="exact"/>
        <w:rPr>
          <w:sz w:val="20"/>
          <w:szCs w:val="20"/>
          <w:color w:val="auto"/>
        </w:rPr>
      </w:pPr>
    </w:p>
    <w:p>
      <w:pPr>
        <w:ind w:left="520" w:right="18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86" w:lineRule="exact"/>
        <w:rPr>
          <w:sz w:val="20"/>
          <w:szCs w:val="20"/>
          <w:color w:val="auto"/>
        </w:rPr>
      </w:pPr>
    </w:p>
    <w:p>
      <w:pPr>
        <w:ind w:left="1180" w:hanging="301"/>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Gross-up Payment</w:t>
      </w:r>
      <w:r>
        <w:rPr>
          <w:rFonts w:ascii="Arial" w:cs="Arial" w:eastAsia="Arial" w:hAnsi="Arial"/>
          <w:sz w:val="18"/>
          <w:szCs w:val="18"/>
          <w:color w:val="auto"/>
        </w:rPr>
        <w:t>"—means the payment required by Exhibit 1 to this Agreement, which is incorporated herein by reference.</w:t>
      </w:r>
    </w:p>
    <w:p>
      <w:pPr>
        <w:spacing w:after="0" w:line="225" w:lineRule="exact"/>
        <w:rPr>
          <w:rFonts w:ascii="Arial" w:cs="Arial" w:eastAsia="Arial" w:hAnsi="Arial"/>
          <w:sz w:val="18"/>
          <w:szCs w:val="18"/>
          <w:color w:val="auto"/>
        </w:rPr>
      </w:pPr>
    </w:p>
    <w:p>
      <w:pPr>
        <w:ind w:left="1220" w:hanging="341"/>
        <w:spacing w:after="0"/>
        <w:tabs>
          <w:tab w:leader="none" w:pos="1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160" w:firstLine="359"/>
        <w:spacing w:after="0" w:line="335" w:lineRule="auto"/>
        <w:tabs>
          <w:tab w:leader="none" w:pos="1212" w:val="left"/>
        </w:tabs>
        <w:numPr>
          <w:ilvl w:val="1"/>
          <w:numId w:val="277"/>
        </w:numPr>
        <w:rPr>
          <w:rFonts w:ascii="Arial" w:cs="Arial" w:eastAsia="Arial" w:hAnsi="Arial"/>
          <w:sz w:val="15"/>
          <w:szCs w:val="15"/>
          <w:color w:val="auto"/>
        </w:rPr>
      </w:pPr>
      <w:r>
        <w:rPr>
          <w:rFonts w:ascii="Arial" w:cs="Arial" w:eastAsia="Arial" w:hAnsi="Arial"/>
          <w:sz w:val="15"/>
          <w:szCs w:val="15"/>
          <w:b w:val="1"/>
          <w:bCs w:val="1"/>
          <w:i w:val="1"/>
          <w:iCs w:val="1"/>
          <w:color w:val="auto"/>
        </w:rPr>
        <w:t>"Separation Payment"—</w:t>
      </w:r>
      <w:r>
        <w:rPr>
          <w:rFonts w:ascii="Arial" w:cs="Arial" w:eastAsia="Arial" w:hAnsi="Arial"/>
          <w:sz w:val="15"/>
          <w:szCs w:val="15"/>
          <w:color w:val="auto"/>
        </w:rPr>
        <w:t>means an amount to the sum of (A) Employee's Base Salary (as defined in Subparagraph 8(a) of this Agreement)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remainder of the Term, but not less than one (1) year of Base Salary, plus (B) the bonus that was paid to Employee under Subparagraph 8(b) for the preceding bonus period, projected over the remainder of the Term (but not less than the preceding bonus that was paid, projected over one (1) year).</w:t>
      </w:r>
    </w:p>
    <w:p>
      <w:pPr>
        <w:spacing w:after="0" w:line="142" w:lineRule="exact"/>
        <w:rPr>
          <w:rFonts w:ascii="Arial" w:cs="Arial" w:eastAsia="Arial" w:hAnsi="Arial"/>
          <w:sz w:val="15"/>
          <w:szCs w:val="15"/>
          <w:color w:val="auto"/>
        </w:rPr>
      </w:pPr>
    </w:p>
    <w:p>
      <w:pPr>
        <w:ind w:left="-20" w:right="140" w:firstLine="359"/>
        <w:spacing w:after="0" w:line="256" w:lineRule="auto"/>
        <w:tabs>
          <w:tab w:leader="none" w:pos="638" w:val="left"/>
        </w:tabs>
        <w:numPr>
          <w:ilvl w:val="0"/>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of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97" w:lineRule="exact"/>
        <w:rPr>
          <w:rFonts w:ascii="Arial" w:cs="Arial" w:eastAsia="Arial" w:hAnsi="Arial"/>
          <w:sz w:val="18"/>
          <w:szCs w:val="18"/>
          <w:color w:val="auto"/>
        </w:rPr>
      </w:pPr>
    </w:p>
    <w:p>
      <w:pPr>
        <w:ind w:left="-20" w:right="60" w:firstLine="359"/>
        <w:spacing w:after="0" w:line="298" w:lineRule="auto"/>
        <w:tabs>
          <w:tab w:leader="none" w:pos="638" w:val="left"/>
        </w:tabs>
        <w:numPr>
          <w:ilvl w:val="0"/>
          <w:numId w:val="2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BASIC EMPLOYMENT AGREEMENT.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60" w:lineRule="exact"/>
        <w:rPr>
          <w:rFonts w:ascii="Arial" w:cs="Arial" w:eastAsia="Arial" w:hAnsi="Arial"/>
          <w:sz w:val="16"/>
          <w:szCs w:val="16"/>
          <w:color w:val="auto"/>
        </w:rPr>
      </w:pPr>
    </w:p>
    <w:p>
      <w:pPr>
        <w:ind w:left="-20" w:right="40" w:firstLine="359"/>
        <w:spacing w:after="0" w:line="258" w:lineRule="auto"/>
        <w:tabs>
          <w:tab w:leader="none" w:pos="638" w:val="left"/>
        </w:tabs>
        <w:numPr>
          <w:ilvl w:val="0"/>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Chief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Executive Officer </w:t>
      </w:r>
      <w:r>
        <w:rPr>
          <w:rFonts w:ascii="Arial" w:cs="Arial" w:eastAsia="Arial" w:hAnsi="Arial"/>
          <w:sz w:val="18"/>
          <w:szCs w:val="18"/>
          <w:color w:val="auto"/>
        </w:rPr>
        <w:t>of Employer, including, (a) the efficient and continuous operation of Employer and Employer's Affiliates, (b) the preparation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budgets and allocation or relevant funds, (c) the selection and delegation of duties and responsibilities of subordinates, and (d) the direction, review and oversight of all programs and projects under Employee's supervision.</w:t>
      </w:r>
    </w:p>
    <w:p>
      <w:pPr>
        <w:spacing w:after="0" w:line="196" w:lineRule="exact"/>
        <w:rPr>
          <w:rFonts w:ascii="Arial" w:cs="Arial" w:eastAsia="Arial" w:hAnsi="Arial"/>
          <w:sz w:val="18"/>
          <w:szCs w:val="18"/>
          <w:color w:val="auto"/>
        </w:rPr>
      </w:pPr>
    </w:p>
    <w:p>
      <w:pPr>
        <w:ind w:left="-20" w:firstLine="359"/>
        <w:spacing w:after="0" w:line="287" w:lineRule="auto"/>
        <w:tabs>
          <w:tab w:leader="none" w:pos="638" w:val="left"/>
        </w:tabs>
        <w:numPr>
          <w:ilvl w:val="0"/>
          <w:numId w:val="2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ACCEPTANCE OF EMPLOYMENT.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 The foregoing notwithstanding, it shall not be a violation of this Agreement for Employee to (a) serve on corporate, civic or charitable boards or committees, (b) deliver lectures, fulfill speaking engagements or teach at educational institutions, or (c) manage personal investments, so long as such activities do not significantly interfere with the performance of Employee's duties and obligations to Employer under this Agreement. It is expressly understood and agreed that, to the extent any such activities have been conducted by Employee prior to the Effective Date, the continued conduct of such activities (or activities similar in nature and scope thereto) after the Effective Date shall be deemed to not interfere with Employee's duties and obligations to Employer under this Agreement.</w:t>
      </w:r>
    </w:p>
    <w:p>
      <w:pPr>
        <w:spacing w:after="0" w:line="170" w:lineRule="exact"/>
        <w:rPr>
          <w:rFonts w:ascii="Arial" w:cs="Arial" w:eastAsia="Arial" w:hAnsi="Arial"/>
          <w:sz w:val="16"/>
          <w:szCs w:val="16"/>
          <w:color w:val="auto"/>
        </w:rPr>
      </w:pPr>
    </w:p>
    <w:p>
      <w:pPr>
        <w:ind w:left="-20" w:right="40" w:firstLine="359"/>
        <w:spacing w:after="0" w:line="275" w:lineRule="auto"/>
        <w:tabs>
          <w:tab w:leader="none" w:pos="638" w:val="left"/>
        </w:tabs>
        <w:numPr>
          <w:ilvl w:val="0"/>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Effective Date of this Agreement and terminating on the fifth Anniversary Date of the Effective Date.</w:t>
      </w:r>
    </w:p>
    <w:p>
      <w:pPr>
        <w:spacing w:after="0" w:line="179" w:lineRule="exact"/>
        <w:rPr>
          <w:rFonts w:ascii="Arial" w:cs="Arial" w:eastAsia="Arial" w:hAnsi="Arial"/>
          <w:sz w:val="18"/>
          <w:szCs w:val="18"/>
          <w:color w:val="auto"/>
        </w:rPr>
      </w:pPr>
    </w:p>
    <w:p>
      <w:pPr>
        <w:ind w:left="-20" w:right="60" w:firstLine="359"/>
        <w:spacing w:after="0" w:line="268" w:lineRule="auto"/>
        <w:tabs>
          <w:tab w:leader="none" w:pos="638" w:val="left"/>
        </w:tabs>
        <w:numPr>
          <w:ilvl w:val="0"/>
          <w:numId w:val="2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185" w:lineRule="exact"/>
        <w:rPr>
          <w:rFonts w:ascii="Arial" w:cs="Arial" w:eastAsia="Arial" w:hAnsi="Arial"/>
          <w:sz w:val="18"/>
          <w:szCs w:val="18"/>
          <w:color w:val="auto"/>
        </w:rPr>
      </w:pPr>
    </w:p>
    <w:p>
      <w:pPr>
        <w:ind w:left="520" w:right="440" w:firstLine="359"/>
        <w:spacing w:after="0" w:line="268" w:lineRule="auto"/>
        <w:tabs>
          <w:tab w:leader="none" w:pos="115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the death of Employee, </w:t>
      </w:r>
      <w:r>
        <w:rPr>
          <w:rFonts w:ascii="Arial" w:cs="Arial" w:eastAsia="Arial" w:hAnsi="Arial"/>
          <w:sz w:val="18"/>
          <w:szCs w:val="18"/>
          <w:i w:val="1"/>
          <w:iCs w:val="1"/>
          <w:color w:val="auto"/>
        </w:rPr>
        <w:t>provided, 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calendar days after Employee's death, Employer must tender the Separation Payment, together with any accrued but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unpaid vacation pay and any Gross-Up Payment, to the personal representative of Employee's estate;</w:t>
      </w:r>
    </w:p>
    <w:p>
      <w:pPr>
        <w:spacing w:after="0" w:line="225" w:lineRule="exact"/>
        <w:rPr>
          <w:sz w:val="20"/>
          <w:szCs w:val="20"/>
          <w:color w:val="auto"/>
        </w:rPr>
      </w:pPr>
    </w:p>
    <w:p>
      <w:pPr>
        <w:ind w:left="520" w:right="340" w:firstLine="359"/>
        <w:spacing w:after="0" w:line="259" w:lineRule="auto"/>
        <w:tabs>
          <w:tab w:leader="none" w:pos="11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the giving of written notice from Employer to Employee of the termination of this Agreement upon the Complete Disability of Employee, </w:t>
      </w:r>
      <w:r>
        <w:rPr>
          <w:rFonts w:ascii="Arial" w:cs="Arial" w:eastAsia="Arial" w:hAnsi="Arial"/>
          <w:sz w:val="18"/>
          <w:szCs w:val="18"/>
          <w:i w:val="1"/>
          <w:iCs w:val="1"/>
          <w:color w:val="auto"/>
        </w:rPr>
        <w:t>provided, however</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that, within ten (10) calendar days after such notice, Employer must tender the Separation Payment, together with any accrued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unpaid vacation pay and any Gross-Up Payment, to Employee;</w:t>
      </w:r>
    </w:p>
    <w:p>
      <w:pPr>
        <w:spacing w:after="0" w:line="194" w:lineRule="exact"/>
        <w:rPr>
          <w:rFonts w:ascii="Arial" w:cs="Arial" w:eastAsia="Arial" w:hAnsi="Arial"/>
          <w:sz w:val="18"/>
          <w:szCs w:val="18"/>
          <w:color w:val="auto"/>
        </w:rPr>
      </w:pPr>
    </w:p>
    <w:p>
      <w:pPr>
        <w:ind w:left="1160" w:hanging="281"/>
        <w:spacing w:after="0"/>
        <w:tabs>
          <w:tab w:leader="none" w:pos="116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rFonts w:ascii="Arial" w:cs="Arial" w:eastAsia="Arial" w:hAnsi="Arial"/>
          <w:sz w:val="16"/>
          <w:szCs w:val="16"/>
          <w:color w:val="auto"/>
        </w:rPr>
      </w:pPr>
    </w:p>
    <w:p>
      <w:pPr>
        <w:ind w:left="520" w:right="360" w:firstLine="359"/>
        <w:spacing w:after="0" w:line="306" w:lineRule="auto"/>
        <w:tabs>
          <w:tab w:leader="none" w:pos="1164"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following a denial or revocation of Employee's License (as defined in Subparagraph 9(b) of this Agreement), </w:t>
      </w:r>
      <w:r>
        <w:rPr>
          <w:rFonts w:ascii="Arial" w:cs="Arial" w:eastAsia="Arial" w:hAnsi="Arial"/>
          <w:sz w:val="16"/>
          <w:szCs w:val="16"/>
          <w:i w:val="1"/>
          <w:iCs w:val="1"/>
          <w:color w:val="auto"/>
        </w:rPr>
        <w:t>provided, however</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that, within ten (10) calendar days after such notice, Employer must tender the Separation Payment, together with any accrued but unpaid vacation pay and any Gross-Up Payment, to Employee;</w:t>
      </w:r>
    </w:p>
    <w:p>
      <w:pPr>
        <w:spacing w:after="0" w:line="160" w:lineRule="exact"/>
        <w:rPr>
          <w:rFonts w:ascii="Arial" w:cs="Arial" w:eastAsia="Arial" w:hAnsi="Arial"/>
          <w:sz w:val="16"/>
          <w:szCs w:val="16"/>
          <w:color w:val="auto"/>
        </w:rPr>
      </w:pPr>
    </w:p>
    <w:p>
      <w:pPr>
        <w:ind w:left="1160" w:hanging="281"/>
        <w:spacing w:after="0"/>
        <w:tabs>
          <w:tab w:leader="none" w:pos="116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 however</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that, within ten</w:t>
      </w:r>
    </w:p>
    <w:p>
      <w:pPr>
        <w:spacing w:after="0" w:line="38" w:lineRule="exact"/>
        <w:rPr>
          <w:rFonts w:ascii="Arial" w:cs="Arial" w:eastAsia="Arial" w:hAnsi="Arial"/>
          <w:sz w:val="16"/>
          <w:szCs w:val="16"/>
          <w:color w:val="auto"/>
        </w:rPr>
      </w:pPr>
    </w:p>
    <w:p>
      <w:pPr>
        <w:ind w:left="520" w:right="220" w:firstLine="8"/>
        <w:spacing w:after="0" w:line="261" w:lineRule="auto"/>
        <w:tabs>
          <w:tab w:leader="none" w:pos="85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three times (3x) the Separation Payment, together with any accrued but unpaid vacation pay and any Gross-Up Payment, to Employee;</w:t>
      </w:r>
    </w:p>
    <w:p>
      <w:pPr>
        <w:sectPr>
          <w:pgSz w:w="11900" w:h="16838" w:orient="portrait"/>
          <w:cols w:equalWidth="0" w:num="1">
            <w:col w:w="11400"/>
          </w:cols>
          <w:pgMar w:left="260" w:top="131" w:right="239" w:bottom="46" w:gutter="0" w:footer="0" w:header="0"/>
        </w:sectPr>
      </w:pPr>
    </w:p>
    <w:bookmarkStart w:id="180" w:name="page181"/>
    <w:bookmarkEnd w:id="180"/>
    <w:p>
      <w:pPr>
        <w:ind w:left="520" w:right="260" w:firstLine="359"/>
        <w:spacing w:after="0" w:line="256" w:lineRule="auto"/>
        <w:tabs>
          <w:tab w:leader="none" w:pos="122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Empbyer upon a material breach of this Agreement by Employer, which material breach remains uncured for a period of thirty (30) days after the giving of such notice, </w:t>
      </w:r>
      <w:r>
        <w:rPr>
          <w:rFonts w:ascii="Arial" w:cs="Arial" w:eastAsia="Arial" w:hAnsi="Arial"/>
          <w:sz w:val="18"/>
          <w:szCs w:val="18"/>
          <w:i w:val="1"/>
          <w:iCs w:val="1"/>
          <w:color w:val="auto"/>
        </w:rPr>
        <w:t>provided, 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three times (3x) the Separation Payment, together with any accrued but unpaid vacation pay and any Gross-Up Payment, to Employee; or</w:t>
      </w:r>
    </w:p>
    <w:p>
      <w:pPr>
        <w:spacing w:after="0" w:line="197" w:lineRule="exact"/>
        <w:rPr>
          <w:rFonts w:ascii="Arial" w:cs="Arial" w:eastAsia="Arial" w:hAnsi="Arial"/>
          <w:sz w:val="18"/>
          <w:szCs w:val="18"/>
          <w:color w:val="auto"/>
        </w:rPr>
      </w:pPr>
    </w:p>
    <w:p>
      <w:pPr>
        <w:ind w:left="520" w:right="100" w:firstLine="359"/>
        <w:spacing w:after="0" w:line="306" w:lineRule="auto"/>
        <w:tabs>
          <w:tab w:leader="none" w:pos="116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at Employee's sole election in writing as provided in Paragraph 17 of this Agreement, after both a Change of Control and as a result of Good Reason, </w:t>
      </w:r>
      <w:r>
        <w:rPr>
          <w:rFonts w:ascii="Arial" w:cs="Arial" w:eastAsia="Arial" w:hAnsi="Arial"/>
          <w:sz w:val="16"/>
          <w:szCs w:val="16"/>
          <w:i w:val="1"/>
          <w:iCs w:val="1"/>
          <w:color w:val="auto"/>
        </w:rPr>
        <w:t>provided, however</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that, within ten (10) calendar days after Employer's receipt of Employee's written election, Employer must tender three times (3x) the Separation Payment, together with any accrued but unpaid vacation pay and any Gross-Up Payment, to Employee.</w:t>
      </w:r>
    </w:p>
    <w:p>
      <w:pPr>
        <w:spacing w:after="0" w:line="161" w:lineRule="exact"/>
        <w:rPr>
          <w:sz w:val="20"/>
          <w:szCs w:val="20"/>
          <w:color w:val="auto"/>
        </w:rPr>
      </w:pPr>
    </w:p>
    <w:p>
      <w:pPr>
        <w:ind w:left="520"/>
        <w:spacing w:after="0" w:line="286"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7(c), Employer shall not be required to make any payments to Employee other than payment of Base Salary and vacation pay accrued but unpaid through the termination date. In the event of a termination of this Agreement pursuant to the provisions of Subparagraph 7(b),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covered by the Separation Payment, and (y) the date Employee becomes covered under any other group health plan not maintained by Employer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140"/>
        <w:spacing w:after="0" w:line="256" w:lineRule="auto"/>
        <w:rPr>
          <w:sz w:val="20"/>
          <w:szCs w:val="20"/>
          <w:color w:val="auto"/>
        </w:rPr>
      </w:pPr>
      <w:r>
        <w:rPr>
          <w:rFonts w:ascii="Arial" w:cs="Arial" w:eastAsia="Arial" w:hAnsi="Arial"/>
          <w:sz w:val="18"/>
          <w:szCs w:val="18"/>
          <w:color w:val="auto"/>
        </w:rPr>
        <w:t>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97" w:lineRule="exact"/>
        <w:rPr>
          <w:sz w:val="20"/>
          <w:szCs w:val="20"/>
          <w:color w:val="auto"/>
        </w:rPr>
      </w:pPr>
    </w:p>
    <w:p>
      <w:pPr>
        <w:ind w:left="-20" w:right="240" w:firstLine="359"/>
        <w:spacing w:after="0" w:line="259" w:lineRule="auto"/>
        <w:tabs>
          <w:tab w:leader="none" w:pos="638" w:val="left"/>
        </w:tabs>
        <w:numPr>
          <w:ilvl w:val="0"/>
          <w:numId w:val="2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94" w:lineRule="exact"/>
        <w:rPr>
          <w:rFonts w:ascii="Arial" w:cs="Arial" w:eastAsia="Arial" w:hAnsi="Arial"/>
          <w:sz w:val="18"/>
          <w:szCs w:val="18"/>
          <w:color w:val="auto"/>
        </w:rPr>
      </w:pPr>
    </w:p>
    <w:p>
      <w:pPr>
        <w:ind w:left="1160" w:hanging="281"/>
        <w:spacing w:after="0"/>
        <w:tabs>
          <w:tab w:leader="none" w:pos="1160" w:val="left"/>
        </w:tabs>
        <w:numPr>
          <w:ilvl w:val="1"/>
          <w:numId w:val="2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Employer hereby covenants and agrees to pay to Employee, and Employee hereby covenants and agrees to accept from</w:t>
      </w:r>
    </w:p>
    <w:p>
      <w:pPr>
        <w:spacing w:after="0" w:line="38" w:lineRule="exact"/>
        <w:rPr>
          <w:rFonts w:ascii="Arial" w:cs="Arial" w:eastAsia="Arial" w:hAnsi="Arial"/>
          <w:sz w:val="16"/>
          <w:szCs w:val="16"/>
          <w:color w:val="auto"/>
        </w:rPr>
      </w:pPr>
    </w:p>
    <w:p>
      <w:pPr>
        <w:ind w:left="520"/>
        <w:spacing w:after="0" w:line="287" w:lineRule="auto"/>
        <w:rPr>
          <w:rFonts w:ascii="Arial" w:cs="Arial" w:eastAsia="Arial" w:hAnsi="Arial"/>
          <w:sz w:val="16"/>
          <w:szCs w:val="16"/>
          <w:color w:val="auto"/>
        </w:rPr>
      </w:pPr>
      <w:r>
        <w:rPr>
          <w:rFonts w:ascii="Arial" w:cs="Arial" w:eastAsia="Arial" w:hAnsi="Arial"/>
          <w:sz w:val="16"/>
          <w:szCs w:val="16"/>
          <w:color w:val="auto"/>
        </w:rPr>
        <w:t>Employer, a base salary at the rate of no less than (i) One Million Two Hundred Fifty Thousand Dollars ($1,250,000.00) per annum during the first year of the Term; (ii) One Million Seven Hundred Fifty Thousand Dollars ($1,750,000.00) per annum during the second year of the Term; (iii) Two Million Two Hundred Fifty Thousand Dollars ($2,250,000.00) per annum during the third year of the Term; and (iv) Two Million Seven Hundred Fifty Thousand Dollars ($2,750,000.00) per annum during the remainder of the Term (the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payable in such weekly, bi-weekly or semi-monthly installments as shall be convenient to Employer. Employee's Base Salary shall be exclusive of and in addition to any other benefits which Employer, in its sole discretion, may make available to Employee, including, but not limited to, those benefits described in Subparagraphs 8(b) through (g) of this Agreement. Employee's benefits, taken as a whole, shall be no less favorable than any other executive employed by Employer or any of its Affiliates. Employee's Base Salary shall be subject to merit review by Employer's Board of Directors upon the opening of the Le Rêve resort in Las Vegas, and periodically before and after such opening, and may be increased, but not decreased, as a result of any such review.</w:t>
      </w:r>
    </w:p>
    <w:p>
      <w:pPr>
        <w:spacing w:after="0" w:line="174" w:lineRule="exact"/>
        <w:rPr>
          <w:rFonts w:ascii="Arial" w:cs="Arial" w:eastAsia="Arial" w:hAnsi="Arial"/>
          <w:sz w:val="16"/>
          <w:szCs w:val="16"/>
          <w:color w:val="auto"/>
        </w:rPr>
      </w:pPr>
    </w:p>
    <w:p>
      <w:pPr>
        <w:ind w:left="520" w:right="160" w:firstLine="359"/>
        <w:spacing w:after="0" w:line="256" w:lineRule="auto"/>
        <w:tabs>
          <w:tab w:leader="none" w:pos="1164" w:val="left"/>
        </w:tabs>
        <w:numPr>
          <w:ilvl w:val="1"/>
          <w:numId w:val="2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its sole and exclusive discretion, may determine, until such time as the Board may adopt a performance-based bonus plan, and thereafter in accordance with such plan. Nothing in this Agreement shall limit the Board's discretion to adopt, amend or terminate any performance-based bonus plan at any time prior to a Change of Control.</w:t>
      </w:r>
    </w:p>
    <w:p>
      <w:pPr>
        <w:spacing w:after="0" w:line="197" w:lineRule="exact"/>
        <w:rPr>
          <w:rFonts w:ascii="Arial" w:cs="Arial" w:eastAsia="Arial" w:hAnsi="Arial"/>
          <w:sz w:val="18"/>
          <w:szCs w:val="18"/>
          <w:color w:val="auto"/>
        </w:rPr>
      </w:pPr>
    </w:p>
    <w:p>
      <w:pPr>
        <w:ind w:left="520" w:right="200" w:firstLine="359"/>
        <w:spacing w:after="0" w:line="291" w:lineRule="auto"/>
        <w:tabs>
          <w:tab w:leader="none" w:pos="1154" w:val="left"/>
        </w:tabs>
        <w:numPr>
          <w:ilvl w:val="1"/>
          <w:numId w:val="2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174" w:lineRule="exact"/>
        <w:rPr>
          <w:rFonts w:ascii="Arial" w:cs="Arial" w:eastAsia="Arial" w:hAnsi="Arial"/>
          <w:sz w:val="16"/>
          <w:szCs w:val="16"/>
          <w:color w:val="auto"/>
        </w:rPr>
      </w:pPr>
    </w:p>
    <w:p>
      <w:pPr>
        <w:jc w:val="both"/>
        <w:ind w:left="520" w:right="280" w:firstLine="359"/>
        <w:spacing w:after="0" w:line="298" w:lineRule="auto"/>
        <w:tabs>
          <w:tab w:leader="none" w:pos="1164" w:val="left"/>
        </w:tabs>
        <w:numPr>
          <w:ilvl w:val="1"/>
          <w:numId w:val="2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EXPENSE REIMBURSEMENT.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120"/>
        <w:spacing w:after="0" w:line="268" w:lineRule="auto"/>
        <w:rPr>
          <w:sz w:val="20"/>
          <w:szCs w:val="20"/>
          <w:color w:val="auto"/>
        </w:rPr>
      </w:pPr>
      <w:r>
        <w:rPr>
          <w:rFonts w:ascii="Arial" w:cs="Arial" w:eastAsia="Arial" w:hAnsi="Arial"/>
          <w:sz w:val="18"/>
          <w:szCs w:val="18"/>
          <w:color w:val="auto"/>
        </w:rPr>
        <w:t>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86" w:lineRule="exact"/>
        <w:rPr>
          <w:sz w:val="20"/>
          <w:szCs w:val="20"/>
          <w:color w:val="auto"/>
        </w:rPr>
      </w:pPr>
    </w:p>
    <w:p>
      <w:pPr>
        <w:ind w:left="520" w:right="240" w:firstLine="359"/>
        <w:spacing w:after="0" w:line="268" w:lineRule="auto"/>
        <w:tabs>
          <w:tab w:leader="none" w:pos="1154" w:val="left"/>
        </w:tabs>
        <w:numPr>
          <w:ilvl w:val="0"/>
          <w:numId w:val="2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AUTOMOBILE. </w:t>
      </w:r>
      <w:r>
        <w:rPr>
          <w:rFonts w:ascii="Arial" w:cs="Arial" w:eastAsia="Arial" w:hAnsi="Arial"/>
          <w:sz w:val="18"/>
          <w:szCs w:val="18"/>
          <w:color w:val="auto"/>
        </w:rPr>
        <w:t>Employer shall provide Employee with the use of an automobile at Employer's sole cost and expense,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providing a driver, insurance, fuel and complete maintenance for such vehicle.</w:t>
      </w:r>
    </w:p>
    <w:p>
      <w:pPr>
        <w:sectPr>
          <w:pgSz w:w="11900" w:h="16838" w:orient="portrait"/>
          <w:cols w:equalWidth="0" w:num="1">
            <w:col w:w="11400"/>
          </w:cols>
          <w:pgMar w:left="260" w:top="131" w:right="239" w:bottom="14" w:gutter="0" w:footer="0" w:header="0"/>
        </w:sectPr>
      </w:pPr>
    </w:p>
    <w:bookmarkStart w:id="181" w:name="page182"/>
    <w:bookmarkEnd w:id="181"/>
    <w:p>
      <w:pPr>
        <w:ind w:left="540" w:right="20" w:firstLine="359"/>
        <w:spacing w:after="0" w:line="256" w:lineRule="auto"/>
        <w:tabs>
          <w:tab w:leader="none" w:pos="1242" w:val="left"/>
        </w:tabs>
        <w:numPr>
          <w:ilvl w:val="1"/>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CORPORATE AIRCRAFT. </w:t>
      </w:r>
      <w:r>
        <w:rPr>
          <w:rFonts w:ascii="Arial" w:cs="Arial" w:eastAsia="Arial" w:hAnsi="Arial"/>
          <w:sz w:val="18"/>
          <w:szCs w:val="18"/>
          <w:color w:val="auto"/>
        </w:rPr>
        <w:t>Employee shall have the right to the personal use of Employer's aircraft by Employee and his family. Employer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enter into a separate time-sharing agreement for such personal use, which agreement shall provide, among other things, that Employee shall pay Employer the lesser of Employee's and his family's share of the direct costs incurred by Employer in operating the aircraft or the amount required by applicable federal aviation regulations to be paid by Employee.</w:t>
      </w:r>
    </w:p>
    <w:p>
      <w:pPr>
        <w:spacing w:after="0" w:line="197" w:lineRule="exact"/>
        <w:rPr>
          <w:rFonts w:ascii="Arial" w:cs="Arial" w:eastAsia="Arial" w:hAnsi="Arial"/>
          <w:sz w:val="18"/>
          <w:szCs w:val="18"/>
          <w:color w:val="auto"/>
        </w:rPr>
      </w:pPr>
    </w:p>
    <w:p>
      <w:pPr>
        <w:ind w:left="540" w:right="40" w:firstLine="359"/>
        <w:spacing w:after="0" w:line="256" w:lineRule="auto"/>
        <w:tabs>
          <w:tab w:leader="none" w:pos="1184" w:val="left"/>
        </w:tabs>
        <w:numPr>
          <w:ilvl w:val="1"/>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 vacation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7" w:lineRule="exact"/>
        <w:rPr>
          <w:rFonts w:ascii="Arial" w:cs="Arial" w:eastAsia="Arial" w:hAnsi="Arial"/>
          <w:sz w:val="18"/>
          <w:szCs w:val="18"/>
          <w:color w:val="auto"/>
        </w:rPr>
      </w:pPr>
    </w:p>
    <w:p>
      <w:pPr>
        <w:ind w:left="540" w:right="80" w:firstLine="359"/>
        <w:spacing w:after="0" w:line="259" w:lineRule="auto"/>
        <w:tabs>
          <w:tab w:leader="none" w:pos="1184" w:val="left"/>
        </w:tabs>
        <w:numPr>
          <w:ilvl w:val="1"/>
          <w:numId w:val="284"/>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WITHHOLDINGS</w:t>
      </w:r>
      <w:r>
        <w:rPr>
          <w:rFonts w:ascii="Arial" w:cs="Arial" w:eastAsia="Arial" w:hAnsi="Arial"/>
          <w:sz w:val="18"/>
          <w:szCs w:val="18"/>
          <w:color w:val="auto"/>
        </w:rPr>
        <w:t>. All compensation to Employee identified in this Paragraph 8 shall be subject to applicable withholdings for federal, state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income or other taxes, Social Security Tax, Medicare Tax, State Unemployment Insurance, State Disability Insurance, voluntary charitable contributions, and the like.</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color w:val="auto"/>
        </w:rPr>
      </w:pPr>
    </w:p>
    <w:p>
      <w:pPr>
        <w:ind w:left="540" w:right="40" w:firstLine="359"/>
        <w:spacing w:after="0" w:line="253" w:lineRule="auto"/>
        <w:tabs>
          <w:tab w:leader="none" w:pos="117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xml:space="preserve">")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201" w:lineRule="exact"/>
        <w:rPr>
          <w:rFonts w:ascii="Arial" w:cs="Arial" w:eastAsia="Arial" w:hAnsi="Arial"/>
          <w:sz w:val="18"/>
          <w:szCs w:val="18"/>
          <w:color w:val="auto"/>
        </w:rPr>
      </w:pPr>
    </w:p>
    <w:p>
      <w:pPr>
        <w:ind w:left="540" w:firstLine="359"/>
        <w:spacing w:after="0" w:line="254" w:lineRule="auto"/>
        <w:tabs>
          <w:tab w:leader="none" w:pos="118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8"/>
          <w:szCs w:val="18"/>
          <w:b w:val="1"/>
          <w:bCs w:val="1"/>
          <w:color w:val="auto"/>
        </w:rPr>
        <w:t>License</w:t>
      </w:r>
      <w:r>
        <w:rPr>
          <w:rFonts w:ascii="Arial" w:cs="Arial" w:eastAsia="Arial" w:hAnsi="Arial"/>
          <w:sz w:val="18"/>
          <w:szCs w:val="18"/>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w:t>
      </w:r>
    </w:p>
    <w:p>
      <w:pPr>
        <w:spacing w:after="0" w:line="198" w:lineRule="exact"/>
        <w:rPr>
          <w:rFonts w:ascii="Arial" w:cs="Arial" w:eastAsia="Arial" w:hAnsi="Arial"/>
          <w:sz w:val="18"/>
          <w:szCs w:val="18"/>
          <w:color w:val="auto"/>
        </w:rPr>
      </w:pPr>
    </w:p>
    <w:p>
      <w:pPr>
        <w:ind w:left="540" w:right="20" w:firstLine="359"/>
        <w:spacing w:after="0" w:line="268" w:lineRule="auto"/>
        <w:tabs>
          <w:tab w:leader="none" w:pos="117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40" w:firstLine="359"/>
        <w:spacing w:after="0" w:line="268" w:lineRule="auto"/>
        <w:tabs>
          <w:tab w:leader="none" w:pos="658" w:val="left"/>
        </w:tabs>
        <w:numPr>
          <w:ilvl w:val="0"/>
          <w:numId w:val="2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CONFIDENTIALITY. </w:t>
      </w:r>
      <w:r>
        <w:rPr>
          <w:rFonts w:ascii="Arial" w:cs="Arial" w:eastAsia="Arial" w:hAnsi="Arial"/>
          <w:sz w:val="18"/>
          <w:szCs w:val="18"/>
          <w:color w:val="auto"/>
        </w:rPr>
        <w:t>Employee hereby warrants, covenants and agrees that, without the prior express written approval of Employer or unless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law or court order and for the Term,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w:t>
      </w:r>
    </w:p>
    <w:p>
      <w:pPr>
        <w:spacing w:after="0" w:line="1" w:lineRule="exact"/>
        <w:rPr>
          <w:sz w:val="20"/>
          <w:szCs w:val="20"/>
          <w:color w:val="auto"/>
        </w:rPr>
      </w:pPr>
    </w:p>
    <w:p>
      <w:pPr>
        <w:ind w:right="180" w:firstLine="8"/>
        <w:spacing w:after="0" w:line="292" w:lineRule="auto"/>
        <w:tabs>
          <w:tab w:leader="none" w:pos="23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w:t>
      </w:r>
    </w:p>
    <w:p>
      <w:pPr>
        <w:spacing w:after="0" w:line="170" w:lineRule="exact"/>
        <w:rPr>
          <w:rFonts w:ascii="Arial" w:cs="Arial" w:eastAsia="Arial" w:hAnsi="Arial"/>
          <w:sz w:val="16"/>
          <w:szCs w:val="16"/>
          <w:color w:val="auto"/>
        </w:rPr>
      </w:pPr>
    </w:p>
    <w:p>
      <w:pPr>
        <w:ind w:left="660" w:hanging="301"/>
        <w:spacing w:after="0"/>
        <w:tabs>
          <w:tab w:leader="none" w:pos="660" w:val="left"/>
        </w:tabs>
        <w:numPr>
          <w:ilvl w:val="1"/>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COVENANT/NO SOLICITATION.</w:t>
      </w:r>
    </w:p>
    <w:p>
      <w:pPr>
        <w:spacing w:after="0" w:line="225" w:lineRule="exact"/>
        <w:rPr>
          <w:rFonts w:ascii="Arial" w:cs="Arial" w:eastAsia="Arial" w:hAnsi="Arial"/>
          <w:sz w:val="18"/>
          <w:szCs w:val="18"/>
          <w:color w:val="auto"/>
        </w:rPr>
      </w:pPr>
    </w:p>
    <w:p>
      <w:pPr>
        <w:ind w:left="540" w:right="60" w:firstLine="359"/>
        <w:spacing w:after="0" w:line="289" w:lineRule="auto"/>
        <w:tabs>
          <w:tab w:leader="none" w:pos="1174" w:val="left"/>
        </w:tabs>
        <w:numPr>
          <w:ilvl w:val="2"/>
          <w:numId w:val="286"/>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gaming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172" w:lineRule="exact"/>
        <w:rPr>
          <w:rFonts w:ascii="Arial" w:cs="Arial" w:eastAsia="Arial" w:hAnsi="Arial"/>
          <w:sz w:val="16"/>
          <w:szCs w:val="16"/>
          <w:color w:val="auto"/>
        </w:rPr>
      </w:pPr>
    </w:p>
    <w:p>
      <w:pPr>
        <w:ind w:left="540" w:firstLine="359"/>
        <w:spacing w:after="0" w:line="256" w:lineRule="auto"/>
        <w:tabs>
          <w:tab w:leader="none" w:pos="1184" w:val="left"/>
        </w:tabs>
        <w:numPr>
          <w:ilvl w:val="2"/>
          <w:numId w:val="286"/>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280" w:firstLine="359"/>
        <w:spacing w:after="0" w:line="268" w:lineRule="auto"/>
        <w:tabs>
          <w:tab w:leader="none" w:pos="658" w:val="left"/>
        </w:tabs>
        <w:numPr>
          <w:ilvl w:val="1"/>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1"/>
          <w:numId w:val="2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 assigns.</w:t>
      </w:r>
    </w:p>
    <w:p>
      <w:pPr>
        <w:spacing w:after="0" w:line="248" w:lineRule="exact"/>
        <w:rPr>
          <w:rFonts w:ascii="Arial" w:cs="Arial" w:eastAsia="Arial" w:hAnsi="Arial"/>
          <w:sz w:val="16"/>
          <w:szCs w:val="16"/>
          <w:color w:val="auto"/>
        </w:rPr>
      </w:pPr>
    </w:p>
    <w:p>
      <w:pPr>
        <w:ind w:right="180" w:firstLine="359"/>
        <w:spacing w:after="0" w:line="268" w:lineRule="auto"/>
        <w:tabs>
          <w:tab w:leader="none" w:pos="658" w:val="left"/>
        </w:tabs>
        <w:numPr>
          <w:ilvl w:val="1"/>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Neither party shall assign this Agreement or delegate his or its duties hereunder without the express written prior consent of the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Any purported assignment violation of this Paragraph 14 shall be null and void and of no force or effect.</w:t>
      </w:r>
    </w:p>
    <w:p>
      <w:pPr>
        <w:spacing w:after="0" w:line="185" w:lineRule="exact"/>
        <w:rPr>
          <w:rFonts w:ascii="Arial" w:cs="Arial" w:eastAsia="Arial" w:hAnsi="Arial"/>
          <w:sz w:val="18"/>
          <w:szCs w:val="18"/>
          <w:color w:val="auto"/>
        </w:rPr>
      </w:pPr>
    </w:p>
    <w:p>
      <w:pPr>
        <w:ind w:right="640" w:firstLine="359"/>
        <w:spacing w:after="0" w:line="268" w:lineRule="auto"/>
        <w:tabs>
          <w:tab w:leader="none" w:pos="658" w:val="left"/>
        </w:tabs>
        <w:numPr>
          <w:ilvl w:val="1"/>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ectPr>
          <w:pgSz w:w="11900" w:h="16838" w:orient="portrait"/>
          <w:cols w:equalWidth="0" w:num="1">
            <w:col w:w="11420"/>
          </w:cols>
          <w:pgMar w:left="240" w:top="131" w:right="239" w:bottom="0" w:gutter="0" w:footer="0" w:header="0"/>
        </w:sectPr>
      </w:pPr>
    </w:p>
    <w:bookmarkStart w:id="182" w:name="page183"/>
    <w:bookmarkEnd w:id="182"/>
    <w:p>
      <w:pPr>
        <w:ind w:right="100" w:firstLine="359"/>
        <w:spacing w:after="0" w:line="259" w:lineRule="auto"/>
        <w:tabs>
          <w:tab w:leader="none" w:pos="658" w:val="left"/>
        </w:tabs>
        <w:numPr>
          <w:ilvl w:val="0"/>
          <w:numId w:val="2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Nevada law, without regard to conflicts of law principles.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 and venue for any claim or action arising out of or in any way connected with this Agreement shall be in the federal or state courts located in Clark County, Nevada.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firstLine="359"/>
        <w:spacing w:after="0" w:line="268" w:lineRule="auto"/>
        <w:tabs>
          <w:tab w:leader="none" w:pos="658" w:val="left"/>
        </w:tabs>
        <w:numPr>
          <w:ilvl w:val="0"/>
          <w:numId w:val="2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33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i w:val="1"/>
                <w:iCs w:val="1"/>
                <w:color w:val="auto"/>
              </w:rPr>
              <w:t>TO EMPLOYER:</w:t>
            </w:r>
          </w:p>
        </w:tc>
        <w:tc>
          <w:tcPr>
            <w:tcW w:w="3600" w:type="dxa"/>
            <w:vAlign w:val="bottom"/>
          </w:tcPr>
          <w:p>
            <w:pPr>
              <w:ind w:left="1240"/>
              <w:spacing w:after="0"/>
              <w:rPr>
                <w:sz w:val="20"/>
                <w:szCs w:val="20"/>
                <w:color w:val="auto"/>
              </w:rPr>
            </w:pPr>
            <w:r>
              <w:rPr>
                <w:rFonts w:ascii="Arial" w:cs="Arial" w:eastAsia="Arial" w:hAnsi="Arial"/>
                <w:sz w:val="18"/>
                <w:szCs w:val="18"/>
                <w:color w:val="auto"/>
              </w:rPr>
              <w:t>Wynn Resorts, Limited</w:t>
            </w:r>
          </w:p>
        </w:tc>
      </w:tr>
      <w:tr>
        <w:trPr>
          <w:trHeight w:val="216"/>
        </w:trPr>
        <w:tc>
          <w:tcPr>
            <w:tcW w:w="2900" w:type="dxa"/>
            <w:vAlign w:val="bottom"/>
          </w:tcPr>
          <w:p>
            <w:pPr>
              <w:spacing w:after="0"/>
              <w:rPr>
                <w:sz w:val="18"/>
                <w:szCs w:val="18"/>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w w:val="87"/>
              </w:rPr>
              <w:t>3145 Las Vegas Boulevard South</w:t>
            </w:r>
          </w:p>
        </w:tc>
      </w:tr>
      <w:tr>
        <w:trPr>
          <w:trHeight w:val="216"/>
        </w:trPr>
        <w:tc>
          <w:tcPr>
            <w:tcW w:w="2900" w:type="dxa"/>
            <w:vAlign w:val="bottom"/>
          </w:tcPr>
          <w:p>
            <w:pPr>
              <w:spacing w:after="0"/>
              <w:rPr>
                <w:sz w:val="18"/>
                <w:szCs w:val="18"/>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rPr>
              <w:t>Las Vegas, Nevada 89109</w:t>
            </w:r>
          </w:p>
        </w:tc>
      </w:tr>
      <w:tr>
        <w:trPr>
          <w:trHeight w:val="222"/>
        </w:trPr>
        <w:tc>
          <w:tcPr>
            <w:tcW w:w="2900" w:type="dxa"/>
            <w:vAlign w:val="bottom"/>
          </w:tcPr>
          <w:p>
            <w:pPr>
              <w:spacing w:after="0"/>
              <w:rPr>
                <w:sz w:val="19"/>
                <w:szCs w:val="19"/>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rPr>
              <w:t>Attn: Board of Directors</w:t>
            </w:r>
          </w:p>
        </w:tc>
      </w:tr>
      <w:tr>
        <w:trPr>
          <w:trHeight w:val="426"/>
        </w:trPr>
        <w:tc>
          <w:tcPr>
            <w:tcW w:w="2900" w:type="dxa"/>
            <w:vAlign w:val="bottom"/>
          </w:tcPr>
          <w:p>
            <w:pPr>
              <w:spacing w:after="0"/>
              <w:rPr>
                <w:sz w:val="20"/>
                <w:szCs w:val="20"/>
                <w:color w:val="auto"/>
              </w:rPr>
            </w:pPr>
            <w:r>
              <w:rPr>
                <w:rFonts w:ascii="Arial" w:cs="Arial" w:eastAsia="Arial" w:hAnsi="Arial"/>
                <w:sz w:val="18"/>
                <w:szCs w:val="18"/>
                <w:i w:val="1"/>
                <w:iCs w:val="1"/>
                <w:color w:val="auto"/>
              </w:rPr>
              <w:t>WITH A COPY</w:t>
            </w:r>
          </w:p>
        </w:tc>
        <w:tc>
          <w:tcPr>
            <w:tcW w:w="3600" w:type="dxa"/>
            <w:vAlign w:val="bottom"/>
          </w:tcPr>
          <w:p>
            <w:pPr>
              <w:ind w:left="1240"/>
              <w:spacing w:after="0"/>
              <w:rPr>
                <w:sz w:val="20"/>
                <w:szCs w:val="20"/>
                <w:color w:val="auto"/>
              </w:rPr>
            </w:pPr>
            <w:r>
              <w:rPr>
                <w:rFonts w:ascii="Arial" w:cs="Arial" w:eastAsia="Arial" w:hAnsi="Arial"/>
                <w:sz w:val="18"/>
                <w:szCs w:val="18"/>
                <w:color w:val="auto"/>
              </w:rPr>
              <w:t>Wynn Resorts, Limited</w:t>
            </w:r>
          </w:p>
        </w:tc>
      </w:tr>
      <w:tr>
        <w:trPr>
          <w:trHeight w:val="216"/>
        </w:trPr>
        <w:tc>
          <w:tcPr>
            <w:tcW w:w="2900" w:type="dxa"/>
            <w:vAlign w:val="bottom"/>
          </w:tcPr>
          <w:p>
            <w:pPr>
              <w:spacing w:after="0"/>
              <w:rPr>
                <w:sz w:val="20"/>
                <w:szCs w:val="20"/>
                <w:color w:val="auto"/>
              </w:rPr>
            </w:pPr>
            <w:r>
              <w:rPr>
                <w:rFonts w:ascii="Arial" w:cs="Arial" w:eastAsia="Arial" w:hAnsi="Arial"/>
                <w:sz w:val="18"/>
                <w:szCs w:val="18"/>
                <w:i w:val="1"/>
                <w:iCs w:val="1"/>
                <w:color w:val="auto"/>
              </w:rPr>
              <w:t>THAT SHALL NOT BE</w:t>
            </w:r>
          </w:p>
        </w:tc>
        <w:tc>
          <w:tcPr>
            <w:tcW w:w="3600" w:type="dxa"/>
            <w:vAlign w:val="bottom"/>
          </w:tcPr>
          <w:p>
            <w:pPr>
              <w:ind w:left="1240"/>
              <w:spacing w:after="0"/>
              <w:rPr>
                <w:sz w:val="20"/>
                <w:szCs w:val="20"/>
                <w:color w:val="auto"/>
              </w:rPr>
            </w:pPr>
            <w:r>
              <w:rPr>
                <w:rFonts w:ascii="Arial" w:cs="Arial" w:eastAsia="Arial" w:hAnsi="Arial"/>
                <w:sz w:val="18"/>
                <w:szCs w:val="18"/>
                <w:color w:val="auto"/>
                <w:w w:val="87"/>
              </w:rPr>
              <w:t>3145 Las Vegas Boulevard South</w:t>
            </w:r>
          </w:p>
        </w:tc>
      </w:tr>
      <w:tr>
        <w:trPr>
          <w:trHeight w:val="216"/>
        </w:trPr>
        <w:tc>
          <w:tcPr>
            <w:tcW w:w="2900" w:type="dxa"/>
            <w:vAlign w:val="bottom"/>
          </w:tcPr>
          <w:p>
            <w:pPr>
              <w:spacing w:after="0"/>
              <w:rPr>
                <w:sz w:val="20"/>
                <w:szCs w:val="20"/>
                <w:color w:val="auto"/>
              </w:rPr>
            </w:pPr>
            <w:r>
              <w:rPr>
                <w:rFonts w:ascii="Arial" w:cs="Arial" w:eastAsia="Arial" w:hAnsi="Arial"/>
                <w:sz w:val="18"/>
                <w:szCs w:val="18"/>
                <w:i w:val="1"/>
                <w:iCs w:val="1"/>
                <w:color w:val="auto"/>
              </w:rPr>
              <w:t>NOTICE TO:</w:t>
            </w:r>
          </w:p>
        </w:tc>
        <w:tc>
          <w:tcPr>
            <w:tcW w:w="3600" w:type="dxa"/>
            <w:vAlign w:val="bottom"/>
          </w:tcPr>
          <w:p>
            <w:pPr>
              <w:ind w:left="1240"/>
              <w:spacing w:after="0"/>
              <w:rPr>
                <w:sz w:val="20"/>
                <w:szCs w:val="20"/>
                <w:color w:val="auto"/>
              </w:rPr>
            </w:pPr>
            <w:r>
              <w:rPr>
                <w:rFonts w:ascii="Arial" w:cs="Arial" w:eastAsia="Arial" w:hAnsi="Arial"/>
                <w:sz w:val="18"/>
                <w:szCs w:val="18"/>
                <w:color w:val="auto"/>
              </w:rPr>
              <w:t>Las Vegas, Nevada 89109</w:t>
            </w:r>
          </w:p>
        </w:tc>
      </w:tr>
      <w:tr>
        <w:trPr>
          <w:trHeight w:val="222"/>
        </w:trPr>
        <w:tc>
          <w:tcPr>
            <w:tcW w:w="2900" w:type="dxa"/>
            <w:vAlign w:val="bottom"/>
          </w:tcPr>
          <w:p>
            <w:pPr>
              <w:spacing w:after="0"/>
              <w:rPr>
                <w:sz w:val="19"/>
                <w:szCs w:val="19"/>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rPr>
              <w:t>Attn: Legal Department</w:t>
            </w:r>
          </w:p>
        </w:tc>
      </w:tr>
      <w:tr>
        <w:trPr>
          <w:trHeight w:val="426"/>
        </w:trPr>
        <w:tc>
          <w:tcPr>
            <w:tcW w:w="2900" w:type="dxa"/>
            <w:vAlign w:val="bottom"/>
          </w:tcPr>
          <w:p>
            <w:pPr>
              <w:spacing w:after="0"/>
              <w:rPr>
                <w:sz w:val="20"/>
                <w:szCs w:val="20"/>
                <w:color w:val="auto"/>
              </w:rPr>
            </w:pPr>
            <w:r>
              <w:rPr>
                <w:rFonts w:ascii="Arial" w:cs="Arial" w:eastAsia="Arial" w:hAnsi="Arial"/>
                <w:sz w:val="18"/>
                <w:szCs w:val="18"/>
                <w:i w:val="1"/>
                <w:iCs w:val="1"/>
                <w:color w:val="auto"/>
              </w:rPr>
              <w:t>TO EMPLOYEE:</w:t>
            </w:r>
          </w:p>
        </w:tc>
        <w:tc>
          <w:tcPr>
            <w:tcW w:w="3600" w:type="dxa"/>
            <w:vAlign w:val="bottom"/>
          </w:tcPr>
          <w:p>
            <w:pPr>
              <w:ind w:left="1240"/>
              <w:spacing w:after="0"/>
              <w:rPr>
                <w:sz w:val="20"/>
                <w:szCs w:val="20"/>
                <w:color w:val="auto"/>
              </w:rPr>
            </w:pPr>
            <w:r>
              <w:rPr>
                <w:rFonts w:ascii="Arial" w:cs="Arial" w:eastAsia="Arial" w:hAnsi="Arial"/>
                <w:sz w:val="18"/>
                <w:szCs w:val="18"/>
                <w:color w:val="auto"/>
              </w:rPr>
              <w:t>Stephen A. Wynn</w:t>
            </w:r>
          </w:p>
        </w:tc>
      </w:tr>
      <w:tr>
        <w:trPr>
          <w:trHeight w:val="216"/>
        </w:trPr>
        <w:tc>
          <w:tcPr>
            <w:tcW w:w="2900" w:type="dxa"/>
            <w:vAlign w:val="bottom"/>
          </w:tcPr>
          <w:p>
            <w:pPr>
              <w:spacing w:after="0"/>
              <w:rPr>
                <w:sz w:val="18"/>
                <w:szCs w:val="18"/>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rPr>
              <w:t>One Shadow Creek Drive</w:t>
            </w:r>
          </w:p>
        </w:tc>
      </w:tr>
      <w:tr>
        <w:trPr>
          <w:trHeight w:val="222"/>
        </w:trPr>
        <w:tc>
          <w:tcPr>
            <w:tcW w:w="2900" w:type="dxa"/>
            <w:vAlign w:val="bottom"/>
          </w:tcPr>
          <w:p>
            <w:pPr>
              <w:spacing w:after="0"/>
              <w:rPr>
                <w:sz w:val="19"/>
                <w:szCs w:val="19"/>
                <w:color w:val="auto"/>
              </w:rPr>
            </w:pPr>
          </w:p>
        </w:tc>
        <w:tc>
          <w:tcPr>
            <w:tcW w:w="3600" w:type="dxa"/>
            <w:vAlign w:val="bottom"/>
          </w:tcPr>
          <w:p>
            <w:pPr>
              <w:ind w:left="1240"/>
              <w:spacing w:after="0"/>
              <w:rPr>
                <w:sz w:val="20"/>
                <w:szCs w:val="20"/>
                <w:color w:val="auto"/>
              </w:rPr>
            </w:pPr>
            <w:r>
              <w:rPr>
                <w:rFonts w:ascii="Arial" w:cs="Arial" w:eastAsia="Arial" w:hAnsi="Arial"/>
                <w:sz w:val="18"/>
                <w:szCs w:val="18"/>
                <w:color w:val="auto"/>
              </w:rPr>
              <w:t>North Las Vegas, NV 89031</w:t>
            </w:r>
          </w:p>
        </w:tc>
      </w:tr>
    </w:tbl>
    <w:p>
      <w:pPr>
        <w:spacing w:after="0" w:line="21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400" w:firstLine="359"/>
        <w:spacing w:after="0" w:line="268" w:lineRule="auto"/>
        <w:tabs>
          <w:tab w:leader="none" w:pos="658"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5" w:lineRule="exact"/>
        <w:rPr>
          <w:rFonts w:ascii="Arial" w:cs="Arial" w:eastAsia="Arial" w:hAnsi="Arial"/>
          <w:sz w:val="18"/>
          <w:szCs w:val="18"/>
          <w:color w:val="auto"/>
        </w:rPr>
      </w:pPr>
    </w:p>
    <w:p>
      <w:pPr>
        <w:ind w:right="240" w:firstLine="359"/>
        <w:spacing w:after="0" w:line="332" w:lineRule="auto"/>
        <w:tabs>
          <w:tab w:leader="none" w:pos="658" w:val="left"/>
        </w:tabs>
        <w:numPr>
          <w:ilvl w:val="0"/>
          <w:numId w:val="2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color w:val="auto"/>
        </w:rPr>
      </w:pPr>
    </w:p>
    <w:p>
      <w:pPr>
        <w:jc w:val="both"/>
        <w:ind w:right="300" w:firstLine="359"/>
        <w:spacing w:after="0" w:line="259" w:lineRule="auto"/>
        <w:tabs>
          <w:tab w:leader="none" w:pos="658" w:val="left"/>
        </w:tabs>
        <w:numPr>
          <w:ilvl w:val="0"/>
          <w:numId w:val="2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color w:val="auto"/>
        </w:rPr>
      </w:pPr>
    </w:p>
    <w:p>
      <w:pPr>
        <w:jc w:val="both"/>
        <w:ind w:firstLine="359"/>
        <w:spacing w:after="0" w:line="306" w:lineRule="auto"/>
        <w:tabs>
          <w:tab w:leader="none" w:pos="658" w:val="left"/>
        </w:tabs>
        <w:numPr>
          <w:ilvl w:val="0"/>
          <w:numId w:val="2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tcPr>
          <w:p>
            <w:pPr>
              <w:spacing w:after="0"/>
              <w:rPr>
                <w:sz w:val="20"/>
                <w:szCs w:val="20"/>
                <w:color w:val="auto"/>
              </w:rPr>
            </w:pPr>
            <w:r>
              <w:rPr>
                <w:rFonts w:ascii="Arial" w:cs="Arial" w:eastAsia="Arial" w:hAnsi="Arial"/>
                <w:sz w:val="18"/>
                <w:szCs w:val="18"/>
                <w:color w:val="auto"/>
              </w:rPr>
              <w:t>/s/ MARC D. SCHORR</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Marc D. Schorr</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i w:val="1"/>
                <w:iCs w:val="1"/>
                <w:color w:val="auto"/>
              </w:rPr>
              <w:t>Chief Operating Officer</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4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-628650</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-628650</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-628650</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i w:val="1"/>
          <w:iCs w:val="1"/>
          <w:color w:val="auto"/>
        </w:rPr>
        <w:t>Indemnification and Gross-Up for Excise Taxes</w:t>
      </w:r>
    </w:p>
    <w:p>
      <w:pPr>
        <w:spacing w:after="0" w:line="225" w:lineRule="exact"/>
        <w:rPr>
          <w:sz w:val="20"/>
          <w:szCs w:val="20"/>
          <w:color w:val="auto"/>
        </w:rPr>
      </w:pPr>
    </w:p>
    <w:p>
      <w:pPr>
        <w:ind w:right="80" w:firstLine="359"/>
        <w:spacing w:after="0" w:line="306" w:lineRule="auto"/>
        <w:tabs>
          <w:tab w:leader="none" w:pos="634" w:val="left"/>
        </w:tabs>
        <w:numPr>
          <w:ilvl w:val="0"/>
          <w:numId w:val="290"/>
        </w:numPr>
        <w:rPr>
          <w:rFonts w:ascii="Arial" w:cs="Arial" w:eastAsia="Arial" w:hAnsi="Arial"/>
          <w:sz w:val="15"/>
          <w:szCs w:val="15"/>
          <w:color w:val="auto"/>
        </w:rPr>
      </w:pPr>
      <w:r>
        <w:rPr>
          <w:rFonts w:ascii="Arial" w:cs="Arial" w:eastAsia="Arial" w:hAnsi="Arial"/>
          <w:sz w:val="15"/>
          <w:szCs w:val="15"/>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w:t>
      </w:r>
    </w:p>
    <w:p>
      <w:pPr>
        <w:sectPr>
          <w:pgSz w:w="11900" w:h="16838" w:orient="portrait"/>
          <w:cols w:equalWidth="0" w:num="1">
            <w:col w:w="11420"/>
          </w:cols>
          <w:pgMar w:left="240" w:top="131" w:right="239" w:bottom="0" w:gutter="0" w:footer="0" w:header="0"/>
        </w:sectPr>
      </w:pPr>
    </w:p>
    <w:bookmarkStart w:id="183" w:name="page184"/>
    <w:bookmarkEnd w:id="183"/>
    <w:p>
      <w:pPr>
        <w:ind w:right="140"/>
        <w:spacing w:after="0" w:line="259" w:lineRule="auto"/>
        <w:rPr>
          <w:sz w:val="20"/>
          <w:szCs w:val="20"/>
          <w:color w:val="auto"/>
        </w:rPr>
      </w:pPr>
      <w:r>
        <w:rPr>
          <w:rFonts w:ascii="Arial" w:cs="Arial" w:eastAsia="Arial" w:hAnsi="Arial"/>
          <w:sz w:val="18"/>
          <w:szCs w:val="18"/>
          <w:color w:val="auto"/>
        </w:rPr>
        <w:t>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94" w:lineRule="exact"/>
        <w:rPr>
          <w:sz w:val="20"/>
          <w:szCs w:val="20"/>
          <w:color w:val="auto"/>
        </w:rPr>
      </w:pPr>
    </w:p>
    <w:p>
      <w:pPr>
        <w:ind w:right="20" w:firstLine="359"/>
        <w:spacing w:after="0" w:line="302" w:lineRule="auto"/>
        <w:tabs>
          <w:tab w:leader="none" w:pos="644" w:val="left"/>
        </w:tabs>
        <w:numPr>
          <w:ilvl w:val="0"/>
          <w:numId w:val="291"/>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w:t>
      </w:r>
    </w:p>
    <w:p>
      <w:pPr>
        <w:spacing w:after="0" w:line="1" w:lineRule="exact"/>
        <w:rPr>
          <w:rFonts w:ascii="Arial" w:cs="Arial" w:eastAsia="Arial" w:hAnsi="Arial"/>
          <w:sz w:val="15"/>
          <w:szCs w:val="15"/>
          <w:color w:val="auto"/>
        </w:rPr>
      </w:pPr>
    </w:p>
    <w:p>
      <w:pPr>
        <w:ind w:right="180"/>
        <w:spacing w:after="0" w:line="255" w:lineRule="auto"/>
        <w:rPr>
          <w:rFonts w:ascii="Arial" w:cs="Arial" w:eastAsia="Arial" w:hAnsi="Arial"/>
          <w:sz w:val="15"/>
          <w:szCs w:val="15"/>
          <w:color w:val="auto"/>
        </w:rPr>
      </w:pPr>
      <w:r>
        <w:rPr>
          <w:rFonts w:ascii="Arial" w:cs="Arial" w:eastAsia="Arial" w:hAnsi="Arial"/>
          <w:sz w:val="18"/>
          <w:szCs w:val="18"/>
          <w:color w:val="auto"/>
        </w:rPr>
        <w:t>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98" w:lineRule="exact"/>
        <w:rPr>
          <w:rFonts w:ascii="Arial" w:cs="Arial" w:eastAsia="Arial" w:hAnsi="Arial"/>
          <w:sz w:val="15"/>
          <w:szCs w:val="15"/>
          <w:color w:val="auto"/>
        </w:rPr>
      </w:pPr>
    </w:p>
    <w:p>
      <w:pPr>
        <w:ind w:right="420" w:firstLine="359"/>
        <w:spacing w:after="0" w:line="291" w:lineRule="auto"/>
        <w:tabs>
          <w:tab w:leader="none" w:pos="63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2" w:lineRule="exact"/>
        <w:rPr>
          <w:sz w:val="20"/>
          <w:szCs w:val="20"/>
          <w:color w:val="auto"/>
        </w:rPr>
      </w:pPr>
    </w:p>
    <w:p>
      <w:pPr>
        <w:ind w:firstLine="359"/>
        <w:spacing w:after="0" w:line="253" w:lineRule="auto"/>
        <w:tabs>
          <w:tab w:leader="none" w:pos="64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Exhibit 10.46</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 I T N E S S E T H</w:t>
        </w:r>
      </w:hyperlink>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22"/>
          <w:szCs w:val="22"/>
          <w:color w:val="0000EE"/>
        </w:rPr>
      </w:pPr>
      <w:hyperlink w:anchor="page18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Wynn Resorts, Limited upon consummation of this offering: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Exact Name of Subsidiary</w:t>
            </w:r>
          </w:p>
        </w:tc>
        <w:tc>
          <w:tcPr>
            <w:tcW w:w="45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 or Other Jurisdiction</w:t>
            </w:r>
          </w:p>
        </w:tc>
        <w:tc>
          <w:tcPr>
            <w:tcW w:w="1140" w:type="dxa"/>
            <w:vAlign w:val="bottom"/>
          </w:tcPr>
          <w:p>
            <w:pPr>
              <w:spacing w:after="0"/>
              <w:rPr>
                <w:sz w:val="14"/>
                <w:szCs w:val="14"/>
                <w:color w:val="auto"/>
              </w:rPr>
            </w:pPr>
          </w:p>
        </w:tc>
      </w:tr>
      <w:tr>
        <w:trPr>
          <w:trHeight w:val="174"/>
        </w:trPr>
        <w:tc>
          <w:tcPr>
            <w:tcW w:w="114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as Specified in its Charter</w:t>
            </w:r>
          </w:p>
        </w:tc>
        <w:tc>
          <w:tcPr>
            <w:tcW w:w="4540" w:type="dxa"/>
            <w:vAlign w:val="bottom"/>
            <w:gridSpan w:val="2"/>
          </w:tcPr>
          <w:p>
            <w:pPr>
              <w:ind w:left="260"/>
              <w:spacing w:after="0"/>
              <w:rPr>
                <w:sz w:val="20"/>
                <w:szCs w:val="20"/>
                <w:color w:val="auto"/>
              </w:rPr>
            </w:pPr>
            <w:r>
              <w:rPr>
                <w:rFonts w:ascii="Arial" w:cs="Arial" w:eastAsia="Arial" w:hAnsi="Arial"/>
                <w:sz w:val="14"/>
                <w:szCs w:val="14"/>
                <w:b w:val="1"/>
                <w:bCs w:val="1"/>
                <w:color w:val="auto"/>
              </w:rPr>
              <w:t>or Incorporation or Organization</w:t>
            </w:r>
          </w:p>
        </w:tc>
        <w:tc>
          <w:tcPr>
            <w:tcW w:w="1140" w:type="dxa"/>
            <w:vAlign w:val="bottom"/>
          </w:tcPr>
          <w:p>
            <w:pPr>
              <w:spacing w:after="0"/>
              <w:rPr>
                <w:sz w:val="15"/>
                <w:szCs w:val="15"/>
                <w:color w:val="auto"/>
              </w:rPr>
            </w:pPr>
          </w:p>
        </w:tc>
      </w:tr>
      <w:tr>
        <w:trPr>
          <w:trHeight w:val="105"/>
        </w:trPr>
        <w:tc>
          <w:tcPr>
            <w:tcW w:w="114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3"/>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Valvino Lamore,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Celebrity Slot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Celebrity Slot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Desert Inn Resort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Spotlight Theatre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Starlight Theatre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Stars'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Cabaret Room</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Country Club &amp;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Hotel</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Hotel and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Desert Inn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Monte Carlo Room</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Hotel &amp; Country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Country Club &amp; Spa</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The Stars' Desert Inn Hotel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Wynn Park</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Kevyn,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Toasty,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Rambas Marketing,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2"/>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WorldWide Wynn,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World Wide Wynn Gaming</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Group Asia, Inc.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Las Vegas Capital Corp.*</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gridSpan w:val="2"/>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r>
        <w:trPr>
          <w:trHeight w:val="745"/>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Wynn Las Vegas,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Club Le Rêve</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Casino Hotel</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Casino Hotel &amp; Towers</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Gallery of Fine Art</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Golf Club</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Hotel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Hotel &amp; Towers</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Resort &amp; Casino</w:t>
            </w:r>
          </w:p>
        </w:tc>
        <w:tc>
          <w:tcPr>
            <w:tcW w:w="2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dba Le Rêve Resort &amp; Country Club</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World Travel,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r>
        <w:trPr>
          <w:trHeight w:val="648"/>
        </w:trPr>
        <w:tc>
          <w:tcPr>
            <w:tcW w:w="11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Las Vegas Jet, LLC*</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Nevada</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-8741410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-8741410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-8741410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-8741410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73"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Design &amp; Development, LLC*</w:t>
            </w:r>
          </w:p>
        </w:tc>
        <w:tc>
          <w:tcPr>
            <w:tcW w:w="182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216"/>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Design &amp; Development</w:t>
            </w:r>
          </w:p>
        </w:tc>
        <w:tc>
          <w:tcPr>
            <w:tcW w:w="1820" w:type="dxa"/>
            <w:vAlign w:val="bottom"/>
          </w:tcPr>
          <w:p>
            <w:pPr>
              <w:spacing w:after="0"/>
              <w:rPr>
                <w:sz w:val="18"/>
                <w:szCs w:val="18"/>
                <w:color w:val="auto"/>
              </w:rPr>
            </w:pPr>
          </w:p>
        </w:tc>
      </w:tr>
      <w:tr>
        <w:trPr>
          <w:trHeight w:val="222"/>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Design and Development</w:t>
            </w:r>
          </w:p>
        </w:tc>
        <w:tc>
          <w:tcPr>
            <w:tcW w:w="1820" w:type="dxa"/>
            <w:vAlign w:val="bottom"/>
          </w:tcPr>
          <w:p>
            <w:pPr>
              <w:spacing w:after="0"/>
              <w:rPr>
                <w:sz w:val="19"/>
                <w:szCs w:val="19"/>
                <w:color w:val="auto"/>
              </w:rPr>
            </w:pP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Desert Inn Water Company, LLC*</w:t>
            </w:r>
          </w:p>
        </w:tc>
        <w:tc>
          <w:tcPr>
            <w:tcW w:w="182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Desert Inn Improvement Co.*</w:t>
            </w:r>
          </w:p>
        </w:tc>
        <w:tc>
          <w:tcPr>
            <w:tcW w:w="182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2"/>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Holdings, LLC*</w:t>
            </w:r>
          </w:p>
        </w:tc>
        <w:tc>
          <w:tcPr>
            <w:tcW w:w="182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216"/>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The Wynn Collection</w:t>
            </w:r>
          </w:p>
        </w:tc>
        <w:tc>
          <w:tcPr>
            <w:tcW w:w="1820" w:type="dxa"/>
            <w:vAlign w:val="bottom"/>
          </w:tcPr>
          <w:p>
            <w:pPr>
              <w:spacing w:after="0"/>
              <w:rPr>
                <w:sz w:val="18"/>
                <w:szCs w:val="18"/>
                <w:color w:val="auto"/>
              </w:rPr>
            </w:pPr>
          </w:p>
        </w:tc>
      </w:tr>
      <w:tr>
        <w:trPr>
          <w:trHeight w:val="222"/>
        </w:trPr>
        <w:tc>
          <w:tcPr>
            <w:tcW w:w="4980" w:type="dxa"/>
            <w:vAlign w:val="bottom"/>
            <w:gridSpan w:val="2"/>
          </w:tcPr>
          <w:p>
            <w:pPr>
              <w:ind w:left="1440"/>
              <w:spacing w:after="0"/>
              <w:rPr>
                <w:sz w:val="20"/>
                <w:szCs w:val="20"/>
                <w:color w:val="auto"/>
              </w:rPr>
            </w:pPr>
            <w:r>
              <w:rPr>
                <w:rFonts w:ascii="Arial" w:cs="Arial" w:eastAsia="Arial" w:hAnsi="Arial"/>
                <w:sz w:val="18"/>
                <w:szCs w:val="18"/>
                <w:color w:val="auto"/>
              </w:rPr>
              <w:t>dba Wynn Resorts</w:t>
            </w:r>
          </w:p>
        </w:tc>
        <w:tc>
          <w:tcPr>
            <w:tcW w:w="1820" w:type="dxa"/>
            <w:vAlign w:val="bottom"/>
          </w:tcPr>
          <w:p>
            <w:pPr>
              <w:spacing w:after="0"/>
              <w:rPr>
                <w:sz w:val="19"/>
                <w:szCs w:val="19"/>
                <w:color w:val="auto"/>
              </w:rPr>
            </w:pP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Palo, LLC*</w:t>
            </w:r>
          </w:p>
        </w:tc>
        <w:tc>
          <w:tcPr>
            <w:tcW w:w="1820" w:type="dxa"/>
            <w:vAlign w:val="bottom"/>
          </w:tcPr>
          <w:p>
            <w:pPr>
              <w:ind w:left="1020"/>
              <w:spacing w:after="0"/>
              <w:rPr>
                <w:sz w:val="20"/>
                <w:szCs w:val="20"/>
                <w:color w:val="auto"/>
              </w:rPr>
            </w:pPr>
            <w:r>
              <w:rPr>
                <w:rFonts w:ascii="Arial" w:cs="Arial" w:eastAsia="Arial" w:hAnsi="Arial"/>
                <w:sz w:val="18"/>
                <w:szCs w:val="18"/>
                <w:color w:val="auto"/>
              </w:rPr>
              <w:t>Delaware</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Completion Guarantor, LLC*</w:t>
            </w:r>
          </w:p>
        </w:tc>
        <w:tc>
          <w:tcPr>
            <w:tcW w:w="1820" w:type="dxa"/>
            <w:vAlign w:val="bottom"/>
          </w:tcPr>
          <w:p>
            <w:pPr>
              <w:ind w:left="1020"/>
              <w:spacing w:after="0"/>
              <w:rPr>
                <w:sz w:val="20"/>
                <w:szCs w:val="20"/>
                <w:color w:val="auto"/>
              </w:rPr>
            </w:pPr>
            <w:r>
              <w:rPr>
                <w:rFonts w:ascii="Arial" w:cs="Arial" w:eastAsia="Arial" w:hAnsi="Arial"/>
                <w:sz w:val="18"/>
                <w:szCs w:val="18"/>
                <w:color w:val="auto"/>
              </w:rPr>
              <w:t>Nevada</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(Macau) S.A.*</w:t>
            </w:r>
          </w:p>
        </w:tc>
        <w:tc>
          <w:tcPr>
            <w:tcW w:w="1820" w:type="dxa"/>
            <w:vAlign w:val="bottom"/>
          </w:tcPr>
          <w:p>
            <w:pPr>
              <w:ind w:left="1020"/>
              <w:spacing w:after="0"/>
              <w:rPr>
                <w:sz w:val="20"/>
                <w:szCs w:val="20"/>
                <w:color w:val="auto"/>
              </w:rPr>
            </w:pPr>
            <w:r>
              <w:rPr>
                <w:rFonts w:ascii="Arial" w:cs="Arial" w:eastAsia="Arial" w:hAnsi="Arial"/>
                <w:sz w:val="18"/>
                <w:szCs w:val="18"/>
                <w:color w:val="auto"/>
              </w:rPr>
              <w:t>Macau</w:t>
            </w:r>
          </w:p>
        </w:tc>
      </w:tr>
      <w:tr>
        <w:trPr>
          <w:trHeight w:val="648"/>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Wynn Resorts International, Ltd.*</w:t>
            </w:r>
          </w:p>
        </w:tc>
        <w:tc>
          <w:tcPr>
            <w:tcW w:w="1820" w:type="dxa"/>
            <w:vAlign w:val="bottom"/>
          </w:tcPr>
          <w:p>
            <w:pPr>
              <w:ind w:left="1020"/>
              <w:spacing w:after="0"/>
              <w:rPr>
                <w:sz w:val="20"/>
                <w:szCs w:val="20"/>
                <w:color w:val="auto"/>
              </w:rPr>
            </w:pPr>
            <w:r>
              <w:rPr>
                <w:rFonts w:ascii="Arial" w:cs="Arial" w:eastAsia="Arial" w:hAnsi="Arial"/>
                <w:sz w:val="18"/>
                <w:szCs w:val="18"/>
                <w:color w:val="auto"/>
                <w:w w:val="88"/>
              </w:rPr>
              <w:t>Isle of Man</w:t>
            </w:r>
          </w:p>
        </w:tc>
      </w:tr>
      <w:tr>
        <w:trPr>
          <w:trHeight w:val="120"/>
        </w:trPr>
        <w:tc>
          <w:tcPr>
            <w:tcW w:w="1660" w:type="dxa"/>
            <w:vAlign w:val="bottom"/>
            <w:tcBorders>
              <w:bottom w:val="single" w:sz="8" w:color="808080"/>
            </w:tcBorders>
          </w:tcPr>
          <w:p>
            <w:pPr>
              <w:spacing w:after="0"/>
              <w:rPr>
                <w:sz w:val="10"/>
                <w:szCs w:val="10"/>
                <w:color w:val="auto"/>
              </w:rPr>
            </w:pPr>
          </w:p>
        </w:tc>
        <w:tc>
          <w:tcPr>
            <w:tcW w:w="33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Indicates indirect subsidiary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Subsidiaries of Wynn Resorts, Limited upon consummation of this offering</w:t>
        </w:r>
      </w:hyperlink>
    </w:p>
    <w:p>
      <w:pPr>
        <w:sectPr>
          <w:pgSz w:w="11900" w:h="16838" w:orient="portrait"/>
          <w:cols w:equalWidth="0" w:num="1">
            <w:col w:w="10219"/>
          </w:cols>
          <w:pgMar w:left="240" w:top="131" w:right="1440" w:bottom="1440" w:gutter="0" w:footer="0" w:header="0"/>
        </w:sectPr>
      </w:pPr>
    </w:p>
    <w:bookmarkStart w:id="186" w:name="page187"/>
    <w:bookmarkEnd w:id="186"/>
    <w:p>
      <w:pPr>
        <w:spacing w:after="0"/>
        <w:rPr>
          <w:rFonts w:ascii="Arial" w:cs="Arial" w:eastAsia="Arial" w:hAnsi="Arial"/>
          <w:sz w:val="22"/>
          <w:szCs w:val="22"/>
          <w:color w:val="0000EE"/>
        </w:rPr>
      </w:pPr>
      <w:hyperlink w:anchor="page1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consent to the use in this Amendment No. 4 to Registration Statement No. 333-90600 of Wynn Resorts, Limited on Form S-1 of our report dated June 6, 2002 (October 2, 2002 as to Note 12) (which report expresses an unqualified opinion and includes an explanatory paragraph referring to the restatement of the financial statements at Note 12),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INDEPENDENT AUDITORS' CONSENT</w:t>
        </w:r>
      </w:hyperlink>
    </w:p>
    <w:p>
      <w:pPr>
        <w:sectPr>
          <w:pgSz w:w="11900" w:h="16838" w:orient="portrait"/>
          <w:cols w:equalWidth="0" w:num="1">
            <w:col w:w="11380"/>
          </w:cols>
          <w:pgMar w:left="240" w:top="361" w:right="279" w:bottom="1440" w:gutter="0" w:footer="0" w:header="0"/>
        </w:sectPr>
      </w:pPr>
    </w:p>
    <w:bookmarkStart w:id="187" w:name="page188"/>
    <w:bookmarkEnd w:id="187"/>
    <w:p>
      <w:pPr>
        <w:spacing w:after="0"/>
        <w:rPr>
          <w:rFonts w:ascii="Arial" w:cs="Arial" w:eastAsia="Arial" w:hAnsi="Arial"/>
          <w:sz w:val="22"/>
          <w:szCs w:val="22"/>
          <w:color w:val="0000EE"/>
        </w:rPr>
      </w:pPr>
      <w:hyperlink w:anchor="page18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A. Moran</w:t>
      </w:r>
    </w:p>
    <w:p>
      <w:pPr>
        <w:sectPr>
          <w:pgSz w:w="11900" w:h="16838" w:orient="portrait"/>
          <w:cols w:equalWidth="0" w:num="1">
            <w:col w:w="11380"/>
          </w:cols>
          <w:pgMar w:left="240" w:top="36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0" w:gutter="0" w:footer="0" w:header="0"/>
          <w:type w:val="continuous"/>
        </w:sectPr>
      </w:pPr>
    </w:p>
    <w:bookmarkStart w:id="188" w:name="page189"/>
    <w:bookmarkEnd w:id="188"/>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(1) Wynn Resorts, Limited in Amendment No. 4 to the registration statement on Form S-1 of Wynn Resorts, Limited dated October 7, 2002 and (2) Wynn Las Vegas Capital Corp. in Amendment No. 3 to the registration statement on Form S-1 of Wynn Las Vegas, LLC, Wynn Las Vegas Capital Corp. and the Other Registrants dated October 7 , 2002, any amendments thereto.</w:t>
      </w:r>
    </w:p>
    <w:p>
      <w:pPr>
        <w:spacing w:after="0" w:line="1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Allan Zeman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Exhibit 23.3</w:t>
        </w:r>
      </w:hyperlink>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1B64D4"/>
    <w:multiLevelType w:val="hybridMultilevel"/>
    <w:lvl w:ilvl="0">
      <w:lvlJc w:val="left"/>
      <w:lvlText w:val="(%1)"/>
      <w:numFmt w:val="decimal"/>
      <w:start w:val="1"/>
    </w:lvl>
  </w:abstractNum>
  <w:abstractNum w:abstractNumId="1">
    <w:nsid w:val="78B5E776"/>
    <w:multiLevelType w:val="hybridMultilevel"/>
    <w:lvl w:ilvl="0">
      <w:lvlJc w:val="left"/>
      <w:lvlText w:val="•"/>
      <w:numFmt w:val="bullet"/>
      <w:start w:val="1"/>
    </w:lvl>
  </w:abstractNum>
  <w:abstractNum w:abstractNumId="2">
    <w:nsid w:val="75486E47"/>
    <w:multiLevelType w:val="hybridMultilevel"/>
    <w:lvl w:ilvl="0">
      <w:lvlJc w:val="left"/>
      <w:lvlText w:val="•"/>
      <w:numFmt w:val="bullet"/>
      <w:start w:val="1"/>
    </w:lvl>
  </w:abstractNum>
  <w:abstractNum w:abstractNumId="3">
    <w:nsid w:val="6E534CDE"/>
    <w:multiLevelType w:val="hybridMultilevel"/>
    <w:lvl w:ilvl="0">
      <w:lvlJc w:val="left"/>
      <w:lvlText w:val="•"/>
      <w:numFmt w:val="bullet"/>
      <w:start w:val="1"/>
    </w:lvl>
  </w:abstractNum>
  <w:abstractNum w:abstractNumId="4">
    <w:nsid w:val="1A0DDE32"/>
    <w:multiLevelType w:val="hybridMultilevel"/>
    <w:lvl w:ilvl="0">
      <w:lvlJc w:val="left"/>
      <w:lvlText w:val="•"/>
      <w:numFmt w:val="bullet"/>
      <w:start w:val="1"/>
    </w:lvl>
    <w:lvl w:ilvl="1">
      <w:lvlJc w:val="left"/>
      <w:lvlText w:val="•"/>
      <w:numFmt w:val="bullet"/>
      <w:start w:val="1"/>
    </w:lvl>
  </w:abstractNum>
  <w:abstractNum w:abstractNumId="5">
    <w:nsid w:val="65968C1C"/>
    <w:multiLevelType w:val="hybridMultilevel"/>
    <w:lvl w:ilvl="0">
      <w:lvlJc w:val="left"/>
      <w:lvlText w:val="•"/>
      <w:numFmt w:val="bullet"/>
      <w:start w:val="1"/>
    </w:lvl>
  </w:abstractNum>
  <w:abstractNum w:abstractNumId="6">
    <w:nsid w:val="46263DEC"/>
    <w:multiLevelType w:val="hybridMultilevel"/>
    <w:lvl w:ilvl="0">
      <w:lvlJc w:val="left"/>
      <w:lvlText w:val="•"/>
      <w:numFmt w:val="bullet"/>
      <w:start w:val="1"/>
    </w:lvl>
  </w:abstractNum>
  <w:abstractNum w:abstractNumId="7">
    <w:nsid w:val="260D8C4A"/>
    <w:multiLevelType w:val="hybridMultilevel"/>
    <w:lvl w:ilvl="0">
      <w:lvlJc w:val="left"/>
      <w:lvlText w:val="(%1)"/>
      <w:numFmt w:val="decimal"/>
      <w:start w:val="1"/>
    </w:lvl>
  </w:abstractNum>
  <w:abstractNum w:abstractNumId="8">
    <w:nsid w:val="73D4D3C4"/>
    <w:multiLevelType w:val="hybridMultilevel"/>
    <w:lvl w:ilvl="0">
      <w:lvlJc w:val="left"/>
      <w:lvlText w:val="(%1)"/>
      <w:numFmt w:val="decimal"/>
      <w:start w:val="6"/>
    </w:lvl>
  </w:abstractNum>
  <w:abstractNum w:abstractNumId="9">
    <w:nsid w:val="746F2E30"/>
    <w:multiLevelType w:val="hybridMultilevel"/>
    <w:lvl w:ilvl="0">
      <w:lvlJc w:val="left"/>
      <w:lvlText w:val="•"/>
      <w:numFmt w:val="bullet"/>
      <w:start w:val="1"/>
    </w:lvl>
  </w:abstractNum>
  <w:abstractNum w:abstractNumId="10">
    <w:nsid w:val="6FDE8AF6"/>
    <w:multiLevelType w:val="hybridMultilevel"/>
    <w:lvl w:ilvl="0">
      <w:lvlJc w:val="left"/>
      <w:lvlText w:val="•"/>
      <w:numFmt w:val="bullet"/>
      <w:start w:val="1"/>
    </w:lvl>
  </w:abstractNum>
  <w:abstractNum w:abstractNumId="11">
    <w:nsid w:val="3FC32E20"/>
    <w:multiLevelType w:val="hybridMultilevel"/>
    <w:lvl w:ilvl="0">
      <w:lvlJc w:val="left"/>
      <w:lvlText w:val="•"/>
      <w:numFmt w:val="bullet"/>
      <w:start w:val="1"/>
    </w:lvl>
  </w:abstractNum>
  <w:abstractNum w:abstractNumId="12">
    <w:nsid w:val="49C0E823"/>
    <w:multiLevelType w:val="hybridMultilevel"/>
    <w:lvl w:ilvl="0">
      <w:lvlJc w:val="left"/>
      <w:lvlText w:val="•"/>
      <w:numFmt w:val="bullet"/>
      <w:start w:val="1"/>
    </w:lvl>
  </w:abstractNum>
  <w:abstractNum w:abstractNumId="13">
    <w:nsid w:val="14D53685"/>
    <w:multiLevelType w:val="hybridMultilevel"/>
    <w:lvl w:ilvl="0">
      <w:lvlJc w:val="left"/>
      <w:lvlText w:val="•"/>
      <w:numFmt w:val="bullet"/>
      <w:start w:val="1"/>
    </w:lvl>
  </w:abstractNum>
  <w:abstractNum w:abstractNumId="14">
    <w:nsid w:val="230F856C"/>
    <w:multiLevelType w:val="hybridMultilevel"/>
    <w:lvl w:ilvl="0">
      <w:lvlJc w:val="left"/>
      <w:lvlText w:val="•"/>
      <w:numFmt w:val="bullet"/>
      <w:start w:val="1"/>
    </w:lvl>
    <w:lvl w:ilvl="1">
      <w:lvlJc w:val="left"/>
      <w:lvlText w:val="•"/>
      <w:numFmt w:val="bullet"/>
      <w:start w:val="1"/>
    </w:lvl>
  </w:abstractNum>
  <w:abstractNum w:abstractNumId="15">
    <w:nsid w:val="6EAA85FB"/>
    <w:multiLevelType w:val="hybridMultilevel"/>
    <w:lvl w:ilvl="0">
      <w:lvlJc w:val="left"/>
      <w:lvlText w:val="•"/>
      <w:numFmt w:val="bullet"/>
      <w:start w:val="1"/>
    </w:lvl>
  </w:abstractNum>
  <w:abstractNum w:abstractNumId="16">
    <w:nsid w:val="3F06ECB2"/>
    <w:multiLevelType w:val="hybridMultilevel"/>
    <w:lvl w:ilvl="0">
      <w:lvlJc w:val="left"/>
      <w:lvlText w:val="•"/>
      <w:numFmt w:val="bullet"/>
      <w:start w:val="1"/>
    </w:lvl>
  </w:abstractNum>
  <w:abstractNum w:abstractNumId="17">
    <w:nsid w:val="3B594807"/>
    <w:multiLevelType w:val="hybridMultilevel"/>
    <w:lvl w:ilvl="0">
      <w:lvlJc w:val="left"/>
      <w:lvlText w:val="•"/>
      <w:numFmt w:val="bullet"/>
      <w:start w:val="1"/>
    </w:lvl>
  </w:abstractNum>
  <w:abstractNum w:abstractNumId="18">
    <w:nsid w:val="6CAA2304"/>
    <w:multiLevelType w:val="hybridMultilevel"/>
    <w:lvl w:ilvl="0">
      <w:lvlJc w:val="left"/>
      <w:lvlText w:val="•"/>
      <w:numFmt w:val="bullet"/>
      <w:start w:val="1"/>
    </w:lvl>
  </w:abstractNum>
  <w:abstractNum w:abstractNumId="19">
    <w:nsid w:val="3F7C2FF4"/>
    <w:multiLevelType w:val="hybridMultilevel"/>
    <w:lvl w:ilvl="0">
      <w:lvlJc w:val="left"/>
      <w:lvlText w:val="•"/>
      <w:numFmt w:val="bullet"/>
      <w:start w:val="1"/>
    </w:lvl>
  </w:abstractNum>
  <w:abstractNum w:abstractNumId="20">
    <w:nsid w:val="25413BEC"/>
    <w:multiLevelType w:val="hybridMultilevel"/>
    <w:lvl w:ilvl="0">
      <w:lvlJc w:val="left"/>
      <w:lvlText w:val="•"/>
      <w:numFmt w:val="bullet"/>
      <w:start w:val="1"/>
    </w:lvl>
  </w:abstractNum>
  <w:abstractNum w:abstractNumId="21">
    <w:nsid w:val="17180B0B"/>
    <w:multiLevelType w:val="hybridMultilevel"/>
    <w:lvl w:ilvl="0">
      <w:lvlJc w:val="left"/>
      <w:lvlText w:val="•"/>
      <w:numFmt w:val="bullet"/>
      <w:start w:val="1"/>
    </w:lvl>
  </w:abstractNum>
  <w:abstractNum w:abstractNumId="22">
    <w:nsid w:val="579328B9"/>
    <w:multiLevelType w:val="hybridMultilevel"/>
    <w:lvl w:ilvl="0">
      <w:lvlJc w:val="left"/>
      <w:lvlText w:val="•"/>
      <w:numFmt w:val="bullet"/>
      <w:start w:val="1"/>
    </w:lvl>
  </w:abstractNum>
  <w:abstractNum w:abstractNumId="23">
    <w:nsid w:val="5D205E20"/>
    <w:multiLevelType w:val="hybridMultilevel"/>
    <w:lvl w:ilvl="0">
      <w:lvlJc w:val="left"/>
      <w:lvlText w:val="•"/>
      <w:numFmt w:val="bullet"/>
      <w:start w:val="1"/>
    </w:lvl>
  </w:abstractNum>
  <w:abstractNum w:abstractNumId="24">
    <w:nsid w:val="11CCA8BA"/>
    <w:multiLevelType w:val="hybridMultilevel"/>
    <w:lvl w:ilvl="0">
      <w:lvlJc w:val="left"/>
      <w:lvlText w:val="•"/>
      <w:numFmt w:val="bullet"/>
      <w:start w:val="1"/>
    </w:lvl>
  </w:abstractNum>
  <w:abstractNum w:abstractNumId="25">
    <w:nsid w:val="4D32AB86"/>
    <w:multiLevelType w:val="hybridMultilevel"/>
    <w:lvl w:ilvl="0">
      <w:lvlJc w:val="left"/>
      <w:lvlText w:val="•"/>
      <w:numFmt w:val="bullet"/>
      <w:start w:val="1"/>
    </w:lvl>
  </w:abstractNum>
  <w:abstractNum w:abstractNumId="26">
    <w:nsid w:val="3F07ACC3"/>
    <w:multiLevelType w:val="hybridMultilevel"/>
    <w:lvl w:ilvl="0">
      <w:lvlJc w:val="left"/>
      <w:lvlText w:val="•"/>
      <w:numFmt w:val="bullet"/>
      <w:start w:val="1"/>
    </w:lvl>
  </w:abstractNum>
  <w:abstractNum w:abstractNumId="27">
    <w:nsid w:val="6B47F63E"/>
    <w:multiLevelType w:val="hybridMultilevel"/>
    <w:lvl w:ilvl="0">
      <w:lvlJc w:val="left"/>
      <w:lvlText w:val="•"/>
      <w:numFmt w:val="bullet"/>
      <w:start w:val="1"/>
    </w:lvl>
  </w:abstractNum>
  <w:abstractNum w:abstractNumId="28">
    <w:nsid w:val="5CB44A05"/>
    <w:multiLevelType w:val="hybridMultilevel"/>
    <w:lvl w:ilvl="0">
      <w:lvlJc w:val="left"/>
      <w:lvlText w:val="•"/>
      <w:numFmt w:val="bullet"/>
      <w:start w:val="1"/>
    </w:lvl>
  </w:abstractNum>
  <w:abstractNum w:abstractNumId="29">
    <w:nsid w:val="16CF80F1"/>
    <w:multiLevelType w:val="hybridMultilevel"/>
    <w:lvl w:ilvl="0">
      <w:lvlJc w:val="left"/>
      <w:lvlText w:val="•"/>
      <w:numFmt w:val="bullet"/>
      <w:start w:val="1"/>
    </w:lvl>
  </w:abstractNum>
  <w:abstractNum w:abstractNumId="30">
    <w:nsid w:val="1C695DEC"/>
    <w:multiLevelType w:val="hybridMultilevel"/>
    <w:lvl w:ilvl="0">
      <w:lvlJc w:val="left"/>
      <w:lvlText w:val="(%1)"/>
      <w:numFmt w:val="decimal"/>
      <w:start w:val="1"/>
    </w:lvl>
  </w:abstractNum>
  <w:abstractNum w:abstractNumId="31">
    <w:nsid w:val="3FCFAED9"/>
    <w:multiLevelType w:val="hybridMultilevel"/>
    <w:lvl w:ilvl="0">
      <w:lvlJc w:val="left"/>
      <w:lvlText w:val="•"/>
      <w:numFmt w:val="bullet"/>
      <w:start w:val="1"/>
    </w:lvl>
  </w:abstractNum>
  <w:abstractNum w:abstractNumId="32">
    <w:nsid w:val="F856867"/>
    <w:multiLevelType w:val="hybridMultilevel"/>
    <w:lvl w:ilvl="0">
      <w:lvlJc w:val="left"/>
      <w:lvlText w:val="(%1)"/>
      <w:numFmt w:val="decimal"/>
      <w:start w:val="1"/>
    </w:lvl>
  </w:abstractNum>
  <w:abstractNum w:abstractNumId="33">
    <w:nsid w:val="11B1CC33"/>
    <w:multiLevelType w:val="hybridMultilevel"/>
    <w:lvl w:ilvl="0">
      <w:lvlJc w:val="left"/>
      <w:lvlText w:val="(%1)"/>
      <w:numFmt w:val="decimal"/>
      <w:start w:val="3"/>
    </w:lvl>
  </w:abstractNum>
  <w:abstractNum w:abstractNumId="34">
    <w:nsid w:val="2E22FBB7"/>
    <w:multiLevelType w:val="hybridMultilevel"/>
    <w:lvl w:ilvl="0">
      <w:lvlJc w:val="left"/>
      <w:lvlText w:val="(%1)"/>
      <w:numFmt w:val="decimal"/>
      <w:start w:val="1"/>
    </w:lvl>
  </w:abstractNum>
  <w:abstractNum w:abstractNumId="35">
    <w:nsid w:val="29934699"/>
    <w:multiLevelType w:val="hybridMultilevel"/>
    <w:lvl w:ilvl="0">
      <w:lvlJc w:val="left"/>
      <w:lvlText w:val="(%1)"/>
      <w:numFmt w:val="decimal"/>
      <w:start w:val="1"/>
    </w:lvl>
  </w:abstractNum>
  <w:abstractNum w:abstractNumId="36">
    <w:nsid w:val="77485850"/>
    <w:multiLevelType w:val="hybridMultilevel"/>
    <w:lvl w:ilvl="0">
      <w:lvlJc w:val="left"/>
      <w:lvlText w:val="•"/>
      <w:numFmt w:val="bullet"/>
      <w:start w:val="1"/>
    </w:lvl>
  </w:abstractNum>
  <w:abstractNum w:abstractNumId="37">
    <w:nsid w:val="744939A3"/>
    <w:multiLevelType w:val="hybridMultilevel"/>
    <w:lvl w:ilvl="0">
      <w:lvlJc w:val="left"/>
      <w:lvlText w:val="•"/>
      <w:numFmt w:val="bullet"/>
      <w:start w:val="1"/>
    </w:lvl>
  </w:abstractNum>
  <w:abstractNum w:abstractNumId="38">
    <w:nsid w:val="4FA0D2E3"/>
    <w:multiLevelType w:val="hybridMultilevel"/>
    <w:lvl w:ilvl="0">
      <w:lvlJc w:val="left"/>
      <w:lvlText w:val="•"/>
      <w:numFmt w:val="bullet"/>
      <w:start w:val="1"/>
    </w:lvl>
  </w:abstractNum>
  <w:abstractNum w:abstractNumId="39">
    <w:nsid w:val="6B1D2C14"/>
    <w:multiLevelType w:val="hybridMultilevel"/>
    <w:lvl w:ilvl="0">
      <w:lvlJc w:val="left"/>
      <w:lvlText w:val="(%1)"/>
      <w:numFmt w:val="decimal"/>
      <w:start w:val="1"/>
    </w:lvl>
  </w:abstractNum>
  <w:abstractNum w:abstractNumId="40">
    <w:nsid w:val="68B867D3"/>
    <w:multiLevelType w:val="hybridMultilevel"/>
    <w:lvl w:ilvl="0">
      <w:lvlJc w:val="left"/>
      <w:lvlText w:val="•"/>
      <w:numFmt w:val="bullet"/>
      <w:start w:val="1"/>
    </w:lvl>
  </w:abstractNum>
  <w:abstractNum w:abstractNumId="41">
    <w:nsid w:val="3F7F5DD9"/>
    <w:multiLevelType w:val="hybridMultilevel"/>
    <w:lvl w:ilvl="0">
      <w:lvlJc w:val="left"/>
      <w:lvlText w:val="•"/>
      <w:numFmt w:val="bullet"/>
      <w:start w:val="1"/>
    </w:lvl>
  </w:abstractNum>
  <w:abstractNum w:abstractNumId="42">
    <w:nsid w:val="2AE05A34"/>
    <w:multiLevelType w:val="hybridMultilevel"/>
    <w:lvl w:ilvl="0">
      <w:lvlJc w:val="left"/>
      <w:lvlText w:val="(%1)"/>
      <w:numFmt w:val="decimal"/>
      <w:start w:val="1"/>
    </w:lvl>
  </w:abstractNum>
  <w:abstractNum w:abstractNumId="43">
    <w:nsid w:val="32794FF7"/>
    <w:multiLevelType w:val="hybridMultilevel"/>
    <w:lvl w:ilvl="0">
      <w:lvlJc w:val="left"/>
      <w:lvlText w:val="(%1)"/>
      <w:numFmt w:val="decimal"/>
      <w:start w:val="4"/>
    </w:lvl>
  </w:abstractNum>
  <w:abstractNum w:abstractNumId="44">
    <w:nsid w:val="5454945E"/>
    <w:multiLevelType w:val="hybridMultilevel"/>
    <w:lvl w:ilvl="0">
      <w:lvlJc w:val="left"/>
      <w:lvlText w:val="•"/>
      <w:numFmt w:val="bullet"/>
      <w:start w:val="1"/>
    </w:lvl>
  </w:abstractNum>
  <w:abstractNum w:abstractNumId="45">
    <w:nsid w:val="4DEFDFA0"/>
    <w:multiLevelType w:val="hybridMultilevel"/>
    <w:lvl w:ilvl="0">
      <w:lvlJc w:val="left"/>
      <w:lvlText w:val="•"/>
      <w:numFmt w:val="bullet"/>
      <w:start w:val="1"/>
    </w:lvl>
  </w:abstractNum>
  <w:abstractNum w:abstractNumId="46">
    <w:nsid w:val="2123D5F2"/>
    <w:multiLevelType w:val="hybridMultilevel"/>
    <w:lvl w:ilvl="0">
      <w:lvlJc w:val="left"/>
      <w:lvlText w:val="(%1)"/>
      <w:numFmt w:val="decimal"/>
      <w:start w:val="1"/>
    </w:lvl>
  </w:abstractNum>
  <w:abstractNum w:abstractNumId="47">
    <w:nsid w:val="135B8110"/>
    <w:multiLevelType w:val="hybridMultilevel"/>
    <w:lvl w:ilvl="0">
      <w:lvlJc w:val="left"/>
      <w:lvlText w:val="•"/>
      <w:numFmt w:val="bullet"/>
      <w:start w:val="1"/>
    </w:lvl>
  </w:abstractNum>
  <w:abstractNum w:abstractNumId="48">
    <w:nsid w:val="94927A8"/>
    <w:multiLevelType w:val="hybridMultilevel"/>
    <w:lvl w:ilvl="0">
      <w:lvlJc w:val="left"/>
      <w:lvlText w:val="•"/>
      <w:numFmt w:val="bullet"/>
      <w:start w:val="1"/>
    </w:lvl>
  </w:abstractNum>
  <w:abstractNum w:abstractNumId="49">
    <w:nsid w:val="DCDF8F6"/>
    <w:multiLevelType w:val="hybridMultilevel"/>
    <w:lvl w:ilvl="0">
      <w:lvlJc w:val="left"/>
      <w:lvlText w:val="•"/>
      <w:numFmt w:val="bullet"/>
      <w:start w:val="1"/>
    </w:lvl>
  </w:abstractNum>
  <w:abstractNum w:abstractNumId="50">
    <w:nsid w:val="52D7B105"/>
    <w:multiLevelType w:val="hybridMultilevel"/>
    <w:lvl w:ilvl="0">
      <w:lvlJc w:val="left"/>
      <w:lvlText w:val="•"/>
      <w:numFmt w:val="bullet"/>
      <w:start w:val="1"/>
    </w:lvl>
  </w:abstractNum>
  <w:abstractNum w:abstractNumId="51">
    <w:nsid w:val="2E8A6394"/>
    <w:multiLevelType w:val="hybridMultilevel"/>
    <w:lvl w:ilvl="0">
      <w:lvlJc w:val="left"/>
      <w:lvlText w:val="•"/>
      <w:numFmt w:val="bullet"/>
      <w:start w:val="1"/>
    </w:lvl>
  </w:abstractNum>
  <w:abstractNum w:abstractNumId="52">
    <w:nsid w:val="24E60401"/>
    <w:multiLevelType w:val="hybridMultilevel"/>
    <w:lvl w:ilvl="0">
      <w:lvlJc w:val="left"/>
      <w:lvlText w:val="•"/>
      <w:numFmt w:val="bullet"/>
      <w:start w:val="1"/>
    </w:lvl>
  </w:abstractNum>
  <w:abstractNum w:abstractNumId="53">
    <w:nsid w:val="2A6AD9BE"/>
    <w:multiLevelType w:val="hybridMultilevel"/>
    <w:lvl w:ilvl="0">
      <w:lvlJc w:val="left"/>
      <w:lvlText w:val="•"/>
      <w:numFmt w:val="bullet"/>
      <w:start w:val="1"/>
    </w:lvl>
  </w:abstractNum>
  <w:abstractNum w:abstractNumId="54">
    <w:nsid w:val="BAAC1B4"/>
    <w:multiLevelType w:val="hybridMultilevel"/>
    <w:lvl w:ilvl="0">
      <w:lvlJc w:val="left"/>
      <w:lvlText w:val="•"/>
      <w:numFmt w:val="bullet"/>
      <w:start w:val="1"/>
    </w:lvl>
  </w:abstractNum>
  <w:abstractNum w:abstractNumId="55">
    <w:nsid w:val="36B2ACBC"/>
    <w:multiLevelType w:val="hybridMultilevel"/>
    <w:lvl w:ilvl="0">
      <w:lvlJc w:val="left"/>
      <w:lvlText w:val="•"/>
      <w:numFmt w:val="bullet"/>
      <w:start w:val="1"/>
    </w:lvl>
  </w:abstractNum>
  <w:abstractNum w:abstractNumId="56">
    <w:nsid w:val="779D8544"/>
    <w:multiLevelType w:val="hybridMultilevel"/>
    <w:lvl w:ilvl="0">
      <w:lvlJc w:val="left"/>
      <w:lvlText w:val="•"/>
      <w:numFmt w:val="bullet"/>
      <w:start w:val="1"/>
    </w:lvl>
  </w:abstractNum>
  <w:abstractNum w:abstractNumId="57">
    <w:nsid w:val="4AB26E78"/>
    <w:multiLevelType w:val="hybridMultilevel"/>
    <w:lvl w:ilvl="0">
      <w:lvlJc w:val="left"/>
      <w:lvlText w:val="•"/>
      <w:numFmt w:val="bullet"/>
      <w:start w:val="1"/>
    </w:lvl>
  </w:abstractNum>
  <w:abstractNum w:abstractNumId="58">
    <w:nsid w:val="21FAA2FA"/>
    <w:multiLevelType w:val="hybridMultilevel"/>
    <w:lvl w:ilvl="0">
      <w:lvlJc w:val="left"/>
      <w:lvlText w:val="(%1)"/>
      <w:numFmt w:val="decimal"/>
      <w:start w:val="2"/>
    </w:lvl>
  </w:abstractNum>
  <w:abstractNum w:abstractNumId="59">
    <w:nsid w:val="5451CF49"/>
    <w:multiLevelType w:val="hybridMultilevel"/>
    <w:lvl w:ilvl="0">
      <w:lvlJc w:val="left"/>
      <w:lvlText w:val="(%1)"/>
      <w:numFmt w:val="decimal"/>
      <w:start w:val="1"/>
    </w:lvl>
  </w:abstractNum>
  <w:abstractNum w:abstractNumId="60">
    <w:nsid w:val="6181EF69"/>
    <w:multiLevelType w:val="hybridMultilevel"/>
    <w:lvl w:ilvl="0">
      <w:lvlJc w:val="left"/>
      <w:lvlText w:val="*"/>
      <w:numFmt w:val="bullet"/>
      <w:start w:val="1"/>
    </w:lvl>
  </w:abstractNum>
  <w:abstractNum w:abstractNumId="61">
    <w:nsid w:val="3E6400E6"/>
    <w:multiLevelType w:val="hybridMultilevel"/>
    <w:lvl w:ilvl="0">
      <w:lvlJc w:val="left"/>
      <w:lvlText w:val="•"/>
      <w:numFmt w:val="bullet"/>
      <w:start w:val="1"/>
    </w:lvl>
  </w:abstractNum>
  <w:abstractNum w:abstractNumId="62">
    <w:nsid w:val="14217E23"/>
    <w:multiLevelType w:val="hybridMultilevel"/>
    <w:lvl w:ilvl="0">
      <w:lvlJc w:val="left"/>
      <w:lvlText w:val="•"/>
      <w:numFmt w:val="bullet"/>
      <w:start w:val="1"/>
    </w:lvl>
  </w:abstractNum>
  <w:abstractNum w:abstractNumId="63">
    <w:nsid w:val="710757D0"/>
    <w:multiLevelType w:val="hybridMultilevel"/>
    <w:lvl w:ilvl="0">
      <w:lvlJc w:val="left"/>
      <w:lvlText w:val="•"/>
      <w:numFmt w:val="bullet"/>
      <w:start w:val="1"/>
    </w:lvl>
  </w:abstractNum>
  <w:abstractNum w:abstractNumId="64">
    <w:nsid w:val="5015CD1A"/>
    <w:multiLevelType w:val="hybridMultilevel"/>
    <w:lvl w:ilvl="0">
      <w:lvlJc w:val="left"/>
      <w:lvlText w:val="•"/>
      <w:numFmt w:val="bullet"/>
      <w:start w:val="1"/>
    </w:lvl>
  </w:abstractNum>
  <w:abstractNum w:abstractNumId="65">
    <w:nsid w:val="424479DA"/>
    <w:multiLevelType w:val="hybridMultilevel"/>
    <w:lvl w:ilvl="0">
      <w:lvlJc w:val="left"/>
      <w:lvlText w:val="•"/>
      <w:numFmt w:val="bullet"/>
      <w:start w:val="1"/>
    </w:lvl>
  </w:abstractNum>
  <w:abstractNum w:abstractNumId="66">
    <w:nsid w:val="1A9A9E69"/>
    <w:multiLevelType w:val="hybridMultilevel"/>
    <w:lvl w:ilvl="0">
      <w:lvlJc w:val="left"/>
      <w:lvlText w:val="•"/>
      <w:numFmt w:val="bullet"/>
      <w:start w:val="1"/>
    </w:lvl>
  </w:abstractNum>
  <w:abstractNum w:abstractNumId="67">
    <w:nsid w:val="475E256A"/>
    <w:multiLevelType w:val="hybridMultilevel"/>
    <w:lvl w:ilvl="0">
      <w:lvlJc w:val="left"/>
      <w:lvlText w:val="•"/>
      <w:numFmt w:val="bullet"/>
      <w:start w:val="1"/>
    </w:lvl>
  </w:abstractNum>
  <w:abstractNum w:abstractNumId="68">
    <w:nsid w:val="368DB37E"/>
    <w:multiLevelType w:val="hybridMultilevel"/>
    <w:lvl w:ilvl="0">
      <w:lvlJc w:val="left"/>
      <w:lvlText w:val="•"/>
      <w:numFmt w:val="bullet"/>
      <w:start w:val="1"/>
    </w:lvl>
  </w:abstractNum>
  <w:abstractNum w:abstractNumId="69">
    <w:nsid w:val="6A3B714C"/>
    <w:multiLevelType w:val="hybridMultilevel"/>
    <w:lvl w:ilvl="0">
      <w:lvlJc w:val="left"/>
      <w:lvlText w:val="•"/>
      <w:numFmt w:val="bullet"/>
      <w:start w:val="1"/>
    </w:lvl>
  </w:abstractNum>
  <w:abstractNum w:abstractNumId="70">
    <w:nsid w:val="327B517E"/>
    <w:multiLevelType w:val="hybridMultilevel"/>
    <w:lvl w:ilvl="0">
      <w:lvlJc w:val="left"/>
      <w:lvlText w:val="•"/>
      <w:numFmt w:val="bullet"/>
      <w:start w:val="1"/>
    </w:lvl>
  </w:abstractNum>
  <w:abstractNum w:abstractNumId="71">
    <w:nsid w:val="1F461B51"/>
    <w:multiLevelType w:val="hybridMultilevel"/>
    <w:lvl w:ilvl="0">
      <w:lvlJc w:val="left"/>
      <w:lvlText w:val="•"/>
      <w:numFmt w:val="bullet"/>
      <w:start w:val="1"/>
    </w:lvl>
  </w:abstractNum>
  <w:abstractNum w:abstractNumId="72">
    <w:nsid w:val="29BACF25"/>
    <w:multiLevelType w:val="hybridMultilevel"/>
    <w:lvl w:ilvl="0">
      <w:lvlJc w:val="left"/>
      <w:lvlText w:val="•"/>
      <w:numFmt w:val="bullet"/>
      <w:start w:val="1"/>
    </w:lvl>
  </w:abstractNum>
  <w:abstractNum w:abstractNumId="73">
    <w:nsid w:val="5D5BABB3"/>
    <w:multiLevelType w:val="hybridMultilevel"/>
    <w:lvl w:ilvl="0">
      <w:lvlJc w:val="left"/>
      <w:lvlText w:val="•"/>
      <w:numFmt w:val="bullet"/>
      <w:start w:val="1"/>
    </w:lvl>
  </w:abstractNum>
  <w:abstractNum w:abstractNumId="74">
    <w:nsid w:val="51BF6B48"/>
    <w:multiLevelType w:val="hybridMultilevel"/>
    <w:lvl w:ilvl="0">
      <w:lvlJc w:val="left"/>
      <w:lvlText w:val="•"/>
      <w:numFmt w:val="bullet"/>
      <w:start w:val="1"/>
    </w:lvl>
  </w:abstractNum>
  <w:abstractNum w:abstractNumId="75">
    <w:nsid w:val="7E0F6384"/>
    <w:multiLevelType w:val="hybridMultilevel"/>
    <w:lvl w:ilvl="0">
      <w:lvlJc w:val="left"/>
      <w:lvlText w:val="•"/>
      <w:numFmt w:val="bullet"/>
      <w:start w:val="1"/>
    </w:lvl>
  </w:abstractNum>
  <w:abstractNum w:abstractNumId="76">
    <w:nsid w:val="2B4B8B53"/>
    <w:multiLevelType w:val="hybridMultilevel"/>
    <w:lvl w:ilvl="0">
      <w:lvlJc w:val="left"/>
      <w:lvlText w:val="•"/>
      <w:numFmt w:val="bullet"/>
      <w:start w:val="1"/>
    </w:lvl>
  </w:abstractNum>
  <w:abstractNum w:abstractNumId="77">
    <w:nsid w:val="72E3413A"/>
    <w:multiLevelType w:val="hybridMultilevel"/>
    <w:lvl w:ilvl="0">
      <w:lvlJc w:val="left"/>
      <w:lvlText w:val="•"/>
      <w:numFmt w:val="bullet"/>
      <w:start w:val="1"/>
    </w:lvl>
  </w:abstractNum>
  <w:abstractNum w:abstractNumId="78">
    <w:nsid w:val="116AE494"/>
    <w:multiLevelType w:val="hybridMultilevel"/>
    <w:lvl w:ilvl="0">
      <w:lvlJc w:val="left"/>
      <w:lvlText w:val="•"/>
      <w:numFmt w:val="bullet"/>
      <w:start w:val="1"/>
    </w:lvl>
  </w:abstractNum>
  <w:abstractNum w:abstractNumId="79">
    <w:nsid w:val="3494B2FB"/>
    <w:multiLevelType w:val="hybridMultilevel"/>
    <w:lvl w:ilvl="0">
      <w:lvlJc w:val="left"/>
      <w:lvlText w:val="•"/>
      <w:numFmt w:val="bullet"/>
      <w:start w:val="1"/>
    </w:lvl>
  </w:abstractNum>
  <w:abstractNum w:abstractNumId="80">
    <w:nsid w:val="B13A31"/>
    <w:multiLevelType w:val="hybridMultilevel"/>
    <w:lvl w:ilvl="0">
      <w:lvlJc w:val="left"/>
      <w:lvlText w:val="•"/>
      <w:numFmt w:val="bullet"/>
      <w:start w:val="1"/>
    </w:lvl>
  </w:abstractNum>
  <w:abstractNum w:abstractNumId="81">
    <w:nsid w:val="64429599"/>
    <w:multiLevelType w:val="hybridMultilevel"/>
    <w:lvl w:ilvl="0">
      <w:lvlJc w:val="left"/>
      <w:lvlText w:val="•"/>
      <w:numFmt w:val="bullet"/>
      <w:start w:val="1"/>
    </w:lvl>
  </w:abstractNum>
  <w:abstractNum w:abstractNumId="82">
    <w:nsid w:val="631F1690"/>
    <w:multiLevelType w:val="hybridMultilevel"/>
    <w:lvl w:ilvl="0">
      <w:lvlJc w:val="left"/>
      <w:lvlText w:val="•"/>
      <w:numFmt w:val="bullet"/>
      <w:start w:val="1"/>
    </w:lvl>
  </w:abstractNum>
  <w:abstractNum w:abstractNumId="83">
    <w:nsid w:val="25973E32"/>
    <w:multiLevelType w:val="hybridMultilevel"/>
    <w:lvl w:ilvl="0">
      <w:lvlJc w:val="left"/>
      <w:lvlText w:val="•"/>
      <w:numFmt w:val="bullet"/>
      <w:start w:val="1"/>
    </w:lvl>
  </w:abstractNum>
  <w:abstractNum w:abstractNumId="84">
    <w:nsid w:val="EAD6F57"/>
    <w:multiLevelType w:val="hybridMultilevel"/>
    <w:lvl w:ilvl="0">
      <w:lvlJc w:val="left"/>
      <w:lvlText w:val="•"/>
      <w:numFmt w:val="bullet"/>
      <w:start w:val="1"/>
    </w:lvl>
  </w:abstractNum>
  <w:abstractNum w:abstractNumId="85">
    <w:nsid w:val="6EC9D844"/>
    <w:multiLevelType w:val="hybridMultilevel"/>
    <w:lvl w:ilvl="0">
      <w:lvlJc w:val="left"/>
      <w:lvlText w:val="•"/>
      <w:numFmt w:val="bullet"/>
      <w:start w:val="1"/>
    </w:lvl>
  </w:abstractNum>
  <w:abstractNum w:abstractNumId="86">
    <w:nsid w:val="5C49EAEE"/>
    <w:multiLevelType w:val="hybridMultilevel"/>
    <w:lvl w:ilvl="0">
      <w:lvlJc w:val="left"/>
      <w:lvlText w:val="•"/>
      <w:numFmt w:val="bullet"/>
      <w:start w:val="1"/>
    </w:lvl>
  </w:abstractNum>
  <w:abstractNum w:abstractNumId="87">
    <w:nsid w:val="64AF49B"/>
    <w:multiLevelType w:val="hybridMultilevel"/>
    <w:lvl w:ilvl="0">
      <w:lvlJc w:val="left"/>
      <w:lvlText w:val="•"/>
      <w:numFmt w:val="bullet"/>
      <w:start w:val="1"/>
    </w:lvl>
  </w:abstractNum>
  <w:abstractNum w:abstractNumId="88">
    <w:nsid w:val="397C46BC"/>
    <w:multiLevelType w:val="hybridMultilevel"/>
    <w:lvl w:ilvl="0">
      <w:lvlJc w:val="left"/>
      <w:lvlText w:val="(%1)"/>
      <w:numFmt w:val="decimal"/>
      <w:start w:val="1"/>
    </w:lvl>
  </w:abstractNum>
  <w:abstractNum w:abstractNumId="89">
    <w:nsid w:val="7E448DE9"/>
    <w:multiLevelType w:val="hybridMultilevel"/>
    <w:lvl w:ilvl="0">
      <w:lvlJc w:val="left"/>
      <w:lvlText w:val="(%1)"/>
      <w:numFmt w:val="decimal"/>
      <w:start w:val="1"/>
    </w:lvl>
  </w:abstractNum>
  <w:abstractNum w:abstractNumId="90">
    <w:nsid w:val="5A9CC3E5"/>
    <w:multiLevelType w:val="hybridMultilevel"/>
    <w:lvl w:ilvl="0">
      <w:lvlJc w:val="left"/>
      <w:lvlText w:val="•"/>
      <w:numFmt w:val="bullet"/>
      <w:start w:val="1"/>
    </w:lvl>
  </w:abstractNum>
  <w:abstractNum w:abstractNumId="91">
    <w:nsid w:val="1AFE3625"/>
    <w:multiLevelType w:val="hybridMultilevel"/>
    <w:lvl w:ilvl="0">
      <w:lvlJc w:val="left"/>
      <w:lvlText w:val="•"/>
      <w:numFmt w:val="bullet"/>
      <w:start w:val="1"/>
    </w:lvl>
  </w:abstractNum>
  <w:abstractNum w:abstractNumId="92">
    <w:nsid w:val="3CA88ECF"/>
    <w:multiLevelType w:val="hybridMultilevel"/>
    <w:lvl w:ilvl="0">
      <w:lvlJc w:val="left"/>
      <w:lvlText w:val="•"/>
      <w:numFmt w:val="bullet"/>
      <w:start w:val="1"/>
    </w:lvl>
  </w:abstractNum>
  <w:abstractNum w:abstractNumId="93">
    <w:nsid w:val="6EBE4208"/>
    <w:multiLevelType w:val="hybridMultilevel"/>
    <w:lvl w:ilvl="0">
      <w:lvlJc w:val="left"/>
      <w:lvlText w:val="•"/>
      <w:numFmt w:val="bullet"/>
      <w:start w:val="1"/>
    </w:lvl>
  </w:abstractNum>
  <w:abstractNum w:abstractNumId="94">
    <w:nsid w:val="C058DF5"/>
    <w:multiLevelType w:val="hybridMultilevel"/>
    <w:lvl w:ilvl="0">
      <w:lvlJc w:val="left"/>
      <w:lvlText w:val="*"/>
      <w:numFmt w:val="bullet"/>
      <w:start w:val="1"/>
    </w:lvl>
  </w:abstractNum>
  <w:abstractNum w:abstractNumId="95">
    <w:nsid w:val="CBE5BE9"/>
    <w:multiLevelType w:val="hybridMultilevel"/>
    <w:lvl w:ilvl="0">
      <w:lvlJc w:val="left"/>
      <w:lvlText w:val="(%1)"/>
      <w:numFmt w:val="decimal"/>
      <w:start w:val="1"/>
    </w:lvl>
  </w:abstractNum>
  <w:abstractNum w:abstractNumId="96">
    <w:nsid w:val="3102BBE2"/>
    <w:multiLevelType w:val="hybridMultilevel"/>
    <w:lvl w:ilvl="0">
      <w:lvlJc w:val="left"/>
      <w:lvlText w:val="(%1)"/>
      <w:numFmt w:val="decimal"/>
      <w:start w:val="3"/>
    </w:lvl>
  </w:abstractNum>
  <w:abstractNum w:abstractNumId="97">
    <w:nsid w:val="26A02C5E"/>
    <w:multiLevelType w:val="hybridMultilevel"/>
    <w:lvl w:ilvl="0">
      <w:lvlJc w:val="left"/>
      <w:lvlText w:val="•"/>
      <w:numFmt w:val="bullet"/>
      <w:start w:val="1"/>
    </w:lvl>
  </w:abstractNum>
  <w:abstractNum w:abstractNumId="98">
    <w:nsid w:val="541C8153"/>
    <w:multiLevelType w:val="hybridMultilevel"/>
    <w:lvl w:ilvl="0">
      <w:lvlJc w:val="left"/>
      <w:lvlText w:val="•"/>
      <w:numFmt w:val="bullet"/>
      <w:start w:val="1"/>
    </w:lvl>
  </w:abstractNum>
  <w:abstractNum w:abstractNumId="99">
    <w:nsid w:val="67906F60"/>
    <w:multiLevelType w:val="hybridMultilevel"/>
    <w:lvl w:ilvl="0">
      <w:lvlJc w:val="left"/>
      <w:lvlText w:val="•"/>
      <w:numFmt w:val="bullet"/>
      <w:start w:val="1"/>
    </w:lvl>
  </w:abstractNum>
  <w:abstractNum w:abstractNumId="100">
    <w:nsid w:val="10DB9DAA"/>
    <w:multiLevelType w:val="hybridMultilevel"/>
    <w:lvl w:ilvl="0">
      <w:lvlJc w:val="left"/>
      <w:lvlText w:val="•"/>
      <w:numFmt w:val="bullet"/>
      <w:start w:val="1"/>
    </w:lvl>
  </w:abstractNum>
  <w:abstractNum w:abstractNumId="101">
    <w:nsid w:val="697D2D2"/>
    <w:multiLevelType w:val="hybridMultilevel"/>
    <w:lvl w:ilvl="0">
      <w:lvlJc w:val="left"/>
      <w:lvlText w:val="•"/>
      <w:numFmt w:val="bullet"/>
      <w:start w:val="1"/>
    </w:lvl>
  </w:abstractNum>
  <w:abstractNum w:abstractNumId="102">
    <w:nsid w:val="6D68AB2"/>
    <w:multiLevelType w:val="hybridMultilevel"/>
    <w:lvl w:ilvl="0">
      <w:lvlJc w:val="left"/>
      <w:lvlText w:val="•"/>
      <w:numFmt w:val="bullet"/>
      <w:start w:val="1"/>
    </w:lvl>
  </w:abstractNum>
  <w:abstractNum w:abstractNumId="103">
    <w:nsid w:val="3A966CD0"/>
    <w:multiLevelType w:val="hybridMultilevel"/>
    <w:lvl w:ilvl="0">
      <w:lvlJc w:val="left"/>
      <w:lvlText w:val="•"/>
      <w:numFmt w:val="bullet"/>
      <w:start w:val="1"/>
    </w:lvl>
  </w:abstractNum>
  <w:abstractNum w:abstractNumId="104">
    <w:nsid w:val="63F37E85"/>
    <w:multiLevelType w:val="hybridMultilevel"/>
    <w:lvl w:ilvl="0">
      <w:lvlJc w:val="left"/>
      <w:lvlText w:val="•"/>
      <w:numFmt w:val="bullet"/>
      <w:start w:val="1"/>
    </w:lvl>
  </w:abstractNum>
  <w:abstractNum w:abstractNumId="105">
    <w:nsid w:val="5895F5FA"/>
    <w:multiLevelType w:val="hybridMultilevel"/>
    <w:lvl w:ilvl="0">
      <w:lvlJc w:val="left"/>
      <w:lvlText w:val="•"/>
      <w:numFmt w:val="bullet"/>
      <w:start w:val="1"/>
    </w:lvl>
  </w:abstractNum>
  <w:abstractNum w:abstractNumId="106">
    <w:nsid w:val="38A5D054"/>
    <w:multiLevelType w:val="hybridMultilevel"/>
    <w:lvl w:ilvl="0">
      <w:lvlJc w:val="left"/>
      <w:lvlText w:val="•"/>
      <w:numFmt w:val="bullet"/>
      <w:start w:val="1"/>
    </w:lvl>
  </w:abstractNum>
  <w:abstractNum w:abstractNumId="107">
    <w:nsid w:val="F3F09D8"/>
    <w:multiLevelType w:val="hybridMultilevel"/>
    <w:lvl w:ilvl="0">
      <w:lvlJc w:val="left"/>
      <w:lvlText w:val="•"/>
      <w:numFmt w:val="bullet"/>
      <w:start w:val="1"/>
    </w:lvl>
  </w:abstractNum>
  <w:abstractNum w:abstractNumId="108">
    <w:nsid w:val="4B793735"/>
    <w:multiLevelType w:val="hybridMultilevel"/>
    <w:lvl w:ilvl="0">
      <w:lvlJc w:val="left"/>
      <w:lvlText w:val="•"/>
      <w:numFmt w:val="bullet"/>
      <w:start w:val="1"/>
    </w:lvl>
  </w:abstractNum>
  <w:abstractNum w:abstractNumId="109">
    <w:nsid w:val="4A10B4E8"/>
    <w:multiLevelType w:val="hybridMultilevel"/>
    <w:lvl w:ilvl="0">
      <w:lvlJc w:val="left"/>
      <w:lvlText w:val="•"/>
      <w:numFmt w:val="bullet"/>
      <w:start w:val="1"/>
    </w:lvl>
  </w:abstractNum>
  <w:abstractNum w:abstractNumId="110">
    <w:nsid w:val="43D3BCD4"/>
    <w:multiLevelType w:val="hybridMultilevel"/>
    <w:lvl w:ilvl="0">
      <w:lvlJc w:val="left"/>
      <w:lvlText w:val="•"/>
      <w:numFmt w:val="bullet"/>
      <w:start w:val="1"/>
    </w:lvl>
  </w:abstractNum>
  <w:abstractNum w:abstractNumId="111">
    <w:nsid w:val="4C2A7166"/>
    <w:multiLevelType w:val="hybridMultilevel"/>
    <w:lvl w:ilvl="0">
      <w:lvlJc w:val="left"/>
      <w:lvlText w:val="•"/>
      <w:numFmt w:val="bullet"/>
      <w:start w:val="1"/>
    </w:lvl>
  </w:abstractNum>
  <w:abstractNum w:abstractNumId="112">
    <w:nsid w:val="2E534A82"/>
    <w:multiLevelType w:val="hybridMultilevel"/>
    <w:lvl w:ilvl="0">
      <w:lvlJc w:val="left"/>
      <w:lvlText w:val="•"/>
      <w:numFmt w:val="bullet"/>
      <w:start w:val="1"/>
    </w:lvl>
  </w:abstractNum>
  <w:abstractNum w:abstractNumId="113">
    <w:nsid w:val="26F2D364"/>
    <w:multiLevelType w:val="hybridMultilevel"/>
    <w:lvl w:ilvl="0">
      <w:lvlJc w:val="left"/>
      <w:lvlText w:val="•"/>
      <w:numFmt w:val="bullet"/>
      <w:start w:val="1"/>
    </w:lvl>
    <w:lvl w:ilvl="1">
      <w:lvlJc w:val="left"/>
      <w:lvlText w:val="(%2)"/>
      <w:numFmt w:val="decimal"/>
      <w:start w:val="1"/>
    </w:lvl>
  </w:abstractNum>
  <w:abstractNum w:abstractNumId="114">
    <w:nsid w:val="71C1AF98"/>
    <w:multiLevelType w:val="hybridMultilevel"/>
    <w:lvl w:ilvl="0">
      <w:lvlJc w:val="left"/>
      <w:lvlText w:val="•"/>
      <w:numFmt w:val="bullet"/>
      <w:start w:val="1"/>
    </w:lvl>
    <w:lvl w:ilvl="1">
      <w:lvlJc w:val="left"/>
      <w:lvlText w:val="(%2)"/>
      <w:numFmt w:val="decimal"/>
      <w:start w:val="2"/>
    </w:lvl>
  </w:abstractNum>
  <w:abstractNum w:abstractNumId="115">
    <w:nsid w:val="3D00B9D9"/>
    <w:multiLevelType w:val="hybridMultilevel"/>
    <w:lvl w:ilvl="0">
      <w:lvlJc w:val="left"/>
      <w:lvlText w:val="•"/>
      <w:numFmt w:val="bullet"/>
      <w:start w:val="1"/>
    </w:lvl>
  </w:abstractNum>
  <w:abstractNum w:abstractNumId="116">
    <w:nsid w:val="15BCABA8"/>
    <w:multiLevelType w:val="hybridMultilevel"/>
    <w:lvl w:ilvl="0">
      <w:lvlJc w:val="left"/>
      <w:lvlText w:val="•"/>
      <w:numFmt w:val="bullet"/>
      <w:start w:val="1"/>
    </w:lvl>
  </w:abstractNum>
  <w:abstractNum w:abstractNumId="117">
    <w:nsid w:val="4E0B9A87"/>
    <w:multiLevelType w:val="hybridMultilevel"/>
    <w:lvl w:ilvl="0">
      <w:lvlJc w:val="left"/>
      <w:lvlText w:val="•"/>
      <w:numFmt w:val="bullet"/>
      <w:start w:val="1"/>
    </w:lvl>
    <w:lvl w:ilvl="1">
      <w:lvlJc w:val="left"/>
      <w:lvlText w:val="(%2)"/>
      <w:numFmt w:val="decimal"/>
      <w:start w:val="1"/>
    </w:lvl>
  </w:abstractNum>
  <w:abstractNum w:abstractNumId="118">
    <w:nsid w:val="434BAE75"/>
    <w:multiLevelType w:val="hybridMultilevel"/>
    <w:lvl w:ilvl="0">
      <w:lvlJc w:val="left"/>
      <w:lvlText w:val="•"/>
      <w:numFmt w:val="bullet"/>
      <w:start w:val="1"/>
    </w:lvl>
  </w:abstractNum>
  <w:abstractNum w:abstractNumId="119">
    <w:nsid w:val="4F38F265"/>
    <w:multiLevelType w:val="hybridMultilevel"/>
    <w:lvl w:ilvl="0">
      <w:lvlJc w:val="left"/>
      <w:lvlText w:val="•"/>
      <w:numFmt w:val="bullet"/>
      <w:start w:val="1"/>
    </w:lvl>
  </w:abstractNum>
  <w:abstractNum w:abstractNumId="120">
    <w:nsid w:val="4C502870"/>
    <w:multiLevelType w:val="hybridMultilevel"/>
    <w:lvl w:ilvl="0">
      <w:lvlJc w:val="left"/>
      <w:lvlText w:val="•"/>
      <w:numFmt w:val="bullet"/>
      <w:start w:val="1"/>
    </w:lvl>
  </w:abstractNum>
  <w:abstractNum w:abstractNumId="121">
    <w:nsid w:val="1DE8725A"/>
    <w:multiLevelType w:val="hybridMultilevel"/>
    <w:lvl w:ilvl="0">
      <w:lvlJc w:val="left"/>
      <w:lvlText w:val="(%1)"/>
      <w:numFmt w:val="decimal"/>
      <w:start w:val="1"/>
    </w:lvl>
  </w:abstractNum>
  <w:abstractNum w:abstractNumId="122">
    <w:nsid w:val="6A37288A"/>
    <w:multiLevelType w:val="hybridMultilevel"/>
    <w:lvl w:ilvl="0">
      <w:lvlJc w:val="left"/>
      <w:lvlText w:val="(%1)"/>
      <w:numFmt w:val="decimal"/>
      <w:start w:val="3"/>
    </w:lvl>
  </w:abstractNum>
  <w:abstractNum w:abstractNumId="123">
    <w:nsid w:val="8F8B73F"/>
    <w:multiLevelType w:val="hybridMultilevel"/>
    <w:lvl w:ilvl="0">
      <w:lvlJc w:val="left"/>
      <w:lvlText w:val="(%1)"/>
      <w:numFmt w:val="decimal"/>
      <w:start w:val="2"/>
    </w:lvl>
  </w:abstractNum>
  <w:abstractNum w:abstractNumId="124">
    <w:nsid w:val="CA6B462"/>
    <w:multiLevelType w:val="hybridMultilevel"/>
    <w:lvl w:ilvl="0">
      <w:lvlJc w:val="left"/>
      <w:lvlText w:val="•"/>
      <w:numFmt w:val="bullet"/>
      <w:start w:val="1"/>
    </w:lvl>
  </w:abstractNum>
  <w:abstractNum w:abstractNumId="125">
    <w:nsid w:val="763CB680"/>
    <w:multiLevelType w:val="hybridMultilevel"/>
    <w:lvl w:ilvl="0">
      <w:lvlJc w:val="left"/>
      <w:lvlText w:val="%1."/>
      <w:numFmt w:val="decimal"/>
      <w:start w:val="1"/>
    </w:lvl>
  </w:abstractNum>
  <w:abstractNum w:abstractNumId="126">
    <w:nsid w:val="15B71329"/>
    <w:multiLevelType w:val="hybridMultilevel"/>
    <w:lvl w:ilvl="0">
      <w:lvlJc w:val="left"/>
      <w:lvlText w:val="%1."/>
      <w:numFmt w:val="lowerLetter"/>
      <w:start w:val="1"/>
    </w:lvl>
  </w:abstractNum>
  <w:abstractNum w:abstractNumId="127">
    <w:nsid w:val="3DA97044"/>
    <w:multiLevelType w:val="hybridMultilevel"/>
    <w:lvl w:ilvl="0">
      <w:lvlJc w:val="left"/>
      <w:lvlText w:val="%1."/>
      <w:numFmt w:val="lowerLetter"/>
      <w:start w:val="2"/>
    </w:lvl>
  </w:abstractNum>
  <w:abstractNum w:abstractNumId="128">
    <w:nsid w:val="1CDCE2DE"/>
    <w:multiLevelType w:val="hybridMultilevel"/>
    <w:lvl w:ilvl="0">
      <w:lvlJc w:val="left"/>
      <w:lvlText w:val="%1."/>
      <w:numFmt w:val="lowerLetter"/>
      <w:start w:val="3"/>
    </w:lvl>
  </w:abstractNum>
  <w:abstractNum w:abstractNumId="129">
    <w:nsid w:val="69D3947C"/>
    <w:multiLevelType w:val="hybridMultilevel"/>
    <w:lvl w:ilvl="0">
      <w:lvlJc w:val="left"/>
      <w:lvlText w:val="%1."/>
      <w:numFmt w:val="lowerLetter"/>
      <w:start w:val="4"/>
    </w:lvl>
  </w:abstractNum>
  <w:abstractNum w:abstractNumId="130">
    <w:nsid w:val="2539DFA5"/>
    <w:multiLevelType w:val="hybridMultilevel"/>
    <w:lvl w:ilvl="0">
      <w:lvlJc w:val="left"/>
      <w:lvlText w:val="%1."/>
      <w:numFmt w:val="lowerLetter"/>
      <w:start w:val="5"/>
    </w:lvl>
  </w:abstractNum>
  <w:abstractNum w:abstractNumId="131">
    <w:nsid w:val="2DB88089"/>
    <w:multiLevelType w:val="hybridMultilevel"/>
    <w:lvl w:ilvl="0">
      <w:lvlJc w:val="left"/>
      <w:lvlText w:val="%1."/>
      <w:numFmt w:val="lowerLetter"/>
      <w:start w:val="6"/>
    </w:lvl>
  </w:abstractNum>
  <w:abstractNum w:abstractNumId="132">
    <w:nsid w:val="706B674E"/>
    <w:multiLevelType w:val="hybridMultilevel"/>
    <w:lvl w:ilvl="0">
      <w:lvlJc w:val="left"/>
      <w:lvlText w:val="%1."/>
      <w:numFmt w:val="lowerLetter"/>
      <w:start w:val="7"/>
    </w:lvl>
  </w:abstractNum>
  <w:abstractNum w:abstractNumId="133">
    <w:nsid w:val="2C106A57"/>
    <w:multiLevelType w:val="hybridMultilevel"/>
    <w:lvl w:ilvl="0">
      <w:lvlJc w:val="left"/>
      <w:lvlText w:val="%1."/>
      <w:numFmt w:val="lowerLetter"/>
      <w:start w:val="8"/>
    </w:lvl>
  </w:abstractNum>
  <w:abstractNum w:abstractNumId="134">
    <w:nsid w:val="684EED59"/>
    <w:multiLevelType w:val="hybridMultilevel"/>
    <w:lvl w:ilvl="0">
      <w:lvlJc w:val="left"/>
      <w:lvlText w:val="%1."/>
      <w:numFmt w:val="lowerRoman"/>
      <w:start w:val="1"/>
    </w:lvl>
  </w:abstractNum>
  <w:abstractNum w:abstractNumId="135">
    <w:nsid w:val="545EE5D3"/>
    <w:multiLevelType w:val="hybridMultilevel"/>
    <w:lvl w:ilvl="0">
      <w:lvlJc w:val="left"/>
      <w:lvlText w:val="%1."/>
      <w:numFmt w:val="lowerLetter"/>
      <w:start w:val="10"/>
    </w:lvl>
  </w:abstractNum>
  <w:abstractNum w:abstractNumId="136">
    <w:nsid w:val="4A66051"/>
    <w:multiLevelType w:val="hybridMultilevel"/>
    <w:lvl w:ilvl="0">
      <w:lvlJc w:val="left"/>
      <w:lvlText w:val="%1."/>
      <w:numFmt w:val="lowerLetter"/>
      <w:start w:val="11"/>
    </w:lvl>
  </w:abstractNum>
  <w:abstractNum w:abstractNumId="137">
    <w:nsid w:val="20F4BDAD"/>
    <w:multiLevelType w:val="hybridMultilevel"/>
    <w:lvl w:ilvl="0">
      <w:lvlJc w:val="left"/>
      <w:lvlText w:val="%1."/>
      <w:numFmt w:val="lowerLetter"/>
      <w:start w:val="12"/>
    </w:lvl>
  </w:abstractNum>
  <w:abstractNum w:abstractNumId="138">
    <w:nsid w:val="639DEFAC"/>
    <w:multiLevelType w:val="hybridMultilevel"/>
    <w:lvl w:ilvl="0">
      <w:lvlJc w:val="left"/>
      <w:lvlText w:val="%1."/>
      <w:numFmt w:val="lowerLetter"/>
      <w:start w:val="13"/>
    </w:lvl>
  </w:abstractNum>
  <w:abstractNum w:abstractNumId="139">
    <w:nsid w:val="501F9786"/>
    <w:multiLevelType w:val="hybridMultilevel"/>
    <w:lvl w:ilvl="0">
      <w:lvlJc w:val="left"/>
      <w:lvlText w:val="%1."/>
      <w:numFmt w:val="lowerLetter"/>
      <w:start w:val="14"/>
    </w:lvl>
  </w:abstractNum>
  <w:abstractNum w:abstractNumId="140">
    <w:nsid w:val="6B057295"/>
    <w:multiLevelType w:val="hybridMultilevel"/>
    <w:lvl w:ilvl="0">
      <w:lvlJc w:val="left"/>
      <w:lvlText w:val="%1."/>
      <w:numFmt w:val="lowerLetter"/>
      <w:start w:val="15"/>
    </w:lvl>
  </w:abstractNum>
  <w:abstractNum w:abstractNumId="141">
    <w:nsid w:val="2771AC80"/>
    <w:multiLevelType w:val="hybridMultilevel"/>
    <w:lvl w:ilvl="0">
      <w:lvlJc w:val="left"/>
      <w:lvlText w:val="%1."/>
      <w:numFmt w:val="lowerLetter"/>
      <w:start w:val="16"/>
    </w:lvl>
  </w:abstractNum>
  <w:abstractNum w:abstractNumId="142">
    <w:nsid w:val="1C4A08EC"/>
    <w:multiLevelType w:val="hybridMultilevel"/>
    <w:lvl w:ilvl="0">
      <w:lvlJc w:val="left"/>
      <w:lvlText w:val="%1."/>
      <w:numFmt w:val="lowerLetter"/>
      <w:start w:val="17"/>
    </w:lvl>
  </w:abstractNum>
  <w:abstractNum w:abstractNumId="143">
    <w:nsid w:val="1958BD17"/>
    <w:multiLevelType w:val="hybridMultilevel"/>
    <w:lvl w:ilvl="0">
      <w:lvlJc w:val="left"/>
      <w:lvlText w:val="%1."/>
      <w:numFmt w:val="lowerLetter"/>
      <w:start w:val="18"/>
    </w:lvl>
  </w:abstractNum>
  <w:abstractNum w:abstractNumId="144">
    <w:nsid w:val="4E647FE4"/>
    <w:multiLevelType w:val="hybridMultilevel"/>
    <w:lvl w:ilvl="0">
      <w:lvlJc w:val="left"/>
      <w:lvlText w:val="%1."/>
      <w:numFmt w:val="decimal"/>
      <w:start w:val="2"/>
    </w:lvl>
  </w:abstractNum>
  <w:abstractNum w:abstractNumId="145">
    <w:nsid w:val="E0BB885"/>
    <w:multiLevelType w:val="hybridMultilevel"/>
    <w:lvl w:ilvl="0">
      <w:lvlJc w:val="left"/>
      <w:lvlText w:val="%1."/>
      <w:numFmt w:val="decimal"/>
      <w:start w:val="4"/>
    </w:lvl>
  </w:abstractNum>
  <w:abstractNum w:abstractNumId="146">
    <w:nsid w:val="565976F1"/>
    <w:multiLevelType w:val="hybridMultilevel"/>
    <w:lvl w:ilvl="0">
      <w:lvlJc w:val="left"/>
      <w:lvlText w:val="%1."/>
      <w:numFmt w:val="decimal"/>
      <w:start w:val="5"/>
    </w:lvl>
  </w:abstractNum>
  <w:abstractNum w:abstractNumId="147">
    <w:nsid w:val="64212B8C"/>
    <w:multiLevelType w:val="hybridMultilevel"/>
    <w:lvl w:ilvl="0">
      <w:lvlJc w:val="left"/>
      <w:lvlText w:val="%1."/>
      <w:numFmt w:val="decimal"/>
      <w:start w:val="6"/>
    </w:lvl>
  </w:abstractNum>
  <w:abstractNum w:abstractNumId="148">
    <w:nsid w:val="5C17530C"/>
    <w:multiLevelType w:val="hybridMultilevel"/>
    <w:lvl w:ilvl="0">
      <w:lvlJc w:val="left"/>
      <w:lvlText w:val="%1."/>
      <w:numFmt w:val="decimal"/>
      <w:start w:val="7"/>
    </w:lvl>
  </w:abstractNum>
  <w:abstractNum w:abstractNumId="149">
    <w:nsid w:val="19A52566"/>
    <w:multiLevelType w:val="hybridMultilevel"/>
    <w:lvl w:ilvl="0">
      <w:lvlJc w:val="left"/>
      <w:lvlText w:val="%1."/>
      <w:numFmt w:val="decimal"/>
      <w:start w:val="8"/>
    </w:lvl>
  </w:abstractNum>
  <w:abstractNum w:abstractNumId="150">
    <w:nsid w:val="335A1DF1"/>
    <w:multiLevelType w:val="hybridMultilevel"/>
    <w:lvl w:ilvl="0">
      <w:lvlJc w:val="left"/>
      <w:lvlText w:val="%1."/>
      <w:numFmt w:val="lowerLetter"/>
      <w:start w:val="1"/>
    </w:lvl>
  </w:abstractNum>
  <w:abstractNum w:abstractNumId="151">
    <w:nsid w:val="28677B7C"/>
    <w:multiLevelType w:val="hybridMultilevel"/>
    <w:lvl w:ilvl="0">
      <w:lvlJc w:val="left"/>
      <w:lvlText w:val="%1."/>
      <w:numFmt w:val="lowerLetter"/>
      <w:start w:val="2"/>
    </w:lvl>
  </w:abstractNum>
  <w:abstractNum w:abstractNumId="152">
    <w:nsid w:val="378D97C0"/>
    <w:multiLevelType w:val="hybridMultilevel"/>
    <w:lvl w:ilvl="0">
      <w:lvlJc w:val="left"/>
      <w:lvlText w:val="%1."/>
      <w:numFmt w:val="lowerLetter"/>
      <w:start w:val="3"/>
    </w:lvl>
  </w:abstractNum>
  <w:abstractNum w:abstractNumId="153">
    <w:nsid w:val="1D91467C"/>
    <w:multiLevelType w:val="hybridMultilevel"/>
    <w:lvl w:ilvl="0">
      <w:lvlJc w:val="left"/>
      <w:lvlText w:val="%1."/>
      <w:numFmt w:val="lowerLetter"/>
      <w:start w:val="4"/>
    </w:lvl>
  </w:abstractNum>
  <w:abstractNum w:abstractNumId="154">
    <w:nsid w:val="316032BB"/>
    <w:multiLevelType w:val="hybridMultilevel"/>
    <w:lvl w:ilvl="0">
      <w:lvlJc w:val="left"/>
      <w:lvlText w:val="%1."/>
      <w:numFmt w:val="lowerLetter"/>
      <w:start w:val="5"/>
    </w:lvl>
  </w:abstractNum>
  <w:abstractNum w:abstractNumId="155">
    <w:nsid w:val="44344C22"/>
    <w:multiLevelType w:val="hybridMultilevel"/>
    <w:lvl w:ilvl="0">
      <w:lvlJc w:val="left"/>
      <w:lvlText w:val="%1."/>
      <w:numFmt w:val="lowerLetter"/>
      <w:start w:val="6"/>
    </w:lvl>
  </w:abstractNum>
  <w:abstractNum w:abstractNumId="156">
    <w:nsid w:val="13CDFCFC"/>
    <w:multiLevelType w:val="hybridMultilevel"/>
    <w:lvl w:ilvl="0">
      <w:lvlJc w:val="left"/>
      <w:lvlText w:val="%1."/>
      <w:numFmt w:val="decimal"/>
      <w:start w:val="9"/>
    </w:lvl>
  </w:abstractNum>
  <w:abstractNum w:abstractNumId="157">
    <w:nsid w:val="471745E4"/>
    <w:multiLevelType w:val="hybridMultilevel"/>
    <w:lvl w:ilvl="0">
      <w:lvlJc w:val="left"/>
      <w:lvlText w:val="%1."/>
      <w:numFmt w:val="decimal"/>
      <w:start w:val="10"/>
    </w:lvl>
  </w:abstractNum>
  <w:abstractNum w:abstractNumId="158">
    <w:nsid w:val="1DDBC66"/>
    <w:multiLevelType w:val="hybridMultilevel"/>
    <w:lvl w:ilvl="0">
      <w:lvlJc w:val="left"/>
      <w:lvlText w:val="%1."/>
      <w:numFmt w:val="lowerLetter"/>
      <w:start w:val="1"/>
    </w:lvl>
  </w:abstractNum>
  <w:abstractNum w:abstractNumId="159">
    <w:nsid w:val="30AADFDA"/>
    <w:multiLevelType w:val="hybridMultilevel"/>
    <w:lvl w:ilvl="0">
      <w:lvlJc w:val="left"/>
      <w:lvlText w:val="%1."/>
      <w:numFmt w:val="lowerLetter"/>
      <w:start w:val="2"/>
    </w:lvl>
  </w:abstractNum>
  <w:abstractNum w:abstractNumId="160">
    <w:nsid w:val="30EADA61"/>
    <w:multiLevelType w:val="hybridMultilevel"/>
    <w:lvl w:ilvl="0">
      <w:lvlJc w:val="left"/>
      <w:lvlText w:val="%1."/>
      <w:numFmt w:val="lowerLetter"/>
      <w:start w:val="3"/>
    </w:lvl>
  </w:abstractNum>
  <w:abstractNum w:abstractNumId="161">
    <w:nsid w:val="27179C0B"/>
    <w:multiLevelType w:val="hybridMultilevel"/>
    <w:lvl w:ilvl="0">
      <w:lvlJc w:val="left"/>
      <w:lvlText w:val="%1."/>
      <w:numFmt w:val="lowerLetter"/>
      <w:start w:val="4"/>
    </w:lvl>
  </w:abstractNum>
  <w:abstractNum w:abstractNumId="162">
    <w:nsid w:val="5E636063"/>
    <w:multiLevelType w:val="hybridMultilevel"/>
    <w:lvl w:ilvl="0">
      <w:lvlJc w:val="left"/>
      <w:lvlText w:val="%1."/>
      <w:numFmt w:val="lowerLetter"/>
      <w:start w:val="5"/>
    </w:lvl>
  </w:abstractNum>
  <w:abstractNum w:abstractNumId="163">
    <w:nsid w:val="215641AF"/>
    <w:multiLevelType w:val="hybridMultilevel"/>
    <w:lvl w:ilvl="0">
      <w:lvlJc w:val="left"/>
      <w:lvlText w:val="%1."/>
      <w:numFmt w:val="decimal"/>
      <w:start w:val="11"/>
    </w:lvl>
  </w:abstractNum>
  <w:abstractNum w:abstractNumId="164">
    <w:nsid w:val="53280662"/>
    <w:multiLevelType w:val="hybridMultilevel"/>
    <w:lvl w:ilvl="0">
      <w:lvlJc w:val="left"/>
      <w:lvlText w:val="%1."/>
      <w:numFmt w:val="decimal"/>
      <w:start w:val="12"/>
    </w:lvl>
  </w:abstractNum>
  <w:abstractNum w:abstractNumId="165">
    <w:nsid w:val="46B24DBC"/>
    <w:multiLevelType w:val="hybridMultilevel"/>
    <w:lvl w:ilvl="0">
      <w:lvlJc w:val="left"/>
      <w:lvlText w:val="*"/>
      <w:numFmt w:val="bullet"/>
      <w:start w:val="1"/>
    </w:lvl>
  </w:abstractNum>
  <w:abstractNum w:abstractNumId="166">
    <w:nsid w:val="75B52783"/>
    <w:multiLevelType w:val="hybridMultilevel"/>
    <w:lvl w:ilvl="0">
      <w:lvlJc w:val="left"/>
      <w:lvlText w:val="(%1)"/>
      <w:numFmt w:val="lowerLetter"/>
      <w:start w:val="1"/>
    </w:lvl>
  </w:abstractNum>
  <w:abstractNum w:abstractNumId="167">
    <w:nsid w:val="57CE66B4"/>
    <w:multiLevelType w:val="hybridMultilevel"/>
    <w:lvl w:ilvl="0">
      <w:lvlJc w:val="left"/>
      <w:lvlText w:val="(%1)"/>
      <w:numFmt w:val="lowerLetter"/>
      <w:start w:val="5"/>
    </w:lvl>
  </w:abstractNum>
  <w:abstractNum w:abstractNumId="168">
    <w:nsid w:val="67A70B69"/>
    <w:multiLevelType w:val="hybridMultilevel"/>
    <w:lvl w:ilvl="0">
      <w:lvlJc w:val="left"/>
      <w:lvlText w:val="(%1)"/>
      <w:numFmt w:val="decimal"/>
      <w:start w:val="3"/>
    </w:lvl>
  </w:abstractNum>
  <w:abstractNum w:abstractNumId="169">
    <w:nsid w:val="5953172F"/>
    <w:multiLevelType w:val="hybridMultilevel"/>
    <w:lvl w:ilvl="0">
      <w:lvlJc w:val="left"/>
      <w:lvlText w:val="(%1)"/>
      <w:numFmt w:val="decimal"/>
      <w:start w:val="1"/>
    </w:lvl>
  </w:abstractNum>
  <w:abstractNum w:abstractNumId="170">
    <w:nsid w:val="27EDFE3A"/>
    <w:multiLevelType w:val="hybridMultilevel"/>
    <w:lvl w:ilvl="0">
      <w:lvlJc w:val="left"/>
      <w:lvlText w:val="(%1)"/>
      <w:numFmt w:val="decimal"/>
    </w:lvl>
    <w:lvl w:ilvl="1">
      <w:lvlJc w:val="left"/>
      <w:lvlText w:val="*"/>
      <w:numFmt w:val="bullet"/>
      <w:start w:val="1"/>
    </w:lvl>
  </w:abstractNum>
  <w:abstractNum w:abstractNumId="171">
    <w:nsid w:val="52AC7DFF"/>
    <w:multiLevelType w:val="hybridMultilevel"/>
    <w:lvl w:ilvl="0">
      <w:lvlJc w:val="left"/>
      <w:lvlText w:val="%1."/>
      <w:numFmt w:val="decimal"/>
      <w:start w:val="1"/>
    </w:lvl>
  </w:abstractNum>
  <w:abstractNum w:abstractNumId="172">
    <w:nsid w:val="C4C3AF"/>
    <w:multiLevelType w:val="hybridMultilevel"/>
    <w:lvl w:ilvl="0">
      <w:lvlJc w:val="left"/>
      <w:lvlText w:val="(%1)"/>
      <w:numFmt w:val="lowerLetter"/>
      <w:start w:val="1"/>
    </w:lvl>
  </w:abstractNum>
  <w:abstractNum w:abstractNumId="173">
    <w:nsid w:val="44380727"/>
    <w:multiLevelType w:val="hybridMultilevel"/>
    <w:lvl w:ilvl="0">
      <w:lvlJc w:val="left"/>
      <w:lvlText w:val="(%1)"/>
      <w:numFmt w:val="lowerLetter"/>
      <w:start w:val="4"/>
    </w:lvl>
  </w:abstractNum>
  <w:abstractNum w:abstractNumId="174">
    <w:nsid w:val="6C053B16"/>
    <w:multiLevelType w:val="hybridMultilevel"/>
    <w:lvl w:ilvl="0">
      <w:lvlJc w:val="left"/>
      <w:lvlText w:val="(%1)"/>
      <w:numFmt w:val="lowerLetter"/>
      <w:start w:val="1"/>
    </w:lvl>
  </w:abstractNum>
  <w:abstractNum w:abstractNumId="175">
    <w:nsid w:val="4F294393"/>
    <w:multiLevelType w:val="hybridMultilevel"/>
    <w:lvl w:ilvl="0">
      <w:lvlJc w:val="left"/>
      <w:lvlText w:val="(%1)"/>
      <w:numFmt w:val="lowerLetter"/>
      <w:start w:val="2"/>
    </w:lvl>
  </w:abstractNum>
  <w:abstractNum w:abstractNumId="176">
    <w:nsid w:val="5243BFAC"/>
    <w:multiLevelType w:val="hybridMultilevel"/>
    <w:lvl w:ilvl="0">
      <w:lvlJc w:val="left"/>
      <w:lvlText w:val="(%1)"/>
      <w:numFmt w:val="decimal"/>
      <w:start w:val="1"/>
    </w:lvl>
  </w:abstractNum>
  <w:abstractNum w:abstractNumId="177">
    <w:nsid w:val="425EB207"/>
    <w:multiLevelType w:val="hybridMultilevel"/>
    <w:lvl w:ilvl="0">
      <w:lvlJc w:val="left"/>
      <w:lvlText w:val="(%1)"/>
      <w:numFmt w:val="lowerLetter"/>
      <w:start w:val="1"/>
    </w:lvl>
  </w:abstractNum>
  <w:abstractNum w:abstractNumId="178">
    <w:nsid w:val="334A6F1F"/>
    <w:multiLevelType w:val="hybridMultilevel"/>
    <w:lvl w:ilvl="0">
      <w:lvlJc w:val="left"/>
      <w:lvlText w:val="(%1)"/>
      <w:numFmt w:val="lowerLetter"/>
      <w:start w:val="7"/>
    </w:lvl>
  </w:abstractNum>
  <w:abstractNum w:abstractNumId="179">
    <w:nsid w:val="2E5B12B8"/>
    <w:multiLevelType w:val="hybridMultilevel"/>
    <w:lvl w:ilvl="0">
      <w:lvlJc w:val="left"/>
      <w:lvlText w:val="(%1)"/>
      <w:numFmt w:val="lowerLetter"/>
      <w:start w:val="9"/>
    </w:lvl>
  </w:abstractNum>
  <w:abstractNum w:abstractNumId="180">
    <w:nsid w:val="5C03D76D"/>
    <w:multiLevelType w:val="hybridMultilevel"/>
    <w:lvl w:ilvl="0">
      <w:lvlJc w:val="left"/>
      <w:lvlText w:val="(%1)"/>
      <w:numFmt w:val="lowerLetter"/>
      <w:start w:val="1"/>
    </w:lvl>
  </w:abstractNum>
  <w:abstractNum w:abstractNumId="181">
    <w:nsid w:val="66A48D11"/>
    <w:multiLevelType w:val="hybridMultilevel"/>
    <w:lvl w:ilvl="0">
      <w:lvlJc w:val="left"/>
      <w:lvlText w:val="(%1)"/>
      <w:numFmt w:val="lowerLetter"/>
      <w:start w:val="2"/>
    </w:lvl>
  </w:abstractNum>
  <w:abstractNum w:abstractNumId="182">
    <w:nsid w:val="56C28E34"/>
    <w:multiLevelType w:val="hybridMultilevel"/>
    <w:lvl w:ilvl="0">
      <w:lvlJc w:val="left"/>
      <w:lvlText w:val="(%1)"/>
      <w:numFmt w:val="lowerLetter"/>
      <w:start w:val="1"/>
    </w:lvl>
  </w:abstractNum>
  <w:abstractNum w:abstractNumId="183">
    <w:nsid w:val="13916F2D"/>
    <w:multiLevelType w:val="hybridMultilevel"/>
    <w:lvl w:ilvl="0">
      <w:lvlJc w:val="left"/>
      <w:lvlText w:val="(%1)"/>
      <w:numFmt w:val="lowerLetter"/>
      <w:start w:val="1"/>
    </w:lvl>
  </w:abstractNum>
  <w:abstractNum w:abstractNumId="184">
    <w:nsid w:val="435D38D"/>
    <w:multiLevelType w:val="hybridMultilevel"/>
    <w:lvl w:ilvl="0">
      <w:lvlJc w:val="left"/>
      <w:lvlText w:val="(%1)"/>
      <w:numFmt w:val="lowerLetter"/>
      <w:start w:val="3"/>
    </w:lvl>
  </w:abstractNum>
  <w:abstractNum w:abstractNumId="185">
    <w:nsid w:val="822C0EF"/>
    <w:multiLevelType w:val="hybridMultilevel"/>
    <w:lvl w:ilvl="0">
      <w:lvlJc w:val="left"/>
      <w:lvlText w:val="(%1)"/>
      <w:numFmt w:val="lowerLetter"/>
      <w:start w:val="1"/>
    </w:lvl>
  </w:abstractNum>
  <w:abstractNum w:abstractNumId="186">
    <w:nsid w:val="57C5BB4F"/>
    <w:multiLevelType w:val="hybridMultilevel"/>
    <w:lvl w:ilvl="0">
      <w:lvlJc w:val="left"/>
      <w:lvlText w:val="(%1)"/>
      <w:numFmt w:val="lowerLetter"/>
      <w:start w:val="1"/>
    </w:lvl>
  </w:abstractNum>
  <w:abstractNum w:abstractNumId="187">
    <w:nsid w:val="1803D089"/>
    <w:multiLevelType w:val="hybridMultilevel"/>
    <w:lvl w:ilvl="0">
      <w:lvlJc w:val="left"/>
      <w:lvlText w:val="(%1)"/>
      <w:numFmt w:val="lowerLetter"/>
      <w:start w:val="1"/>
    </w:lvl>
  </w:abstractNum>
  <w:abstractNum w:abstractNumId="188">
    <w:nsid w:val="4F3A06D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89">
    <w:nsid w:val="59A377B6"/>
    <w:multiLevelType w:val="hybridMultilevel"/>
    <w:lvl w:ilvl="0">
      <w:lvlJc w:val="left"/>
      <w:lvlText w:val="%1"/>
      <w:numFmt w:val="lowerLetter"/>
      <w:start w:val="1"/>
    </w:lvl>
    <w:lvl w:ilvl="1">
      <w:lvlJc w:val="left"/>
      <w:lvlText w:val="(%2)"/>
      <w:numFmt w:val="lowerLetter"/>
      <w:start w:val="61"/>
    </w:lvl>
  </w:abstractNum>
  <w:abstractNum w:abstractNumId="190">
    <w:nsid w:val="48AEB063"/>
    <w:multiLevelType w:val="hybridMultilevel"/>
    <w:lvl w:ilvl="0">
      <w:lvlJc w:val="left"/>
      <w:lvlText w:val="(%1)"/>
      <w:numFmt w:val="lowerLetter"/>
      <w:start w:val="7"/>
    </w:lvl>
    <w:lvl w:ilvl="1">
      <w:lvlJc w:val="left"/>
      <w:lvlText w:val="%2"/>
      <w:numFmt w:val="lowerLetter"/>
      <w:start w:val="1"/>
    </w:lvl>
  </w:abstractNum>
  <w:abstractNum w:abstractNumId="191">
    <w:nsid w:val="24E135"/>
    <w:multiLevelType w:val="hybridMultilevel"/>
    <w:lvl w:ilvl="0">
      <w:lvlJc w:val="left"/>
      <w:lvlText w:val="(%1)"/>
      <w:numFmt w:val="lowerLetter"/>
      <w:start w:val="1"/>
    </w:lvl>
  </w:abstractNum>
  <w:abstractNum w:abstractNumId="192">
    <w:nsid w:val="BB13C1"/>
    <w:multiLevelType w:val="hybridMultilevel"/>
    <w:lvl w:ilvl="0">
      <w:lvlJc w:val="left"/>
      <w:lvlText w:val="(%1)"/>
      <w:numFmt w:val="decimal"/>
      <w:start w:val="10"/>
    </w:lvl>
  </w:abstractNum>
  <w:abstractNum w:abstractNumId="193">
    <w:nsid w:val="271210C7"/>
    <w:multiLevelType w:val="hybridMultilevel"/>
    <w:lvl w:ilvl="0">
      <w:lvlJc w:val="left"/>
      <w:lvlText w:val="(%1)"/>
      <w:numFmt w:val="lowerLetter"/>
      <w:start w:val="5"/>
    </w:lvl>
  </w:abstractNum>
  <w:abstractNum w:abstractNumId="194">
    <w:nsid w:val="217B22E4"/>
    <w:multiLevelType w:val="hybridMultilevel"/>
    <w:lvl w:ilvl="0">
      <w:lvlJc w:val="left"/>
      <w:lvlText w:val="(%1)"/>
      <w:numFmt w:val="decimal"/>
      <w:start w:val="2"/>
    </w:lvl>
  </w:abstractNum>
  <w:abstractNum w:abstractNumId="195">
    <w:nsid w:val="53E31A24"/>
    <w:multiLevelType w:val="hybridMultilevel"/>
    <w:lvl w:ilvl="0">
      <w:lvlJc w:val="left"/>
      <w:lvlText w:val="(%1)"/>
      <w:numFmt w:val="lowerLetter"/>
      <w:start w:val="1"/>
    </w:lvl>
  </w:abstractNum>
  <w:abstractNum w:abstractNumId="196">
    <w:nsid w:val="6DC45E83"/>
    <w:multiLevelType w:val="hybridMultilevel"/>
    <w:lvl w:ilvl="0">
      <w:lvlJc w:val="left"/>
      <w:lvlText w:val="(%1)"/>
      <w:numFmt w:val="lowerLetter"/>
      <w:start w:val="1"/>
    </w:lvl>
  </w:abstractNum>
  <w:abstractNum w:abstractNumId="197">
    <w:nsid w:val="17304A67"/>
    <w:multiLevelType w:val="hybridMultilevel"/>
    <w:lvl w:ilvl="0">
      <w:lvlJc w:val="left"/>
      <w:lvlText w:val="(%1)"/>
      <w:numFmt w:val="lowerLetter"/>
      <w:start w:val="1"/>
    </w:lvl>
  </w:abstractNum>
  <w:abstractNum w:abstractNumId="198">
    <w:nsid w:val="2BB180D8"/>
    <w:multiLevelType w:val="hybridMultilevel"/>
    <w:lvl w:ilvl="0">
      <w:lvlJc w:val="left"/>
      <w:lvlText w:val="(%1)"/>
      <w:numFmt w:val="lowerLetter"/>
      <w:start w:val="3"/>
    </w:lvl>
  </w:abstractNum>
  <w:abstractNum w:abstractNumId="199">
    <w:nsid w:val="556B69E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9"/>
    </w:lvl>
  </w:abstractNum>
  <w:abstractNum w:abstractNumId="200">
    <w:nsid w:val="70836196"/>
    <w:multiLevelType w:val="hybridMultilevel"/>
    <w:lvl w:ilvl="0">
      <w:lvlJc w:val="left"/>
      <w:lvlText w:val="%1"/>
      <w:numFmt w:val="lowerLetter"/>
      <w:start w:val="1"/>
    </w:lvl>
    <w:lvl w:ilvl="1">
      <w:lvlJc w:val="left"/>
      <w:lvlText w:val="(%2)"/>
      <w:numFmt w:val="lowerRoman"/>
      <w:start w:val="3"/>
    </w:lvl>
  </w:abstractNum>
  <w:abstractNum w:abstractNumId="201">
    <w:nsid w:val="539F7F12"/>
    <w:multiLevelType w:val="hybridMultilevel"/>
    <w:lvl w:ilvl="0">
      <w:lvlJc w:val="left"/>
      <w:lvlText w:val="(%1)"/>
      <w:numFmt w:val="lowerLetter"/>
      <w:start w:val="2"/>
    </w:lvl>
    <w:lvl w:ilvl="1">
      <w:lvlJc w:val="left"/>
      <w:lvlText w:val="%2"/>
      <w:numFmt w:val="lowerRoman"/>
      <w:start w:val="1"/>
    </w:lvl>
  </w:abstractNum>
  <w:abstractNum w:abstractNumId="202">
    <w:nsid w:val="2817E7EC"/>
    <w:multiLevelType w:val="hybridMultilevel"/>
    <w:lvl w:ilvl="0">
      <w:lvlJc w:val="left"/>
      <w:lvlText w:val="(%1)"/>
      <w:numFmt w:val="lowerLetter"/>
      <w:start w:val="6"/>
    </w:lvl>
  </w:abstractNum>
  <w:abstractNum w:abstractNumId="203">
    <w:nsid w:val="71482545"/>
    <w:multiLevelType w:val="hybridMultilevel"/>
    <w:lvl w:ilvl="0">
      <w:lvlJc w:val="left"/>
      <w:lvlText w:val="(%1)"/>
      <w:numFmt w:val="lowerLetter"/>
      <w:start w:val="1"/>
    </w:lvl>
  </w:abstractNum>
  <w:abstractNum w:abstractNumId="204">
    <w:nsid w:val="17D78639"/>
    <w:multiLevelType w:val="hybridMultilevel"/>
    <w:lvl w:ilvl="0">
      <w:lvlJc w:val="left"/>
      <w:lvlText w:val="%1."/>
      <w:numFmt w:val="upperLetter"/>
      <w:start w:val="1"/>
    </w:lvl>
  </w:abstractNum>
  <w:abstractNum w:abstractNumId="205">
    <w:nsid w:val="141D2302"/>
    <w:multiLevelType w:val="hybridMultilevel"/>
    <w:lvl w:ilvl="0">
      <w:lvlJc w:val="left"/>
      <w:lvlText w:val="%1."/>
      <w:numFmt w:val="decimal"/>
      <w:start w:val="1"/>
    </w:lvl>
  </w:abstractNum>
  <w:abstractNum w:abstractNumId="206">
    <w:nsid w:val="407168D8"/>
    <w:multiLevelType w:val="hybridMultilevel"/>
    <w:lvl w:ilvl="0">
      <w:lvlJc w:val="left"/>
      <w:lvlText w:val="%1"/>
      <w:numFmt w:val="decimal"/>
      <w:start w:val="1"/>
    </w:lvl>
    <w:lvl w:ilvl="1">
      <w:lvlJc w:val="left"/>
      <w:lvlText w:val="%2."/>
      <w:numFmt w:val="decimal"/>
      <w:start w:val="5"/>
    </w:lvl>
  </w:abstractNum>
  <w:abstractNum w:abstractNumId="207">
    <w:nsid w:val="6A1B45E5"/>
    <w:multiLevelType w:val="hybridMultilevel"/>
    <w:lvl w:ilvl="0">
      <w:lvlJc w:val="left"/>
      <w:lvlText w:val="(%1)"/>
      <w:numFmt w:val="decimal"/>
      <w:start w:val="15"/>
    </w:lvl>
    <w:lvl w:ilvl="1">
      <w:lvlJc w:val="left"/>
      <w:lvlText w:val="%2."/>
      <w:numFmt w:val="decimal"/>
      <w:start w:val="7"/>
    </w:lvl>
  </w:abstractNum>
  <w:abstractNum w:abstractNumId="208">
    <w:nsid w:val="567BD50A"/>
    <w:multiLevelType w:val="hybridMultilevel"/>
    <w:lvl w:ilvl="0">
      <w:lvlJc w:val="left"/>
      <w:lvlText w:val="%1."/>
      <w:numFmt w:val="decimal"/>
      <w:start w:val="8"/>
    </w:lvl>
  </w:abstractNum>
  <w:abstractNum w:abstractNumId="209">
    <w:nsid w:val="73BBD7F8"/>
    <w:multiLevelType w:val="hybridMultilevel"/>
    <w:lvl w:ilvl="0">
      <w:lvlJc w:val="left"/>
      <w:lvlText w:val="%1."/>
      <w:numFmt w:val="decimal"/>
      <w:start w:val="11"/>
    </w:lvl>
  </w:abstractNum>
  <w:abstractNum w:abstractNumId="210">
    <w:nsid w:val="1876589D"/>
    <w:multiLevelType w:val="hybridMultilevel"/>
    <w:lvl w:ilvl="0">
      <w:lvlJc w:val="left"/>
      <w:lvlText w:val="%1."/>
      <w:numFmt w:val="decimal"/>
      <w:start w:val="12"/>
    </w:lvl>
  </w:abstractNum>
  <w:abstractNum w:abstractNumId="211">
    <w:nsid w:val="327FAC77"/>
    <w:multiLevelType w:val="hybridMultilevel"/>
    <w:lvl w:ilvl="0">
      <w:lvlJc w:val="left"/>
      <w:lvlText w:val="%1."/>
      <w:numFmt w:val="decimal"/>
      <w:start w:val="13"/>
    </w:lvl>
  </w:abstractNum>
  <w:abstractNum w:abstractNumId="212">
    <w:nsid w:val="5A606509"/>
    <w:multiLevelType w:val="hybridMultilevel"/>
    <w:lvl w:ilvl="0">
      <w:lvlJc w:val="left"/>
      <w:lvlText w:val="%1."/>
      <w:numFmt w:val="upperLetter"/>
      <w:start w:val="1"/>
    </w:lvl>
  </w:abstractNum>
  <w:abstractNum w:abstractNumId="213">
    <w:nsid w:val="6F38E6D1"/>
    <w:multiLevelType w:val="hybridMultilevel"/>
    <w:lvl w:ilvl="0">
      <w:lvlJc w:val="left"/>
      <w:lvlText w:val="%1."/>
      <w:numFmt w:val="decimal"/>
      <w:start w:val="1"/>
    </w:lvl>
  </w:abstractNum>
  <w:abstractNum w:abstractNumId="214">
    <w:nsid w:val="46111BA5"/>
    <w:multiLevelType w:val="hybridMultilevel"/>
    <w:lvl w:ilvl="0">
      <w:lvlJc w:val="left"/>
      <w:lvlText w:val="%1"/>
      <w:numFmt w:val="decimal"/>
      <w:start w:val="1"/>
    </w:lvl>
    <w:lvl w:ilvl="1">
      <w:lvlJc w:val="left"/>
      <w:lvlText w:val="%2."/>
      <w:numFmt w:val="decimal"/>
      <w:start w:val="5"/>
    </w:lvl>
  </w:abstractNum>
  <w:abstractNum w:abstractNumId="215">
    <w:nsid w:val="5E963896"/>
    <w:multiLevelType w:val="hybridMultilevel"/>
    <w:lvl w:ilvl="0">
      <w:lvlJc w:val="left"/>
      <w:lvlText w:val="(%1)"/>
      <w:numFmt w:val="decimal"/>
      <w:start w:val="15"/>
    </w:lvl>
    <w:lvl w:ilvl="1">
      <w:lvlJc w:val="left"/>
      <w:lvlText w:val="%2."/>
      <w:numFmt w:val="decimal"/>
      <w:start w:val="7"/>
    </w:lvl>
  </w:abstractNum>
  <w:abstractNum w:abstractNumId="216">
    <w:nsid w:val="775BA7C1"/>
    <w:multiLevelType w:val="hybridMultilevel"/>
    <w:lvl w:ilvl="0">
      <w:lvlJc w:val="left"/>
      <w:lvlText w:val="%1"/>
      <w:numFmt w:val="lowerLetter"/>
      <w:start w:val="1"/>
    </w:lvl>
    <w:lvl w:ilvl="1">
      <w:lvlJc w:val="left"/>
      <w:lvlText w:val="%2."/>
      <w:numFmt w:val="decimal"/>
      <w:start w:val="8"/>
    </w:lvl>
  </w:abstractNum>
  <w:abstractNum w:abstractNumId="217">
    <w:nsid w:val="1DD6D6F4"/>
    <w:multiLevelType w:val="hybridMultilevel"/>
    <w:lvl w:ilvl="0">
      <w:lvlJc w:val="left"/>
      <w:lvlText w:val="(%1)"/>
      <w:numFmt w:val="lowerLetter"/>
      <w:start w:val="1"/>
    </w:lvl>
    <w:lvl w:ilvl="1">
      <w:lvlJc w:val="left"/>
      <w:lvlText w:val="%2"/>
      <w:numFmt w:val="decimal"/>
      <w:start w:val="1"/>
    </w:lvl>
  </w:abstractNum>
  <w:abstractNum w:abstractNumId="218">
    <w:nsid w:val="769A091F"/>
    <w:multiLevelType w:val="hybridMultilevel"/>
    <w:lvl w:ilvl="0">
      <w:lvlJc w:val="left"/>
      <w:lvlText w:val="%1."/>
      <w:numFmt w:val="decimal"/>
      <w:start w:val="11"/>
    </w:lvl>
  </w:abstractNum>
  <w:abstractNum w:abstractNumId="219">
    <w:nsid w:val="4695AE95"/>
    <w:multiLevelType w:val="hybridMultilevel"/>
    <w:lvl w:ilvl="0">
      <w:lvlJc w:val="left"/>
      <w:lvlText w:val="%1."/>
      <w:numFmt w:val="decimal"/>
      <w:start w:val="13"/>
    </w:lvl>
  </w:abstractNum>
  <w:abstractNum w:abstractNumId="220">
    <w:nsid w:val="777A4EAA"/>
    <w:multiLevelType w:val="hybridMultilevel"/>
    <w:lvl w:ilvl="0">
      <w:lvlJc w:val="left"/>
      <w:lvlText w:val="%1."/>
      <w:numFmt w:val="decimal"/>
      <w:start w:val="17"/>
    </w:lvl>
  </w:abstractNum>
  <w:abstractNum w:abstractNumId="221">
    <w:nsid w:val="3F48B9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22">
    <w:nsid w:val="46BA8FCA"/>
    <w:multiLevelType w:val="hybridMultilevel"/>
    <w:lvl w:ilvl="0">
      <w:lvlJc w:val="left"/>
      <w:lvlText w:val="(%1)"/>
      <w:numFmt w:val="lowerRoman"/>
      <w:start w:val="5"/>
    </w:lvl>
  </w:abstractNum>
  <w:abstractNum w:abstractNumId="223">
    <w:nsid w:val="7835626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24">
    <w:nsid w:val="665ACA49"/>
    <w:multiLevelType w:val="hybridMultilevel"/>
    <w:lvl w:ilvl="0">
      <w:lvlJc w:val="left"/>
      <w:lvlText w:val="(%1)"/>
      <w:numFmt w:val="lowerLetter"/>
      <w:start w:val="4"/>
    </w:lvl>
  </w:abstractNum>
  <w:abstractNum w:abstractNumId="225">
    <w:nsid w:val="6835B2AE"/>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abstractNum>
  <w:abstractNum w:abstractNumId="226">
    <w:nsid w:val="4C187C90"/>
    <w:multiLevelType w:val="hybridMultilevel"/>
    <w:lvl w:ilvl="0">
      <w:lvlJc w:val="left"/>
      <w:lvlText w:val="(%1)"/>
      <w:numFmt w:val="lowerRoman"/>
      <w:start w:val="5"/>
    </w:lvl>
  </w:abstractNum>
  <w:abstractNum w:abstractNumId="227">
    <w:nsid w:val="541F28CD"/>
    <w:multiLevelType w:val="hybridMultilevel"/>
    <w:lvl w:ilvl="0">
      <w:lvlJc w:val="left"/>
      <w:lvlText w:val="(%1)"/>
      <w:numFmt w:val="lowerLetter"/>
      <w:start w:val="8"/>
    </w:lvl>
  </w:abstractNum>
  <w:abstractNum w:abstractNumId="228">
    <w:nsid w:val="7F65FD16"/>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0"/>
    </w:lvl>
  </w:abstractNum>
  <w:abstractNum w:abstractNumId="229">
    <w:nsid w:val="77C9FD68"/>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230">
    <w:nsid w:val="298A92BA"/>
    <w:multiLevelType w:val="hybridMultilevel"/>
    <w:lvl w:ilvl="0">
      <w:lvlJc w:val="left"/>
      <w:lvlText w:val="%1"/>
      <w:numFmt w:val="decimal"/>
      <w:start w:val="1"/>
    </w:lvl>
    <w:lvl w:ilvl="1">
      <w:lvlJc w:val="left"/>
      <w:lvlText w:val="(%2)"/>
      <w:numFmt w:val="lowerLetter"/>
      <w:start w:val="2"/>
    </w:lvl>
  </w:abstractNum>
  <w:abstractNum w:abstractNumId="231">
    <w:nsid w:val="6FE95EAC"/>
    <w:multiLevelType w:val="hybridMultilevel"/>
    <w:lvl w:ilvl="0">
      <w:lvlJc w:val="left"/>
      <w:lvlText w:val="(%1)"/>
      <w:numFmt w:val="decimal"/>
      <w:start w:val="10"/>
    </w:lvl>
    <w:lvl w:ilvl="1">
      <w:lvlJc w:val="left"/>
      <w:lvlText w:val="(%2)"/>
      <w:numFmt w:val="lowerLetter"/>
      <w:start w:val="6"/>
    </w:lvl>
  </w:abstractNum>
  <w:abstractNum w:abstractNumId="232">
    <w:nsid w:val="4B697C7A"/>
    <w:multiLevelType w:val="hybridMultilevel"/>
    <w:lvl w:ilvl="0">
      <w:lvlJc w:val="left"/>
      <w:lvlText w:val="(%1)"/>
      <w:numFmt w:val="lowerLetter"/>
      <w:start w:val="7"/>
    </w:lvl>
  </w:abstractNum>
  <w:abstractNum w:abstractNumId="233">
    <w:nsid w:val="51A27AA6"/>
    <w:multiLevelType w:val="hybridMultilevel"/>
    <w:lvl w:ilvl="0">
      <w:lvlJc w:val="left"/>
      <w:lvlText w:val="%1."/>
      <w:numFmt w:val="decimal"/>
      <w:start w:val="8"/>
    </w:lvl>
  </w:abstractNum>
  <w:abstractNum w:abstractNumId="234">
    <w:nsid w:val="613183F2"/>
    <w:multiLevelType w:val="hybridMultilevel"/>
    <w:lvl w:ilvl="0">
      <w:lvlJc w:val="left"/>
      <w:lvlText w:val="(%1)"/>
      <w:numFmt w:val="lowerLetter"/>
      <w:start w:val="1"/>
    </w:lvl>
  </w:abstractNum>
  <w:abstractNum w:abstractNumId="235">
    <w:nsid w:val="634102B4"/>
    <w:multiLevelType w:val="hybridMultilevel"/>
    <w:lvl w:ilvl="0">
      <w:lvlJc w:val="left"/>
      <w:lvlText w:val="(%1)"/>
      <w:numFmt w:val="lowerLetter"/>
      <w:start w:val="7"/>
    </w:lvl>
  </w:abstractNum>
  <w:abstractNum w:abstractNumId="236">
    <w:nsid w:val="65BF9DA8"/>
    <w:multiLevelType w:val="hybridMultilevel"/>
    <w:lvl w:ilvl="0">
      <w:lvlJc w:val="left"/>
      <w:lvlText w:val="%1."/>
      <w:numFmt w:val="decimal"/>
      <w:start w:val="9"/>
    </w:lvl>
    <w:lvl w:ilvl="1">
      <w:lvlJc w:val="left"/>
      <w:lvlText w:val="(%2)"/>
      <w:numFmt w:val="lowerLetter"/>
      <w:start w:val="1"/>
    </w:lvl>
  </w:abstractNum>
  <w:abstractNum w:abstractNumId="237">
    <w:nsid w:val="21A2ECCA"/>
    <w:multiLevelType w:val="hybridMultilevel"/>
    <w:lvl w:ilvl="0">
      <w:lvlJc w:val="left"/>
      <w:lvlText w:val="%1."/>
      <w:numFmt w:val="decimal"/>
      <w:start w:val="11"/>
    </w:lvl>
    <w:lvl w:ilvl="1">
      <w:lvlJc w:val="left"/>
      <w:lvlText w:val="(%2)"/>
      <w:numFmt w:val="lowerLetter"/>
      <w:start w:val="1"/>
    </w:lvl>
  </w:abstractNum>
  <w:abstractNum w:abstractNumId="238">
    <w:nsid w:val="4D5C4899"/>
    <w:multiLevelType w:val="hybridMultilevel"/>
    <w:lvl w:ilvl="0">
      <w:lvlJc w:val="left"/>
      <w:lvlText w:val="%1."/>
      <w:numFmt w:val="decimal"/>
      <w:start w:val="18"/>
    </w:lvl>
  </w:abstractNum>
  <w:abstractNum w:abstractNumId="239">
    <w:nsid w:val="3C3B72B2"/>
    <w:multiLevelType w:val="hybridMultilevel"/>
    <w:lvl w:ilvl="0">
      <w:lvlJc w:val="left"/>
      <w:lvlText w:val="(%1)"/>
      <w:numFmt w:val="lowerLetter"/>
      <w:start w:val="1"/>
    </w:lvl>
  </w:abstractNum>
  <w:abstractNum w:abstractNumId="240">
    <w:nsid w:val="155EC4C2"/>
    <w:multiLevelType w:val="hybridMultilevel"/>
    <w:lvl w:ilvl="0">
      <w:lvlJc w:val="left"/>
      <w:lvlText w:val="(%1)"/>
      <w:numFmt w:val="lowerLetter"/>
      <w:start w:val="2"/>
    </w:lvl>
  </w:abstractNum>
  <w:abstractNum w:abstractNumId="241">
    <w:nsid w:val="65D2A137"/>
    <w:multiLevelType w:val="hybridMultilevel"/>
    <w:lvl w:ilvl="0">
      <w:lvlJc w:val="left"/>
      <w:lvlText w:val="(%1)"/>
      <w:numFmt w:val="lowerLetter"/>
      <w:start w:val="4"/>
    </w:lvl>
  </w:abstractNum>
  <w:abstractNum w:abstractNumId="242">
    <w:nsid w:val="6EBB1F2A"/>
    <w:multiLevelType w:val="hybridMultilevel"/>
    <w:lvl w:ilvl="0">
      <w:lvlJc w:val="left"/>
      <w:lvlText w:val="(%1)"/>
      <w:numFmt w:val="lowerLetter"/>
      <w:start w:val="2"/>
    </w:lvl>
  </w:abstractNum>
  <w:abstractNum w:abstractNumId="243">
    <w:nsid w:val="6FBF29CB"/>
    <w:multiLevelType w:val="hybridMultilevel"/>
    <w:lvl w:ilvl="0">
      <w:lvlJc w:val="left"/>
      <w:lvlText w:val="(%1)"/>
      <w:numFmt w:val="decimal"/>
      <w:start w:val="702"/>
    </w:lvl>
  </w:abstractNum>
  <w:abstractNum w:abstractNumId="244">
    <w:nsid w:val="550B8808"/>
    <w:multiLevelType w:val="hybridMultilevel"/>
    <w:lvl w:ilvl="0">
      <w:lvlJc w:val="left"/>
      <w:lvlText w:val="(%1)"/>
      <w:numFmt w:val="decimal"/>
      <w:start w:val="310"/>
    </w:lvl>
  </w:abstractNum>
  <w:abstractNum w:abstractNumId="245">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6">
    <w:nsid w:val="4E556261"/>
    <w:multiLevelType w:val="hybridMultilevel"/>
    <w:lvl w:ilvl="0">
      <w:lvlJc w:val="left"/>
      <w:lvlText w:val="(%1)"/>
      <w:numFmt w:val="lowerRoman"/>
      <w:start w:val="5"/>
    </w:lvl>
  </w:abstractNum>
  <w:abstractNum w:abstractNumId="247">
    <w:nsid w:val="4C672FC9"/>
    <w:multiLevelType w:val="hybridMultilevel"/>
    <w:lvl w:ilvl="0">
      <w:lvlJc w:val="left"/>
      <w:lvlText w:val="(%1)"/>
      <w:numFmt w:val="lowerLetter"/>
      <w:start w:val="3"/>
    </w:lvl>
    <w:lvl w:ilvl="1">
      <w:lvlJc w:val="left"/>
      <w:lvlText w:val="(%2)"/>
      <w:numFmt w:val="lowerRoman"/>
      <w:start w:val="1"/>
    </w:lvl>
  </w:abstractNum>
  <w:abstractNum w:abstractNumId="248">
    <w:nsid w:val="52A311C3"/>
    <w:multiLevelType w:val="hybridMultilevel"/>
    <w:lvl w:ilvl="0">
      <w:lvlJc w:val="left"/>
      <w:lvlText w:val="(%1)"/>
      <w:numFmt w:val="lowerLetter"/>
      <w:start w:val="4"/>
    </w:lvl>
  </w:abstractNum>
  <w:abstractNum w:abstractNumId="249">
    <w:nsid w:val="44EF6B80"/>
    <w:multiLevelType w:val="hybridMultilevel"/>
    <w:lvl w:ilvl="0">
      <w:lvlJc w:val="left"/>
      <w:lvlText w:val="(%1)"/>
      <w:numFmt w:val="lowerLetter"/>
      <w:start w:val="7"/>
    </w:lvl>
    <w:lvl w:ilvl="1">
      <w:lvlJc w:val="left"/>
      <w:lvlText w:val="(%2)"/>
      <w:numFmt w:val="lowerRoman"/>
      <w:start w:val="1"/>
    </w:lvl>
  </w:abstractNum>
  <w:abstractNum w:abstractNumId="250">
    <w:nsid w:val="12FCDE5E"/>
    <w:multiLevelType w:val="hybridMultilevel"/>
    <w:lvl w:ilvl="0">
      <w:lvlJc w:val="left"/>
      <w:lvlText w:val="(%1)"/>
      <w:numFmt w:val="lowerLetter"/>
      <w:start w:val="8"/>
    </w:lvl>
  </w:abstractNum>
  <w:abstractNum w:abstractNumId="251">
    <w:nsid w:val="4A1D606E"/>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0"/>
    </w:lvl>
  </w:abstractNum>
  <w:abstractNum w:abstractNumId="252">
    <w:nsid w:val="4382503"/>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253">
    <w:nsid w:val="59B76E28"/>
    <w:multiLevelType w:val="hybridMultilevel"/>
    <w:lvl w:ilvl="0">
      <w:lvlJc w:val="left"/>
      <w:lvlText w:val="%1"/>
      <w:numFmt w:val="decimal"/>
      <w:start w:val="1"/>
    </w:lvl>
    <w:lvl w:ilvl="1">
      <w:lvlJc w:val="left"/>
      <w:lvlText w:val="(%2)"/>
      <w:numFmt w:val="lowerLetter"/>
      <w:start w:val="4"/>
    </w:lvl>
  </w:abstractNum>
  <w:abstractNum w:abstractNumId="254">
    <w:nsid w:val="4252C2DA"/>
    <w:multiLevelType w:val="hybridMultilevel"/>
    <w:lvl w:ilvl="0">
      <w:lvlJc w:val="left"/>
      <w:lvlText w:val="(%1)"/>
      <w:numFmt w:val="decimal"/>
      <w:start w:val="10"/>
    </w:lvl>
    <w:lvl w:ilvl="1">
      <w:lvlJc w:val="left"/>
      <w:lvlText w:val="(%2)"/>
      <w:numFmt w:val="lowerLetter"/>
      <w:start w:val="6"/>
    </w:lvl>
  </w:abstractNum>
  <w:abstractNum w:abstractNumId="255">
    <w:nsid w:val="6A92EF4C"/>
    <w:multiLevelType w:val="hybridMultilevel"/>
    <w:lvl w:ilvl="0">
      <w:lvlJc w:val="left"/>
      <w:lvlText w:val="(%1)"/>
      <w:numFmt w:val="lowerLetter"/>
      <w:start w:val="7"/>
    </w:lvl>
  </w:abstractNum>
  <w:abstractNum w:abstractNumId="256">
    <w:nsid w:val="41ED20D7"/>
    <w:multiLevelType w:val="hybridMultilevel"/>
    <w:lvl w:ilvl="0">
      <w:lvlJc w:val="left"/>
      <w:lvlText w:val="%1."/>
      <w:numFmt w:val="decimal"/>
      <w:start w:val="8"/>
    </w:lvl>
    <w:lvl w:ilvl="1">
      <w:lvlJc w:val="left"/>
      <w:lvlText w:val="(%2)"/>
      <w:numFmt w:val="lowerLetter"/>
      <w:start w:val="1"/>
    </w:lvl>
  </w:abstractNum>
  <w:abstractNum w:abstractNumId="257">
    <w:nsid w:val="E6B3F6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2"/>
    </w:lvl>
  </w:abstractNum>
  <w:abstractNum w:abstractNumId="258">
    <w:nsid w:val="3EB2181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59">
    <w:nsid w:val="41531DED"/>
    <w:multiLevelType w:val="hybridMultilevel"/>
    <w:lvl w:ilvl="0">
      <w:lvlJc w:val="left"/>
      <w:lvlText w:val="%1"/>
      <w:numFmt w:val="decimal"/>
      <w:start w:val="1"/>
    </w:lvl>
    <w:lvl w:ilvl="1">
      <w:lvlJc w:val="left"/>
      <w:lvlText w:val="(%2)"/>
      <w:numFmt w:val="lowerLetter"/>
      <w:start w:val="2"/>
    </w:lvl>
  </w:abstractNum>
  <w:abstractNum w:abstractNumId="260">
    <w:nsid w:val="6353CD2"/>
    <w:multiLevelType w:val="hybridMultilevel"/>
    <w:lvl w:ilvl="0">
      <w:lvlJc w:val="left"/>
      <w:lvlText w:val="%1."/>
      <w:numFmt w:val="decimal"/>
      <w:start w:val="10"/>
    </w:lvl>
    <w:lvl w:ilvl="1">
      <w:lvlJc w:val="left"/>
      <w:lvlText w:val="(%2)"/>
      <w:numFmt w:val="lowerLetter"/>
      <w:start w:val="1"/>
    </w:lvl>
  </w:abstractNum>
  <w:abstractNum w:abstractNumId="261">
    <w:nsid w:val="683CAAD3"/>
    <w:multiLevelType w:val="hybridMultilevel"/>
    <w:lvl w:ilvl="0">
      <w:lvlJc w:val="left"/>
      <w:lvlText w:val="%1"/>
      <w:numFmt w:val="decimal"/>
      <w:start w:val="1"/>
    </w:lvl>
    <w:lvl w:ilvl="1">
      <w:lvlJc w:val="left"/>
      <w:lvlText w:val="(%2)"/>
      <w:numFmt w:val="lowerLetter"/>
      <w:start w:val="2"/>
    </w:lvl>
  </w:abstractNum>
  <w:abstractNum w:abstractNumId="262">
    <w:nsid w:val="313C7C99"/>
    <w:multiLevelType w:val="hybridMultilevel"/>
    <w:lvl w:ilvl="0">
      <w:lvlJc w:val="left"/>
      <w:lvlText w:val="%1."/>
      <w:numFmt w:val="decimal"/>
      <w:start w:val="12"/>
    </w:lvl>
    <w:lvl w:ilvl="1">
      <w:lvlJc w:val="left"/>
      <w:lvlText w:val="%2"/>
      <w:numFmt w:val="lowerLetter"/>
      <w:start w:val="1"/>
    </w:lvl>
  </w:abstractNum>
  <w:abstractNum w:abstractNumId="263">
    <w:nsid w:val="519EB94C"/>
    <w:multiLevelType w:val="hybridMultilevel"/>
    <w:lvl w:ilvl="0">
      <w:lvlJc w:val="left"/>
      <w:lvlText w:val="%1."/>
      <w:numFmt w:val="decimal"/>
      <w:start w:val="18"/>
    </w:lvl>
  </w:abstractNum>
  <w:abstractNum w:abstractNumId="264">
    <w:nsid w:val="39DF2579"/>
    <w:multiLevelType w:val="hybridMultilevel"/>
    <w:lvl w:ilvl="0">
      <w:lvlJc w:val="left"/>
      <w:lvlText w:val="%1."/>
      <w:numFmt w:val="decimal"/>
      <w:start w:val="19"/>
    </w:lvl>
  </w:abstractNum>
  <w:abstractNum w:abstractNumId="265">
    <w:nsid w:val="126E008B"/>
    <w:multiLevelType w:val="hybridMultilevel"/>
    <w:lvl w:ilvl="0">
      <w:lvlJc w:val="left"/>
      <w:lvlText w:val="(%1)"/>
      <w:numFmt w:val="lowerLetter"/>
      <w:start w:val="1"/>
    </w:lvl>
  </w:abstractNum>
  <w:abstractNum w:abstractNumId="266">
    <w:nsid w:val="34DFBC00"/>
    <w:multiLevelType w:val="hybridMultilevel"/>
    <w:lvl w:ilvl="0">
      <w:lvlJc w:val="left"/>
      <w:lvlText w:val="(%1)"/>
      <w:numFmt w:val="lowerLetter"/>
      <w:start w:val="2"/>
    </w:lvl>
  </w:abstractNum>
  <w:abstractNum w:abstractNumId="267">
    <w:nsid w:val="1F9EC322"/>
    <w:multiLevelType w:val="hybridMultilevel"/>
    <w:lvl w:ilvl="0">
      <w:lvlJc w:val="left"/>
      <w:lvlText w:val="(%1)"/>
      <w:numFmt w:val="lowerLetter"/>
      <w:start w:val="4"/>
    </w:lvl>
  </w:abstractNum>
  <w:abstractNum w:abstractNumId="268">
    <w:nsid w:val="3410ED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9">
    <w:nsid w:val="23C049A"/>
    <w:multiLevelType w:val="hybridMultilevel"/>
    <w:lvl w:ilvl="0">
      <w:lvlJc w:val="left"/>
      <w:lvlText w:val="(%1)"/>
      <w:numFmt w:val="lowerRoman"/>
      <w:start w:val="4"/>
    </w:lvl>
  </w:abstractNum>
  <w:abstractNum w:abstractNumId="270">
    <w:nsid w:val="5BDA35D4"/>
    <w:multiLevelType w:val="hybridMultilevel"/>
    <w:lvl w:ilvl="0">
      <w:lvlJc w:val="left"/>
      <w:lvlText w:val="(%1)"/>
      <w:numFmt w:val="lowerLetter"/>
      <w:start w:val="4"/>
    </w:lvl>
    <w:lvl w:ilvl="1">
      <w:lvlJc w:val="left"/>
      <w:lvlText w:val="(%2)"/>
      <w:numFmt w:val="lowerRoman"/>
      <w:start w:val="1"/>
    </w:lvl>
  </w:abstractNum>
  <w:abstractNum w:abstractNumId="271">
    <w:nsid w:val="496FB218"/>
    <w:multiLevelType w:val="hybridMultilevel"/>
    <w:lvl w:ilvl="0">
      <w:lvlJc w:val="left"/>
      <w:lvlText w:val="(%1)"/>
      <w:numFmt w:val="upperLetter"/>
      <w:start w:val="1"/>
    </w:lvl>
  </w:abstractNum>
  <w:abstractNum w:abstractNumId="272">
    <w:nsid w:val="680EA5D1"/>
    <w:multiLevelType w:val="hybridMultilevel"/>
    <w:lvl w:ilvl="0">
      <w:lvlJc w:val="left"/>
      <w:lvlText w:val="(%1)"/>
      <w:numFmt w:val="upperLetter"/>
      <w:start w:val="3"/>
    </w:lvl>
  </w:abstractNum>
  <w:abstractNum w:abstractNumId="273">
    <w:nsid w:val="4A9554FE"/>
    <w:multiLevelType w:val="hybridMultilevel"/>
    <w:lvl w:ilvl="0">
      <w:lvlJc w:val="left"/>
      <w:lvlText w:val="(%1)"/>
      <w:numFmt w:val="lowerLetter"/>
      <w:start w:val="5"/>
    </w:lvl>
    <w:lvl w:ilvl="1">
      <w:lvlJc w:val="left"/>
      <w:lvlText w:val="(%2)"/>
      <w:numFmt w:val="lowerRoman"/>
      <w:start w:val="1"/>
    </w:lvl>
  </w:abstractNum>
  <w:abstractNum w:abstractNumId="274">
    <w:nsid w:val="392EDBE4"/>
    <w:multiLevelType w:val="hybridMultilevel"/>
    <w:lvl w:ilvl="0">
      <w:lvlJc w:val="left"/>
      <w:lvlText w:val="(%1)"/>
      <w:numFmt w:val="lowerRoman"/>
      <w:start w:val="5"/>
    </w:lvl>
  </w:abstractNum>
  <w:abstractNum w:abstractNumId="275">
    <w:nsid w:val="3D1A2DD9"/>
    <w:multiLevelType w:val="hybridMultilevel"/>
    <w:lvl w:ilvl="0">
      <w:lvlJc w:val="left"/>
      <w:lvlText w:val="(%1)"/>
      <w:numFmt w:val="lowerLetter"/>
      <w:start w:val="8"/>
    </w:lvl>
  </w:abstractNum>
  <w:abstractNum w:abstractNumId="276">
    <w:nsid w:val="7F618FCD"/>
    <w:multiLevelType w:val="hybridMultilevel"/>
    <w:lvl w:ilvl="0">
      <w:lvlJc w:val="left"/>
      <w:lvlText w:val="%1"/>
      <w:numFmt w:val="decimal"/>
      <w:start w:val="1"/>
    </w:lvl>
    <w:lvl w:ilvl="1">
      <w:lvlJc w:val="left"/>
      <w:lvlText w:val="(%2)"/>
      <w:numFmt w:val="lowerLetter"/>
      <w:start w:val="10"/>
    </w:lvl>
  </w:abstractNum>
  <w:abstractNum w:abstractNumId="277">
    <w:nsid w:val="7843E45"/>
    <w:multiLevelType w:val="hybridMultilevel"/>
    <w:lvl w:ilvl="0">
      <w:lvlJc w:val="left"/>
      <w:lvlText w:val="%1."/>
      <w:numFmt w:val="decimal"/>
      <w:start w:val="2"/>
    </w:lvl>
    <w:lvl w:ilvl="1">
      <w:lvlJc w:val="left"/>
      <w:lvlText w:val="(%2)"/>
      <w:numFmt w:val="lowerLetter"/>
      <w:start w:val="1"/>
    </w:lvl>
  </w:abstractNum>
  <w:abstractNum w:abstractNumId="278">
    <w:nsid w:val="9815DA3"/>
    <w:multiLevelType w:val="hybridMultilevel"/>
    <w:lvl w:ilvl="0">
      <w:lvlJc w:val="left"/>
      <w:lvlText w:val="%1"/>
      <w:numFmt w:val="decimal"/>
      <w:start w:val="1"/>
    </w:lvl>
    <w:lvl w:ilvl="1">
      <w:lvlJc w:val="left"/>
      <w:lvlText w:val="(%2)"/>
      <w:numFmt w:val="lowerLetter"/>
      <w:start w:val="2"/>
    </w:lvl>
  </w:abstractNum>
  <w:abstractNum w:abstractNumId="279">
    <w:nsid w:val="5204A191"/>
    <w:multiLevelType w:val="hybridMultilevel"/>
    <w:lvl w:ilvl="0">
      <w:lvlJc w:val="left"/>
      <w:lvlText w:val="(%1)"/>
      <w:numFmt w:val="decimal"/>
      <w:start w:val="10"/>
    </w:lvl>
    <w:lvl w:ilvl="1">
      <w:lvlJc w:val="left"/>
      <w:lvlText w:val="%2"/>
      <w:numFmt w:val="lowerLetter"/>
      <w:start w:val="1"/>
    </w:lvl>
  </w:abstractNum>
  <w:abstractNum w:abstractNumId="280">
    <w:nsid w:val="4C73A9C6"/>
    <w:multiLevelType w:val="hybridMultilevel"/>
    <w:lvl w:ilvl="0">
      <w:lvlJc w:val="left"/>
      <w:lvlText w:val="(%1)"/>
      <w:numFmt w:val="lowerLetter"/>
      <w:start w:val="6"/>
    </w:lvl>
  </w:abstractNum>
  <w:abstractNum w:abstractNumId="281">
    <w:nsid w:val="1C7E3C01"/>
    <w:multiLevelType w:val="hybridMultilevel"/>
    <w:lvl w:ilvl="0">
      <w:lvlJc w:val="left"/>
      <w:lvlText w:val="%1."/>
      <w:numFmt w:val="decimal"/>
      <w:start w:val="8"/>
    </w:lvl>
    <w:lvl w:ilvl="1">
      <w:lvlJc w:val="left"/>
      <w:lvlText w:val="(%2)"/>
      <w:numFmt w:val="lowerLetter"/>
      <w:start w:val="1"/>
    </w:lvl>
  </w:abstractNum>
  <w:abstractNum w:abstractNumId="282">
    <w:nsid w:val="1C2201FF"/>
    <w:multiLevelType w:val="hybridMultilevel"/>
    <w:lvl w:ilvl="0">
      <w:lvlJc w:val="left"/>
      <w:lvlText w:val="(%1)"/>
      <w:numFmt w:val="lowerLetter"/>
      <w:start w:val="5"/>
    </w:lvl>
  </w:abstractNum>
  <w:abstractNum w:abstractNumId="283">
    <w:nsid w:val="50ABCEC9"/>
    <w:multiLevelType w:val="hybridMultilevel"/>
    <w:lvl w:ilvl="0">
      <w:lvlJc w:val="left"/>
      <w:lvlText w:val="%1"/>
      <w:numFmt w:val="decimal"/>
      <w:start w:val="1"/>
    </w:lvl>
    <w:lvl w:ilvl="1">
      <w:lvlJc w:val="left"/>
      <w:lvlText w:val="(%2)"/>
      <w:numFmt w:val="lowerLetter"/>
      <w:start w:val="6"/>
    </w:lvl>
  </w:abstractNum>
  <w:abstractNum w:abstractNumId="284">
    <w:nsid w:val="7635AA2A"/>
    <w:multiLevelType w:val="hybridMultilevel"/>
    <w:lvl w:ilvl="0">
      <w:lvlJc w:val="left"/>
      <w:lvlText w:val="%1."/>
      <w:numFmt w:val="decimal"/>
      <w:start w:val="9"/>
    </w:lvl>
    <w:lvl w:ilvl="1">
      <w:lvlJc w:val="left"/>
      <w:lvlText w:val="(%2)"/>
      <w:numFmt w:val="lowerLetter"/>
      <w:start w:val="1"/>
    </w:lvl>
  </w:abstractNum>
  <w:abstractNum w:abstractNumId="285">
    <w:nsid w:val="5E74C4D9"/>
    <w:multiLevelType w:val="hybridMultilevel"/>
    <w:lvl w:ilvl="0">
      <w:lvlJc w:val="left"/>
      <w:lvlText w:val="(%1)"/>
      <w:numFmt w:val="lowerLetter"/>
      <w:start w:val="3"/>
    </w:lvl>
    <w:lvl w:ilvl="1">
      <w:lvlJc w:val="left"/>
      <w:lvlText w:val="%2."/>
      <w:numFmt w:val="decimal"/>
      <w:start w:val="11"/>
    </w:lvl>
    <w:lvl w:ilvl="2">
      <w:lvlJc w:val="left"/>
      <w:lvlText w:val="(%3)"/>
      <w:numFmt w:val="lowerLetter"/>
      <w:start w:val="1"/>
    </w:lvl>
  </w:abstractNum>
  <w:abstractNum w:abstractNumId="286">
    <w:nsid w:val="3B3EBE15"/>
    <w:multiLevelType w:val="hybridMultilevel"/>
    <w:lvl w:ilvl="0">
      <w:lvlJc w:val="left"/>
      <w:lvlText w:val="%1."/>
      <w:numFmt w:val="decimal"/>
      <w:start w:val="16"/>
    </w:lvl>
  </w:abstractNum>
  <w:abstractNum w:abstractNumId="287">
    <w:nsid w:val="3822CB01"/>
    <w:multiLevelType w:val="hybridMultilevel"/>
    <w:lvl w:ilvl="0">
      <w:lvlJc w:val="left"/>
      <w:lvlText w:val="%1."/>
      <w:numFmt w:val="decimal"/>
      <w:start w:val="17"/>
    </w:lvl>
  </w:abstractNum>
  <w:abstractNum w:abstractNumId="288">
    <w:nsid w:val="6CE00443"/>
    <w:multiLevelType w:val="hybridMultilevel"/>
    <w:lvl w:ilvl="0">
      <w:lvlJc w:val="left"/>
      <w:lvlText w:val="%1."/>
      <w:numFmt w:val="decimal"/>
      <w:start w:val="18"/>
    </w:lvl>
  </w:abstractNum>
  <w:abstractNum w:abstractNumId="289">
    <w:nsid w:val="79F0D62F"/>
    <w:multiLevelType w:val="hybridMultilevel"/>
    <w:lvl w:ilvl="0">
      <w:lvlJc w:val="left"/>
      <w:lvlText w:val="(%1)"/>
      <w:numFmt w:val="lowerLetter"/>
      <w:start w:val="1"/>
    </w:lvl>
  </w:abstractNum>
  <w:abstractNum w:abstractNumId="290">
    <w:nsid w:val="7975E8EE"/>
    <w:multiLevelType w:val="hybridMultilevel"/>
    <w:lvl w:ilvl="0">
      <w:lvlJc w:val="left"/>
      <w:lvlText w:val="(%1)"/>
      <w:numFmt w:val="lowerLetter"/>
      <w:start w:val="2"/>
    </w:lvl>
  </w:abstractNum>
  <w:abstractNum w:abstractNumId="291">
    <w:nsid w:val="73154115"/>
    <w:multiLevelType w:val="hybridMultilevel"/>
    <w:lvl w:ilvl="0">
      <w:lvlJc w:val="left"/>
      <w:lvlText w:val="(%1)"/>
      <w:numFmt w:val="lowerLetter"/>
      <w:start w:val="4"/>
    </w:lvl>
  </w:abstractNum>
  <w:abstractNum w:abstractNumId="292">
    <w:nsid w:val="622D810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2019-12-15T05:50:30Z</dcterms:created>
  <dcterms:modified xsi:type="dcterms:W3CDTF">2019-12-15T05:50:30Z</dcterms:modified>
</cp:coreProperties>
</file>