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170180</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63500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August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83820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72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920" w:type="dxa"/>
            <w:vAlign w:val="bottom"/>
          </w:tcPr>
          <w:p>
            <w:pPr>
              <w:spacing w:after="0"/>
              <w:rPr>
                <w:sz w:val="19"/>
                <w:szCs w:val="19"/>
                <w:color w:val="auto"/>
              </w:rPr>
            </w:pPr>
          </w:p>
        </w:tc>
      </w:tr>
      <w:tr>
        <w:trPr>
          <w:trHeight w:val="145"/>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860" w:type="dxa"/>
            <w:vAlign w:val="bottom"/>
          </w:tcPr>
          <w:p>
            <w:pPr>
              <w:spacing w:after="0"/>
              <w:rPr>
                <w:sz w:val="16"/>
                <w:szCs w:val="16"/>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20" w:type="dxa"/>
            <w:vAlign w:val="bottom"/>
          </w:tcPr>
          <w:p>
            <w:pPr>
              <w:spacing w:after="0"/>
              <w:rPr>
                <w:sz w:val="16"/>
                <w:szCs w:val="16"/>
                <w:color w:val="auto"/>
              </w:rPr>
            </w:pPr>
          </w:p>
        </w:tc>
        <w:tc>
          <w:tcPr>
            <w:tcW w:w="32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7"/>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89109</w:t>
            </w:r>
          </w:p>
        </w:tc>
        <w:tc>
          <w:tcPr>
            <w:tcW w:w="920" w:type="dxa"/>
            <w:vAlign w:val="bottom"/>
          </w:tcPr>
          <w:p>
            <w:pPr>
              <w:spacing w:after="0"/>
              <w:rPr>
                <w:sz w:val="19"/>
                <w:szCs w:val="19"/>
                <w:color w:val="auto"/>
              </w:rPr>
            </w:pPr>
          </w:p>
        </w:tc>
      </w:tr>
      <w:tr>
        <w:trPr>
          <w:trHeight w:val="185"/>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7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380" w:type="dxa"/>
            <w:vAlign w:val="bottom"/>
            <w:gridSpan w:val="5"/>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0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900" w:type="dxa"/>
            <w:vAlign w:val="bottom"/>
            <w:gridSpan w:val="6"/>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r>
        <w:trPr>
          <w:trHeight w:val="37"/>
        </w:trPr>
        <w:tc>
          <w:tcPr>
            <w:tcW w:w="8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558"/>
        </w:trPr>
        <w:tc>
          <w:tcPr>
            <w:tcW w:w="7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1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6"/>
              </w:rPr>
              <w:t>WYNN</w:t>
            </w:r>
          </w:p>
        </w:tc>
        <w:tc>
          <w:tcPr>
            <w:tcW w:w="41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7"/>
              </w:rPr>
              <w:t>Nasdaq Global Select Market</w:t>
            </w: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24"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4"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2"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669290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203"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On August 9, 2022, Wynn Resorts, Limited issued a press release announcing its results of operations for the quarter ended June 30, 2022.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18"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2.02 of this report is incorporated herein by reference.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03"/>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23"/>
                <w:szCs w:val="23"/>
                <w:color w:val="auto"/>
              </w:rPr>
            </w:pPr>
          </w:p>
        </w:tc>
        <w:tc>
          <w:tcPr>
            <w:tcW w:w="4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Press release, dated August 9, 2022, of Wynn Resorts, Limited.</w:t>
            </w:r>
          </w:p>
        </w:tc>
        <w:tc>
          <w:tcPr>
            <w:tcW w:w="5440" w:type="dxa"/>
            <w:vAlign w:val="bottom"/>
          </w:tcPr>
          <w:p>
            <w:pPr>
              <w:spacing w:after="0"/>
              <w:rPr>
                <w:sz w:val="23"/>
                <w:szCs w:val="23"/>
                <w:color w:val="auto"/>
              </w:rPr>
            </w:pPr>
          </w:p>
        </w:tc>
      </w:tr>
      <w:tr>
        <w:trPr>
          <w:trHeight w:val="24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1"/>
                <w:szCs w:val="21"/>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191"/>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ectPr>
          <w:pgSz w:w="11900" w:h="16838" w:orient="portrait"/>
          <w:cols w:equalWidth="0" w:num="1">
            <w:col w:w="11240"/>
          </w:cols>
          <w:pgMar w:left="320" w:top="869" w:right="339" w:bottom="1440" w:gutter="0" w:footer="0" w:header="0"/>
        </w:sectPr>
      </w:pP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Dated: August 9, 2022</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Julie Cameron-Doe</w:t>
      </w:r>
    </w:p>
    <w:p>
      <w:pPr>
        <w:spacing w:after="0" w:line="44" w:lineRule="exact"/>
        <w:rPr>
          <w:sz w:val="20"/>
          <w:szCs w:val="20"/>
          <w:color w:val="auto"/>
        </w:rPr>
      </w:pPr>
    </w:p>
    <w:p>
      <w:pPr>
        <w:sectPr>
          <w:pgSz w:w="11900" w:h="16838" w:orient="portrait"/>
          <w:cols w:equalWidth="0" w:num="2">
            <w:col w:w="6160" w:space="720"/>
            <w:col w:w="4360"/>
          </w:cols>
          <w:pgMar w:left="320" w:top="869" w:right="339" w:bottom="1440" w:gutter="0" w:footer="0" w:header="0"/>
          <w:type w:val="continuous"/>
        </w:sectPr>
      </w:pPr>
    </w:p>
    <w:p>
      <w:pPr>
        <w:ind w:left="7000"/>
        <w:spacing w:after="0"/>
        <w:rPr>
          <w:sz w:val="20"/>
          <w:szCs w:val="20"/>
          <w:color w:val="auto"/>
        </w:rPr>
      </w:pPr>
      <w:r>
        <w:rPr>
          <w:rFonts w:ascii="Times New Roman" w:cs="Times New Roman" w:eastAsia="Times New Roman" w:hAnsi="Times New Roman"/>
          <w:sz w:val="18"/>
          <w:szCs w:val="18"/>
          <w:color w:val="auto"/>
        </w:rPr>
        <w:t>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4758055</wp:posOffset>
            </wp:positionH>
            <wp:positionV relativeFrom="paragraph">
              <wp:posOffset>-130175</wp:posOffset>
            </wp:positionV>
            <wp:extent cx="2442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ind w:left="7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ectPr>
          <w:pgSz w:w="11900" w:h="16838" w:orient="portrait"/>
          <w:cols w:equalWidth="0" w:num="1">
            <w:col w:w="11240"/>
          </w:cols>
          <w:pgMar w:left="320" w:top="869" w:right="339" w:bottom="1440" w:gutter="0" w:footer="0" w:header="0"/>
          <w:type w:val="continuous"/>
        </w:sectPr>
      </w:pPr>
    </w:p>
    <w:bookmarkStart w:id="3" w:name="page4"/>
    <w:bookmarkEnd w:id="3"/>
    <w:p>
      <w:pPr>
        <w:ind w:left="1034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Reports Second Quarter 2022 Results</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LAS VEGAS, August 9, 2022 — Wynn Resorts, Limited (NASDAQ: WYNN) (the "Company") today reported financial results for the second quarter ended June 30, 2022.</w:t>
      </w:r>
    </w:p>
    <w:p>
      <w:pPr>
        <w:spacing w:after="0" w:line="19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Operating revenues were $908.8 million for the second quarter of 2022, a decrease of $81.3 million, from $990.1 million for the second quarter of 2021. Net loss attributable to Wynn Resorts, Limited was $130.1 million, or $1.14 per diluted share, for the second quarter of 2022, compared to net loss attributable to Wynn Resorts, Limited of $131.4 million, or $1.15 per diluted share, in the second quarter of 2021. Adjusted Property EBITDA</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was $179.2 million for the second quarter of 2022, compared to Adjusted Property EBITDA of $206.9 million in the second quarter of 2021.</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second quarter financial results reflect continued strength at both Wynn Las Vegas and Encore Boston Harbor. Our teams' ongoing focus on five-star hospitality and new experiences at our market-leading properties combined with very strong customer demand drove a new all-time quarterly record for Adjusted Property EBITDA at Wynn Las Vegas and a second quarter record at Encore Boston Harbor," said Craig Billings, CEO of Wynn Resorts, Limited. "In Macau, while COVID-related travel restrictions continued to impact our results, we remain confident that the market will benefit from the return of visitation over time."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revenues were $908.8 million for the second quarter of 2022, a decrease of $81.3 million, from $990.1 million for the second quarter of 2021. For the second quarter of 2022, operating revenues increased $206.0 million and $44.9 million at our Las Vegas Operations and Encore Boston Harbor, respectively, and decreased $211.7 million and $125.4 million at Wynn Palace and Wynn Macau, respectively, from the second quarter of 2021.</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Net loss attributable to Wynn Resorts, Limited was $130.1 million, or $1.14 per diluted share, for the second quarter of 2022, compared to net loss attributable to Wynn Resorts, Limited of $131.4 million, or $1.15 per diluted share, in the second quarter of 2021. Adjusted net loss attributable to Wynn Resorts, Limited</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was $93.7 million, or $0.82 per diluted share, for the second quarter of 2022, compared to adjusted net loss attributable to Wynn Resorts, Limited of $128.7 million, or $1.12 per diluted share, for the second quarter of 2021.</w:t>
      </w:r>
    </w:p>
    <w:p>
      <w:pPr>
        <w:spacing w:after="0" w:line="22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Adjusted Property EBITDA was $179.2 million for the second quarter of 2022, compared to Adjusted Property EBITDA of $206.9 million in the second quarter of 2021. For the second quarter of 2022, Adjusted Property EBITDA increased $93.5 million and $16.8 million at our Las Vegas Operations and Encore Boston Harbor, respectively, and decreased $103.5 million and $54.5 million at Wynn Palace and Wynn Macau, respectively, from the second quarter of 2021.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Results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Macau Operations</w:t>
      </w:r>
    </w:p>
    <w:p>
      <w:pPr>
        <w:spacing w:after="0" w:line="2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results of operations of our Macau Operations for the second quarter of 2022 continued to be negatively impacted by certain travel-related restrictions and conditions, including COVID-19 testing and other mitigation procedures, related to the COVID-19 pandemic.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Palace</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revenues from Wynn Palace were $58.7 million for the second quarter of 2022, a decrease of $211.7 million from $270.4 million for the second quarter of 2021. Adjusted Property EBITDA from Wynn Palace was $(50.0) million for the second quarter of 2022, compared to $53.6 million for the second quarter of 2021. VIP table games loss as a percentage of turnover was (1.94)%, below the property's expected range of 3.1% to 3.4% and below the 3.95% experienced in the second quarter of 2021. Table games win percentage in mass market operations was 19.7%, below the 23.1% experienced in the second quarter of 2021.</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revenues from Wynn Macau were $58.6 million for the second quarter of 2022, a decrease of $125.4 million from $184.0 million for the second quarter of 2021. Adjusted Property EBITDA from Wynn Macau was $(40.4) million for the second quarter of 2022, compared to $14.1 million for the second quarter of 2021. VIP table games win as a percentage of turnover was 4.79%, above the property's expected range of 3.1% to 3.4% and above the 2.64% experienced in the second quarter of 2021. Table games win percentage in mass market operations was 14.1%, below the 19.2% experienced in the second quarter of 2021.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Las Vegas Operations</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revenues from our Las Vegas Operations were $561.1 million for the second quarter of 2022, an increase of $206.0 million from $355.1 million for the second quarter of 2021. Adjusted Property EBITDA from our Las Vegas Operations for the second quarter of 2022 was $226.7 million, compared to $133.2 million for the second quarter of 2021. Table games win percentage for the second quarter of 2022 was 24.6%, within the property's expected range of 22% to 26% and above the 23.2% experienced in the second quarter of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Encore Boston Harbor</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revenues from Encore Boston Harbor were $210.2 million for the second quarter of 2022, an increase of $44.9 million from $165.2 million for the second quarter of 2021. Adjusted Property EBITDA from Encore Boston Harbor for the second quarter of 2022 was $63.7 million, compared to $46.9 million for the second quarter of 2021. Table games win percentage for the second quarter of 2022 was 21.9%, within the property's expected range of 18% to 22% and above the 21.2% experienced in the second quarter of 2021.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cash and cash equivalents as of June 30, 2022 totaled $2.01 billion, comprised of approximately $1.11 billion held by Wynn Macau, Limited ("WML") and subsidiaries, approximately $419.6 million held by Wynn Resorts Finance excluding WML and subsidiaries, and approximately $488.2 million at Corporate and other.</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 of June 30, 2022, the available borrowing capacity under the Wynn Resorts Finance Revolver and WM Cayman II Revolver was $835.6 million and $211.5 million, respectively.</w:t>
      </w:r>
    </w:p>
    <w:p>
      <w:pPr>
        <w:spacing w:after="0" w:line="1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Total current and long-term debt outstanding at June 30, 2022 was $11.91 billion, comprised of $5.97 billion of Macau related debt, $3.13 billion of Wynn Las Vegas debt, $2.20 billion of Wynn Resorts Finance debt, and $613.2 million of debt held by the retail joint venture which we consolidate.</w:t>
      </w:r>
    </w:p>
    <w:p>
      <w:pPr>
        <w:spacing w:after="0" w:line="1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the second quarter of 2022, the Company repurchased 2,381,928 shares of its common stock at an average price of $57.70 per share, for an aggregate cost of $137.4 million.</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first quarter of 2022, the Company entered into a sale-leaseback arrangement with respect to certain real estate assets related to Encore Boston Harbor. Upon closing of the related transactions, currently expected to take place in the fourth quarter of 2022 subject to regulatory approvals and customary closing conditions, we expect to receive cash consideration of approximately $1.7 billion and to concurrently enter into a lease agreement for the purpose of continuing to operate the Encore Boston Harbor property. We expect to use the cash proceeds from the sale of the real estate assets for general corporate purposes, which may include the repayment of certain debt obligations.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Other Information</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will hold a conference call to discuss its results, including the results of Wynn Resorts Finance, LLC and Wynn Las Vegas, LLC, on August 9, 2022 at 2:00 p.m. PT (5:00 p.m. ET). Interested parties are invited to join the call by accessing a live audio webcast at http://www.wynnresorts.com.</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or before August 12, 2022, the Company will make Wynn Resorts Finance, LLC and Wynn Las Vegas, LLC financial information for the quarter ended June 30, 2022 available to noteholders, prospective investors, broker-dealers and securities analysts. Please contact our investor relations office at 702-770-7555 or at investorrelations@wynnresorts.com, to obtain access to such financial information.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the COVID-19 pandemic, and the continued impact of its consequences, extensive regulation of our business, pending or future legal proceedings, ability to maintain gaming licenses and concessions (including with respect to our ability to extend or renew our gaming concession in Macau, which expires on December 31, 2022, and the amendments to the Macau gaming law),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2021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 except as required by law.</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42" w:lineRule="exact"/>
        <w:rPr>
          <w:sz w:val="20"/>
          <w:szCs w:val="20"/>
          <w:color w:val="auto"/>
        </w:rPr>
      </w:pPr>
    </w:p>
    <w:p>
      <w:pPr>
        <w:jc w:val="both"/>
        <w:ind w:firstLine="5"/>
        <w:spacing w:after="0" w:line="245" w:lineRule="auto"/>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We use Adjusted Property EBITDA to manage the operating results of our segments.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loss,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23" w:lineRule="exact"/>
        <w:rPr>
          <w:rFonts w:ascii="Times New Roman" w:cs="Times New Roman" w:eastAsia="Times New Roman" w:hAnsi="Times New Roman"/>
          <w:sz w:val="18"/>
          <w:szCs w:val="18"/>
          <w:color w:val="auto"/>
        </w:rPr>
      </w:pPr>
    </w:p>
    <w:p>
      <w:pPr>
        <w:jc w:val="both"/>
        <w:ind w:firstLine="5"/>
        <w:spacing w:after="0" w:line="247" w:lineRule="auto"/>
        <w:tabs>
          <w:tab w:leader="none" w:pos="2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attributable to Wynn Resorts, Limited" is net loss attributable to Wynn Resorts, Limited before pre-opening expenses, property charges and other, change in derivatives fair value, loss on extinguishment of debt, and foreign currency remeasurement and other, net of noncontrolling interests. Adjusted net loss attributable to Wynn Resorts, Limited and adjusted net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loss and loss per share computed in accordance with GAAP, as an additional basis for assessing period-to-period results of our business. Adjusted net loss attributable to Wynn Resorts, Limited and adjusted net loss attributable to Wynn Resorts, Limited per diluted share may be different from the calculation methods used by other companies and, therefore, comparability may be limited.</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included schedules in the tables that accompany this release that reconcile (i) net loss attributable to Wynn Resorts, Limited to adjusted net loss attributable to Wynn Resorts, Limited, (ii) operating income (loss) to Adjusted Property EBITDA, and (iii) net loss attributable to Wynn Resorts, Limited to Adjusted Property EBITDA.</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6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22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4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0"/>
        </w:trPr>
        <w:tc>
          <w:tcPr>
            <w:tcW w:w="480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16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359,585</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602,746</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849,447</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1,118,964</w:t>
            </w:r>
          </w:p>
        </w:tc>
      </w:tr>
      <w:tr>
        <w:trPr>
          <w:trHeight w:val="22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213,955</w:t>
            </w: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217,651</w:t>
            </w:r>
          </w:p>
        </w:tc>
      </w:tr>
      <w:tr>
        <w:trPr>
          <w:trHeight w:val="22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118,133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237,209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176,225</w:t>
            </w:r>
          </w:p>
        </w:tc>
      </w:tr>
      <w:tr>
        <w:trPr>
          <w:trHeight w:val="217"/>
        </w:trPr>
        <w:tc>
          <w:tcPr>
            <w:tcW w:w="48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1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908,832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990,113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1,862,166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1,726,795</w:t>
            </w:r>
          </w:p>
        </w:tc>
      </w:tr>
      <w:tr>
        <w:trPr>
          <w:trHeight w:val="204"/>
        </w:trPr>
        <w:tc>
          <w:tcPr>
            <w:tcW w:w="48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733,581</w:t>
            </w:r>
          </w:p>
        </w:tc>
      </w:tr>
      <w:tr>
        <w:trPr>
          <w:trHeight w:val="22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84,087</w:t>
            </w: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191,054</w:t>
            </w:r>
          </w:p>
        </w:tc>
      </w:tr>
      <w:tr>
        <w:trPr>
          <w:trHeight w:val="22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154,381</w:t>
            </w: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377,319</w:t>
            </w:r>
          </w:p>
        </w:tc>
      </w:tr>
      <w:tr>
        <w:trPr>
          <w:trHeight w:val="224"/>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r>
      <w:tr>
        <w:trPr>
          <w:trHeight w:val="22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368,428</w:t>
            </w:r>
          </w:p>
        </w:tc>
      </w:tr>
      <w:tr>
        <w:trPr>
          <w:trHeight w:val="224"/>
        </w:trPr>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72,629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11,268</w:t>
            </w:r>
          </w:p>
        </w:tc>
      </w:tr>
      <w:tr>
        <w:trPr>
          <w:trHeight w:val="217"/>
        </w:trPr>
        <w:tc>
          <w:tcPr>
            <w:tcW w:w="4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3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960,860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1,019,634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2,009,059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1,932,048</w:t>
            </w:r>
          </w:p>
        </w:tc>
      </w:tr>
      <w:tr>
        <w:trPr>
          <w:trHeight w:val="217"/>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(52,028)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(146,893)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(205,253)</w:t>
            </w:r>
          </w:p>
        </w:tc>
      </w:tr>
      <w:tr>
        <w:trPr>
          <w:trHeight w:val="204"/>
        </w:trPr>
        <w:tc>
          <w:tcPr>
            <w:tcW w:w="48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2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(303,276)</w:t>
            </w: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r>
      <w:tr>
        <w:trPr>
          <w:trHeight w:val="22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24"/>
        </w:trPr>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w:t>
            </w:r>
          </w:p>
        </w:tc>
      </w:tr>
      <w:tr>
        <w:trPr>
          <w:trHeight w:val="217"/>
        </w:trPr>
        <w:tc>
          <w:tcPr>
            <w:tcW w:w="4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3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(160,676)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(143,179)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(319,281)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(303,133)</w:t>
            </w:r>
          </w:p>
        </w:tc>
      </w:tr>
      <w:tr>
        <w:trPr>
          <w:trHeight w:val="21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(212,704)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(172,700)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(466,174)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(508,386)</w:t>
            </w:r>
          </w:p>
        </w:tc>
      </w:tr>
      <w:tr>
        <w:trPr>
          <w:trHeight w:val="22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1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(213,422)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(173,397)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(468,032)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(509,576)</w:t>
            </w:r>
          </w:p>
        </w:tc>
      </w:tr>
      <w:tr>
        <w:trPr>
          <w:trHeight w:val="22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97,229</w:t>
            </w:r>
          </w:p>
        </w:tc>
      </w:tr>
      <w:tr>
        <w:trPr>
          <w:trHeight w:val="21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Wynn Resorts, Limited</w:t>
            </w:r>
          </w:p>
        </w:tc>
        <w:tc>
          <w:tcPr>
            <w:tcW w:w="138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(130,051)</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(131,369)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(313,375)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(412,347)</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0"/>
        </w:trPr>
        <w:tc>
          <w:tcPr>
            <w:tcW w:w="480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Wynn Resorts, Limited:</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4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166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4"/>
        </w:trPr>
        <w:tc>
          <w:tcPr>
            <w:tcW w:w="4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16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4"/>
        </w:trPr>
        <w:tc>
          <w:tcPr>
            <w:tcW w:w="4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114,749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112,792</w:t>
            </w:r>
          </w:p>
        </w:tc>
      </w:tr>
      <w:tr>
        <w:trPr>
          <w:trHeight w:val="224"/>
        </w:trPr>
        <w:tc>
          <w:tcPr>
            <w:tcW w:w="4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112,792</w:t>
            </w:r>
          </w:p>
        </w:tc>
      </w:tr>
      <w:tr>
        <w:trPr>
          <w:trHeight w:val="842"/>
        </w:trPr>
        <w:tc>
          <w:tcPr>
            <w:tcW w:w="4800" w:type="dxa"/>
            <w:vAlign w:val="bottom"/>
          </w:tcPr>
          <w:p>
            <w:pPr>
              <w:spacing w:after="0"/>
              <w:rPr>
                <w:sz w:val="24"/>
                <w:szCs w:val="24"/>
                <w:color w:val="auto"/>
              </w:rPr>
            </w:pPr>
          </w:p>
        </w:tc>
        <w:tc>
          <w:tcPr>
            <w:tcW w:w="138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240"/>
          </w:cols>
          <w:pgMar w:left="320" w:top="86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LOSS ATTRIBUTABLE TO WYNN RESORTS, LIMITED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ADJUSTED NET LOSS ATTRIBUTABLE TO WYNN RESORTS, LIMITED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20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Wynn Resorts, Limited</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(412,347)</w:t>
            </w:r>
          </w:p>
        </w:tc>
        <w:tc>
          <w:tcPr>
            <w:tcW w:w="0" w:type="dxa"/>
            <w:vAlign w:val="bottom"/>
          </w:tcPr>
          <w:p>
            <w:pPr>
              <w:spacing w:after="0"/>
              <w:rPr>
                <w:sz w:val="1"/>
                <w:szCs w:val="1"/>
                <w:color w:val="auto"/>
              </w:rPr>
            </w:pPr>
          </w:p>
        </w:tc>
      </w:tr>
      <w:tr>
        <w:trPr>
          <w:trHeight w:val="224"/>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 expenses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0" w:type="dxa"/>
            <w:vAlign w:val="bottom"/>
          </w:tcPr>
          <w:p>
            <w:pPr>
              <w:spacing w:after="0"/>
              <w:rPr>
                <w:sz w:val="1"/>
                <w:szCs w:val="1"/>
                <w:color w:val="auto"/>
              </w:rPr>
            </w:pPr>
          </w:p>
        </w:tc>
      </w:tr>
      <w:tr>
        <w:trPr>
          <w:trHeight w:val="224"/>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24"/>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remeasurement and other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impact on adjustments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4"/>
        </w:trPr>
        <w:tc>
          <w:tcPr>
            <w:tcW w:w="6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Noncontrolling interests impact on adjustments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42"/>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loss attributable to Wynn Resorts, Limited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(93,729)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(128,730)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(233,348)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(396,726)</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loss attributable to Wynn Resorts, Limited per diluted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(0.82)</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(2.03)</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(3.52)</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6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TO ADJUSTED PROPERTY EBITDA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Pre-opening</w:t>
            </w: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11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Property charges</w:t>
            </w:r>
          </w:p>
        </w:tc>
        <w:tc>
          <w:tcPr>
            <w:tcW w:w="12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Management and</w:t>
            </w: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50"/>
              <w:spacing w:after="0" w:line="127"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3"/>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expenses 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50"/>
              <w:spacing w:after="0" w:line="143"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expenses</w:t>
            </w:r>
          </w:p>
        </w:tc>
        <w:tc>
          <w:tcPr>
            <w:tcW w:w="12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6"/>
                <w:szCs w:val="16"/>
                <w:color w:val="auto"/>
              </w:rPr>
            </w:pPr>
          </w:p>
        </w:tc>
        <w:tc>
          <w:tcPr>
            <w:tcW w:w="10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license fees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83"/>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Wynn Palace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(107,742)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51,606</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(49,950)</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Wynn Macau</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(40,390)</w:t>
            </w:r>
          </w:p>
        </w:tc>
        <w:tc>
          <w:tcPr>
            <w:tcW w:w="0" w:type="dxa"/>
            <w:vAlign w:val="bottom"/>
          </w:tcPr>
          <w:p>
            <w:pPr>
              <w:spacing w:after="0"/>
              <w:rPr>
                <w:sz w:val="1"/>
                <w:szCs w:val="1"/>
                <w:color w:val="auto"/>
              </w:rPr>
            </w:pPr>
          </w:p>
        </w:tc>
      </w:tr>
      <w:tr>
        <w:trPr>
          <w:trHeight w:val="191"/>
        </w:trPr>
        <w:tc>
          <w:tcPr>
            <w:tcW w:w="2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Macau</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(185,324)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72,133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6,795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4,530</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5,746</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5,780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(90,340)</w:t>
            </w: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Las Vegas Operations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226,706</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Encore Boston Harbor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63,746</w:t>
            </w: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Wynn Interactive</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(20,953)</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(52,028)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4,502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162,968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26,909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22,213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14,595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179,159</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Pre-opening</w:t>
            </w: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charges</w:t>
            </w:r>
          </w:p>
        </w:tc>
        <w:tc>
          <w:tcPr>
            <w:tcW w:w="12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Management and</w:t>
            </w:r>
          </w:p>
        </w:tc>
        <w:tc>
          <w:tcPr>
            <w:tcW w:w="120" w:type="dxa"/>
            <w:vAlign w:val="bottom"/>
          </w:tcPr>
          <w:p>
            <w:pPr>
              <w:spacing w:after="0"/>
              <w:rPr>
                <w:sz w:val="10"/>
                <w:szCs w:val="10"/>
                <w:color w:val="auto"/>
              </w:rPr>
            </w:pPr>
          </w:p>
        </w:tc>
        <w:tc>
          <w:tcPr>
            <w:tcW w:w="10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Stock-based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30"/>
              <w:spacing w:after="0" w:line="125"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5"/>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expenses 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30"/>
              <w:spacing w:after="0" w:line="145"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expenses</w:t>
            </w:r>
          </w:p>
        </w:tc>
        <w:tc>
          <w:tcPr>
            <w:tcW w:w="12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0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6"/>
                <w:szCs w:val="16"/>
                <w:color w:val="auto"/>
              </w:rPr>
            </w:pPr>
          </w:p>
        </w:tc>
        <w:tc>
          <w:tcPr>
            <w:tcW w:w="10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license fees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84"/>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Wynn Palace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(26,231)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66,062</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53,555</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Wynn Macau</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14,086</w:t>
            </w:r>
          </w:p>
        </w:tc>
        <w:tc>
          <w:tcPr>
            <w:tcW w:w="0" w:type="dxa"/>
            <w:vAlign w:val="bottom"/>
          </w:tcPr>
          <w:p>
            <w:pPr>
              <w:spacing w:after="0"/>
              <w:rPr>
                <w:sz w:val="1"/>
                <w:szCs w:val="1"/>
                <w:color w:val="auto"/>
              </w:rPr>
            </w:pPr>
          </w:p>
        </w:tc>
      </w:tr>
      <w:tr>
        <w:trPr>
          <w:trHeight w:val="191"/>
        </w:trPr>
        <w:tc>
          <w:tcPr>
            <w:tcW w:w="2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Macau</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(49,617)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87,939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14,647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3,853</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7,470</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67,641</w:t>
            </w: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Las Vegas Operations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133,222</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Encore Boston Harbor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46,916</w:t>
            </w: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Wynn Interactive</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(40,899)</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(29,521)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2,495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183,307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5,651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gridSpan w:val="2"/>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19,841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25,107</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206,880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869" w:right="339" w:bottom="1440" w:gutter="0" w:footer="0" w:header="0"/>
          <w:type w:val="continuous"/>
        </w:sectPr>
      </w:pPr>
    </w:p>
    <w:bookmarkStart w:id="9" w:name="page10"/>
    <w:bookmarkEnd w:id="9"/>
    <w:p>
      <w:pPr>
        <w:ind w:left="35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TO ADJUSTED PROPERTY EBITDA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Pre-opening</w:t>
            </w: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11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Property charges</w:t>
            </w:r>
          </w:p>
        </w:tc>
        <w:tc>
          <w:tcPr>
            <w:tcW w:w="12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Management and</w:t>
            </w: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50"/>
              <w:spacing w:after="0" w:line="127"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3"/>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expenses 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50"/>
              <w:spacing w:after="0" w:line="143"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expenses</w:t>
            </w:r>
          </w:p>
        </w:tc>
        <w:tc>
          <w:tcPr>
            <w:tcW w:w="12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6"/>
                <w:szCs w:val="16"/>
                <w:color w:val="auto"/>
              </w:rPr>
            </w:pPr>
          </w:p>
        </w:tc>
        <w:tc>
          <w:tcPr>
            <w:tcW w:w="10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license fees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83"/>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Wynn Palace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(167,243)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102,068</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3,130</w:t>
            </w: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(50,814)</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Wynn Macau</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(45,072)</w:t>
            </w:r>
          </w:p>
        </w:tc>
        <w:tc>
          <w:tcPr>
            <w:tcW w:w="0" w:type="dxa"/>
            <w:vAlign w:val="bottom"/>
          </w:tcPr>
          <w:p>
            <w:pPr>
              <w:spacing w:after="0"/>
              <w:rPr>
                <w:sz w:val="1"/>
                <w:szCs w:val="1"/>
                <w:color w:val="auto"/>
              </w:rPr>
            </w:pPr>
          </w:p>
        </w:tc>
      </w:tr>
      <w:tr>
        <w:trPr>
          <w:trHeight w:val="191"/>
        </w:trPr>
        <w:tc>
          <w:tcPr>
            <w:tcW w:w="2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Macau</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(283,588)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143,594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8,403</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14,039</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11,385</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10,281</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(95,886)</w:t>
            </w: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Las Vegas Operations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386,084</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Encore Boston Harbor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118,996</w:t>
            </w: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Wynn Interactive</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(52,454)</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(80,917)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(146,893)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6,949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347,524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72,629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48,036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28,495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356,740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Pre-opening</w:t>
            </w: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charges</w:t>
            </w:r>
          </w:p>
        </w:tc>
        <w:tc>
          <w:tcPr>
            <w:tcW w:w="12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Management and</w:t>
            </w:r>
          </w:p>
        </w:tc>
        <w:tc>
          <w:tcPr>
            <w:tcW w:w="120" w:type="dxa"/>
            <w:vAlign w:val="bottom"/>
          </w:tcPr>
          <w:p>
            <w:pPr>
              <w:spacing w:after="0"/>
              <w:rPr>
                <w:sz w:val="10"/>
                <w:szCs w:val="10"/>
                <w:color w:val="auto"/>
              </w:rPr>
            </w:pPr>
          </w:p>
        </w:tc>
        <w:tc>
          <w:tcPr>
            <w:tcW w:w="10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Stock-based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30"/>
              <w:spacing w:after="0" w:line="125"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5"/>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expenses 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30"/>
              <w:spacing w:after="0" w:line="145"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expenses</w:t>
            </w:r>
          </w:p>
        </w:tc>
        <w:tc>
          <w:tcPr>
            <w:tcW w:w="12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6"/>
                <w:szCs w:val="16"/>
                <w:color w:val="auto"/>
              </w:rPr>
            </w:pPr>
          </w:p>
        </w:tc>
        <w:tc>
          <w:tcPr>
            <w:tcW w:w="10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license fees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84"/>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Wynn Palace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(81,019)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133,072</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80,924</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Wynn Macau</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30,642</w:t>
            </w:r>
          </w:p>
        </w:tc>
        <w:tc>
          <w:tcPr>
            <w:tcW w:w="0" w:type="dxa"/>
            <w:vAlign w:val="bottom"/>
          </w:tcPr>
          <w:p>
            <w:pPr>
              <w:spacing w:after="0"/>
              <w:rPr>
                <w:sz w:val="1"/>
                <w:szCs w:val="1"/>
                <w:color w:val="auto"/>
              </w:rPr>
            </w:pPr>
          </w:p>
        </w:tc>
      </w:tr>
      <w:tr>
        <w:trPr>
          <w:trHeight w:val="191"/>
        </w:trPr>
        <w:tc>
          <w:tcPr>
            <w:tcW w:w="2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Macau</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(124,627)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177,521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5,363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28,680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7,938</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15,855</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111,566</w:t>
            </w: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Las Vegas Operations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161,303</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Encore Boston Harbor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77,279</w:t>
            </w: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Wynn Interactive</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(84,368)</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(68,429)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(205,253)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4,122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368,428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11,268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gridSpan w:val="2"/>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37,762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49,453</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265,780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6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LOSS ATTRIBUTABLE TO WYNN RESORTS, LIMITED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PROPERTY EBITDA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20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0"/>
        </w:trPr>
        <w:tc>
          <w:tcPr>
            <w:tcW w:w="6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Wynn Resorts, Limited</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(412,347)</w:t>
            </w:r>
          </w:p>
        </w:tc>
      </w:tr>
      <w:tr>
        <w:trPr>
          <w:trHeight w:val="224"/>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(97,229)</w:t>
            </w:r>
          </w:p>
        </w:tc>
      </w:tr>
      <w:tr>
        <w:trPr>
          <w:trHeight w:val="224"/>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Pre-opening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r>
      <w:tr>
        <w:trPr>
          <w:trHeight w:val="224"/>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368,428</w:t>
            </w:r>
          </w:p>
        </w:tc>
      </w:tr>
      <w:tr>
        <w:trPr>
          <w:trHeight w:val="224"/>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r>
      <w:tr>
        <w:trPr>
          <w:trHeight w:val="224"/>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w:t>
            </w:r>
          </w:p>
        </w:tc>
      </w:tr>
      <w:tr>
        <w:trPr>
          <w:trHeight w:val="224"/>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49,453</w:t>
            </w:r>
          </w:p>
        </w:tc>
      </w:tr>
      <w:tr>
        <w:trPr>
          <w:trHeight w:val="224"/>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24"/>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303,276</w:t>
            </w:r>
          </w:p>
        </w:tc>
      </w:tr>
      <w:tr>
        <w:trPr>
          <w:trHeight w:val="224"/>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r>
      <w:tr>
        <w:trPr>
          <w:trHeight w:val="224"/>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24"/>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r>
      <w:tr>
        <w:trPr>
          <w:trHeight w:val="224"/>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17"/>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Property EBITDA</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179,159</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206,880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356,740</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265,780</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6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74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1"/>
                <w:szCs w:val="11"/>
                <w:color w:val="auto"/>
              </w:rPr>
            </w:pPr>
          </w:p>
        </w:tc>
        <w:tc>
          <w:tcPr>
            <w:tcW w:w="74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Wynn Palace Supplemental Information</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27,194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212,067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141,607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397,976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0" w:type="dxa"/>
            <w:vAlign w:val="bottom"/>
          </w:tcPr>
          <w:p>
            <w:pPr>
              <w:spacing w:after="0"/>
              <w:rPr>
                <w:sz w:val="1"/>
                <w:szCs w:val="1"/>
                <w:color w:val="auto"/>
              </w:rPr>
            </w:pPr>
          </w:p>
        </w:tc>
      </w:tr>
      <w:tr>
        <w:trPr>
          <w:trHeight w:val="209"/>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7,008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20,883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20,839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37,895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6,857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13,805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18,300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25,477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17,592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23,616</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41,230</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46,349</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54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58,651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270,371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221,976</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507,697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(56.3)</w:t>
            </w:r>
          </w:p>
        </w:tc>
        <w:tc>
          <w:tcPr>
            <w:tcW w:w="0" w:type="dxa"/>
            <w:vAlign w:val="bottom"/>
          </w:tcPr>
          <w:p>
            <w:pPr>
              <w:spacing w:after="0"/>
              <w:rPr>
                <w:sz w:val="1"/>
                <w:szCs w:val="1"/>
                <w:color w:val="auto"/>
              </w:rPr>
            </w:pPr>
          </w:p>
        </w:tc>
      </w:tr>
      <w:tr>
        <w:trPr>
          <w:trHeight w:val="250"/>
        </w:trPr>
        <w:tc>
          <w:tcPr>
            <w:tcW w:w="4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 </w:t>
            </w:r>
            <w:r>
              <w:rPr>
                <w:rFonts w:ascii="Times New Roman" w:cs="Times New Roman" w:eastAsia="Times New Roman" w:hAnsi="Times New Roman"/>
                <w:sz w:val="14"/>
                <w:szCs w:val="14"/>
                <w:b w:val="1"/>
                <w:bCs w:val="1"/>
                <w:color w:val="auto"/>
              </w:rPr>
              <w:t>(6)</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(49,950)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53,555</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NM</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(50,814)</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80,924</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NM</w:t>
            </w:r>
          </w:p>
        </w:tc>
        <w:tc>
          <w:tcPr>
            <w:tcW w:w="0" w:type="dxa"/>
            <w:vAlign w:val="bottom"/>
          </w:tcPr>
          <w:p>
            <w:pPr>
              <w:spacing w:after="0"/>
              <w:rPr>
                <w:sz w:val="1"/>
                <w:szCs w:val="1"/>
                <w:color w:val="auto"/>
              </w:rPr>
            </w:pPr>
          </w:p>
        </w:tc>
      </w:tr>
      <w:tr>
        <w:trPr>
          <w:trHeight w:val="250"/>
        </w:trPr>
        <w:tc>
          <w:tcPr>
            <w:tcW w:w="4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VIP:</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09"/>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VIP turnover</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344,462</w:t>
            </w:r>
          </w:p>
        </w:tc>
        <w:tc>
          <w:tcPr>
            <w:tcW w:w="10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1,811,381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1,310,017</w:t>
            </w:r>
          </w:p>
        </w:tc>
        <w:tc>
          <w:tcPr>
            <w:tcW w:w="16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4,011,563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VIP table games (loss) win </w:t>
            </w:r>
            <w:r>
              <w:rPr>
                <w:rFonts w:ascii="Times New Roman" w:cs="Times New Roman" w:eastAsia="Times New Roman" w:hAnsi="Times New Roman"/>
                <w:sz w:val="14"/>
                <w:szCs w:val="14"/>
                <w:color w:val="auto"/>
              </w:rPr>
              <w:t>(1)</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(6,671)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71,570</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NM</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13,082</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168,026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0" w:type="dxa"/>
            <w:vAlign w:val="bottom"/>
          </w:tcPr>
          <w:p>
            <w:pPr>
              <w:spacing w:after="0"/>
              <w:rPr>
                <w:sz w:val="1"/>
                <w:szCs w:val="1"/>
                <w:color w:val="auto"/>
              </w:rPr>
            </w:pPr>
          </w:p>
        </w:tc>
      </w:tr>
      <w:tr>
        <w:trPr>
          <w:trHeight w:val="209"/>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VIP table games (loss) win as a % of turnover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(loss) win per unit per day</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8,346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NM</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1,284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9,402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0" w:type="dxa"/>
            <w:vAlign w:val="bottom"/>
          </w:tcPr>
          <w:p>
            <w:pPr>
              <w:spacing w:after="0"/>
              <w:rPr>
                <w:sz w:val="1"/>
                <w:szCs w:val="1"/>
                <w:color w:val="auto"/>
              </w:rPr>
            </w:pPr>
          </w:p>
        </w:tc>
      </w:tr>
      <w:tr>
        <w:trPr>
          <w:trHeight w:val="209"/>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Mass market: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21"/>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210,549</w:t>
            </w:r>
          </w:p>
        </w:tc>
        <w:tc>
          <w:tcPr>
            <w:tcW w:w="100" w:type="dxa"/>
            <w:vAlign w:val="bottom"/>
          </w:tcPr>
          <w:p>
            <w:pPr>
              <w:spacing w:after="0"/>
              <w:rPr>
                <w:sz w:val="19"/>
                <w:szCs w:val="19"/>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707,494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742,408</w:t>
            </w:r>
          </w:p>
        </w:tc>
        <w:tc>
          <w:tcPr>
            <w:tcW w:w="160" w:type="dxa"/>
            <w:vAlign w:val="bottom"/>
          </w:tcPr>
          <w:p>
            <w:pPr>
              <w:spacing w:after="0"/>
              <w:rPr>
                <w:sz w:val="19"/>
                <w:szCs w:val="19"/>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1,315,012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41,581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163,547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152,755</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295,196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09"/>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Table games win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7,877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3,630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7,249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209"/>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652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Slot machine handle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130,404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421,269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381,333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780,041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221"/>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4,922</w:t>
            </w:r>
          </w:p>
        </w:tc>
        <w:tc>
          <w:tcPr>
            <w:tcW w:w="100" w:type="dxa"/>
            <w:vAlign w:val="bottom"/>
          </w:tcPr>
          <w:p>
            <w:pPr>
              <w:spacing w:after="0"/>
              <w:rPr>
                <w:sz w:val="19"/>
                <w:szCs w:val="19"/>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18,772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17,571</w:t>
            </w:r>
          </w:p>
        </w:tc>
        <w:tc>
          <w:tcPr>
            <w:tcW w:w="160" w:type="dxa"/>
            <w:vAlign w:val="bottom"/>
          </w:tcPr>
          <w:p>
            <w:pPr>
              <w:spacing w:after="0"/>
              <w:rPr>
                <w:sz w:val="19"/>
                <w:szCs w:val="19"/>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33,015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13"/>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09"/>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Room statistics: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Occupancy</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37.7 %</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9"/>
                <w:szCs w:val="19"/>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166</w:t>
            </w:r>
          </w:p>
        </w:tc>
        <w:tc>
          <w:tcPr>
            <w:tcW w:w="160" w:type="dxa"/>
            <w:vAlign w:val="bottom"/>
          </w:tcPr>
          <w:p>
            <w:pPr>
              <w:spacing w:after="0"/>
              <w:rPr>
                <w:sz w:val="19"/>
                <w:szCs w:val="19"/>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63</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Not meaningful.</w:t>
      </w:r>
    </w:p>
    <w:p>
      <w:pPr>
        <w:spacing w:after="0" w:line="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Note: The results of operations of Wynn Palace for the three and six months ended June 30, 2022 and 2021 were negatively impacted by certain travel-related restrictions and conditions, including COVID-19 testing and other mitigation procedures, related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6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74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1"/>
                <w:szCs w:val="11"/>
                <w:color w:val="auto"/>
              </w:rPr>
            </w:pPr>
          </w:p>
        </w:tc>
        <w:tc>
          <w:tcPr>
            <w:tcW w:w="74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Wynn Macau Supplemental Information</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39,959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142,419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142,389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281,346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09"/>
        </w:trPr>
        <w:tc>
          <w:tcPr>
            <w:tcW w:w="4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4,762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13,427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14,152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28,129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8,559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13,617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15,992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8,631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19,623</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23,525</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38,212</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06"/>
        </w:trPr>
        <w:tc>
          <w:tcPr>
            <w:tcW w:w="4100" w:type="dxa"/>
            <w:vAlign w:val="bottom"/>
            <w:shd w:val="clear" w:color="auto" w:fill="CCEEFF"/>
          </w:tcPr>
          <w:p>
            <w:pPr>
              <w:ind w:left="54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58,583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184,028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193,683</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363,679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(46.7)</w:t>
            </w: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 </w:t>
            </w:r>
            <w:r>
              <w:rPr>
                <w:rFonts w:ascii="Times New Roman" w:cs="Times New Roman" w:eastAsia="Times New Roman" w:hAnsi="Times New Roman"/>
                <w:sz w:val="14"/>
                <w:szCs w:val="14"/>
                <w:b w:val="1"/>
                <w:bCs w:val="1"/>
                <w:color w:val="auto"/>
              </w:rPr>
              <w:t>(6)</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(40,390)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14,086</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NM</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(45,072)</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30,642</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NM</w:t>
            </w: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VIP:</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09"/>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VIP turnover</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301,645</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1,489,912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1,188,695</w:t>
            </w:r>
          </w:p>
        </w:tc>
        <w:tc>
          <w:tcPr>
            <w:tcW w:w="16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3,294,294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0" w:type="dxa"/>
            <w:vAlign w:val="bottom"/>
          </w:tcPr>
          <w:p>
            <w:pPr>
              <w:spacing w:after="0"/>
              <w:rPr>
                <w:sz w:val="1"/>
                <w:szCs w:val="1"/>
                <w:color w:val="auto"/>
              </w:rPr>
            </w:pPr>
          </w:p>
        </w:tc>
      </w:tr>
      <w:tr>
        <w:trPr>
          <w:trHeight w:val="226"/>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VIP table games win </w:t>
            </w:r>
            <w:r>
              <w:rPr>
                <w:rFonts w:ascii="Times New Roman" w:cs="Times New Roman" w:eastAsia="Times New Roman" w:hAnsi="Times New Roman"/>
                <w:sz w:val="14"/>
                <w:szCs w:val="14"/>
                <w:color w:val="auto"/>
              </w:rPr>
              <w:t>(1)</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14,446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39,388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48,475</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98,022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209"/>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VIP table games win as a % of turnover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4.08 %</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4,006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5,111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7,181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6,201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09"/>
        </w:trPr>
        <w:tc>
          <w:tcPr>
            <w:tcW w:w="4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Mass market: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21"/>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216,154</w:t>
            </w:r>
          </w:p>
        </w:tc>
        <w:tc>
          <w:tcPr>
            <w:tcW w:w="8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670,400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685,292</w:t>
            </w:r>
          </w:p>
        </w:tc>
        <w:tc>
          <w:tcPr>
            <w:tcW w:w="160" w:type="dxa"/>
            <w:vAlign w:val="bottom"/>
          </w:tcPr>
          <w:p>
            <w:pPr>
              <w:spacing w:after="0"/>
              <w:rPr>
                <w:sz w:val="19"/>
                <w:szCs w:val="19"/>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1,261,290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26"/>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30,582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128,921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112,842</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234,104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09"/>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Table games win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5,903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2,521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5,390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09"/>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625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Slot machine handle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199,312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300,523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482,851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601,794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21"/>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6,329</w:t>
            </w:r>
          </w:p>
        </w:tc>
        <w:tc>
          <w:tcPr>
            <w:tcW w:w="8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9,223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16,941</w:t>
            </w:r>
          </w:p>
        </w:tc>
        <w:tc>
          <w:tcPr>
            <w:tcW w:w="160" w:type="dxa"/>
            <w:vAlign w:val="bottom"/>
          </w:tcPr>
          <w:p>
            <w:pPr>
              <w:spacing w:after="0"/>
              <w:rPr>
                <w:sz w:val="19"/>
                <w:szCs w:val="19"/>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19,431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3"/>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09"/>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Room statistics: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Occupancy</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40.5 %</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174</w:t>
            </w:r>
          </w:p>
        </w:tc>
        <w:tc>
          <w:tcPr>
            <w:tcW w:w="160" w:type="dxa"/>
            <w:vAlign w:val="bottom"/>
          </w:tcPr>
          <w:p>
            <w:pPr>
              <w:spacing w:after="0"/>
              <w:rPr>
                <w:sz w:val="19"/>
                <w:szCs w:val="19"/>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26"/>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70</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Not meaningful.</w:t>
      </w:r>
    </w:p>
    <w:p>
      <w:pPr>
        <w:spacing w:after="0" w:line="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Note: The results of operations of Wynn Macau for the three and six months ended June 30, 2022 and 2021 were negatively impacted by certain travel-related restrictions and conditions, including COVID-19 testing and other mitigation procedures, related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6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760" w:type="dxa"/>
            <w:vAlign w:val="bottom"/>
          </w:tcPr>
          <w:p>
            <w:pPr>
              <w:jc w:val="right"/>
              <w:ind w:right="8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Pr>
          <w:p>
            <w:pPr>
              <w:spacing w:after="0"/>
              <w:rPr>
                <w:sz w:val="11"/>
                <w:szCs w:val="11"/>
                <w:color w:val="auto"/>
              </w:rPr>
            </w:pPr>
          </w:p>
        </w:tc>
        <w:tc>
          <w:tcPr>
            <w:tcW w:w="74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 Supplemental Information</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135,345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112,775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259,616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192,678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09"/>
        </w:trPr>
        <w:tc>
          <w:tcPr>
            <w:tcW w:w="4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167,116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93,785</w:t>
            </w:r>
          </w:p>
        </w:tc>
        <w:tc>
          <w:tcPr>
            <w:tcW w:w="1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298,582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133,546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196,627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112,858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332,656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152,935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61,981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35,648</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111,401</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54,623</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0" w:type="dxa"/>
            <w:vAlign w:val="bottom"/>
          </w:tcPr>
          <w:p>
            <w:pPr>
              <w:spacing w:after="0"/>
              <w:rPr>
                <w:sz w:val="1"/>
                <w:szCs w:val="1"/>
                <w:color w:val="auto"/>
              </w:rPr>
            </w:pPr>
          </w:p>
        </w:tc>
      </w:tr>
      <w:tr>
        <w:trPr>
          <w:trHeight w:val="206"/>
        </w:trPr>
        <w:tc>
          <w:tcPr>
            <w:tcW w:w="4100" w:type="dxa"/>
            <w:vAlign w:val="bottom"/>
            <w:shd w:val="clear" w:color="auto" w:fill="CCEEFF"/>
          </w:tcPr>
          <w:p>
            <w:pPr>
              <w:ind w:left="54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561,069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355,066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58.0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1,002,255</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533,782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87.8</w:t>
            </w: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 xml:space="preserve">Adjusted Property EBITDA </w:t>
            </w:r>
            <w:r>
              <w:rPr>
                <w:rFonts w:ascii="Times New Roman" w:cs="Times New Roman" w:eastAsia="Times New Roman" w:hAnsi="Times New Roman"/>
                <w:sz w:val="14"/>
                <w:szCs w:val="14"/>
                <w:b w:val="1"/>
                <w:bCs w:val="1"/>
                <w:color w:val="auto"/>
              </w:rPr>
              <w:t>(6)</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226,706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133,222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386,084</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161,303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139.4</w:t>
            </w: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26"/>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564,982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427,014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1,112,898</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751,545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21"/>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138,879</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99,021</w:t>
            </w:r>
          </w:p>
        </w:tc>
        <w:tc>
          <w:tcPr>
            <w:tcW w:w="10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268,043</w:t>
            </w:r>
          </w:p>
        </w:tc>
        <w:tc>
          <w:tcPr>
            <w:tcW w:w="140" w:type="dxa"/>
            <w:vAlign w:val="bottom"/>
          </w:tcPr>
          <w:p>
            <w:pPr>
              <w:spacing w:after="0"/>
              <w:rPr>
                <w:sz w:val="19"/>
                <w:szCs w:val="19"/>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175,674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13"/>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24.1 %</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6,440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4,997</w:t>
            </w:r>
          </w:p>
        </w:tc>
        <w:tc>
          <w:tcPr>
            <w:tcW w:w="1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6,372</w:t>
            </w:r>
          </w:p>
        </w:tc>
        <w:tc>
          <w:tcPr>
            <w:tcW w:w="14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4,979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1,720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9"/>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Slot machine handle</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1,326,178</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1,115,149</w:t>
            </w:r>
          </w:p>
        </w:tc>
        <w:tc>
          <w:tcPr>
            <w:tcW w:w="1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2,504,162</w:t>
            </w:r>
          </w:p>
        </w:tc>
        <w:tc>
          <w:tcPr>
            <w:tcW w:w="14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1,906,409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26"/>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89,844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78,890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170,675</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129,379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09"/>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548</w:t>
            </w:r>
          </w:p>
        </w:tc>
        <w:tc>
          <w:tcPr>
            <w:tcW w:w="14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Poker rake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3,927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8,882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5,794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0" w:type="dxa"/>
            <w:vAlign w:val="bottom"/>
          </w:tcPr>
          <w:p>
            <w:pPr>
              <w:spacing w:after="0"/>
              <w:rPr>
                <w:sz w:val="1"/>
                <w:szCs w:val="1"/>
                <w:color w:val="auto"/>
              </w:rPr>
            </w:pPr>
          </w:p>
        </w:tc>
      </w:tr>
      <w:tr>
        <w:trPr>
          <w:trHeight w:val="209"/>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Room statistics: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Occupancy</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83.8 %</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448</w:t>
            </w:r>
          </w:p>
        </w:tc>
        <w:tc>
          <w:tcPr>
            <w:tcW w:w="140" w:type="dxa"/>
            <w:vAlign w:val="bottom"/>
          </w:tcPr>
          <w:p>
            <w:pPr>
              <w:spacing w:after="0"/>
              <w:rPr>
                <w:sz w:val="19"/>
                <w:szCs w:val="19"/>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26"/>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375</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0" w:type="dxa"/>
            <w:vAlign w:val="bottom"/>
          </w:tcPr>
          <w:p>
            <w:pPr>
              <w:spacing w:after="0"/>
              <w:rPr>
                <w:sz w:val="1"/>
                <w:szCs w:val="1"/>
                <w:color w:val="auto"/>
              </w:rPr>
            </w:pPr>
          </w:p>
        </w:tc>
      </w:tr>
    </w:tbl>
    <w:p>
      <w:pPr>
        <w:spacing w:after="0" w:line="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Note: The results of our Las Vegas Operations for the three and six months ended June 30, 2021 were impacted by certain COVID-19 pandemic related protective measures and operating schedule modifications.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69" w:right="339" w:bottom="1440" w:gutter="0" w:footer="0" w:header="0"/>
        </w:sectPr>
      </w:pPr>
    </w:p>
    <w:bookmarkStart w:id="14" w:name="page15"/>
    <w:bookmarkEnd w:id="14"/>
    <w:p>
      <w:pPr>
        <w:jc w:val="center"/>
        <w:ind w:left="340" w:right="2800"/>
        <w:spacing w:after="0" w:line="254" w:lineRule="auto"/>
        <w:rPr>
          <w:sz w:val="20"/>
          <w:szCs w:val="20"/>
          <w:color w:val="auto"/>
        </w:rPr>
      </w:pPr>
      <w:r>
        <w:rPr>
          <w:rFonts w:ascii="Times New Roman" w:cs="Times New Roman" w:eastAsia="Times New Roman" w:hAnsi="Times New Roman"/>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760" w:type="dxa"/>
            <w:vAlign w:val="bottom"/>
          </w:tcPr>
          <w:p>
            <w:pPr>
              <w:jc w:val="right"/>
              <w:ind w:right="8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Pr>
          <w:p>
            <w:pPr>
              <w:spacing w:after="0"/>
              <w:rPr>
                <w:sz w:val="11"/>
                <w:szCs w:val="11"/>
                <w:color w:val="auto"/>
              </w:rPr>
            </w:pPr>
          </w:p>
        </w:tc>
        <w:tc>
          <w:tcPr>
            <w:tcW w:w="74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Encore Boston Harbor Supplemental Information</w:t>
            </w: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157,087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135,485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305,835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246,964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09"/>
        </w:trPr>
        <w:tc>
          <w:tcPr>
            <w:tcW w:w="4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22,412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9,670</w:t>
            </w:r>
          </w:p>
        </w:tc>
        <w:tc>
          <w:tcPr>
            <w:tcW w:w="1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38,101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14,385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21,101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13,920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39,263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23,247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9,554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6,166</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54.9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17,751</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10,735</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0" w:type="dxa"/>
            <w:vAlign w:val="bottom"/>
          </w:tcPr>
          <w:p>
            <w:pPr>
              <w:spacing w:after="0"/>
              <w:rPr>
                <w:sz w:val="1"/>
                <w:szCs w:val="1"/>
                <w:color w:val="auto"/>
              </w:rPr>
            </w:pPr>
          </w:p>
        </w:tc>
      </w:tr>
      <w:tr>
        <w:trPr>
          <w:trHeight w:val="206"/>
        </w:trPr>
        <w:tc>
          <w:tcPr>
            <w:tcW w:w="4100" w:type="dxa"/>
            <w:vAlign w:val="bottom"/>
            <w:shd w:val="clear" w:color="auto" w:fill="CCEEFF"/>
          </w:tcPr>
          <w:p>
            <w:pPr>
              <w:ind w:left="54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210,154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165,241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27.2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400,950</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295,331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w:t>
            </w:r>
          </w:p>
        </w:tc>
        <w:tc>
          <w:tcPr>
            <w:tcW w:w="0" w:type="dxa"/>
            <w:vAlign w:val="bottom"/>
          </w:tcPr>
          <w:p>
            <w:pPr>
              <w:spacing w:after="0"/>
              <w:rPr>
                <w:sz w:val="1"/>
                <w:szCs w:val="1"/>
                <w:color w:val="auto"/>
              </w:rPr>
            </w:pPr>
          </w:p>
        </w:tc>
      </w:tr>
      <w:tr>
        <w:trPr>
          <w:trHeight w:val="158"/>
        </w:trPr>
        <w:tc>
          <w:tcPr>
            <w:tcW w:w="4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 xml:space="preserve">Adjusted Property EBITDA </w:t>
            </w:r>
            <w:r>
              <w:rPr>
                <w:rFonts w:ascii="Times New Roman" w:cs="Times New Roman" w:eastAsia="Times New Roman" w:hAnsi="Times New Roman"/>
                <w:sz w:val="14"/>
                <w:szCs w:val="14"/>
                <w:b w:val="1"/>
                <w:bCs w:val="1"/>
                <w:color w:val="auto"/>
              </w:rPr>
              <w:t>(6)</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63,746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46,916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118,996</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77,279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54.0</w:t>
            </w:r>
          </w:p>
        </w:tc>
        <w:tc>
          <w:tcPr>
            <w:tcW w:w="0" w:type="dxa"/>
            <w:vAlign w:val="bottom"/>
          </w:tcPr>
          <w:p>
            <w:pPr>
              <w:spacing w:after="0"/>
              <w:rPr>
                <w:sz w:val="1"/>
                <w:szCs w:val="1"/>
                <w:color w:val="auto"/>
              </w:rPr>
            </w:pPr>
          </w:p>
        </w:tc>
      </w:tr>
      <w:tr>
        <w:trPr>
          <w:trHeight w:val="158"/>
        </w:trPr>
        <w:tc>
          <w:tcPr>
            <w:tcW w:w="4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184</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26"/>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366,222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306,070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712,417</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540,632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21"/>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80,263</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64,874</w:t>
            </w:r>
          </w:p>
        </w:tc>
        <w:tc>
          <w:tcPr>
            <w:tcW w:w="10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157,054</w:t>
            </w:r>
          </w:p>
        </w:tc>
        <w:tc>
          <w:tcPr>
            <w:tcW w:w="140" w:type="dxa"/>
            <w:vAlign w:val="bottom"/>
          </w:tcPr>
          <w:p>
            <w:pPr>
              <w:spacing w:after="0"/>
              <w:rPr>
                <w:sz w:val="19"/>
                <w:szCs w:val="19"/>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114,251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13"/>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4,794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3,654</w:t>
            </w:r>
          </w:p>
        </w:tc>
        <w:tc>
          <w:tcPr>
            <w:tcW w:w="1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4,716</w:t>
            </w:r>
          </w:p>
        </w:tc>
        <w:tc>
          <w:tcPr>
            <w:tcW w:w="14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3,201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2,778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09"/>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Slot machine handle</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1,232,427</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1,094,178</w:t>
            </w:r>
          </w:p>
        </w:tc>
        <w:tc>
          <w:tcPr>
            <w:tcW w:w="1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2,415,740</w:t>
            </w:r>
          </w:p>
        </w:tc>
        <w:tc>
          <w:tcPr>
            <w:tcW w:w="14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2,007,973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26"/>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99,424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89,560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194,720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164,380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9"/>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387</w:t>
            </w:r>
          </w:p>
        </w:tc>
        <w:tc>
          <w:tcPr>
            <w:tcW w:w="14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Poker rake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NM</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9"/>
        </w:trPr>
        <w:tc>
          <w:tcPr>
            <w:tcW w:w="4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 statistics: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Occupancy</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87.4 %</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360</w:t>
            </w:r>
          </w:p>
        </w:tc>
        <w:tc>
          <w:tcPr>
            <w:tcW w:w="140" w:type="dxa"/>
            <w:vAlign w:val="bottom"/>
          </w:tcPr>
          <w:p>
            <w:pPr>
              <w:spacing w:after="0"/>
              <w:rPr>
                <w:sz w:val="19"/>
                <w:szCs w:val="19"/>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26"/>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315</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Not meaningful.</w:t>
      </w:r>
    </w:p>
    <w:p>
      <w:pPr>
        <w:spacing w:after="0" w:line="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Note: The results of Encore Boston Harbor for the three and six months ended June 30, 2021 were impacted by certain COVID-19 pandemic related protective measures and operating schedule modifications. Encore Boston Harbor's room statistics have been computed based on 53 days of operations for the three months ended June 30, 2021 and 89 days of operations for the six months ended June 30, 2021, respectively, representing the actual number of days the hotel was open.</w:t>
      </w:r>
    </w:p>
    <w:p>
      <w:pPr>
        <w:spacing w:after="0" w:line="199" w:lineRule="exact"/>
        <w:rPr>
          <w:sz w:val="20"/>
          <w:szCs w:val="20"/>
          <w:color w:val="auto"/>
        </w:rPr>
      </w:pPr>
    </w:p>
    <w:p>
      <w:pPr>
        <w:ind w:left="240" w:hanging="235"/>
        <w:spacing w:after="0" w:line="263"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games win (loss) is shown before discounts, commissions and the allocation of casino revenues to rooms, food and beverage and other revenues for services provided to casino customers on a complimentary basis.</w:t>
      </w:r>
    </w:p>
    <w:p>
      <w:pPr>
        <w:spacing w:after="0" w:line="1" w:lineRule="exact"/>
        <w:rPr>
          <w:rFonts w:ascii="Times New Roman" w:cs="Times New Roman" w:eastAsia="Times New Roman" w:hAnsi="Times New Roman"/>
          <w:sz w:val="14"/>
          <w:szCs w:val="14"/>
          <w:color w:val="auto"/>
        </w:rPr>
      </w:pPr>
    </w:p>
    <w:p>
      <w:pPr>
        <w:ind w:left="240" w:hanging="235"/>
        <w:spacing w:after="0" w:line="248" w:lineRule="auto"/>
        <w:tabs>
          <w:tab w:leader="none" w:pos="20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200" w:hanging="195"/>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Slot machine win is calculated as gross slot machine win minus progressive accruals and free play.</w:t>
      </w:r>
    </w:p>
    <w:p>
      <w:pPr>
        <w:spacing w:after="0" w:line="5"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ADR is average daily rate and is calculated by dividing total room revenues including complimentaries (less service charges, if any) by total rooms occupied.</w:t>
      </w:r>
    </w:p>
    <w:p>
      <w:pPr>
        <w:spacing w:after="0" w:line="10"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REVPAR is revenue per available room and is calculated by dividing total room revenues including complimentaries (less service charges, if any) by total rooms available.</w:t>
      </w:r>
    </w:p>
    <w:p>
      <w:pPr>
        <w:spacing w:after="0" w:line="10"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accompanying reconciliations of Operating Income (Loss) to Adjusted Property EBITDA and Net Loss Attributable to Wynn Resorts, Limited to Adjusted Property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SOURCE: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Vincent Zahn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702-770-7555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investorrelations@wynnresorts.com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0139"/>
      </w:cols>
      <w:pgMar w:left="320" w:top="10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2022-08-09T16:50:36Z</dcterms:created>
  <dcterms:modified xsi:type="dcterms:W3CDTF">2022-08-09T16:50:36Z</dcterms:modified>
</cp:coreProperties>
</file>