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line="230" w:lineRule="auto"/>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ind w:left="4640"/>
        <w:spacing w:after="0"/>
        <w:rPr>
          <w:sz w:val="20"/>
          <w:szCs w:val="20"/>
          <w:color w:val="auto"/>
        </w:rPr>
      </w:pPr>
      <w:r>
        <w:rPr>
          <w:rFonts w:ascii="Arial" w:cs="Arial" w:eastAsia="Arial" w:hAnsi="Arial"/>
          <w:sz w:val="22"/>
          <w:szCs w:val="22"/>
          <w:b w:val="1"/>
          <w:bCs w:val="1"/>
          <w:color w:val="auto"/>
        </w:rPr>
        <w:t>____________________</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Date of Report (Date of earliest event reported): February 24, 2009</w:t>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WYNN RESORTS, LIMITED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220" w:type="dxa"/>
        <w:tblCellMar>
          <w:top w:w="0" w:type="dxa"/>
          <w:left w:w="0" w:type="dxa"/>
          <w:bottom w:w="0" w:type="dxa"/>
          <w:right w:w="0" w:type="dxa"/>
        </w:tblCellMar>
      </w:tblPr>
      <w:tr>
        <w:trPr>
          <w:trHeight w:val="253"/>
        </w:trPr>
        <w:tc>
          <w:tcPr>
            <w:tcW w:w="4120" w:type="dxa"/>
            <w:vAlign w:val="bottom"/>
          </w:tcPr>
          <w:p>
            <w:pPr>
              <w:jc w:val="center"/>
              <w:ind w:right="632"/>
              <w:spacing w:after="0"/>
              <w:rPr>
                <w:sz w:val="20"/>
                <w:szCs w:val="20"/>
                <w:color w:val="auto"/>
              </w:rPr>
            </w:pPr>
            <w:r>
              <w:rPr>
                <w:rFonts w:ascii="Arial" w:cs="Arial" w:eastAsia="Arial" w:hAnsi="Arial"/>
                <w:sz w:val="22"/>
                <w:szCs w:val="22"/>
                <w:b w:val="1"/>
                <w:bCs w:val="1"/>
                <w:color w:val="auto"/>
                <w:w w:val="89"/>
              </w:rPr>
              <w:t>Nevada</w:t>
            </w:r>
          </w:p>
        </w:tc>
        <w:tc>
          <w:tcPr>
            <w:tcW w:w="3600" w:type="dxa"/>
            <w:vAlign w:val="bottom"/>
          </w:tcPr>
          <w:p>
            <w:pPr>
              <w:jc w:val="right"/>
              <w:ind w:right="1652"/>
              <w:spacing w:after="0"/>
              <w:rPr>
                <w:sz w:val="20"/>
                <w:szCs w:val="20"/>
                <w:color w:val="auto"/>
              </w:rPr>
            </w:pPr>
            <w:r>
              <w:rPr>
                <w:rFonts w:ascii="Arial" w:cs="Arial" w:eastAsia="Arial" w:hAnsi="Arial"/>
                <w:sz w:val="22"/>
                <w:szCs w:val="22"/>
                <w:b w:val="1"/>
                <w:bCs w:val="1"/>
                <w:color w:val="auto"/>
              </w:rPr>
              <w:t>000-50028</w:t>
            </w:r>
          </w:p>
        </w:tc>
        <w:tc>
          <w:tcPr>
            <w:tcW w:w="3140" w:type="dxa"/>
            <w:vAlign w:val="bottom"/>
          </w:tcPr>
          <w:p>
            <w:pPr>
              <w:jc w:val="center"/>
              <w:spacing w:after="0"/>
              <w:rPr>
                <w:sz w:val="20"/>
                <w:szCs w:val="20"/>
                <w:color w:val="auto"/>
              </w:rPr>
            </w:pPr>
            <w:r>
              <w:rPr>
                <w:rFonts w:ascii="Arial" w:cs="Arial" w:eastAsia="Arial" w:hAnsi="Arial"/>
                <w:sz w:val="22"/>
                <w:szCs w:val="22"/>
                <w:b w:val="1"/>
                <w:bCs w:val="1"/>
                <w:color w:val="auto"/>
                <w:w w:val="88"/>
              </w:rPr>
              <w:t>46-0484987</w:t>
            </w:r>
          </w:p>
        </w:tc>
      </w:tr>
      <w:tr>
        <w:trPr>
          <w:trHeight w:val="243"/>
        </w:trPr>
        <w:tc>
          <w:tcPr>
            <w:tcW w:w="4120" w:type="dxa"/>
            <w:vAlign w:val="bottom"/>
          </w:tcPr>
          <w:p>
            <w:pPr>
              <w:jc w:val="center"/>
              <w:ind w:right="632"/>
              <w:spacing w:after="0" w:line="243" w:lineRule="exact"/>
              <w:rPr>
                <w:sz w:val="20"/>
                <w:szCs w:val="20"/>
                <w:color w:val="auto"/>
              </w:rPr>
            </w:pPr>
            <w:r>
              <w:rPr>
                <w:rFonts w:ascii="Arial" w:cs="Arial" w:eastAsia="Arial" w:hAnsi="Arial"/>
                <w:sz w:val="22"/>
                <w:szCs w:val="22"/>
                <w:color w:val="auto"/>
                <w:w w:val="90"/>
              </w:rPr>
              <w:t>(State or other jurisdiction of</w:t>
            </w:r>
          </w:p>
        </w:tc>
        <w:tc>
          <w:tcPr>
            <w:tcW w:w="3600" w:type="dxa"/>
            <w:vAlign w:val="bottom"/>
          </w:tcPr>
          <w:p>
            <w:pPr>
              <w:jc w:val="center"/>
              <w:ind w:right="752"/>
              <w:spacing w:after="0" w:line="243" w:lineRule="exact"/>
              <w:rPr>
                <w:sz w:val="20"/>
                <w:szCs w:val="20"/>
                <w:color w:val="auto"/>
              </w:rPr>
            </w:pPr>
            <w:r>
              <w:rPr>
                <w:rFonts w:ascii="Arial" w:cs="Arial" w:eastAsia="Arial" w:hAnsi="Arial"/>
                <w:sz w:val="22"/>
                <w:szCs w:val="22"/>
                <w:color w:val="auto"/>
                <w:w w:val="90"/>
              </w:rPr>
              <w:t>(Commission File Number)</w:t>
            </w:r>
          </w:p>
        </w:tc>
        <w:tc>
          <w:tcPr>
            <w:tcW w:w="3140" w:type="dxa"/>
            <w:vAlign w:val="bottom"/>
          </w:tcPr>
          <w:p>
            <w:pPr>
              <w:jc w:val="center"/>
              <w:spacing w:after="0" w:line="243" w:lineRule="exact"/>
              <w:rPr>
                <w:sz w:val="20"/>
                <w:szCs w:val="20"/>
                <w:color w:val="auto"/>
              </w:rPr>
            </w:pPr>
            <w:r>
              <w:rPr>
                <w:rFonts w:ascii="Arial" w:cs="Arial" w:eastAsia="Arial" w:hAnsi="Arial"/>
                <w:sz w:val="22"/>
                <w:szCs w:val="22"/>
                <w:color w:val="auto"/>
                <w:w w:val="92"/>
              </w:rPr>
              <w:t>(I.R.S. Employer Identification No.)</w:t>
            </w:r>
          </w:p>
        </w:tc>
      </w:tr>
      <w:tr>
        <w:trPr>
          <w:trHeight w:val="275"/>
        </w:trPr>
        <w:tc>
          <w:tcPr>
            <w:tcW w:w="4120" w:type="dxa"/>
            <w:vAlign w:val="bottom"/>
          </w:tcPr>
          <w:p>
            <w:pPr>
              <w:jc w:val="center"/>
              <w:ind w:right="652"/>
              <w:spacing w:after="0"/>
              <w:rPr>
                <w:sz w:val="20"/>
                <w:szCs w:val="20"/>
                <w:color w:val="auto"/>
              </w:rPr>
            </w:pPr>
            <w:r>
              <w:rPr>
                <w:rFonts w:ascii="Arial" w:cs="Arial" w:eastAsia="Arial" w:hAnsi="Arial"/>
                <w:sz w:val="22"/>
                <w:szCs w:val="22"/>
                <w:color w:val="auto"/>
                <w:w w:val="92"/>
              </w:rPr>
              <w:t>incorporation)</w:t>
            </w:r>
          </w:p>
        </w:tc>
        <w:tc>
          <w:tcPr>
            <w:tcW w:w="3600" w:type="dxa"/>
            <w:vAlign w:val="bottom"/>
          </w:tcPr>
          <w:p>
            <w:pPr>
              <w:spacing w:after="0"/>
              <w:rPr>
                <w:sz w:val="23"/>
                <w:szCs w:val="23"/>
                <w:color w:val="auto"/>
              </w:rPr>
            </w:pPr>
          </w:p>
        </w:tc>
        <w:tc>
          <w:tcPr>
            <w:tcW w:w="3140" w:type="dxa"/>
            <w:vAlign w:val="bottom"/>
          </w:tcPr>
          <w:p>
            <w:pPr>
              <w:spacing w:after="0"/>
              <w:rPr>
                <w:sz w:val="23"/>
                <w:szCs w:val="23"/>
                <w:color w:val="auto"/>
              </w:rPr>
            </w:pPr>
          </w:p>
        </w:tc>
      </w:tr>
      <w:tr>
        <w:trPr>
          <w:trHeight w:val="455"/>
        </w:trPr>
        <w:tc>
          <w:tcPr>
            <w:tcW w:w="4120" w:type="dxa"/>
            <w:vAlign w:val="bottom"/>
          </w:tcPr>
          <w:p>
            <w:pPr>
              <w:spacing w:after="0"/>
              <w:rPr>
                <w:sz w:val="24"/>
                <w:szCs w:val="24"/>
                <w:color w:val="auto"/>
              </w:rPr>
            </w:pPr>
          </w:p>
        </w:tc>
        <w:tc>
          <w:tcPr>
            <w:tcW w:w="3600" w:type="dxa"/>
            <w:vAlign w:val="bottom"/>
          </w:tcPr>
          <w:p>
            <w:pPr>
              <w:jc w:val="center"/>
              <w:ind w:right="752"/>
              <w:spacing w:after="0"/>
              <w:rPr>
                <w:sz w:val="20"/>
                <w:szCs w:val="20"/>
                <w:color w:val="auto"/>
              </w:rPr>
            </w:pPr>
            <w:r>
              <w:rPr>
                <w:rFonts w:ascii="Arial" w:cs="Arial" w:eastAsia="Arial" w:hAnsi="Arial"/>
                <w:sz w:val="22"/>
                <w:szCs w:val="22"/>
                <w:b w:val="1"/>
                <w:bCs w:val="1"/>
                <w:color w:val="auto"/>
                <w:w w:val="97"/>
              </w:rPr>
              <w:t>WYNN LAS VEGAS, LLC</w:t>
            </w:r>
          </w:p>
        </w:tc>
        <w:tc>
          <w:tcPr>
            <w:tcW w:w="3140" w:type="dxa"/>
            <w:vAlign w:val="bottom"/>
          </w:tcPr>
          <w:p>
            <w:pPr>
              <w:spacing w:after="0"/>
              <w:rPr>
                <w:sz w:val="24"/>
                <w:szCs w:val="24"/>
                <w:color w:val="auto"/>
              </w:rPr>
            </w:pPr>
          </w:p>
        </w:tc>
      </w:tr>
      <w:tr>
        <w:trPr>
          <w:trHeight w:val="275"/>
        </w:trPr>
        <w:tc>
          <w:tcPr>
            <w:tcW w:w="7720" w:type="dxa"/>
            <w:vAlign w:val="bottom"/>
            <w:gridSpan w:val="2"/>
          </w:tcPr>
          <w:p>
            <w:pPr>
              <w:jc w:val="center"/>
              <w:ind w:left="3152"/>
              <w:spacing w:after="0"/>
              <w:rPr>
                <w:sz w:val="20"/>
                <w:szCs w:val="20"/>
                <w:color w:val="auto"/>
              </w:rPr>
            </w:pPr>
            <w:r>
              <w:rPr>
                <w:rFonts w:ascii="Arial" w:cs="Arial" w:eastAsia="Arial" w:hAnsi="Arial"/>
                <w:sz w:val="22"/>
                <w:szCs w:val="22"/>
                <w:color w:val="auto"/>
                <w:w w:val="88"/>
              </w:rPr>
              <w:t>(Exact name of registrant as specified in its charter)</w:t>
            </w:r>
          </w:p>
        </w:tc>
        <w:tc>
          <w:tcPr>
            <w:tcW w:w="3140" w:type="dxa"/>
            <w:vAlign w:val="bottom"/>
          </w:tcPr>
          <w:p>
            <w:pPr>
              <w:spacing w:after="0"/>
              <w:rPr>
                <w:sz w:val="23"/>
                <w:szCs w:val="23"/>
                <w:color w:val="auto"/>
              </w:rPr>
            </w:pPr>
          </w:p>
        </w:tc>
      </w:tr>
      <w:tr>
        <w:trPr>
          <w:trHeight w:val="698"/>
        </w:trPr>
        <w:tc>
          <w:tcPr>
            <w:tcW w:w="4120" w:type="dxa"/>
            <w:vAlign w:val="bottom"/>
          </w:tcPr>
          <w:p>
            <w:pPr>
              <w:jc w:val="center"/>
              <w:ind w:right="632"/>
              <w:spacing w:after="0"/>
              <w:rPr>
                <w:sz w:val="20"/>
                <w:szCs w:val="20"/>
                <w:color w:val="auto"/>
              </w:rPr>
            </w:pPr>
            <w:r>
              <w:rPr>
                <w:rFonts w:ascii="Arial" w:cs="Arial" w:eastAsia="Arial" w:hAnsi="Arial"/>
                <w:sz w:val="22"/>
                <w:szCs w:val="22"/>
                <w:b w:val="1"/>
                <w:bCs w:val="1"/>
                <w:color w:val="auto"/>
                <w:w w:val="89"/>
              </w:rPr>
              <w:t>Nevada</w:t>
            </w:r>
          </w:p>
        </w:tc>
        <w:tc>
          <w:tcPr>
            <w:tcW w:w="3600" w:type="dxa"/>
            <w:vAlign w:val="bottom"/>
          </w:tcPr>
          <w:p>
            <w:pPr>
              <w:jc w:val="right"/>
              <w:ind w:right="1612"/>
              <w:spacing w:after="0"/>
              <w:rPr>
                <w:sz w:val="20"/>
                <w:szCs w:val="20"/>
                <w:color w:val="auto"/>
              </w:rPr>
            </w:pPr>
            <w:r>
              <w:rPr>
                <w:rFonts w:ascii="Arial" w:cs="Arial" w:eastAsia="Arial" w:hAnsi="Arial"/>
                <w:sz w:val="22"/>
                <w:szCs w:val="22"/>
                <w:b w:val="1"/>
                <w:bCs w:val="1"/>
                <w:color w:val="auto"/>
              </w:rPr>
              <w:t>333-100768</w:t>
            </w:r>
          </w:p>
        </w:tc>
        <w:tc>
          <w:tcPr>
            <w:tcW w:w="3140" w:type="dxa"/>
            <w:vAlign w:val="bottom"/>
          </w:tcPr>
          <w:p>
            <w:pPr>
              <w:jc w:val="center"/>
              <w:spacing w:after="0"/>
              <w:rPr>
                <w:sz w:val="20"/>
                <w:szCs w:val="20"/>
                <w:color w:val="auto"/>
              </w:rPr>
            </w:pPr>
            <w:r>
              <w:rPr>
                <w:rFonts w:ascii="Arial" w:cs="Arial" w:eastAsia="Arial" w:hAnsi="Arial"/>
                <w:sz w:val="22"/>
                <w:szCs w:val="22"/>
                <w:b w:val="1"/>
                <w:bCs w:val="1"/>
                <w:color w:val="auto"/>
                <w:w w:val="88"/>
              </w:rPr>
              <w:t>88-0494875</w:t>
            </w:r>
          </w:p>
        </w:tc>
      </w:tr>
      <w:tr>
        <w:trPr>
          <w:trHeight w:val="243"/>
        </w:trPr>
        <w:tc>
          <w:tcPr>
            <w:tcW w:w="4120" w:type="dxa"/>
            <w:vAlign w:val="bottom"/>
          </w:tcPr>
          <w:p>
            <w:pPr>
              <w:jc w:val="center"/>
              <w:ind w:right="632"/>
              <w:spacing w:after="0" w:line="243" w:lineRule="exact"/>
              <w:rPr>
                <w:sz w:val="20"/>
                <w:szCs w:val="20"/>
                <w:color w:val="auto"/>
              </w:rPr>
            </w:pPr>
            <w:r>
              <w:rPr>
                <w:rFonts w:ascii="Arial" w:cs="Arial" w:eastAsia="Arial" w:hAnsi="Arial"/>
                <w:sz w:val="22"/>
                <w:szCs w:val="22"/>
                <w:color w:val="auto"/>
                <w:w w:val="90"/>
              </w:rPr>
              <w:t>(State or other jurisdiction of</w:t>
            </w:r>
          </w:p>
        </w:tc>
        <w:tc>
          <w:tcPr>
            <w:tcW w:w="3600" w:type="dxa"/>
            <w:vAlign w:val="bottom"/>
          </w:tcPr>
          <w:p>
            <w:pPr>
              <w:jc w:val="center"/>
              <w:ind w:right="752"/>
              <w:spacing w:after="0" w:line="243" w:lineRule="exact"/>
              <w:rPr>
                <w:sz w:val="20"/>
                <w:szCs w:val="20"/>
                <w:color w:val="auto"/>
              </w:rPr>
            </w:pPr>
            <w:r>
              <w:rPr>
                <w:rFonts w:ascii="Arial" w:cs="Arial" w:eastAsia="Arial" w:hAnsi="Arial"/>
                <w:sz w:val="22"/>
                <w:szCs w:val="22"/>
                <w:color w:val="auto"/>
                <w:w w:val="90"/>
              </w:rPr>
              <w:t>(Commission File Number)</w:t>
            </w:r>
          </w:p>
        </w:tc>
        <w:tc>
          <w:tcPr>
            <w:tcW w:w="3140" w:type="dxa"/>
            <w:vAlign w:val="bottom"/>
          </w:tcPr>
          <w:p>
            <w:pPr>
              <w:jc w:val="center"/>
              <w:spacing w:after="0" w:line="243" w:lineRule="exact"/>
              <w:rPr>
                <w:sz w:val="20"/>
                <w:szCs w:val="20"/>
                <w:color w:val="auto"/>
              </w:rPr>
            </w:pPr>
            <w:r>
              <w:rPr>
                <w:rFonts w:ascii="Arial" w:cs="Arial" w:eastAsia="Arial" w:hAnsi="Arial"/>
                <w:sz w:val="22"/>
                <w:szCs w:val="22"/>
                <w:color w:val="auto"/>
                <w:w w:val="92"/>
              </w:rPr>
              <w:t>(I.R.S. Employer Identification No.)</w:t>
            </w:r>
          </w:p>
        </w:tc>
      </w:tr>
      <w:tr>
        <w:trPr>
          <w:trHeight w:val="275"/>
        </w:trPr>
        <w:tc>
          <w:tcPr>
            <w:tcW w:w="4120" w:type="dxa"/>
            <w:vAlign w:val="bottom"/>
          </w:tcPr>
          <w:p>
            <w:pPr>
              <w:jc w:val="center"/>
              <w:ind w:right="652"/>
              <w:spacing w:after="0"/>
              <w:rPr>
                <w:sz w:val="20"/>
                <w:szCs w:val="20"/>
                <w:color w:val="auto"/>
              </w:rPr>
            </w:pPr>
            <w:r>
              <w:rPr>
                <w:rFonts w:ascii="Arial" w:cs="Arial" w:eastAsia="Arial" w:hAnsi="Arial"/>
                <w:sz w:val="22"/>
                <w:szCs w:val="22"/>
                <w:color w:val="auto"/>
                <w:w w:val="92"/>
              </w:rPr>
              <w:t>incorporation)</w:t>
            </w:r>
          </w:p>
        </w:tc>
        <w:tc>
          <w:tcPr>
            <w:tcW w:w="3600" w:type="dxa"/>
            <w:vAlign w:val="bottom"/>
          </w:tcPr>
          <w:p>
            <w:pPr>
              <w:spacing w:after="0"/>
              <w:rPr>
                <w:sz w:val="23"/>
                <w:szCs w:val="23"/>
                <w:color w:val="auto"/>
              </w:rPr>
            </w:pPr>
          </w:p>
        </w:tc>
        <w:tc>
          <w:tcPr>
            <w:tcW w:w="3140" w:type="dxa"/>
            <w:vAlign w:val="bottom"/>
          </w:tcPr>
          <w:p>
            <w:pPr>
              <w:spacing w:after="0"/>
              <w:rPr>
                <w:sz w:val="23"/>
                <w:szCs w:val="23"/>
                <w:color w:val="auto"/>
              </w:rPr>
            </w:pPr>
          </w:p>
        </w:tc>
      </w:tr>
      <w:tr>
        <w:trPr>
          <w:trHeight w:val="692"/>
        </w:trPr>
        <w:tc>
          <w:tcPr>
            <w:tcW w:w="4120" w:type="dxa"/>
            <w:vAlign w:val="bottom"/>
          </w:tcPr>
          <w:p>
            <w:pPr>
              <w:jc w:val="center"/>
              <w:ind w:left="752"/>
              <w:spacing w:after="0"/>
              <w:rPr>
                <w:sz w:val="20"/>
                <w:szCs w:val="20"/>
                <w:color w:val="auto"/>
              </w:rPr>
            </w:pPr>
            <w:r>
              <w:rPr>
                <w:rFonts w:ascii="Arial" w:cs="Arial" w:eastAsia="Arial" w:hAnsi="Arial"/>
                <w:sz w:val="22"/>
                <w:szCs w:val="22"/>
                <w:b w:val="1"/>
                <w:bCs w:val="1"/>
                <w:color w:val="auto"/>
                <w:w w:val="87"/>
              </w:rPr>
              <w:t>3131 Las Vegas Boulevard South</w:t>
            </w:r>
          </w:p>
        </w:tc>
        <w:tc>
          <w:tcPr>
            <w:tcW w:w="360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249"/>
        </w:trPr>
        <w:tc>
          <w:tcPr>
            <w:tcW w:w="4120" w:type="dxa"/>
            <w:vAlign w:val="bottom"/>
          </w:tcPr>
          <w:p>
            <w:pPr>
              <w:jc w:val="center"/>
              <w:ind w:left="772"/>
              <w:spacing w:after="0" w:line="249" w:lineRule="exact"/>
              <w:rPr>
                <w:sz w:val="20"/>
                <w:szCs w:val="20"/>
                <w:color w:val="auto"/>
              </w:rPr>
            </w:pPr>
            <w:r>
              <w:rPr>
                <w:rFonts w:ascii="Arial" w:cs="Arial" w:eastAsia="Arial" w:hAnsi="Arial"/>
                <w:sz w:val="22"/>
                <w:szCs w:val="22"/>
                <w:b w:val="1"/>
                <w:bCs w:val="1"/>
                <w:color w:val="auto"/>
                <w:w w:val="86"/>
              </w:rPr>
              <w:t>Las Vegas, Nevada</w:t>
            </w:r>
          </w:p>
        </w:tc>
        <w:tc>
          <w:tcPr>
            <w:tcW w:w="3600" w:type="dxa"/>
            <w:vAlign w:val="bottom"/>
          </w:tcPr>
          <w:p>
            <w:pPr>
              <w:spacing w:after="0"/>
              <w:rPr>
                <w:sz w:val="21"/>
                <w:szCs w:val="21"/>
                <w:color w:val="auto"/>
              </w:rPr>
            </w:pPr>
          </w:p>
        </w:tc>
        <w:tc>
          <w:tcPr>
            <w:tcW w:w="3140" w:type="dxa"/>
            <w:vAlign w:val="bottom"/>
          </w:tcPr>
          <w:p>
            <w:pPr>
              <w:jc w:val="right"/>
              <w:ind w:right="2272"/>
              <w:spacing w:after="0" w:line="249" w:lineRule="exact"/>
              <w:rPr>
                <w:sz w:val="20"/>
                <w:szCs w:val="20"/>
                <w:color w:val="auto"/>
              </w:rPr>
            </w:pPr>
            <w:r>
              <w:rPr>
                <w:rFonts w:ascii="Arial" w:cs="Arial" w:eastAsia="Arial" w:hAnsi="Arial"/>
                <w:sz w:val="22"/>
                <w:szCs w:val="22"/>
                <w:b w:val="1"/>
                <w:bCs w:val="1"/>
                <w:color w:val="auto"/>
              </w:rPr>
              <w:t>89109</w:t>
            </w:r>
          </w:p>
        </w:tc>
      </w:tr>
      <w:tr>
        <w:trPr>
          <w:trHeight w:val="275"/>
        </w:trPr>
        <w:tc>
          <w:tcPr>
            <w:tcW w:w="7720" w:type="dxa"/>
            <w:vAlign w:val="bottom"/>
            <w:gridSpan w:val="2"/>
          </w:tcPr>
          <w:p>
            <w:pPr>
              <w:jc w:val="center"/>
              <w:ind w:right="2632"/>
              <w:spacing w:after="0"/>
              <w:rPr>
                <w:sz w:val="20"/>
                <w:szCs w:val="20"/>
                <w:color w:val="auto"/>
              </w:rPr>
            </w:pPr>
            <w:r>
              <w:rPr>
                <w:rFonts w:ascii="Arial" w:cs="Arial" w:eastAsia="Arial" w:hAnsi="Arial"/>
                <w:sz w:val="22"/>
                <w:szCs w:val="22"/>
                <w:color w:val="auto"/>
                <w:w w:val="90"/>
              </w:rPr>
              <w:t>(Address of principal executive offices of each registrant)</w:t>
            </w:r>
          </w:p>
        </w:tc>
        <w:tc>
          <w:tcPr>
            <w:tcW w:w="3140" w:type="dxa"/>
            <w:vAlign w:val="bottom"/>
          </w:tcPr>
          <w:p>
            <w:pPr>
              <w:jc w:val="center"/>
              <w:ind w:right="207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(702) 770-7555</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15" w:lineRule="exact"/>
        <w:rPr>
          <w:sz w:val="24"/>
          <w:szCs w:val="24"/>
          <w:color w:val="auto"/>
        </w:rPr>
      </w:pPr>
    </w:p>
    <w:p>
      <w:pPr>
        <w:spacing w:after="0" w:line="251" w:lineRule="auto"/>
        <w:rPr>
          <w:sz w:val="20"/>
          <w:szCs w:val="20"/>
          <w:color w:val="auto"/>
        </w:rPr>
      </w:pPr>
      <w:r>
        <w:rPr>
          <w:rFonts w:ascii="Arial" w:cs="Arial" w:eastAsia="Arial" w:hAnsi="Arial"/>
          <w:sz w:val="22"/>
          <w:szCs w:val="22"/>
          <w:color w:val="auto"/>
        </w:rPr>
        <w:t>Check the appropriate box below if the Form 8-K is intended to simultaneously satisfy the filing obligation of the registrant under any of the following provisions:</w:t>
      </w:r>
    </w:p>
    <w:p>
      <w:pPr>
        <w:spacing w:after="0" w:line="200" w:lineRule="exact"/>
        <w:rPr>
          <w:sz w:val="24"/>
          <w:szCs w:val="24"/>
          <w:color w:val="auto"/>
        </w:rPr>
      </w:pPr>
    </w:p>
    <w:p>
      <w:pPr>
        <w:ind w:left="340" w:hanging="332"/>
        <w:spacing w:after="0"/>
        <w:tabs>
          <w:tab w:leader="none" w:pos="340" w:val="left"/>
        </w:tabs>
        <w:numPr>
          <w:ilvl w:val="0"/>
          <w:numId w:val="1"/>
        </w:numPr>
        <w:rPr>
          <w:rFonts w:ascii="Arial" w:cs="Arial" w:eastAsia="Arial" w:hAnsi="Arial"/>
          <w:sz w:val="22"/>
          <w:szCs w:val="22"/>
          <w:color w:val="auto"/>
        </w:rPr>
      </w:pPr>
      <w:r>
        <w:rPr>
          <w:rFonts w:ascii="Arial" w:cs="Arial" w:eastAsia="Arial" w:hAnsi="Arial"/>
          <w:sz w:val="22"/>
          <w:szCs w:val="22"/>
          <w:color w:val="auto"/>
        </w:rPr>
        <w:t>Written communication pursuant to Rule 425 under the Securities Act (17 CFR 230.425)</w:t>
      </w:r>
    </w:p>
    <w:p>
      <w:pPr>
        <w:spacing w:after="0" w:line="233" w:lineRule="exact"/>
        <w:rPr>
          <w:rFonts w:ascii="Arial" w:cs="Arial" w:eastAsia="Arial" w:hAnsi="Arial"/>
          <w:sz w:val="22"/>
          <w:szCs w:val="22"/>
          <w:color w:val="auto"/>
        </w:rPr>
      </w:pPr>
    </w:p>
    <w:p>
      <w:pPr>
        <w:ind w:left="340" w:hanging="332"/>
        <w:spacing w:after="0"/>
        <w:tabs>
          <w:tab w:leader="none" w:pos="340" w:val="left"/>
        </w:tabs>
        <w:numPr>
          <w:ilvl w:val="0"/>
          <w:numId w:val="1"/>
        </w:numPr>
        <w:rPr>
          <w:rFonts w:ascii="Arial" w:cs="Arial" w:eastAsia="Arial" w:hAnsi="Arial"/>
          <w:sz w:val="22"/>
          <w:szCs w:val="22"/>
          <w:color w:val="auto"/>
        </w:rPr>
      </w:pPr>
      <w:r>
        <w:rPr>
          <w:rFonts w:ascii="Arial" w:cs="Arial" w:eastAsia="Arial" w:hAnsi="Arial"/>
          <w:sz w:val="22"/>
          <w:szCs w:val="22"/>
          <w:color w:val="auto"/>
        </w:rPr>
        <w:t>Soliciting material pursuant to Rule 14a-12 under the Exchange Act (17 CFR 240.14a-12)</w:t>
      </w:r>
    </w:p>
    <w:p>
      <w:pPr>
        <w:spacing w:after="0" w:line="233" w:lineRule="exact"/>
        <w:rPr>
          <w:rFonts w:ascii="Arial" w:cs="Arial" w:eastAsia="Arial" w:hAnsi="Arial"/>
          <w:sz w:val="22"/>
          <w:szCs w:val="22"/>
          <w:color w:val="auto"/>
        </w:rPr>
      </w:pPr>
    </w:p>
    <w:p>
      <w:pPr>
        <w:ind w:left="340" w:hanging="332"/>
        <w:spacing w:after="0"/>
        <w:tabs>
          <w:tab w:leader="none" w:pos="340" w:val="left"/>
        </w:tabs>
        <w:numPr>
          <w:ilvl w:val="0"/>
          <w:numId w:val="1"/>
        </w:numPr>
        <w:rPr>
          <w:rFonts w:ascii="Arial" w:cs="Arial" w:eastAsia="Arial" w:hAnsi="Arial"/>
          <w:sz w:val="22"/>
          <w:szCs w:val="22"/>
          <w:color w:val="auto"/>
        </w:rPr>
      </w:pPr>
      <w:r>
        <w:rPr>
          <w:rFonts w:ascii="Arial" w:cs="Arial" w:eastAsia="Arial" w:hAnsi="Arial"/>
          <w:sz w:val="22"/>
          <w:szCs w:val="22"/>
          <w:color w:val="auto"/>
        </w:rPr>
        <w:t>Pre-commencement communications pursuant to Rule 14d-2(b) under the Exchange Act (17 CFR 240.14d-2(b))</w:t>
      </w:r>
    </w:p>
    <w:p>
      <w:pPr>
        <w:spacing w:after="0" w:line="233" w:lineRule="exact"/>
        <w:rPr>
          <w:rFonts w:ascii="Arial" w:cs="Arial" w:eastAsia="Arial" w:hAnsi="Arial"/>
          <w:sz w:val="22"/>
          <w:szCs w:val="22"/>
          <w:color w:val="auto"/>
        </w:rPr>
      </w:pPr>
    </w:p>
    <w:p>
      <w:pPr>
        <w:ind w:left="340" w:hanging="332"/>
        <w:spacing w:after="0"/>
        <w:tabs>
          <w:tab w:leader="none" w:pos="340" w:val="left"/>
        </w:tabs>
        <w:numPr>
          <w:ilvl w:val="0"/>
          <w:numId w:val="1"/>
        </w:numPr>
        <w:rPr>
          <w:rFonts w:ascii="Arial" w:cs="Arial" w:eastAsia="Arial" w:hAnsi="Arial"/>
          <w:sz w:val="22"/>
          <w:szCs w:val="22"/>
          <w:color w:val="auto"/>
        </w:rPr>
      </w:pPr>
      <w:r>
        <w:rPr>
          <w:rFonts w:ascii="Arial" w:cs="Arial" w:eastAsia="Arial" w:hAnsi="Arial"/>
          <w:sz w:val="22"/>
          <w:szCs w:val="22"/>
          <w:color w:val="auto"/>
        </w:rPr>
        <w:t>Pre-commencements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 w:name="page2"/>
    <w:bookmarkEnd w:id="1"/>
    <w:p>
      <w:pPr>
        <w:spacing w:after="0"/>
        <w:tabs>
          <w:tab w:leader="none" w:pos="1140" w:val="left"/>
        </w:tabs>
        <w:rPr>
          <w:sz w:val="20"/>
          <w:szCs w:val="20"/>
          <w:color w:val="auto"/>
        </w:rPr>
      </w:pPr>
      <w:r>
        <w:rPr>
          <w:rFonts w:ascii="Arial" w:cs="Arial" w:eastAsia="Arial" w:hAnsi="Arial"/>
          <w:sz w:val="22"/>
          <w:szCs w:val="22"/>
          <w:b w:val="1"/>
          <w:bCs w:val="1"/>
          <w:color w:val="auto"/>
        </w:rPr>
        <w:t>Item 2.02.</w:t>
      </w:r>
      <w:r>
        <w:rPr>
          <w:sz w:val="20"/>
          <w:szCs w:val="20"/>
          <w:color w:val="auto"/>
        </w:rPr>
        <w:tab/>
      </w:r>
      <w:r>
        <w:rPr>
          <w:rFonts w:ascii="Arial" w:cs="Arial" w:eastAsia="Arial" w:hAnsi="Arial"/>
          <w:sz w:val="19"/>
          <w:szCs w:val="19"/>
          <w:b w:val="1"/>
          <w:bCs w:val="1"/>
          <w:color w:val="auto"/>
        </w:rPr>
        <w:t>Results of Operations and Financial Condition.</w:t>
      </w:r>
    </w:p>
    <w:p>
      <w:pPr>
        <w:spacing w:after="0" w:line="239" w:lineRule="exact"/>
        <w:rPr>
          <w:sz w:val="20"/>
          <w:szCs w:val="20"/>
          <w:color w:val="auto"/>
        </w:rPr>
      </w:pPr>
    </w:p>
    <w:p>
      <w:pPr>
        <w:spacing w:after="0" w:line="249" w:lineRule="auto"/>
        <w:rPr>
          <w:sz w:val="20"/>
          <w:szCs w:val="20"/>
          <w:color w:val="auto"/>
        </w:rPr>
      </w:pPr>
      <w:r>
        <w:rPr>
          <w:rFonts w:ascii="Arial" w:cs="Arial" w:eastAsia="Arial" w:hAnsi="Arial"/>
          <w:sz w:val="21"/>
          <w:szCs w:val="21"/>
          <w:color w:val="auto"/>
        </w:rPr>
        <w:t>On February 24, 2009, Wynn Resorts, Limited issued a press release announcing its results of operations for the fourth quarter and year ended December 31, 2008. The press release is furnished herewith as Exhibit 99.1. The information in this Form 8-K and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200"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7.01.</w:t>
      </w:r>
      <w:r>
        <w:rPr>
          <w:sz w:val="20"/>
          <w:szCs w:val="20"/>
          <w:color w:val="auto"/>
        </w:rPr>
        <w:tab/>
      </w:r>
      <w:r>
        <w:rPr>
          <w:rFonts w:ascii="Arial" w:cs="Arial" w:eastAsia="Arial" w:hAnsi="Arial"/>
          <w:sz w:val="19"/>
          <w:szCs w:val="19"/>
          <w:b w:val="1"/>
          <w:bCs w:val="1"/>
          <w:color w:val="auto"/>
        </w:rPr>
        <w:t>Regulation FD Disclosure.</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The information set forth under Item 2.02 of this report is incorporated herein by reference.</w:t>
      </w:r>
    </w:p>
    <w:p>
      <w:pPr>
        <w:spacing w:after="0" w:line="227"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12" w:lineRule="exact"/>
        <w:rPr>
          <w:sz w:val="20"/>
          <w:szCs w:val="20"/>
          <w:color w:val="auto"/>
        </w:rPr>
      </w:pPr>
    </w:p>
    <w:p>
      <w:pPr>
        <w:ind w:left="1160" w:hanging="704"/>
        <w:spacing w:after="0"/>
        <w:tabs>
          <w:tab w:leader="none" w:pos="1160" w:val="left"/>
        </w:tabs>
        <w:numPr>
          <w:ilvl w:val="0"/>
          <w:numId w:val="2"/>
        </w:numPr>
        <w:rPr>
          <w:rFonts w:ascii="Arial" w:cs="Arial" w:eastAsia="Arial" w:hAnsi="Arial"/>
          <w:sz w:val="22"/>
          <w:szCs w:val="22"/>
          <w:color w:val="auto"/>
        </w:rPr>
      </w:pPr>
      <w:r>
        <w:rPr>
          <w:rFonts w:ascii="Arial" w:cs="Arial" w:eastAsia="Arial" w:hAnsi="Arial"/>
          <w:sz w:val="22"/>
          <w:szCs w:val="22"/>
          <w:color w:val="auto"/>
        </w:rPr>
        <w:t>Exhibits:</w:t>
      </w:r>
    </w:p>
    <w:p>
      <w:pPr>
        <w:spacing w:after="0" w:line="200" w:lineRule="exact"/>
        <w:rPr>
          <w:sz w:val="20"/>
          <w:szCs w:val="20"/>
          <w:color w:val="auto"/>
        </w:rPr>
      </w:pPr>
    </w:p>
    <w:p>
      <w:pPr>
        <w:spacing w:after="0" w:line="27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Exhibit</w:t>
      </w:r>
    </w:p>
    <w:p>
      <w:pPr>
        <w:spacing w:after="0" w:line="8" w:lineRule="exact"/>
        <w:rPr>
          <w:sz w:val="20"/>
          <w:szCs w:val="20"/>
          <w:color w:val="auto"/>
        </w:rPr>
      </w:pPr>
    </w:p>
    <w:p>
      <w:pPr>
        <w:ind w:left="220"/>
        <w:spacing w:after="0"/>
        <w:tabs>
          <w:tab w:leader="none" w:pos="1140" w:val="left"/>
        </w:tabs>
        <w:rPr>
          <w:sz w:val="20"/>
          <w:szCs w:val="20"/>
          <w:color w:val="auto"/>
        </w:rPr>
      </w:pPr>
      <w:r>
        <w:rPr>
          <w:rFonts w:ascii="Arial" w:cs="Arial" w:eastAsia="Arial" w:hAnsi="Arial"/>
          <w:sz w:val="22"/>
          <w:szCs w:val="22"/>
          <w:u w:val="single" w:color="auto"/>
          <w:color w:val="auto"/>
        </w:rPr>
        <w:t>Number</w:t>
      </w:r>
      <w:r>
        <w:rPr>
          <w:sz w:val="20"/>
          <w:szCs w:val="20"/>
          <w:color w:val="auto"/>
        </w:rPr>
        <w:tab/>
      </w:r>
      <w:r>
        <w:rPr>
          <w:rFonts w:ascii="Arial" w:cs="Arial" w:eastAsia="Arial" w:hAnsi="Arial"/>
          <w:sz w:val="19"/>
          <w:szCs w:val="19"/>
          <w:u w:val="single" w:color="auto"/>
          <w:color w:val="auto"/>
        </w:rPr>
        <w:t>Description</w:t>
      </w:r>
    </w:p>
    <w:p>
      <w:pPr>
        <w:spacing w:after="0" w:line="188" w:lineRule="exact"/>
        <w:rPr>
          <w:sz w:val="20"/>
          <w:szCs w:val="20"/>
          <w:color w:val="auto"/>
        </w:rPr>
      </w:pPr>
    </w:p>
    <w:p>
      <w:pPr>
        <w:ind w:left="400"/>
        <w:spacing w:after="0"/>
        <w:tabs>
          <w:tab w:leader="none" w:pos="1140" w:val="left"/>
        </w:tabs>
        <w:rPr>
          <w:sz w:val="20"/>
          <w:szCs w:val="20"/>
          <w:color w:val="auto"/>
        </w:rPr>
      </w:pPr>
      <w:r>
        <w:rPr>
          <w:rFonts w:ascii="Arial" w:cs="Arial" w:eastAsia="Arial" w:hAnsi="Arial"/>
          <w:sz w:val="22"/>
          <w:szCs w:val="22"/>
          <w:color w:val="auto"/>
        </w:rPr>
        <w:t>99.1</w:t>
      </w:r>
      <w:r>
        <w:rPr>
          <w:sz w:val="20"/>
          <w:szCs w:val="20"/>
          <w:color w:val="auto"/>
        </w:rPr>
        <w:tab/>
      </w:r>
      <w:r>
        <w:rPr>
          <w:rFonts w:ascii="Arial" w:cs="Arial" w:eastAsia="Arial" w:hAnsi="Arial"/>
          <w:sz w:val="19"/>
          <w:szCs w:val="19"/>
          <w:color w:val="auto"/>
        </w:rPr>
        <w:t>Press release, dated February 24, 2009, of Wynn Resorts,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355"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SIGNATURES</w:t>
      </w:r>
    </w:p>
    <w:p>
      <w:pPr>
        <w:spacing w:after="0" w:line="240"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tabs>
          <w:tab w:leader="none" w:pos="94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February 24, 2009</w:t>
      </w:r>
    </w:p>
    <w:p>
      <w:pPr>
        <w:spacing w:after="0" w:line="233" w:lineRule="exact"/>
        <w:rPr>
          <w:sz w:val="20"/>
          <w:szCs w:val="20"/>
          <w:color w:val="auto"/>
        </w:rPr>
      </w:pPr>
    </w:p>
    <w:p>
      <w:pPr>
        <w:ind w:left="6660"/>
        <w:spacing w:after="0"/>
        <w:rPr>
          <w:sz w:val="20"/>
          <w:szCs w:val="20"/>
          <w:color w:val="auto"/>
        </w:rPr>
      </w:pPr>
      <w:r>
        <w:rPr>
          <w:rFonts w:ascii="Arial" w:cs="Arial" w:eastAsia="Arial" w:hAnsi="Arial"/>
          <w:sz w:val="22"/>
          <w:szCs w:val="22"/>
          <w:color w:val="auto"/>
        </w:rPr>
        <w:t>WYNN RESORTS, LIMITED</w:t>
      </w:r>
    </w:p>
    <w:p>
      <w:pPr>
        <w:spacing w:after="0" w:line="200" w:lineRule="exact"/>
        <w:rPr>
          <w:sz w:val="20"/>
          <w:szCs w:val="20"/>
          <w:color w:val="auto"/>
        </w:rPr>
      </w:pPr>
    </w:p>
    <w:p>
      <w:pPr>
        <w:spacing w:after="0" w:line="222" w:lineRule="exact"/>
        <w:rPr>
          <w:sz w:val="20"/>
          <w:szCs w:val="20"/>
          <w:color w:val="auto"/>
        </w:rPr>
      </w:pPr>
    </w:p>
    <w:p>
      <w:pPr>
        <w:ind w:left="6660"/>
        <w:spacing w:after="0"/>
        <w:tabs>
          <w:tab w:leader="none" w:pos="7260" w:val="left"/>
        </w:tabs>
        <w:rPr>
          <w:sz w:val="20"/>
          <w:szCs w:val="20"/>
          <w:color w:val="auto"/>
        </w:rPr>
      </w:pPr>
      <w:r>
        <w:rPr>
          <w:rFonts w:ascii="Arial" w:cs="Arial" w:eastAsia="Arial" w:hAnsi="Arial"/>
          <w:sz w:val="22"/>
          <w:szCs w:val="22"/>
          <w:color w:val="auto"/>
        </w:rPr>
        <w:t>By:</w:t>
        <w:tab/>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4627245</wp:posOffset>
            </wp:positionH>
            <wp:positionV relativeFrom="paragraph">
              <wp:posOffset>7620</wp:posOffset>
            </wp:positionV>
            <wp:extent cx="26244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ind w:left="7280"/>
        <w:spacing w:after="0"/>
        <w:rPr>
          <w:sz w:val="20"/>
          <w:szCs w:val="20"/>
          <w:color w:val="auto"/>
        </w:rPr>
      </w:pPr>
      <w:r>
        <w:rPr>
          <w:rFonts w:ascii="Arial" w:cs="Arial" w:eastAsia="Arial" w:hAnsi="Arial"/>
          <w:sz w:val="22"/>
          <w:szCs w:val="22"/>
          <w:color w:val="auto"/>
        </w:rPr>
        <w:t>Matt Maddox</w:t>
      </w:r>
    </w:p>
    <w:p>
      <w:pPr>
        <w:ind w:left="7280"/>
        <w:spacing w:after="0" w:line="230" w:lineRule="auto"/>
        <w:rPr>
          <w:sz w:val="20"/>
          <w:szCs w:val="20"/>
          <w:color w:val="auto"/>
        </w:rPr>
      </w:pPr>
      <w:r>
        <w:rPr>
          <w:rFonts w:ascii="Arial" w:cs="Arial" w:eastAsia="Arial" w:hAnsi="Arial"/>
          <w:sz w:val="22"/>
          <w:szCs w:val="22"/>
          <w:color w:val="auto"/>
        </w:rPr>
        <w:t>Chief Financial Officer and</w:t>
      </w:r>
    </w:p>
    <w:p>
      <w:pPr>
        <w:spacing w:after="0" w:line="1" w:lineRule="exact"/>
        <w:rPr>
          <w:sz w:val="20"/>
          <w:szCs w:val="20"/>
          <w:color w:val="auto"/>
        </w:rPr>
      </w:pPr>
    </w:p>
    <w:p>
      <w:pPr>
        <w:ind w:left="7280"/>
        <w:spacing w:after="0"/>
        <w:rPr>
          <w:sz w:val="20"/>
          <w:szCs w:val="20"/>
          <w:color w:val="auto"/>
        </w:rPr>
      </w:pPr>
      <w:r>
        <w:rPr>
          <w:rFonts w:ascii="Arial" w:cs="Arial" w:eastAsia="Arial" w:hAnsi="Arial"/>
          <w:sz w:val="22"/>
          <w:szCs w:val="22"/>
          <w:color w:val="auto"/>
        </w:rPr>
        <w:t>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216535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SIGNATURES</w:t>
      </w:r>
    </w:p>
    <w:p>
      <w:pPr>
        <w:spacing w:after="0" w:line="240"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tabs>
          <w:tab w:leader="none" w:pos="94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February 24, 2009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660"/>
        <w:spacing w:after="0"/>
        <w:rPr>
          <w:sz w:val="20"/>
          <w:szCs w:val="20"/>
          <w:color w:val="auto"/>
        </w:rPr>
      </w:pPr>
      <w:r>
        <w:rPr>
          <w:rFonts w:ascii="Arial" w:cs="Arial" w:eastAsia="Arial" w:hAnsi="Arial"/>
          <w:sz w:val="22"/>
          <w:szCs w:val="22"/>
          <w:color w:val="auto"/>
        </w:rPr>
        <w:t>WYNN LAS VEGAS, LLC</w:t>
      </w:r>
    </w:p>
    <w:p>
      <w:pPr>
        <w:spacing w:after="0" w:line="206" w:lineRule="exact"/>
        <w:rPr>
          <w:sz w:val="20"/>
          <w:szCs w:val="20"/>
          <w:color w:val="auto"/>
        </w:rPr>
      </w:pPr>
    </w:p>
    <w:p>
      <w:pPr>
        <w:ind w:left="6660"/>
        <w:spacing w:after="0"/>
        <w:tabs>
          <w:tab w:leader="none" w:pos="7260" w:val="left"/>
        </w:tabs>
        <w:rPr>
          <w:sz w:val="20"/>
          <w:szCs w:val="20"/>
          <w:color w:val="auto"/>
        </w:rPr>
      </w:pPr>
      <w:r>
        <w:rPr>
          <w:rFonts w:ascii="Arial" w:cs="Arial" w:eastAsia="Arial" w:hAnsi="Arial"/>
          <w:sz w:val="22"/>
          <w:szCs w:val="22"/>
          <w:color w:val="auto"/>
        </w:rPr>
        <w:t>By:</w:t>
        <w:tab/>
        <w:t>Wynn Resorts Holdings, LLC,</w:t>
      </w:r>
    </w:p>
    <w:p>
      <w:pPr>
        <w:spacing w:after="0" w:line="8" w:lineRule="exact"/>
        <w:rPr>
          <w:sz w:val="20"/>
          <w:szCs w:val="20"/>
          <w:color w:val="auto"/>
        </w:rPr>
      </w:pPr>
    </w:p>
    <w:p>
      <w:pPr>
        <w:ind w:left="7660"/>
        <w:spacing w:after="0"/>
        <w:rPr>
          <w:sz w:val="20"/>
          <w:szCs w:val="20"/>
          <w:color w:val="auto"/>
        </w:rPr>
      </w:pPr>
      <w:r>
        <w:rPr>
          <w:rFonts w:ascii="Arial" w:cs="Arial" w:eastAsia="Arial" w:hAnsi="Arial"/>
          <w:sz w:val="22"/>
          <w:szCs w:val="22"/>
          <w:color w:val="auto"/>
        </w:rPr>
        <w:t>its sole member</w:t>
      </w:r>
    </w:p>
    <w:p>
      <w:pPr>
        <w:spacing w:after="0" w:line="188" w:lineRule="exact"/>
        <w:rPr>
          <w:sz w:val="20"/>
          <w:szCs w:val="20"/>
          <w:color w:val="auto"/>
        </w:rPr>
      </w:pPr>
    </w:p>
    <w:p>
      <w:pPr>
        <w:ind w:left="6660"/>
        <w:spacing w:after="0"/>
        <w:tabs>
          <w:tab w:leader="none" w:pos="7260" w:val="left"/>
        </w:tabs>
        <w:rPr>
          <w:sz w:val="20"/>
          <w:szCs w:val="20"/>
          <w:color w:val="auto"/>
        </w:rPr>
      </w:pPr>
      <w:r>
        <w:rPr>
          <w:rFonts w:ascii="Arial" w:cs="Arial" w:eastAsia="Arial" w:hAnsi="Arial"/>
          <w:sz w:val="22"/>
          <w:szCs w:val="22"/>
          <w:color w:val="auto"/>
        </w:rPr>
        <w:t>By:</w:t>
        <w:tab/>
        <w:t>Wynn Resorts, Limited, its sole</w:t>
      </w:r>
    </w:p>
    <w:p>
      <w:pPr>
        <w:spacing w:after="0" w:line="8" w:lineRule="exact"/>
        <w:rPr>
          <w:sz w:val="20"/>
          <w:szCs w:val="20"/>
          <w:color w:val="auto"/>
        </w:rPr>
      </w:pPr>
    </w:p>
    <w:p>
      <w:pPr>
        <w:ind w:left="7660"/>
        <w:spacing w:after="0"/>
        <w:rPr>
          <w:sz w:val="20"/>
          <w:szCs w:val="20"/>
          <w:color w:val="auto"/>
        </w:rPr>
      </w:pPr>
      <w:r>
        <w:rPr>
          <w:rFonts w:ascii="Arial" w:cs="Arial" w:eastAsia="Arial" w:hAnsi="Arial"/>
          <w:sz w:val="22"/>
          <w:szCs w:val="22"/>
          <w:color w:val="auto"/>
        </w:rPr>
        <w:t>member</w:t>
      </w:r>
    </w:p>
    <w:p>
      <w:pPr>
        <w:spacing w:after="0" w:line="188" w:lineRule="exact"/>
        <w:rPr>
          <w:sz w:val="20"/>
          <w:szCs w:val="20"/>
          <w:color w:val="auto"/>
        </w:rPr>
      </w:pPr>
    </w:p>
    <w:p>
      <w:pPr>
        <w:ind w:left="6660"/>
        <w:spacing w:after="0"/>
        <w:tabs>
          <w:tab w:leader="none" w:pos="7260" w:val="left"/>
        </w:tabs>
        <w:rPr>
          <w:sz w:val="20"/>
          <w:szCs w:val="20"/>
          <w:color w:val="auto"/>
        </w:rPr>
      </w:pPr>
      <w:r>
        <w:rPr>
          <w:rFonts w:ascii="Arial" w:cs="Arial" w:eastAsia="Arial" w:hAnsi="Arial"/>
          <w:sz w:val="22"/>
          <w:szCs w:val="22"/>
          <w:color w:val="auto"/>
        </w:rPr>
        <w:t>By:</w:t>
        <w:tab/>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4627245</wp:posOffset>
            </wp:positionH>
            <wp:positionV relativeFrom="paragraph">
              <wp:posOffset>7620</wp:posOffset>
            </wp:positionV>
            <wp:extent cx="26244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ind w:left="7280"/>
        <w:spacing w:after="0"/>
        <w:rPr>
          <w:sz w:val="20"/>
          <w:szCs w:val="20"/>
          <w:color w:val="auto"/>
        </w:rPr>
      </w:pPr>
      <w:r>
        <w:rPr>
          <w:rFonts w:ascii="Arial" w:cs="Arial" w:eastAsia="Arial" w:hAnsi="Arial"/>
          <w:sz w:val="22"/>
          <w:szCs w:val="22"/>
          <w:color w:val="auto"/>
        </w:rPr>
        <w:t>Matt Maddox</w:t>
      </w:r>
    </w:p>
    <w:p>
      <w:pPr>
        <w:ind w:left="7280"/>
        <w:spacing w:after="0" w:line="230" w:lineRule="auto"/>
        <w:rPr>
          <w:sz w:val="20"/>
          <w:szCs w:val="20"/>
          <w:color w:val="auto"/>
        </w:rPr>
      </w:pPr>
      <w:r>
        <w:rPr>
          <w:rFonts w:ascii="Arial" w:cs="Arial" w:eastAsia="Arial" w:hAnsi="Arial"/>
          <w:sz w:val="22"/>
          <w:szCs w:val="22"/>
          <w:color w:val="auto"/>
        </w:rPr>
        <w:t>Chief Financial Officer and</w:t>
      </w:r>
    </w:p>
    <w:p>
      <w:pPr>
        <w:spacing w:after="0" w:line="1" w:lineRule="exact"/>
        <w:rPr>
          <w:sz w:val="20"/>
          <w:szCs w:val="20"/>
          <w:color w:val="auto"/>
        </w:rPr>
      </w:pPr>
    </w:p>
    <w:p>
      <w:pPr>
        <w:ind w:left="7280"/>
        <w:spacing w:after="0"/>
        <w:rPr>
          <w:sz w:val="20"/>
          <w:szCs w:val="20"/>
          <w:color w:val="auto"/>
        </w:rPr>
      </w:pPr>
      <w:r>
        <w:rPr>
          <w:rFonts w:ascii="Arial" w:cs="Arial" w:eastAsia="Arial" w:hAnsi="Arial"/>
          <w:sz w:val="22"/>
          <w:szCs w:val="22"/>
          <w:color w:val="auto"/>
        </w:rPr>
        <w:t>Treasurer</w:t>
      </w:r>
    </w:p>
    <w:p>
      <w:pPr>
        <w:sectPr>
          <w:pgSz w:w="11900" w:h="16838" w:orient="portrait"/>
          <w:cols w:equalWidth="0" w:num="1">
            <w:col w:w="11420"/>
          </w:cols>
          <w:pgMar w:left="240" w:top="112"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b w:val="1"/>
          <w:bCs w:val="1"/>
          <w:color w:val="auto"/>
        </w:rPr>
        <w:t>Exhibit 99.1</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Wynn Resorts, Limited Reports Fourth Quarter and Year End 2008 Results</w:t>
      </w:r>
    </w:p>
    <w:p>
      <w:pPr>
        <w:spacing w:after="0" w:line="253" w:lineRule="exact"/>
        <w:rPr>
          <w:sz w:val="20"/>
          <w:szCs w:val="20"/>
          <w:color w:val="auto"/>
        </w:rPr>
      </w:pPr>
    </w:p>
    <w:p>
      <w:pPr>
        <w:spacing w:after="0" w:line="236" w:lineRule="auto"/>
        <w:rPr>
          <w:sz w:val="20"/>
          <w:szCs w:val="20"/>
          <w:color w:val="auto"/>
        </w:rPr>
      </w:pPr>
      <w:r>
        <w:rPr>
          <w:rFonts w:ascii="Arial" w:cs="Arial" w:eastAsia="Arial" w:hAnsi="Arial"/>
          <w:sz w:val="20"/>
          <w:szCs w:val="20"/>
          <w:color w:val="auto"/>
        </w:rPr>
        <w:t>LAS VEGAS, February 24, 2009 (BUSINESS WIRE) -- Wynn Resorts, Limited (Nasdaq: WYNN) today reported financial results for the fourth quarter and year ended December 31, 2008.</w:t>
      </w:r>
    </w:p>
    <w:p>
      <w:pPr>
        <w:spacing w:after="0" w:line="223" w:lineRule="exact"/>
        <w:rPr>
          <w:sz w:val="20"/>
          <w:szCs w:val="20"/>
          <w:color w:val="auto"/>
        </w:rPr>
      </w:pPr>
    </w:p>
    <w:p>
      <w:pPr>
        <w:ind w:right="20"/>
        <w:spacing w:after="0" w:line="247" w:lineRule="auto"/>
        <w:rPr>
          <w:sz w:val="20"/>
          <w:szCs w:val="20"/>
          <w:color w:val="auto"/>
        </w:rPr>
      </w:pPr>
      <w:r>
        <w:rPr>
          <w:rFonts w:ascii="Arial" w:cs="Arial" w:eastAsia="Arial" w:hAnsi="Arial"/>
          <w:sz w:val="19"/>
          <w:szCs w:val="19"/>
          <w:color w:val="auto"/>
        </w:rPr>
        <w:t>Net revenues for 2008 were $3.0 billion, an 11.2% increase over 2007, primarily due to 35.6% higher revenues from Wynn Macau, which were partially offset by a 15.1% decrease in revenues from our Las Vegas properties. Encore at Wynn Las Vegas, which opened on December 22, 2008, did not significantly impact our results of operations for the year ended December 31, 2008.</w:t>
      </w:r>
    </w:p>
    <w:p>
      <w:pPr>
        <w:spacing w:after="0" w:line="217" w:lineRule="exact"/>
        <w:rPr>
          <w:sz w:val="20"/>
          <w:szCs w:val="20"/>
          <w:color w:val="auto"/>
        </w:rPr>
      </w:pPr>
    </w:p>
    <w:p>
      <w:pPr>
        <w:ind w:right="120"/>
        <w:spacing w:after="0" w:line="232" w:lineRule="auto"/>
        <w:rPr>
          <w:sz w:val="20"/>
          <w:szCs w:val="20"/>
          <w:color w:val="auto"/>
        </w:rPr>
      </w:pPr>
      <w:r>
        <w:rPr>
          <w:rFonts w:ascii="Arial" w:cs="Arial" w:eastAsia="Arial" w:hAnsi="Arial"/>
          <w:sz w:val="20"/>
          <w:szCs w:val="20"/>
          <w:color w:val="auto"/>
        </w:rPr>
        <w:t>Net revenues for the fourth quarter of 2008 were $614.3 million, compared to $711.3 million in the fourth quarter of 2007. The revenue drop was driven primarily by a decline in gaming volumes, significantly lower hold percentage and an overall reduction in non-gaming revenues in Las Vegas. Wynn Macau revenues in the quarter were up 1.2% from the fourth quarter of 2007.</w:t>
      </w:r>
    </w:p>
    <w:p>
      <w:pPr>
        <w:spacing w:after="0" w:line="224" w:lineRule="exact"/>
        <w:rPr>
          <w:sz w:val="20"/>
          <w:szCs w:val="20"/>
          <w:color w:val="auto"/>
        </w:rPr>
      </w:pPr>
    </w:p>
    <w:p>
      <w:pPr>
        <w:ind w:right="200"/>
        <w:spacing w:after="0" w:line="236" w:lineRule="auto"/>
        <w:rPr>
          <w:sz w:val="20"/>
          <w:szCs w:val="20"/>
          <w:color w:val="auto"/>
        </w:rPr>
      </w:pPr>
      <w:r>
        <w:rPr>
          <w:rFonts w:ascii="Arial" w:cs="Arial" w:eastAsia="Arial" w:hAnsi="Arial"/>
          <w:sz w:val="20"/>
          <w:szCs w:val="20"/>
          <w:color w:val="auto"/>
        </w:rPr>
        <w:t>Adjusted property EBITDA (1) for 2008 was $738.7 million, a 5.4% decrease compared to 2007. Adjusted property EBITDA was $127.5 million for the fourth quarter of 2008, compared to $196.9 million in the fourth quarter of 2007.</w:t>
      </w:r>
    </w:p>
    <w:p>
      <w:pPr>
        <w:spacing w:after="0" w:line="223" w:lineRule="exact"/>
        <w:rPr>
          <w:sz w:val="20"/>
          <w:szCs w:val="20"/>
          <w:color w:val="auto"/>
        </w:rPr>
      </w:pPr>
    </w:p>
    <w:p>
      <w:pPr>
        <w:ind w:right="40"/>
        <w:spacing w:after="0" w:line="229" w:lineRule="auto"/>
        <w:rPr>
          <w:sz w:val="20"/>
          <w:szCs w:val="20"/>
          <w:color w:val="auto"/>
        </w:rPr>
      </w:pPr>
      <w:r>
        <w:rPr>
          <w:rFonts w:ascii="Arial" w:cs="Arial" w:eastAsia="Arial" w:hAnsi="Arial"/>
          <w:sz w:val="20"/>
          <w:szCs w:val="20"/>
          <w:color w:val="auto"/>
        </w:rPr>
        <w:t>On a US GAAP (Generally Accepted Accounting Principles) basis, net income for the year was $210.2 million, or $1.92 per diluted share, compared to $258.1 million, or $ 2.34 per diluted share in 2007. Net income for 2008 was positively influenced by a $60.9 million income tax benefit primarily due to foreign tax credits and our 2008 domestic operating loss. Adjusted net income for 2008 was $274.4 million, or $2.51 per diluted share (adjusted EPS)(2) compared to an adjusted net income of $329.4 million, or $2.97 per diluted share in 2007.</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On a US GAAP basis, net loss for the fourth quarter of 2008 was $159.6 million, or ($1.49) per diluted share, compared to a net</w:t>
      </w:r>
    </w:p>
    <w:p>
      <w:pPr>
        <w:spacing w:after="0" w:line="237" w:lineRule="auto"/>
        <w:tabs>
          <w:tab w:leader="none" w:pos="7100" w:val="left"/>
        </w:tabs>
        <w:rPr>
          <w:sz w:val="20"/>
          <w:szCs w:val="20"/>
          <w:color w:val="auto"/>
        </w:rPr>
      </w:pPr>
      <w:r>
        <w:rPr>
          <w:rFonts w:ascii="Arial" w:cs="Arial" w:eastAsia="Arial" w:hAnsi="Arial"/>
          <w:sz w:val="20"/>
          <w:szCs w:val="20"/>
          <w:color w:val="auto"/>
        </w:rPr>
        <w:t>income of $65.5 million, or $0.57 per diluted share in the fourth quarter of 2007.</w:t>
      </w:r>
      <w:r>
        <w:rPr>
          <w:sz w:val="20"/>
          <w:szCs w:val="20"/>
          <w:color w:val="auto"/>
        </w:rPr>
        <w:tab/>
      </w:r>
      <w:r>
        <w:rPr>
          <w:rFonts w:ascii="Arial" w:cs="Arial" w:eastAsia="Arial" w:hAnsi="Arial"/>
          <w:sz w:val="19"/>
          <w:szCs w:val="19"/>
          <w:color w:val="auto"/>
        </w:rPr>
        <w:t>The net loss was significantly impacted by a</w:t>
      </w:r>
    </w:p>
    <w:p>
      <w:pPr>
        <w:spacing w:after="0" w:line="237" w:lineRule="auto"/>
        <w:rPr>
          <w:sz w:val="20"/>
          <w:szCs w:val="20"/>
          <w:color w:val="auto"/>
        </w:rPr>
      </w:pPr>
      <w:r>
        <w:rPr>
          <w:rFonts w:ascii="Arial" w:cs="Arial" w:eastAsia="Arial" w:hAnsi="Arial"/>
          <w:sz w:val="19"/>
          <w:szCs w:val="19"/>
          <w:color w:val="auto"/>
        </w:rPr>
        <w:t>$98.8 million tax expense for the quarter. This non-cash provision was required to reduce our deferred tax asset to the amount we</w:t>
      </w:r>
    </w:p>
    <w:p>
      <w:pPr>
        <w:spacing w:after="0" w:line="226" w:lineRule="auto"/>
        <w:rPr>
          <w:sz w:val="20"/>
          <w:szCs w:val="20"/>
          <w:color w:val="auto"/>
        </w:rPr>
      </w:pPr>
      <w:r>
        <w:rPr>
          <w:rFonts w:ascii="Arial" w:cs="Arial" w:eastAsia="Arial" w:hAnsi="Arial"/>
          <w:sz w:val="20"/>
          <w:szCs w:val="20"/>
          <w:color w:val="auto"/>
        </w:rPr>
        <w:t>believe is more likely than not realizable as discussed later in this release. Adjusted net income in the fourth quarter of 2008 was</w:t>
      </w:r>
    </w:p>
    <w:p>
      <w:pPr>
        <w:spacing w:after="0" w:line="225" w:lineRule="auto"/>
        <w:rPr>
          <w:sz w:val="20"/>
          <w:szCs w:val="20"/>
          <w:color w:val="auto"/>
        </w:rPr>
      </w:pPr>
      <w:r>
        <w:rPr>
          <w:rFonts w:ascii="Arial" w:cs="Arial" w:eastAsia="Arial" w:hAnsi="Arial"/>
          <w:sz w:val="20"/>
          <w:szCs w:val="20"/>
          <w:color w:val="auto"/>
        </w:rPr>
        <w:t>$7.6 million, or $0.07 per diluted share (adjusted EPS)(2) compared to an adjusted net income of $82.6 million, or $0.72 per</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diluted share in the fourth quarter of 2007.</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Encore at Wynn Las Vegas Opening</w:t>
      </w:r>
    </w:p>
    <w:p>
      <w:pPr>
        <w:spacing w:after="0" w:line="253" w:lineRule="exact"/>
        <w:rPr>
          <w:sz w:val="20"/>
          <w:szCs w:val="20"/>
          <w:color w:val="auto"/>
        </w:rPr>
      </w:pPr>
    </w:p>
    <w:p>
      <w:pPr>
        <w:ind w:right="40"/>
        <w:spacing w:after="0" w:line="229" w:lineRule="auto"/>
        <w:rPr>
          <w:sz w:val="20"/>
          <w:szCs w:val="20"/>
          <w:color w:val="auto"/>
        </w:rPr>
      </w:pPr>
      <w:r>
        <w:rPr>
          <w:rFonts w:ascii="Arial" w:cs="Arial" w:eastAsia="Arial" w:hAnsi="Arial"/>
          <w:sz w:val="20"/>
          <w:szCs w:val="20"/>
          <w:color w:val="auto"/>
        </w:rPr>
        <w:t>Encore, located immediately adjacent to and connected with Wynn Las Vegas, opened on December 22, 2008, featuring a 2,034 room all-suite hotel, an approximately 72,000 square foot casino with approximately 95 table games, a baccarat salon, private VIP gaming rooms and approximately 835 slot machines. Encore’s 12 food and beverage outlets include five restaurants, many of which feature award winning chefs. Encore also offers a night club, a spa and salon, approximately 60,000 square feet of meeting space and approximately 27,000 square feet of upscale retail outlets featuring boutiques from Hermes, Chanel and Rock &amp; Republic. The Encore Theater, featuring Danny Gans, opened February 10, 2009.</w:t>
      </w:r>
    </w:p>
    <w:p>
      <w:pPr>
        <w:spacing w:after="0" w:line="223" w:lineRule="exact"/>
        <w:rPr>
          <w:sz w:val="20"/>
          <w:szCs w:val="20"/>
          <w:color w:val="auto"/>
        </w:rPr>
      </w:pPr>
    </w:p>
    <w:p>
      <w:pPr>
        <w:ind w:right="340"/>
        <w:spacing w:after="0" w:line="236" w:lineRule="auto"/>
        <w:rPr>
          <w:sz w:val="20"/>
          <w:szCs w:val="20"/>
          <w:color w:val="auto"/>
        </w:rPr>
      </w:pPr>
      <w:r>
        <w:rPr>
          <w:rFonts w:ascii="Arial" w:cs="Arial" w:eastAsia="Arial" w:hAnsi="Arial"/>
          <w:sz w:val="20"/>
          <w:szCs w:val="20"/>
          <w:color w:val="auto"/>
        </w:rPr>
        <w:t>As of December 31, 2008, there were $202 million in outstanding construction payables associated with the $2.3 billion Encore project budget.</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Wynn Las Vegas and Encore Full Year 2008 Operating Results</w:t>
      </w:r>
    </w:p>
    <w:p>
      <w:pPr>
        <w:spacing w:after="0" w:line="253" w:lineRule="exact"/>
        <w:rPr>
          <w:sz w:val="20"/>
          <w:szCs w:val="20"/>
          <w:color w:val="auto"/>
        </w:rPr>
      </w:pPr>
    </w:p>
    <w:p>
      <w:pPr>
        <w:ind w:right="40"/>
        <w:spacing w:after="0" w:line="232" w:lineRule="auto"/>
        <w:rPr>
          <w:sz w:val="20"/>
          <w:szCs w:val="20"/>
          <w:color w:val="auto"/>
        </w:rPr>
      </w:pPr>
      <w:r>
        <w:rPr>
          <w:rFonts w:ascii="Arial" w:cs="Arial" w:eastAsia="Arial" w:hAnsi="Arial"/>
          <w:sz w:val="20"/>
          <w:szCs w:val="20"/>
          <w:color w:val="auto"/>
        </w:rPr>
        <w:t>For the full year 2008, our Las Vegas properties generated adjusted property EBITDA of $252.9 million, 39.4% lower than in 2007, primarily due to poor table games hold percentage and a decrease in gaming volumes coupled with general softness in all non-gaming segments.</w:t>
      </w:r>
    </w:p>
    <w:p>
      <w:pPr>
        <w:spacing w:after="0" w:line="224" w:lineRule="exact"/>
        <w:rPr>
          <w:sz w:val="20"/>
          <w:szCs w:val="20"/>
          <w:color w:val="auto"/>
        </w:rPr>
      </w:pPr>
    </w:p>
    <w:p>
      <w:pPr>
        <w:ind w:right="120"/>
        <w:spacing w:after="0" w:line="229" w:lineRule="auto"/>
        <w:rPr>
          <w:sz w:val="20"/>
          <w:szCs w:val="20"/>
          <w:color w:val="auto"/>
        </w:rPr>
      </w:pPr>
      <w:r>
        <w:rPr>
          <w:rFonts w:ascii="Arial" w:cs="Arial" w:eastAsia="Arial" w:hAnsi="Arial"/>
          <w:sz w:val="20"/>
          <w:szCs w:val="20"/>
          <w:color w:val="auto"/>
        </w:rPr>
        <w:t>Net casino revenues for the year were $479.7 million, a 25.3% decline from 2007. For the year ended December 31, 2008, we experienced a 7.1% decrease in drop and our average table games win percentage (before discounts) of 20.0% was below the expected range of 21% to 24% and the 25.3% hold percentage we experienced in 2007. Slot handle decreased 12.9% during the year ended December 31, 2008, as compared to 2007, and our slot win percentage for the years ended December 31, 2008 and 2007 was within the expected range of 4.5% and 5.5%.</w:t>
      </w:r>
    </w:p>
    <w:p>
      <w:pPr>
        <w:spacing w:after="0" w:line="226" w:lineRule="exact"/>
        <w:rPr>
          <w:sz w:val="20"/>
          <w:szCs w:val="20"/>
          <w:color w:val="auto"/>
        </w:rPr>
      </w:pPr>
    </w:p>
    <w:p>
      <w:pPr>
        <w:ind w:right="20"/>
        <w:spacing w:after="0" w:line="231" w:lineRule="auto"/>
        <w:rPr>
          <w:sz w:val="20"/>
          <w:szCs w:val="20"/>
          <w:color w:val="auto"/>
        </w:rPr>
      </w:pPr>
      <w:r>
        <w:rPr>
          <w:rFonts w:ascii="Arial" w:cs="Arial" w:eastAsia="Arial" w:hAnsi="Arial"/>
          <w:sz w:val="20"/>
          <w:szCs w:val="20"/>
          <w:color w:val="auto"/>
        </w:rPr>
        <w:t>Gross non-casino revenues for 2008 were $776.3 million, a 3.7% decline from 2007. Hotel revenues were down 6.0% to $268.5 million, versus $285.7 million in 2007. Average Daily Rate (ADR) was $288 for the year, compared to $300 in 2007 and occupancy was 91.8% compared to 96.0% during the prior year, generating revenue per available room (REVPAR) of $265 in 2008 (8.0% lower than in 2007).</w:t>
      </w:r>
    </w:p>
    <w:p>
      <w:pPr>
        <w:sectPr>
          <w:pgSz w:w="11900" w:h="16838" w:orient="portrait"/>
          <w:cols w:equalWidth="0" w:num="1">
            <w:col w:w="11420"/>
          </w:cols>
          <w:pgMar w:left="240" w:top="112" w:right="239"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type w:val="continuous"/>
        </w:sectPr>
      </w:pPr>
    </w:p>
    <w:bookmarkStart w:id="5" w:name="page6"/>
    <w:bookmarkEnd w:id="5"/>
    <w:p>
      <w:pPr>
        <w:jc w:val="both"/>
        <w:spacing w:after="0" w:line="232" w:lineRule="auto"/>
        <w:rPr>
          <w:sz w:val="20"/>
          <w:szCs w:val="20"/>
          <w:color w:val="auto"/>
        </w:rPr>
      </w:pPr>
      <w:r>
        <w:rPr>
          <w:rFonts w:ascii="Arial" w:cs="Arial" w:eastAsia="Arial" w:hAnsi="Arial"/>
          <w:sz w:val="20"/>
          <w:szCs w:val="20"/>
          <w:color w:val="auto"/>
        </w:rPr>
        <w:t>Food and beverage revenues decreased 1.7% to $305.7 million in 2008, compared to $311.0 million in 2007. Retail revenues were $ 86.1 million, compared to $94.8 million in 2007, a 9.2% decline, and entertainment revenues were approximately $66.2 million, compared to $64.5 million in 2007.</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Wynn Las Vegas and Encore Fourth Quarter Results</w:t>
      </w:r>
    </w:p>
    <w:p>
      <w:pPr>
        <w:spacing w:after="0" w:line="253" w:lineRule="exact"/>
        <w:rPr>
          <w:sz w:val="20"/>
          <w:szCs w:val="20"/>
          <w:color w:val="auto"/>
        </w:rPr>
      </w:pPr>
    </w:p>
    <w:p>
      <w:pPr>
        <w:ind w:right="20"/>
        <w:spacing w:after="0"/>
        <w:rPr>
          <w:sz w:val="20"/>
          <w:szCs w:val="20"/>
          <w:color w:val="auto"/>
        </w:rPr>
      </w:pPr>
      <w:r>
        <w:rPr>
          <w:rFonts w:ascii="Arial" w:cs="Arial" w:eastAsia="Arial" w:hAnsi="Arial"/>
          <w:sz w:val="19"/>
          <w:szCs w:val="19"/>
          <w:color w:val="auto"/>
        </w:rPr>
        <w:t>For the quarter ended December 31, 2008, our Las Vegas properties generated adjusted property EBITDA of $32.6 million, compared to $97.3 million in the fourth quarter of 2007, a 66.5% decline due primarily to the decline in casino revenue as well as weaker performance from the Hotel, Food and Beverage, Retail and Entertainment segments. Starting in October, we experienced a dramatic deceleration in business from the casino and non-gaming departments. The Thanksgiving to Christmas period has traditionally been one of the weakest times of the year in Las Vegas but the fourth quarter of 2008 was substantially worse than during the prior year as consumers chose to stay at home and significantly reduced their leisure budgets. In addition, the 15.3% table games hold was the lowest experienced by our Las Vegas properties since Wynn Las Vegas’ opening in April 2005.</w:t>
      </w:r>
    </w:p>
    <w:p>
      <w:pPr>
        <w:spacing w:after="0" w:line="226" w:lineRule="exact"/>
        <w:rPr>
          <w:sz w:val="20"/>
          <w:szCs w:val="20"/>
          <w:color w:val="auto"/>
        </w:rPr>
      </w:pPr>
    </w:p>
    <w:p>
      <w:pPr>
        <w:ind w:right="60"/>
        <w:spacing w:after="0" w:line="228" w:lineRule="auto"/>
        <w:rPr>
          <w:sz w:val="20"/>
          <w:szCs w:val="20"/>
          <w:color w:val="auto"/>
        </w:rPr>
      </w:pPr>
      <w:r>
        <w:rPr>
          <w:rFonts w:ascii="Arial" w:cs="Arial" w:eastAsia="Arial" w:hAnsi="Arial"/>
          <w:sz w:val="20"/>
          <w:szCs w:val="20"/>
          <w:color w:val="auto"/>
        </w:rPr>
        <w:t>Net casino revenues in the fourth quarter of 2008 were $90.7 million, compared to net casino revenues of $160.0 million for the fourth quarter of 2007. Table games drop was $498.3 million, with win per table per day (before discounts) of $5,629, compared to drop of $624.7 million and win per table per day of $11,293 in the fourth quarter of 2007. Table games win percentage of 15.3% was significantly below the property’s expected range of 21% to 24% and the 23.5% for the fourth quarter of 2007. Table games win percentage in the fourth quarter of 2008 was accountable for approximately 50% of the reduction in total table win as compared to 2007. Slot machine handle of $829.7 million was 22.7%, lower than the comparable period of 2007 and win per unit per day was $203, compared to a win per unit per day of $241 in the fourth quarter of 2007.</w:t>
      </w:r>
    </w:p>
    <w:p>
      <w:pPr>
        <w:spacing w:after="0" w:line="226" w:lineRule="exact"/>
        <w:rPr>
          <w:sz w:val="20"/>
          <w:szCs w:val="20"/>
          <w:color w:val="auto"/>
        </w:rPr>
      </w:pPr>
    </w:p>
    <w:p>
      <w:pPr>
        <w:ind w:right="80"/>
        <w:spacing w:after="0" w:line="244" w:lineRule="auto"/>
        <w:rPr>
          <w:sz w:val="20"/>
          <w:szCs w:val="20"/>
          <w:color w:val="auto"/>
        </w:rPr>
      </w:pPr>
      <w:r>
        <w:rPr>
          <w:rFonts w:ascii="Arial" w:cs="Arial" w:eastAsia="Arial" w:hAnsi="Arial"/>
          <w:sz w:val="19"/>
          <w:szCs w:val="19"/>
          <w:color w:val="auto"/>
        </w:rPr>
        <w:t>Gross non-casino revenues for the quarter were $171.9 million, a 16.9% decline from the fourth quarter of 2007. Hotel revenues were down 14.0% to $60.5 million during the quarter, versus $70.3 million in the fourth quarter of 2007. Average Daily Rate (ADR) was $281 for the quarter, compared to $298 in the fourth quarter of 2007 and occupancy was 79.7% compared to 94.3% during the prior year period, generating revenue per available room (REVPAR) of $224 in the 2008 period (20.3% lower than in 2007).</w:t>
      </w:r>
    </w:p>
    <w:p>
      <w:pPr>
        <w:spacing w:after="0" w:line="219" w:lineRule="exact"/>
        <w:rPr>
          <w:sz w:val="20"/>
          <w:szCs w:val="20"/>
          <w:color w:val="auto"/>
        </w:rPr>
      </w:pPr>
    </w:p>
    <w:p>
      <w:pPr>
        <w:ind w:right="240"/>
        <w:spacing w:after="0" w:line="231" w:lineRule="auto"/>
        <w:rPr>
          <w:sz w:val="20"/>
          <w:szCs w:val="20"/>
          <w:color w:val="auto"/>
        </w:rPr>
      </w:pPr>
      <w:r>
        <w:rPr>
          <w:rFonts w:ascii="Arial" w:cs="Arial" w:eastAsia="Arial" w:hAnsi="Arial"/>
          <w:sz w:val="20"/>
          <w:szCs w:val="20"/>
          <w:color w:val="auto"/>
        </w:rPr>
        <w:t>Food and beverage revenues decreased 11.6% to $69.6 million in the quarter, compared to $78.8 million in the fourth quarter of 2007. Retail revenues were $18.4 million in the quarter, compared to $26.7 million in the fourth quarter of 2007, a decrease of 31.0%. Entertainment revenues were approximately $12.1 million, compared to $17.8 in the fourth quarter of 2007 as we closed the Spamalot theater in July 2008.</w:t>
      </w:r>
    </w:p>
    <w:p>
      <w:pPr>
        <w:spacing w:after="0" w:line="222" w:lineRule="exact"/>
        <w:rPr>
          <w:sz w:val="20"/>
          <w:szCs w:val="20"/>
          <w:color w:val="auto"/>
        </w:rPr>
      </w:pPr>
    </w:p>
    <w:p>
      <w:pPr>
        <w:ind w:right="20"/>
        <w:spacing w:after="0" w:line="229" w:lineRule="auto"/>
        <w:rPr>
          <w:sz w:val="20"/>
          <w:szCs w:val="20"/>
          <w:color w:val="auto"/>
        </w:rPr>
      </w:pPr>
      <w:r>
        <w:rPr>
          <w:rFonts w:ascii="Arial" w:cs="Arial" w:eastAsia="Arial" w:hAnsi="Arial"/>
          <w:sz w:val="20"/>
          <w:szCs w:val="20"/>
          <w:color w:val="auto"/>
        </w:rPr>
        <w:t>As a result of the current economic conditions, we have increasingly focused on efficiency initiatives that we began implementing at our Las Vegas properties in early 2009. These initiatives include reductions in pay for salaried employees, reduced work weeks for full-time hourly employees, the substantial reduction of 2009 bonus accruals and a suspension of the employer match to the 401(k) contributions. We expect that these initiatives, along with other operational efficiencies, will save approximately $75-$100 million annually.</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Wynn Macau Full Year 2008 Operating Results</w:t>
      </w:r>
    </w:p>
    <w:p>
      <w:pPr>
        <w:spacing w:after="0" w:line="253" w:lineRule="exact"/>
        <w:rPr>
          <w:sz w:val="20"/>
          <w:szCs w:val="20"/>
          <w:color w:val="auto"/>
        </w:rPr>
      </w:pPr>
    </w:p>
    <w:p>
      <w:pPr>
        <w:ind w:right="260"/>
        <w:spacing w:after="0" w:line="236" w:lineRule="auto"/>
        <w:rPr>
          <w:sz w:val="20"/>
          <w:szCs w:val="20"/>
          <w:color w:val="auto"/>
        </w:rPr>
      </w:pPr>
      <w:r>
        <w:rPr>
          <w:rFonts w:ascii="Arial" w:cs="Arial" w:eastAsia="Arial" w:hAnsi="Arial"/>
          <w:sz w:val="20"/>
          <w:szCs w:val="20"/>
          <w:color w:val="auto"/>
        </w:rPr>
        <w:t>For the full year 2008, net revenues were $1.9 billion, 35.6% above 2007. Wynn Macau generated adjusted property EBITDA of $485.9 million, a 33.4% increase over the previous year.</w:t>
      </w:r>
    </w:p>
    <w:p>
      <w:pPr>
        <w:spacing w:after="0" w:line="223" w:lineRule="exact"/>
        <w:rPr>
          <w:sz w:val="20"/>
          <w:szCs w:val="20"/>
          <w:color w:val="auto"/>
        </w:rPr>
      </w:pPr>
    </w:p>
    <w:p>
      <w:pPr>
        <w:jc w:val="both"/>
        <w:ind w:right="60"/>
        <w:spacing w:after="0" w:line="232" w:lineRule="auto"/>
        <w:rPr>
          <w:sz w:val="20"/>
          <w:szCs w:val="20"/>
          <w:color w:val="auto"/>
        </w:rPr>
      </w:pPr>
      <w:r>
        <w:rPr>
          <w:rFonts w:ascii="Arial" w:cs="Arial" w:eastAsia="Arial" w:hAnsi="Arial"/>
          <w:sz w:val="20"/>
          <w:szCs w:val="20"/>
          <w:color w:val="auto"/>
        </w:rPr>
        <w:t>Casino revenues increased $ 474.7 million during the year ended December 31, 2008, compared to the prior year. The increase in casino revenues is a result of growth during the first nine months of the year in the Macau market as well as our casino expansion which opened in December 2007.</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color w:val="auto"/>
        </w:rPr>
        <w:t>Table games results are segregated into two distinct reporting categories, the VIP segment and the mass market segment.</w:t>
      </w:r>
    </w:p>
    <w:p>
      <w:pPr>
        <w:spacing w:after="0" w:line="229" w:lineRule="exact"/>
        <w:rPr>
          <w:sz w:val="20"/>
          <w:szCs w:val="20"/>
          <w:color w:val="auto"/>
        </w:rPr>
      </w:pPr>
    </w:p>
    <w:p>
      <w:pPr>
        <w:ind w:right="140"/>
        <w:spacing w:after="0" w:line="232" w:lineRule="auto"/>
        <w:rPr>
          <w:sz w:val="20"/>
          <w:szCs w:val="20"/>
          <w:color w:val="auto"/>
        </w:rPr>
      </w:pPr>
      <w:r>
        <w:rPr>
          <w:rFonts w:ascii="Arial" w:cs="Arial" w:eastAsia="Arial" w:hAnsi="Arial"/>
          <w:sz w:val="20"/>
          <w:szCs w:val="20"/>
          <w:color w:val="auto"/>
        </w:rPr>
        <w:t>Table games turnover in the VIP segment of $55.4 billion was 47.4% higher than in 2007 and VIP table games win as a percentage of turnover (calculated before discounts and commissions) was 3.0%, within the expected range of 2.7% to 3.0% and lower than the 3.1% generated in 2007.</w:t>
      </w:r>
    </w:p>
    <w:p>
      <w:pPr>
        <w:spacing w:after="0" w:line="224" w:lineRule="exact"/>
        <w:rPr>
          <w:sz w:val="20"/>
          <w:szCs w:val="20"/>
          <w:color w:val="auto"/>
        </w:rPr>
      </w:pPr>
    </w:p>
    <w:p>
      <w:pPr>
        <w:ind w:right="60"/>
        <w:spacing w:after="0" w:line="257" w:lineRule="auto"/>
        <w:rPr>
          <w:sz w:val="20"/>
          <w:szCs w:val="20"/>
          <w:color w:val="auto"/>
        </w:rPr>
      </w:pPr>
      <w:r>
        <w:rPr>
          <w:rFonts w:ascii="Arial" w:cs="Arial" w:eastAsia="Arial" w:hAnsi="Arial"/>
          <w:sz w:val="19"/>
          <w:szCs w:val="19"/>
          <w:color w:val="auto"/>
        </w:rPr>
        <w:t>Table games drop in the mass market category increased 14.2% to $2.3 billion, and mass market table games win percentage (calculated before discounts) of 19.6% was within the expected range of 18% to 20% and higher than the 19% generated in 2007.</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5" w:right="239" w:bottom="1440" w:gutter="0" w:footer="0" w:header="0"/>
        </w:sectPr>
      </w:pPr>
    </w:p>
    <w:bookmarkStart w:id="6" w:name="page7"/>
    <w:bookmarkEnd w:id="6"/>
    <w:p>
      <w:pPr>
        <w:ind w:right="260"/>
        <w:spacing w:after="0" w:line="258" w:lineRule="auto"/>
        <w:rPr>
          <w:sz w:val="20"/>
          <w:szCs w:val="20"/>
          <w:color w:val="auto"/>
        </w:rPr>
      </w:pPr>
      <w:r>
        <w:rPr>
          <w:rFonts w:ascii="Arial" w:cs="Arial" w:eastAsia="Arial" w:hAnsi="Arial"/>
          <w:sz w:val="19"/>
          <w:szCs w:val="19"/>
          <w:color w:val="auto"/>
        </w:rPr>
        <w:t>Slot machine handle of $3.0 billion was 79.5% higher than the $1.7 billion generated in 2007. Slot machine win per unit per day was $346, a 26.4% decline from 2007 due to the increase in the average number of slot machines from 521 to 1,243 slots.</w:t>
      </w:r>
    </w:p>
    <w:p>
      <w:pPr>
        <w:spacing w:after="0" w:line="206" w:lineRule="exact"/>
        <w:rPr>
          <w:sz w:val="20"/>
          <w:szCs w:val="20"/>
          <w:color w:val="auto"/>
        </w:rPr>
      </w:pPr>
    </w:p>
    <w:p>
      <w:pPr>
        <w:ind w:right="240"/>
        <w:spacing w:after="0" w:line="232" w:lineRule="auto"/>
        <w:rPr>
          <w:sz w:val="20"/>
          <w:szCs w:val="20"/>
          <w:color w:val="auto"/>
        </w:rPr>
      </w:pPr>
      <w:r>
        <w:rPr>
          <w:rFonts w:ascii="Arial" w:cs="Arial" w:eastAsia="Arial" w:hAnsi="Arial"/>
          <w:sz w:val="20"/>
          <w:szCs w:val="20"/>
          <w:color w:val="auto"/>
        </w:rPr>
        <w:t>Wynn Macau achieved an Average Daily Rate (ADR) of $275 for the year, compared to $251 in 2007. The property’s occupancy was 87.3%, compared to 88.8% during the prior year period, generating revenue per available room (REVPAR) of $240 in the 2008 period, 7.6% above 2007 levels.</w:t>
      </w:r>
    </w:p>
    <w:p>
      <w:pPr>
        <w:spacing w:after="0" w:line="224" w:lineRule="exact"/>
        <w:rPr>
          <w:sz w:val="20"/>
          <w:szCs w:val="20"/>
          <w:color w:val="auto"/>
        </w:rPr>
      </w:pPr>
    </w:p>
    <w:p>
      <w:pPr>
        <w:spacing w:after="0" w:line="236" w:lineRule="auto"/>
        <w:rPr>
          <w:sz w:val="20"/>
          <w:szCs w:val="20"/>
          <w:color w:val="auto"/>
        </w:rPr>
      </w:pPr>
      <w:r>
        <w:rPr>
          <w:rFonts w:ascii="Arial" w:cs="Arial" w:eastAsia="Arial" w:hAnsi="Arial"/>
          <w:sz w:val="20"/>
          <w:szCs w:val="20"/>
          <w:color w:val="auto"/>
        </w:rPr>
        <w:t>Wynn Macau has also been impacted by the slowing global economy and visa restrictions implemented in September 2008 that limit the frequency of visits that certain citizens of mainland China may make to Macau.</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Wynn Macau Fourth Quarter Results</w:t>
      </w:r>
    </w:p>
    <w:p>
      <w:pPr>
        <w:spacing w:after="0" w:line="253" w:lineRule="exact"/>
        <w:rPr>
          <w:sz w:val="20"/>
          <w:szCs w:val="20"/>
          <w:color w:val="auto"/>
        </w:rPr>
      </w:pPr>
    </w:p>
    <w:p>
      <w:pPr>
        <w:ind w:right="20"/>
        <w:spacing w:after="0" w:line="236" w:lineRule="auto"/>
        <w:rPr>
          <w:sz w:val="20"/>
          <w:szCs w:val="20"/>
          <w:color w:val="auto"/>
        </w:rPr>
      </w:pPr>
      <w:r>
        <w:rPr>
          <w:rFonts w:ascii="Arial" w:cs="Arial" w:eastAsia="Arial" w:hAnsi="Arial"/>
          <w:sz w:val="20"/>
          <w:szCs w:val="20"/>
          <w:color w:val="auto"/>
        </w:rPr>
        <w:t>In the fourth quarter of 2008 net revenues were $392.2 million compared $387.4 million in the fourth quarter of 2007. Wynn Macau generated adjusted property EBITDA of $95.0 million compared to $99.6 million in the fourth quarter of 2007.</w:t>
      </w:r>
    </w:p>
    <w:p>
      <w:pPr>
        <w:spacing w:after="0" w:line="223" w:lineRule="exact"/>
        <w:rPr>
          <w:sz w:val="20"/>
          <w:szCs w:val="20"/>
          <w:color w:val="auto"/>
        </w:rPr>
      </w:pPr>
    </w:p>
    <w:p>
      <w:pPr>
        <w:ind w:right="80"/>
        <w:spacing w:after="0" w:line="232" w:lineRule="auto"/>
        <w:rPr>
          <w:sz w:val="20"/>
          <w:szCs w:val="20"/>
          <w:color w:val="auto"/>
        </w:rPr>
      </w:pPr>
      <w:r>
        <w:rPr>
          <w:rFonts w:ascii="Arial" w:cs="Arial" w:eastAsia="Arial" w:hAnsi="Arial"/>
          <w:sz w:val="20"/>
          <w:szCs w:val="20"/>
          <w:color w:val="auto"/>
        </w:rPr>
        <w:t>Table games turnover in the VIP segment was $11.0 billion for the period, compared to $11.2 billion for the fourth quarter of 2007. VIP table games win as a percentage of turnover (calculated before discounts and commissions) for the fourth quarter of both 2008 and 2007 was within the expected range of 2.7% to 3.0%.</w:t>
      </w:r>
    </w:p>
    <w:p>
      <w:pPr>
        <w:spacing w:after="0" w:line="224" w:lineRule="exact"/>
        <w:rPr>
          <w:sz w:val="20"/>
          <w:szCs w:val="20"/>
          <w:color w:val="auto"/>
        </w:rPr>
      </w:pPr>
    </w:p>
    <w:p>
      <w:pPr>
        <w:jc w:val="both"/>
        <w:ind w:right="80"/>
        <w:spacing w:after="0" w:line="232" w:lineRule="auto"/>
        <w:rPr>
          <w:sz w:val="20"/>
          <w:szCs w:val="20"/>
          <w:color w:val="auto"/>
        </w:rPr>
      </w:pPr>
      <w:r>
        <w:rPr>
          <w:rFonts w:ascii="Arial" w:cs="Arial" w:eastAsia="Arial" w:hAnsi="Arial"/>
          <w:sz w:val="20"/>
          <w:szCs w:val="20"/>
          <w:color w:val="auto"/>
        </w:rPr>
        <w:t>Table games drop in the mass market category was approximately $487.2 million during the period, a 4.0% decrease from $507.6 million in the fourth quarter of 2007. Mass market table games win percentage (calculated before discounts) of 19.5% was in-line with our expected range of 18% to 20% and slightly higher than the 19.1% in the fourth quarter of 2007.</w:t>
      </w:r>
    </w:p>
    <w:p>
      <w:pPr>
        <w:spacing w:after="0" w:line="224" w:lineRule="exact"/>
        <w:rPr>
          <w:sz w:val="20"/>
          <w:szCs w:val="20"/>
          <w:color w:val="auto"/>
        </w:rPr>
      </w:pPr>
    </w:p>
    <w:p>
      <w:pPr>
        <w:ind w:right="180"/>
        <w:spacing w:after="0" w:line="236" w:lineRule="auto"/>
        <w:rPr>
          <w:sz w:val="20"/>
          <w:szCs w:val="20"/>
          <w:color w:val="auto"/>
        </w:rPr>
      </w:pPr>
      <w:r>
        <w:rPr>
          <w:rFonts w:ascii="Arial" w:cs="Arial" w:eastAsia="Arial" w:hAnsi="Arial"/>
          <w:sz w:val="20"/>
          <w:szCs w:val="20"/>
          <w:color w:val="auto"/>
        </w:rPr>
        <w:t>Slot machine win increased 33.9% compared to the fourth quarter of 2007. Win per unit per day was $348, a 23.7% decline from the fourth quarter of 2007 due to the increase in the average number of slot machines from 708 to 1,241 slots.</w:t>
      </w:r>
    </w:p>
    <w:p>
      <w:pPr>
        <w:spacing w:after="0" w:line="223" w:lineRule="exact"/>
        <w:rPr>
          <w:sz w:val="20"/>
          <w:szCs w:val="20"/>
          <w:color w:val="auto"/>
        </w:rPr>
      </w:pPr>
    </w:p>
    <w:p>
      <w:pPr>
        <w:jc w:val="both"/>
        <w:ind w:right="320"/>
        <w:spacing w:after="0" w:line="232" w:lineRule="auto"/>
        <w:rPr>
          <w:sz w:val="20"/>
          <w:szCs w:val="20"/>
          <w:color w:val="auto"/>
        </w:rPr>
      </w:pPr>
      <w:r>
        <w:rPr>
          <w:rFonts w:ascii="Arial" w:cs="Arial" w:eastAsia="Arial" w:hAnsi="Arial"/>
          <w:sz w:val="20"/>
          <w:szCs w:val="20"/>
          <w:color w:val="auto"/>
        </w:rPr>
        <w:t>Wynn Macau achieved an Average Daily Rate (ADR) of $273 for the quarter in 2008, compared to $256 in the fourth quarter of 2007. The property’s occupancy was 86.8%, compared to 92.4% during the prior year period, generating revenue per available room (REVPAR) of $237 in the 2008 period, flat with 2007 levels.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Encore at Wynn Macau</w:t>
      </w:r>
    </w:p>
    <w:p>
      <w:pPr>
        <w:spacing w:after="0" w:line="253" w:lineRule="exact"/>
        <w:rPr>
          <w:sz w:val="20"/>
          <w:szCs w:val="20"/>
          <w:color w:val="auto"/>
        </w:rPr>
      </w:pPr>
    </w:p>
    <w:p>
      <w:pPr>
        <w:ind w:right="40"/>
        <w:spacing w:after="0" w:line="229" w:lineRule="auto"/>
        <w:rPr>
          <w:sz w:val="20"/>
          <w:szCs w:val="20"/>
          <w:color w:val="auto"/>
        </w:rPr>
      </w:pPr>
      <w:r>
        <w:rPr>
          <w:rFonts w:ascii="Arial" w:cs="Arial" w:eastAsia="Arial" w:hAnsi="Arial"/>
          <w:sz w:val="20"/>
          <w:szCs w:val="20"/>
          <w:color w:val="auto"/>
        </w:rPr>
        <w:t>We have commenced construction of Encore at Wynn Macau. Encore at Wynn Macau will add a fully-integrated resort hotel to Wynn Macau, planned to include approximately 400 luxury suites and four villas along with restaurants, additional retail space and additional VIP gaming space. We expect Encore at Wynn Macau to open in 2010. While the project budget is still being finalized, we expect total costs to be approximately $700 million. It is anticipated that the project budget will be funded from cash on hand and cash flow from Wynn Macau.</w:t>
      </w:r>
    </w:p>
    <w:p>
      <w:pPr>
        <w:spacing w:after="0" w:line="226" w:lineRule="exact"/>
        <w:rPr>
          <w:sz w:val="20"/>
          <w:szCs w:val="20"/>
          <w:color w:val="auto"/>
        </w:rPr>
      </w:pPr>
    </w:p>
    <w:p>
      <w:pPr>
        <w:ind w:right="220"/>
        <w:spacing w:after="0" w:line="236" w:lineRule="auto"/>
        <w:rPr>
          <w:sz w:val="20"/>
          <w:szCs w:val="20"/>
          <w:color w:val="auto"/>
        </w:rPr>
      </w:pPr>
      <w:r>
        <w:rPr>
          <w:rFonts w:ascii="Arial" w:cs="Arial" w:eastAsia="Arial" w:hAnsi="Arial"/>
          <w:sz w:val="20"/>
          <w:szCs w:val="20"/>
          <w:color w:val="auto"/>
        </w:rPr>
        <w:t>As of December 31, 2008, we had incurred approximately $202 million related to the development and construction of Encore at Wynn Macau.</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Factors Affecting Earnings</w:t>
      </w:r>
    </w:p>
    <w:p>
      <w:pPr>
        <w:spacing w:after="0" w:line="253" w:lineRule="exact"/>
        <w:rPr>
          <w:sz w:val="20"/>
          <w:szCs w:val="20"/>
          <w:color w:val="auto"/>
        </w:rPr>
      </w:pPr>
    </w:p>
    <w:p>
      <w:pPr>
        <w:ind w:right="40"/>
        <w:spacing w:after="0"/>
        <w:rPr>
          <w:sz w:val="20"/>
          <w:szCs w:val="20"/>
          <w:color w:val="auto"/>
        </w:rPr>
      </w:pPr>
      <w:r>
        <w:rPr>
          <w:rFonts w:ascii="Arial" w:cs="Arial" w:eastAsia="Arial" w:hAnsi="Arial"/>
          <w:sz w:val="19"/>
          <w:szCs w:val="19"/>
          <w:color w:val="auto"/>
        </w:rPr>
        <w:t>Interest expense, net of $26.0 million in capitalized interest, was $46.2 million for the fourth quarter of 2008. For the full year 2008, interest expense, net of capitalized interest of $87.4 million, was $172.7 million compared to $143.8 million, net of capitalized interest of $44.6 million, for the year ended December 31, 2007. Depreciation and amortization expenses were $70.8 million during the quarter. For the full year, depreciation and amortization expenses were $262.8 million and pre-opening expenses were $72.4 million. Corporate expense and other was $9.3 million in the fourth quarter 2008 (including $6.3 million in stock based compensation), a $6.0 million reduction from last year’s quarter primarily due to a reversal of bonus accruals in the 2008 quarter. Corporate expense and other was $57.1 million for the full year 2008, including $20.3 million in stock based compensation.</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Income Taxes</w:t>
      </w:r>
    </w:p>
    <w:p>
      <w:pPr>
        <w:spacing w:after="0" w:line="253" w:lineRule="exact"/>
        <w:rPr>
          <w:sz w:val="20"/>
          <w:szCs w:val="20"/>
          <w:color w:val="auto"/>
        </w:rPr>
      </w:pPr>
    </w:p>
    <w:p>
      <w:pPr>
        <w:ind w:right="340"/>
        <w:spacing w:after="0" w:line="236" w:lineRule="auto"/>
        <w:rPr>
          <w:sz w:val="20"/>
          <w:szCs w:val="20"/>
          <w:color w:val="auto"/>
        </w:rPr>
      </w:pPr>
      <w:r>
        <w:rPr>
          <w:rFonts w:ascii="Arial" w:cs="Arial" w:eastAsia="Arial" w:hAnsi="Arial"/>
          <w:sz w:val="20"/>
          <w:szCs w:val="20"/>
          <w:color w:val="auto"/>
        </w:rPr>
        <w:t>The Company recorded a tax benefit for the year of $60.9 million primarily attributable to our 2008 domestic operating loss and foreign tax credits. Our fourth quarter 2008 tax expense of $98.7 million reflects additional reserves against deferred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5" w:right="239" w:bottom="1440" w:gutter="0" w:footer="0" w:header="0"/>
        </w:sectPr>
      </w:pPr>
    </w:p>
    <w:bookmarkStart w:id="7" w:name="page8"/>
    <w:bookmarkEnd w:id="7"/>
    <w:p>
      <w:pPr>
        <w:ind w:right="720"/>
        <w:spacing w:after="0" w:line="231" w:lineRule="auto"/>
        <w:rPr>
          <w:sz w:val="20"/>
          <w:szCs w:val="20"/>
          <w:color w:val="auto"/>
        </w:rPr>
      </w:pPr>
      <w:r>
        <w:rPr>
          <w:rFonts w:ascii="Arial" w:cs="Arial" w:eastAsia="Arial" w:hAnsi="Arial"/>
          <w:sz w:val="20"/>
          <w:szCs w:val="20"/>
          <w:color w:val="auto"/>
        </w:rPr>
        <w:t>tax assets which are not directly related to our fourth quarter operating results. Because of the deteriorating economic environment we reviewed our ability to realize the US income tax benefit in the future associated with our foreign tax credit carryforward. As a result of the review, we reduced the deferred tax asset to the amount we believe is more likely than not realizable which resulted in increasing our fourth quarter income tax expense.</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Balance Sheet and Capital Expenditures</w:t>
      </w:r>
    </w:p>
    <w:p>
      <w:pPr>
        <w:spacing w:after="0" w:line="253"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Our total cash balances on December 31, 2008 were $1.1 billion. Total debt outstanding at the end of 2008, was $4.3 billion, including approximately $2.8 billion of Wynn Las Vegas debt, $1.1 billion of Wynn Macau debt and $375 million outstanding under the Wynn Resorts Term Loan Facility.</w:t>
      </w:r>
    </w:p>
    <w:p>
      <w:pPr>
        <w:spacing w:after="0" w:line="224"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Total cash balances pro-forma for the Wynn Macau $500 million revolver draw on February 4, 2009 were $1.6 billion including $662 million at the parent company, $828 million at Wynn Macau and the remaining $123 million at Wynn Las Vegas. Total debt increased to $4.8 billion from $4.3 billion.</w:t>
      </w:r>
    </w:p>
    <w:p>
      <w:pPr>
        <w:spacing w:after="0" w:line="224"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Capital expenditures during the fourth quarter of 2008, net of changes in construction payables and retention, totaled approximately $385 million primarily related to the completion of Encore at Wynn Las Vegas.</w:t>
      </w:r>
    </w:p>
    <w:p>
      <w:pPr>
        <w:spacing w:after="0" w:line="223"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In November 2008, the Company purchased $ 625 million principal amount of loans under the $1 billion Wynn Resorts Term Loan Facility at a discounted price of 95.375%. This resulted in the retirement of $ 625 million of principal at a cost of $596.1 million. In connection with this transaction, we recorded a gain of $22.3 million on early retirement of debt, net of the write-off of unamortized debt issue costs and fees.</w:t>
      </w:r>
    </w:p>
    <w:p>
      <w:pPr>
        <w:spacing w:after="0" w:line="222"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On November 18, 2008, Wynn Resorts completed a secondary common stock offering of 8 million shares with net proceeds of $344.3 million.</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The Company will hold a conference call to discuss its results on Tuesday, February 24, 2009 at 1:30 p.m. PT (4:30 p.m. ET).</w:t>
      </w:r>
    </w:p>
    <w:p>
      <w:pPr>
        <w:spacing w:after="0"/>
        <w:rPr>
          <w:sz w:val="20"/>
          <w:szCs w:val="20"/>
          <w:color w:val="auto"/>
        </w:rPr>
      </w:pPr>
      <w:r>
        <w:rPr>
          <w:rFonts w:ascii="Arial" w:cs="Arial" w:eastAsia="Arial" w:hAnsi="Arial"/>
          <w:sz w:val="19"/>
          <w:szCs w:val="19"/>
          <w:color w:val="auto"/>
        </w:rPr>
        <w:t>Interested parties are invited to join the call by accessing a live audio webcast at http://www.wynnresorts.com (Investor Relations).</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53"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This release contains forward-looking statements regarding operating trends and future results of operations. Such forward-looking information involves important risks and uncertainties that could significantly affect anticipated results in the future and, accordingly, such results may differ from those expressed in any forward-looking statements made by us. The risks and uncertainties include, but are not limited to, competition in the casino/hotel and resorts industries, the Company’s dependence on existing management, levels of travel, leisure and casino spending, general economic conditions, and changes in gaming laws or regulations. Additional information concerning potential factors that could affect the Company's financial results is included in the Company's Annual Report on Form 10-K for the year ended December 31, 2007 and the Company's other periodic reports filed with the Securities and Exchange Commission. The Company is under no obligation to (and expressly disclaims any such obligation to) update its forward-looking statements as a result of new information, future events or otherwise.</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measures</w:t>
      </w:r>
    </w:p>
    <w:p>
      <w:pPr>
        <w:spacing w:after="0" w:line="253" w:lineRule="exact"/>
        <w:rPr>
          <w:sz w:val="20"/>
          <w:szCs w:val="20"/>
          <w:color w:val="auto"/>
        </w:rPr>
      </w:pPr>
    </w:p>
    <w:p>
      <w:pPr>
        <w:jc w:val="both"/>
        <w:ind w:firstLine="8"/>
        <w:spacing w:after="0" w:line="227" w:lineRule="auto"/>
        <w:tabs>
          <w:tab w:leader="none" w:pos="303" w:val="left"/>
        </w:tabs>
        <w:numPr>
          <w:ilvl w:val="0"/>
          <w:numId w:val="3"/>
        </w:numPr>
        <w:rPr>
          <w:rFonts w:ascii="Arial" w:cs="Arial" w:eastAsia="Arial" w:hAnsi="Arial"/>
          <w:sz w:val="20"/>
          <w:szCs w:val="20"/>
          <w:color w:val="auto"/>
        </w:rPr>
      </w:pPr>
      <w:r>
        <w:rPr>
          <w:rFonts w:ascii="Arial" w:cs="Arial" w:eastAsia="Arial" w:hAnsi="Arial"/>
          <w:sz w:val="20"/>
          <w:szCs w:val="20"/>
          <w:color w:val="auto"/>
        </w:rPr>
        <w:t>“Adjusted property EBITDA” is earnings before interest, taxes, depreciation, amortization, pre-opening costs, property charges and other, corporate expenses, stock-based compensation, and other non-operating income and expenses.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The Company also presents adjusted property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U.S. generally accepted accounting principles (“GAAP”). In order to view the operations of their casinos on a more stand-alone basis, gaming companies, including Wynn Resorts, Limited, have historically excluded from their EBITDA calculations pre-opening expenses, property charges and corporate expenses, that do not relate to the management of specific casino properties. However, adjusted property EBITDA should not be considered as an alternative to operating income as an indicator of the Company’s performance, as an alternative to cash flows from</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5" w:right="239" w:bottom="1440" w:gutter="0" w:footer="0" w:header="0"/>
        </w:sectPr>
      </w:pPr>
    </w:p>
    <w:bookmarkStart w:id="8" w:name="page9"/>
    <w:bookmarkEnd w:id="8"/>
    <w:p>
      <w:pPr>
        <w:jc w:val="both"/>
        <w:spacing w:after="0" w:line="227" w:lineRule="auto"/>
        <w:rPr>
          <w:sz w:val="20"/>
          <w:szCs w:val="20"/>
          <w:color w:val="auto"/>
        </w:rPr>
      </w:pPr>
      <w:r>
        <w:rPr>
          <w:rFonts w:ascii="Arial" w:cs="Arial" w:eastAsia="Arial" w:hAnsi="Arial"/>
          <w:sz w:val="20"/>
          <w:szCs w:val="20"/>
          <w:color w:val="auto"/>
        </w:rPr>
        <w:t>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The Company compensates for these limitations by using adjusted property EBITDA as only one of several comparative tools, together with GAAP measurements, to assist in the evaluation of operating performance. Such GAAP measurements include operating income (loss), net income (loss), cash flows from operations and cash flow data. The Company has significant uses of cash flows, including capital expenditures, interest payments, debt principal repayments, taxes and other non-recurring charges, which are not reflected in adjusted property EBITDA. Also, Wynn Resorts’ calculation of adjusted property EBITDA may be different from the calculation methods used by other companies and, therefore, comparability may be limited.</w:t>
      </w:r>
    </w:p>
    <w:p>
      <w:pPr>
        <w:spacing w:after="0" w:line="231"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The Company has included schedules in the tables that accompany this release that reconcile (i) net income (loss) to adjusted net income, and (ii) operating income to adjusted property EBITDA and adjusted property EBITDA to net income (loss).</w:t>
      </w:r>
    </w:p>
    <w:p>
      <w:pPr>
        <w:spacing w:after="0" w:line="223" w:lineRule="exact"/>
        <w:rPr>
          <w:sz w:val="20"/>
          <w:szCs w:val="20"/>
          <w:color w:val="auto"/>
        </w:rPr>
      </w:pPr>
    </w:p>
    <w:p>
      <w:pPr>
        <w:jc w:val="both"/>
        <w:ind w:firstLine="8"/>
        <w:spacing w:after="0" w:line="228" w:lineRule="auto"/>
        <w:tabs>
          <w:tab w:leader="none" w:pos="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Adjusted net income is net income (loss) before pre-opening costs, property charges, one time tax adjustments and other non-cash non-operating income and expenses. Adjusted net income and adjusted net income per share (“EPS”) are presented as supplemental disclosures because management believes that these financial measures are widely used to measure the performance, and as a principal basis for valuation, of gaming companies. These measures are used by management and/or evaluated by some investors, in addition to income and EPS computed in accordance with GAAP, as an additional basis for assessing period-to-period results of our business. Adjusted net income and adjusted net income per share may be different from the calculation methods used by other companies and, therefore, comparability may be limited.</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5" w:right="239" w:bottom="1440" w:gutter="0" w:footer="0" w:header="0"/>
        </w:sectPr>
      </w:pPr>
    </w:p>
    <w:bookmarkStart w:id="9" w:name="page10"/>
    <w:bookmarkEnd w:id="9"/>
    <w:p>
      <w:pPr>
        <w:jc w:val="center"/>
        <w:ind w:right="-39"/>
        <w:spacing w:after="0"/>
        <w:rPr>
          <w:sz w:val="20"/>
          <w:szCs w:val="20"/>
          <w:color w:val="auto"/>
        </w:rPr>
      </w:pPr>
      <w:r>
        <w:rPr>
          <w:rFonts w:ascii="Arial" w:cs="Arial" w:eastAsia="Arial" w:hAnsi="Arial"/>
          <w:sz w:val="22"/>
          <w:szCs w:val="22"/>
          <w:b w:val="1"/>
          <w:bCs w:val="1"/>
          <w:color w:val="auto"/>
        </w:rPr>
        <w:t>WYNN RESORTS, LIMITED AND SUBSIDIARIES</w:t>
      </w:r>
    </w:p>
    <w:p>
      <w:pPr>
        <w:spacing w:after="0" w:line="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CONSOLIDATED STATEMENTS OF OPERATIONS</w:t>
      </w:r>
    </w:p>
    <w:p>
      <w:pPr>
        <w:jc w:val="center"/>
        <w:ind w:right="-39"/>
        <w:spacing w:after="0" w:line="234" w:lineRule="auto"/>
        <w:rPr>
          <w:sz w:val="20"/>
          <w:szCs w:val="20"/>
          <w:color w:val="auto"/>
        </w:rPr>
      </w:pPr>
      <w:r>
        <w:rPr>
          <w:rFonts w:ascii="Arial" w:cs="Arial" w:eastAsia="Arial" w:hAnsi="Arial"/>
          <w:sz w:val="18"/>
          <w:szCs w:val="18"/>
          <w:color w:val="auto"/>
        </w:rPr>
        <w:t>(amounts in thousands, except per share data)</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7"/>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Year Ended</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9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7"/>
          </w:tcPr>
          <w:p>
            <w:pPr>
              <w:jc w:val="right"/>
              <w:ind w:right="960"/>
              <w:spacing w:after="0"/>
              <w:rPr>
                <w:sz w:val="20"/>
                <w:szCs w:val="20"/>
                <w:color w:val="auto"/>
              </w:rPr>
            </w:pPr>
            <w:r>
              <w:rPr>
                <w:rFonts w:ascii="Arial" w:cs="Arial" w:eastAsia="Arial" w:hAnsi="Arial"/>
                <w:sz w:val="18"/>
                <w:szCs w:val="18"/>
                <w:b w:val="1"/>
                <w:bCs w:val="1"/>
                <w:color w:val="auto"/>
              </w:rPr>
              <w:t>December 31,</w:t>
            </w:r>
          </w:p>
        </w:tc>
        <w:tc>
          <w:tcPr>
            <w:tcW w:w="240" w:type="dxa"/>
            <w:vAlign w:val="bottom"/>
          </w:tcPr>
          <w:p>
            <w:pPr>
              <w:spacing w:after="0"/>
              <w:rPr>
                <w:sz w:val="20"/>
                <w:szCs w:val="20"/>
                <w:color w:val="auto"/>
              </w:rPr>
            </w:pPr>
          </w:p>
        </w:tc>
        <w:tc>
          <w:tcPr>
            <w:tcW w:w="2320" w:type="dxa"/>
            <w:vAlign w:val="bottom"/>
            <w:gridSpan w:val="6"/>
          </w:tcPr>
          <w:p>
            <w:pPr>
              <w:jc w:val="right"/>
              <w:ind w:right="78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49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980" w:type="dxa"/>
            <w:vAlign w:val="bottom"/>
          </w:tcPr>
          <w:p>
            <w:pPr>
              <w:spacing w:after="0"/>
              <w:rPr>
                <w:sz w:val="20"/>
                <w:szCs w:val="20"/>
                <w:color w:val="auto"/>
              </w:rPr>
            </w:pPr>
            <w:r>
              <w:rPr>
                <w:rFonts w:ascii="Arial" w:cs="Arial" w:eastAsia="Arial" w:hAnsi="Arial"/>
                <w:sz w:val="18"/>
                <w:szCs w:val="18"/>
                <w:color w:val="auto"/>
              </w:rPr>
              <w:t>Operating revenues:</w:t>
            </w: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240"/>
              <w:spacing w:after="0"/>
              <w:rPr>
                <w:sz w:val="20"/>
                <w:szCs w:val="20"/>
                <w:color w:val="auto"/>
              </w:rPr>
            </w:pPr>
            <w:r>
              <w:rPr>
                <w:rFonts w:ascii="Arial" w:cs="Arial" w:eastAsia="Arial" w:hAnsi="Arial"/>
                <w:sz w:val="18"/>
                <w:szCs w:val="18"/>
                <w:color w:val="auto"/>
              </w:rPr>
              <w:t>Casino</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455,948</w:t>
            </w:r>
          </w:p>
        </w:tc>
        <w:tc>
          <w:tcPr>
            <w:tcW w:w="12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524,068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2,261,932</w:t>
            </w:r>
          </w:p>
        </w:tc>
        <w:tc>
          <w:tcPr>
            <w:tcW w:w="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1,949,870</w:t>
            </w:r>
          </w:p>
        </w:tc>
        <w:tc>
          <w:tcPr>
            <w:tcW w:w="0" w:type="dxa"/>
            <w:vAlign w:val="bottom"/>
          </w:tcPr>
          <w:p>
            <w:pPr>
              <w:spacing w:after="0"/>
              <w:rPr>
                <w:sz w:val="1"/>
                <w:szCs w:val="1"/>
                <w:color w:val="auto"/>
              </w:rPr>
            </w:pPr>
          </w:p>
        </w:tc>
      </w:tr>
      <w:tr>
        <w:trPr>
          <w:trHeight w:val="216"/>
        </w:trPr>
        <w:tc>
          <w:tcPr>
            <w:tcW w:w="4980" w:type="dxa"/>
            <w:vAlign w:val="bottom"/>
          </w:tcPr>
          <w:p>
            <w:pPr>
              <w:ind w:left="240"/>
              <w:spacing w:after="0"/>
              <w:rPr>
                <w:sz w:val="20"/>
                <w:szCs w:val="20"/>
                <w:color w:val="auto"/>
              </w:rPr>
            </w:pPr>
            <w:r>
              <w:rPr>
                <w:rFonts w:ascii="Arial" w:cs="Arial" w:eastAsia="Arial" w:hAnsi="Arial"/>
                <w:sz w:val="18"/>
                <w:szCs w:val="18"/>
                <w:color w:val="auto"/>
              </w:rPr>
              <w:t>Rooms</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74,979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84,672</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326,655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339,391</w:t>
            </w:r>
          </w:p>
        </w:tc>
        <w:tc>
          <w:tcPr>
            <w:tcW w:w="0" w:type="dxa"/>
            <w:vAlign w:val="bottom"/>
          </w:tcPr>
          <w:p>
            <w:pPr>
              <w:spacing w:after="0"/>
              <w:rPr>
                <w:sz w:val="1"/>
                <w:szCs w:val="1"/>
                <w:color w:val="auto"/>
              </w:rPr>
            </w:pPr>
          </w:p>
        </w:tc>
      </w:tr>
      <w:tr>
        <w:trPr>
          <w:trHeight w:val="216"/>
        </w:trPr>
        <w:tc>
          <w:tcPr>
            <w:tcW w:w="4980" w:type="dxa"/>
            <w:vAlign w:val="bottom"/>
          </w:tcPr>
          <w:p>
            <w:pPr>
              <w:ind w:left="240"/>
              <w:spacing w:after="0"/>
              <w:rPr>
                <w:sz w:val="20"/>
                <w:szCs w:val="20"/>
                <w:color w:val="auto"/>
              </w:rPr>
            </w:pPr>
            <w:r>
              <w:rPr>
                <w:rFonts w:ascii="Arial" w:cs="Arial" w:eastAsia="Arial" w:hAnsi="Arial"/>
                <w:sz w:val="18"/>
                <w:szCs w:val="18"/>
                <w:color w:val="auto"/>
              </w:rPr>
              <w:t>Food and beverage</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83,088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91,423</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358,715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353,983</w:t>
            </w:r>
          </w:p>
        </w:tc>
        <w:tc>
          <w:tcPr>
            <w:tcW w:w="0" w:type="dxa"/>
            <w:vAlign w:val="bottom"/>
          </w:tcPr>
          <w:p>
            <w:pPr>
              <w:spacing w:after="0"/>
              <w:rPr>
                <w:sz w:val="1"/>
                <w:szCs w:val="1"/>
                <w:color w:val="auto"/>
              </w:rPr>
            </w:pPr>
          </w:p>
        </w:tc>
      </w:tr>
      <w:tr>
        <w:trPr>
          <w:trHeight w:val="237"/>
        </w:trPr>
        <w:tc>
          <w:tcPr>
            <w:tcW w:w="4980" w:type="dxa"/>
            <w:vAlign w:val="bottom"/>
          </w:tcPr>
          <w:p>
            <w:pPr>
              <w:ind w:left="240"/>
              <w:spacing w:after="0"/>
              <w:rPr>
                <w:sz w:val="20"/>
                <w:szCs w:val="20"/>
                <w:color w:val="auto"/>
              </w:rPr>
            </w:pPr>
            <w:r>
              <w:rPr>
                <w:rFonts w:ascii="Arial" w:cs="Arial" w:eastAsia="Arial" w:hAnsi="Arial"/>
                <w:sz w:val="18"/>
                <w:szCs w:val="18"/>
                <w:color w:val="auto"/>
              </w:rPr>
              <w:t>Entertainment, retail and other</w:t>
            </w: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59,647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69,098</w:t>
            </w: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270,065</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245,201</w:t>
            </w:r>
          </w:p>
        </w:tc>
        <w:tc>
          <w:tcPr>
            <w:tcW w:w="0" w:type="dxa"/>
            <w:vAlign w:val="bottom"/>
          </w:tcPr>
          <w:p>
            <w:pPr>
              <w:spacing w:after="0"/>
              <w:rPr>
                <w:sz w:val="1"/>
                <w:szCs w:val="1"/>
                <w:color w:val="auto"/>
              </w:rPr>
            </w:pPr>
          </w:p>
        </w:tc>
      </w:tr>
      <w:tr>
        <w:trPr>
          <w:trHeight w:val="202"/>
        </w:trPr>
        <w:tc>
          <w:tcPr>
            <w:tcW w:w="4980" w:type="dxa"/>
            <w:vAlign w:val="bottom"/>
          </w:tcPr>
          <w:p>
            <w:pPr>
              <w:ind w:left="720"/>
              <w:spacing w:after="0" w:line="201" w:lineRule="exact"/>
              <w:rPr>
                <w:sz w:val="20"/>
                <w:szCs w:val="20"/>
                <w:color w:val="auto"/>
              </w:rPr>
            </w:pPr>
            <w:r>
              <w:rPr>
                <w:rFonts w:ascii="Arial" w:cs="Arial" w:eastAsia="Arial" w:hAnsi="Arial"/>
                <w:sz w:val="18"/>
                <w:szCs w:val="18"/>
                <w:color w:val="auto"/>
              </w:rPr>
              <w:t>Gross revenues</w:t>
            </w:r>
          </w:p>
        </w:tc>
        <w:tc>
          <w:tcPr>
            <w:tcW w:w="1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gridSpan w:val="2"/>
          </w:tcPr>
          <w:p>
            <w:pPr>
              <w:jc w:val="right"/>
              <w:ind w:right="20"/>
              <w:spacing w:after="0" w:line="201" w:lineRule="exact"/>
              <w:rPr>
                <w:sz w:val="20"/>
                <w:szCs w:val="20"/>
                <w:color w:val="auto"/>
              </w:rPr>
            </w:pPr>
            <w:r>
              <w:rPr>
                <w:rFonts w:ascii="Arial" w:cs="Arial" w:eastAsia="Arial" w:hAnsi="Arial"/>
                <w:sz w:val="18"/>
                <w:szCs w:val="18"/>
                <w:color w:val="auto"/>
              </w:rPr>
              <w:t>673,662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769,261</w:t>
            </w:r>
          </w:p>
        </w:tc>
        <w:tc>
          <w:tcPr>
            <w:tcW w:w="2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3,217,367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4"/>
              </w:rPr>
              <w:t>2,888,445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980" w:type="dxa"/>
            <w:vAlign w:val="bottom"/>
          </w:tcPr>
          <w:p>
            <w:pPr>
              <w:ind w:left="240"/>
              <w:spacing w:after="0"/>
              <w:rPr>
                <w:sz w:val="20"/>
                <w:szCs w:val="20"/>
                <w:color w:val="auto"/>
              </w:rPr>
            </w:pPr>
            <w:r>
              <w:rPr>
                <w:rFonts w:ascii="Arial" w:cs="Arial" w:eastAsia="Arial" w:hAnsi="Arial"/>
                <w:sz w:val="18"/>
                <w:szCs w:val="18"/>
                <w:color w:val="auto"/>
              </w:rPr>
              <w:t>Less: promotional allowances</w:t>
            </w: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(59,387)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(57,986)</w:t>
            </w:r>
          </w:p>
        </w:tc>
        <w:tc>
          <w:tcPr>
            <w:tcW w:w="24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(230,043)</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(200,926)</w:t>
            </w:r>
          </w:p>
        </w:tc>
        <w:tc>
          <w:tcPr>
            <w:tcW w:w="0" w:type="dxa"/>
            <w:vAlign w:val="bottom"/>
          </w:tcPr>
          <w:p>
            <w:pPr>
              <w:spacing w:after="0"/>
              <w:rPr>
                <w:sz w:val="1"/>
                <w:szCs w:val="1"/>
                <w:color w:val="auto"/>
              </w:rPr>
            </w:pPr>
          </w:p>
        </w:tc>
      </w:tr>
      <w:tr>
        <w:trPr>
          <w:trHeight w:val="223"/>
        </w:trPr>
        <w:tc>
          <w:tcPr>
            <w:tcW w:w="4980" w:type="dxa"/>
            <w:vAlign w:val="bottom"/>
          </w:tcPr>
          <w:p>
            <w:pPr>
              <w:ind w:left="720"/>
              <w:spacing w:after="0"/>
              <w:rPr>
                <w:sz w:val="20"/>
                <w:szCs w:val="20"/>
                <w:color w:val="auto"/>
              </w:rPr>
            </w:pPr>
            <w:r>
              <w:rPr>
                <w:rFonts w:ascii="Arial" w:cs="Arial" w:eastAsia="Arial" w:hAnsi="Arial"/>
                <w:sz w:val="18"/>
                <w:szCs w:val="18"/>
                <w:color w:val="auto"/>
              </w:rPr>
              <w:t>Net revenues</w:t>
            </w:r>
          </w:p>
        </w:tc>
        <w:tc>
          <w:tcPr>
            <w:tcW w:w="1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614,275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711,275</w:t>
            </w:r>
          </w:p>
        </w:tc>
        <w:tc>
          <w:tcPr>
            <w:tcW w:w="2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2,987,324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2,687,519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98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1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240"/>
              <w:spacing w:after="0"/>
              <w:rPr>
                <w:sz w:val="20"/>
                <w:szCs w:val="20"/>
                <w:color w:val="auto"/>
              </w:rPr>
            </w:pPr>
            <w:r>
              <w:rPr>
                <w:rFonts w:ascii="Arial" w:cs="Arial" w:eastAsia="Arial" w:hAnsi="Arial"/>
                <w:sz w:val="18"/>
                <w:szCs w:val="18"/>
                <w:color w:val="auto"/>
              </w:rPr>
              <w:t>Casino</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325,280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327,292</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1,490,927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1,168,119</w:t>
            </w:r>
          </w:p>
        </w:tc>
        <w:tc>
          <w:tcPr>
            <w:tcW w:w="0" w:type="dxa"/>
            <w:vAlign w:val="bottom"/>
          </w:tcPr>
          <w:p>
            <w:pPr>
              <w:spacing w:after="0"/>
              <w:rPr>
                <w:sz w:val="1"/>
                <w:szCs w:val="1"/>
                <w:color w:val="auto"/>
              </w:rPr>
            </w:pPr>
          </w:p>
        </w:tc>
      </w:tr>
      <w:tr>
        <w:trPr>
          <w:trHeight w:val="216"/>
        </w:trPr>
        <w:tc>
          <w:tcPr>
            <w:tcW w:w="4980" w:type="dxa"/>
            <w:vAlign w:val="bottom"/>
          </w:tcPr>
          <w:p>
            <w:pPr>
              <w:ind w:left="240"/>
              <w:spacing w:after="0"/>
              <w:rPr>
                <w:sz w:val="20"/>
                <w:szCs w:val="20"/>
                <w:color w:val="auto"/>
              </w:rPr>
            </w:pPr>
            <w:r>
              <w:rPr>
                <w:rFonts w:ascii="Arial" w:cs="Arial" w:eastAsia="Arial" w:hAnsi="Arial"/>
                <w:sz w:val="18"/>
                <w:szCs w:val="18"/>
                <w:color w:val="auto"/>
              </w:rPr>
              <w:t>Rooms</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18,178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19,556</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78,238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83,237</w:t>
            </w:r>
          </w:p>
        </w:tc>
        <w:tc>
          <w:tcPr>
            <w:tcW w:w="0" w:type="dxa"/>
            <w:vAlign w:val="bottom"/>
          </w:tcPr>
          <w:p>
            <w:pPr>
              <w:spacing w:after="0"/>
              <w:rPr>
                <w:sz w:val="1"/>
                <w:szCs w:val="1"/>
                <w:color w:val="auto"/>
              </w:rPr>
            </w:pPr>
          </w:p>
        </w:tc>
      </w:tr>
      <w:tr>
        <w:trPr>
          <w:trHeight w:val="216"/>
        </w:trPr>
        <w:tc>
          <w:tcPr>
            <w:tcW w:w="4980" w:type="dxa"/>
            <w:vAlign w:val="bottom"/>
          </w:tcPr>
          <w:p>
            <w:pPr>
              <w:ind w:left="240"/>
              <w:spacing w:after="0"/>
              <w:rPr>
                <w:sz w:val="20"/>
                <w:szCs w:val="20"/>
                <w:color w:val="auto"/>
              </w:rPr>
            </w:pPr>
            <w:r>
              <w:rPr>
                <w:rFonts w:ascii="Arial" w:cs="Arial" w:eastAsia="Arial" w:hAnsi="Arial"/>
                <w:sz w:val="18"/>
                <w:szCs w:val="18"/>
                <w:color w:val="auto"/>
              </w:rPr>
              <w:t>Food and beverage</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47,878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51,951</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207,281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212,622</w:t>
            </w:r>
          </w:p>
        </w:tc>
        <w:tc>
          <w:tcPr>
            <w:tcW w:w="0" w:type="dxa"/>
            <w:vAlign w:val="bottom"/>
          </w:tcPr>
          <w:p>
            <w:pPr>
              <w:spacing w:after="0"/>
              <w:rPr>
                <w:sz w:val="1"/>
                <w:szCs w:val="1"/>
                <w:color w:val="auto"/>
              </w:rPr>
            </w:pPr>
          </w:p>
        </w:tc>
      </w:tr>
      <w:tr>
        <w:trPr>
          <w:trHeight w:val="216"/>
        </w:trPr>
        <w:tc>
          <w:tcPr>
            <w:tcW w:w="4980" w:type="dxa"/>
            <w:vAlign w:val="bottom"/>
          </w:tcPr>
          <w:p>
            <w:pPr>
              <w:ind w:left="240"/>
              <w:spacing w:after="0"/>
              <w:rPr>
                <w:sz w:val="20"/>
                <w:szCs w:val="20"/>
                <w:color w:val="auto"/>
              </w:rPr>
            </w:pPr>
            <w:r>
              <w:rPr>
                <w:rFonts w:ascii="Arial" w:cs="Arial" w:eastAsia="Arial" w:hAnsi="Arial"/>
                <w:sz w:val="18"/>
                <w:szCs w:val="18"/>
                <w:color w:val="auto"/>
              </w:rPr>
              <w:t>Entertainment, retail and other</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34,552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42,456</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161,862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161,087</w:t>
            </w:r>
          </w:p>
        </w:tc>
        <w:tc>
          <w:tcPr>
            <w:tcW w:w="0" w:type="dxa"/>
            <w:vAlign w:val="bottom"/>
          </w:tcPr>
          <w:p>
            <w:pPr>
              <w:spacing w:after="0"/>
              <w:rPr>
                <w:sz w:val="1"/>
                <w:szCs w:val="1"/>
                <w:color w:val="auto"/>
              </w:rPr>
            </w:pPr>
          </w:p>
        </w:tc>
      </w:tr>
      <w:tr>
        <w:trPr>
          <w:trHeight w:val="216"/>
        </w:trPr>
        <w:tc>
          <w:tcPr>
            <w:tcW w:w="498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69,697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80,456</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319,303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310,820</w:t>
            </w:r>
          </w:p>
        </w:tc>
        <w:tc>
          <w:tcPr>
            <w:tcW w:w="0" w:type="dxa"/>
            <w:vAlign w:val="bottom"/>
          </w:tcPr>
          <w:p>
            <w:pPr>
              <w:spacing w:after="0"/>
              <w:rPr>
                <w:sz w:val="1"/>
                <w:szCs w:val="1"/>
                <w:color w:val="auto"/>
              </w:rPr>
            </w:pPr>
          </w:p>
        </w:tc>
      </w:tr>
      <w:tr>
        <w:trPr>
          <w:trHeight w:val="216"/>
        </w:trPr>
        <w:tc>
          <w:tcPr>
            <w:tcW w:w="4980" w:type="dxa"/>
            <w:vAlign w:val="bottom"/>
          </w:tcPr>
          <w:p>
            <w:pPr>
              <w:ind w:left="240"/>
              <w:spacing w:after="0"/>
              <w:rPr>
                <w:sz w:val="20"/>
                <w:szCs w:val="20"/>
                <w:color w:val="auto"/>
              </w:rPr>
            </w:pPr>
            <w:r>
              <w:rPr>
                <w:rFonts w:ascii="Arial" w:cs="Arial" w:eastAsia="Arial" w:hAnsi="Arial"/>
                <w:sz w:val="18"/>
                <w:szCs w:val="18"/>
                <w:color w:val="auto"/>
              </w:rPr>
              <w:t>Provision for doubtful accounts</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393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8,265</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49,405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36,109</w:t>
            </w:r>
          </w:p>
        </w:tc>
        <w:tc>
          <w:tcPr>
            <w:tcW w:w="0" w:type="dxa"/>
            <w:vAlign w:val="bottom"/>
          </w:tcPr>
          <w:p>
            <w:pPr>
              <w:spacing w:after="0"/>
              <w:rPr>
                <w:sz w:val="1"/>
                <w:szCs w:val="1"/>
                <w:color w:val="auto"/>
              </w:rPr>
            </w:pPr>
          </w:p>
        </w:tc>
      </w:tr>
      <w:tr>
        <w:trPr>
          <w:trHeight w:val="216"/>
        </w:trPr>
        <w:tc>
          <w:tcPr>
            <w:tcW w:w="4980" w:type="dxa"/>
            <w:vAlign w:val="bottom"/>
          </w:tcPr>
          <w:p>
            <w:pPr>
              <w:ind w:left="240"/>
              <w:spacing w:after="0"/>
              <w:rPr>
                <w:sz w:val="20"/>
                <w:szCs w:val="20"/>
                <w:color w:val="auto"/>
              </w:rPr>
            </w:pPr>
            <w:r>
              <w:rPr>
                <w:rFonts w:ascii="Arial" w:cs="Arial" w:eastAsia="Arial" w:hAnsi="Arial"/>
                <w:sz w:val="18"/>
                <w:szCs w:val="18"/>
                <w:color w:val="auto"/>
              </w:rPr>
              <w:t>Pre-opening costs</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46,320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2,883</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72,375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7,063</w:t>
            </w:r>
          </w:p>
        </w:tc>
        <w:tc>
          <w:tcPr>
            <w:tcW w:w="0" w:type="dxa"/>
            <w:vAlign w:val="bottom"/>
          </w:tcPr>
          <w:p>
            <w:pPr>
              <w:spacing w:after="0"/>
              <w:rPr>
                <w:sz w:val="1"/>
                <w:szCs w:val="1"/>
                <w:color w:val="auto"/>
              </w:rPr>
            </w:pPr>
          </w:p>
        </w:tc>
      </w:tr>
      <w:tr>
        <w:trPr>
          <w:trHeight w:val="216"/>
        </w:trPr>
        <w:tc>
          <w:tcPr>
            <w:tcW w:w="498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70,793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60,496</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262,848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219,923</w:t>
            </w:r>
          </w:p>
        </w:tc>
        <w:tc>
          <w:tcPr>
            <w:tcW w:w="0" w:type="dxa"/>
            <w:vAlign w:val="bottom"/>
          </w:tcPr>
          <w:p>
            <w:pPr>
              <w:spacing w:after="0"/>
              <w:rPr>
                <w:sz w:val="1"/>
                <w:szCs w:val="1"/>
                <w:color w:val="auto"/>
              </w:rPr>
            </w:pPr>
          </w:p>
        </w:tc>
      </w:tr>
      <w:tr>
        <w:trPr>
          <w:trHeight w:val="237"/>
        </w:trPr>
        <w:tc>
          <w:tcPr>
            <w:tcW w:w="4980" w:type="dxa"/>
            <w:vAlign w:val="bottom"/>
          </w:tcPr>
          <w:p>
            <w:pPr>
              <w:ind w:left="240"/>
              <w:spacing w:after="0"/>
              <w:rPr>
                <w:sz w:val="20"/>
                <w:szCs w:val="20"/>
                <w:color w:val="auto"/>
              </w:rPr>
            </w:pPr>
            <w:r>
              <w:rPr>
                <w:rFonts w:ascii="Arial" w:cs="Arial" w:eastAsia="Arial" w:hAnsi="Arial"/>
                <w:sz w:val="18"/>
                <w:szCs w:val="18"/>
                <w:color w:val="auto"/>
              </w:rPr>
              <w:t>Property charges and other</w:t>
            </w: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1,396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9,471</w:t>
            </w: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32,584</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60,857</w:t>
            </w:r>
          </w:p>
        </w:tc>
        <w:tc>
          <w:tcPr>
            <w:tcW w:w="0" w:type="dxa"/>
            <w:vAlign w:val="bottom"/>
          </w:tcPr>
          <w:p>
            <w:pPr>
              <w:spacing w:after="0"/>
              <w:rPr>
                <w:sz w:val="1"/>
                <w:szCs w:val="1"/>
                <w:color w:val="auto"/>
              </w:rPr>
            </w:pPr>
          </w:p>
        </w:tc>
      </w:tr>
      <w:tr>
        <w:trPr>
          <w:trHeight w:val="230"/>
        </w:trPr>
        <w:tc>
          <w:tcPr>
            <w:tcW w:w="4980" w:type="dxa"/>
            <w:vAlign w:val="bottom"/>
          </w:tcPr>
          <w:p>
            <w:pPr>
              <w:ind w:left="460"/>
              <w:spacing w:after="0"/>
              <w:rPr>
                <w:sz w:val="20"/>
                <w:szCs w:val="20"/>
                <w:color w:val="auto"/>
              </w:rPr>
            </w:pPr>
            <w:r>
              <w:rPr>
                <w:rFonts w:ascii="Arial" w:cs="Arial" w:eastAsia="Arial" w:hAnsi="Arial"/>
                <w:sz w:val="18"/>
                <w:szCs w:val="18"/>
                <w:color w:val="auto"/>
              </w:rPr>
              <w:t>Total operating costs and expenses</w:t>
            </w:r>
          </w:p>
        </w:tc>
        <w:tc>
          <w:tcPr>
            <w:tcW w:w="1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614,487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602,826</w:t>
            </w:r>
          </w:p>
        </w:tc>
        <w:tc>
          <w:tcPr>
            <w:tcW w:w="2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2,674,823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2,259,837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980" w:type="dxa"/>
            <w:vAlign w:val="bottom"/>
          </w:tcPr>
          <w:p>
            <w:pPr>
              <w:spacing w:after="0"/>
              <w:rPr>
                <w:sz w:val="20"/>
                <w:szCs w:val="20"/>
                <w:color w:val="auto"/>
              </w:rPr>
            </w:pPr>
            <w:r>
              <w:rPr>
                <w:rFonts w:ascii="Arial" w:cs="Arial" w:eastAsia="Arial" w:hAnsi="Arial"/>
                <w:sz w:val="18"/>
                <w:szCs w:val="18"/>
                <w:color w:val="auto"/>
              </w:rPr>
              <w:t>Equity in income (loss) from unconsolidated affiliates</w:t>
            </w: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326</w:t>
            </w:r>
          </w:p>
        </w:tc>
        <w:tc>
          <w:tcPr>
            <w:tcW w:w="240" w:type="dxa"/>
            <w:vAlign w:val="bottom"/>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1,353</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1,721</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9"/>
        </w:trPr>
        <w:tc>
          <w:tcPr>
            <w:tcW w:w="4980" w:type="dxa"/>
            <w:vAlign w:val="bottom"/>
          </w:tcPr>
          <w:p>
            <w:pPr>
              <w:spacing w:after="0"/>
              <w:rPr>
                <w:sz w:val="20"/>
                <w:szCs w:val="20"/>
                <w:color w:val="auto"/>
              </w:rPr>
            </w:pPr>
            <w:r>
              <w:rPr>
                <w:rFonts w:ascii="Arial" w:cs="Arial" w:eastAsia="Arial" w:hAnsi="Arial"/>
                <w:sz w:val="18"/>
                <w:szCs w:val="18"/>
                <w:color w:val="auto"/>
              </w:rPr>
              <w:t>Operating income (loss)</w:t>
            </w: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108,775</w:t>
            </w:r>
          </w:p>
        </w:tc>
        <w:tc>
          <w:tcPr>
            <w:tcW w:w="240" w:type="dxa"/>
            <w:vAlign w:val="bottom"/>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313,854</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429,403</w:t>
            </w:r>
          </w:p>
        </w:tc>
        <w:tc>
          <w:tcPr>
            <w:tcW w:w="0" w:type="dxa"/>
            <w:vAlign w:val="bottom"/>
          </w:tcPr>
          <w:p>
            <w:pPr>
              <w:spacing w:after="0"/>
              <w:rPr>
                <w:sz w:val="1"/>
                <w:szCs w:val="1"/>
                <w:color w:val="auto"/>
              </w:rPr>
            </w:pPr>
          </w:p>
        </w:tc>
      </w:tr>
      <w:tr>
        <w:trPr>
          <w:trHeight w:val="418"/>
        </w:trPr>
        <w:tc>
          <w:tcPr>
            <w:tcW w:w="4980" w:type="dxa"/>
            <w:vAlign w:val="bottom"/>
          </w:tcPr>
          <w:p>
            <w:pPr>
              <w:spacing w:after="0"/>
              <w:rPr>
                <w:sz w:val="20"/>
                <w:szCs w:val="20"/>
                <w:color w:val="auto"/>
              </w:rPr>
            </w:pPr>
            <w:r>
              <w:rPr>
                <w:rFonts w:ascii="Arial" w:cs="Arial" w:eastAsia="Arial" w:hAnsi="Arial"/>
                <w:sz w:val="18"/>
                <w:szCs w:val="18"/>
                <w:color w:val="auto"/>
              </w:rPr>
              <w:t>Other income (expense):</w:t>
            </w:r>
          </w:p>
        </w:tc>
        <w:tc>
          <w:tcPr>
            <w:tcW w:w="1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1,402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16,220</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21,517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47,259</w:t>
            </w:r>
          </w:p>
        </w:tc>
        <w:tc>
          <w:tcPr>
            <w:tcW w:w="0" w:type="dxa"/>
            <w:vAlign w:val="bottom"/>
          </w:tcPr>
          <w:p>
            <w:pPr>
              <w:spacing w:after="0"/>
              <w:rPr>
                <w:sz w:val="1"/>
                <w:szCs w:val="1"/>
                <w:color w:val="auto"/>
              </w:rPr>
            </w:pPr>
          </w:p>
        </w:tc>
      </w:tr>
      <w:tr>
        <w:trPr>
          <w:trHeight w:val="216"/>
        </w:trPr>
        <w:tc>
          <w:tcPr>
            <w:tcW w:w="4980" w:type="dxa"/>
            <w:vAlign w:val="bottom"/>
          </w:tcPr>
          <w:p>
            <w:pPr>
              <w:ind w:left="240"/>
              <w:spacing w:after="0"/>
              <w:rPr>
                <w:sz w:val="20"/>
                <w:szCs w:val="20"/>
                <w:color w:val="auto"/>
              </w:rPr>
            </w:pPr>
            <w:r>
              <w:rPr>
                <w:rFonts w:ascii="Arial" w:cs="Arial" w:eastAsia="Arial" w:hAnsi="Arial"/>
                <w:sz w:val="18"/>
                <w:szCs w:val="18"/>
                <w:color w:val="auto"/>
              </w:rPr>
              <w:t>Interest expense, net of capitalized interest</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(46,180)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(35,901)</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(172,693)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(143,777)</w:t>
            </w:r>
          </w:p>
        </w:tc>
        <w:tc>
          <w:tcPr>
            <w:tcW w:w="0" w:type="dxa"/>
            <w:vAlign w:val="bottom"/>
          </w:tcPr>
          <w:p>
            <w:pPr>
              <w:spacing w:after="0"/>
              <w:rPr>
                <w:sz w:val="1"/>
                <w:szCs w:val="1"/>
                <w:color w:val="auto"/>
              </w:rPr>
            </w:pPr>
          </w:p>
        </w:tc>
      </w:tr>
      <w:tr>
        <w:trPr>
          <w:trHeight w:val="216"/>
        </w:trPr>
        <w:tc>
          <w:tcPr>
            <w:tcW w:w="4980" w:type="dxa"/>
            <w:vAlign w:val="bottom"/>
          </w:tcPr>
          <w:p>
            <w:pPr>
              <w:ind w:left="240"/>
              <w:spacing w:after="0"/>
              <w:rPr>
                <w:sz w:val="20"/>
                <w:szCs w:val="20"/>
                <w:color w:val="auto"/>
              </w:rPr>
            </w:pPr>
            <w:r>
              <w:rPr>
                <w:rFonts w:ascii="Arial" w:cs="Arial" w:eastAsia="Arial" w:hAnsi="Arial"/>
                <w:sz w:val="18"/>
                <w:szCs w:val="18"/>
                <w:color w:val="auto"/>
              </w:rPr>
              <w:t>Decrease in swap fair value</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(36,604)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(3,653)</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(31,485)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(6,001)</w:t>
            </w:r>
          </w:p>
        </w:tc>
        <w:tc>
          <w:tcPr>
            <w:tcW w:w="0" w:type="dxa"/>
            <w:vAlign w:val="bottom"/>
          </w:tcPr>
          <w:p>
            <w:pPr>
              <w:spacing w:after="0"/>
              <w:rPr>
                <w:sz w:val="1"/>
                <w:szCs w:val="1"/>
                <w:color w:val="auto"/>
              </w:rPr>
            </w:pPr>
          </w:p>
        </w:tc>
      </w:tr>
      <w:tr>
        <w:trPr>
          <w:trHeight w:val="216"/>
        </w:trPr>
        <w:tc>
          <w:tcPr>
            <w:tcW w:w="4980" w:type="dxa"/>
            <w:vAlign w:val="bottom"/>
          </w:tcPr>
          <w:p>
            <w:pPr>
              <w:ind w:left="240"/>
              <w:spacing w:after="0"/>
              <w:rPr>
                <w:sz w:val="20"/>
                <w:szCs w:val="20"/>
                <w:color w:val="auto"/>
              </w:rPr>
            </w:pPr>
            <w:r>
              <w:rPr>
                <w:rFonts w:ascii="Arial" w:cs="Arial" w:eastAsia="Arial" w:hAnsi="Arial"/>
                <w:sz w:val="18"/>
                <w:szCs w:val="18"/>
                <w:color w:val="auto"/>
              </w:rPr>
              <w:t>Gain (loss) from extinguishment of debt</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22,347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22,347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37"/>
        </w:trPr>
        <w:tc>
          <w:tcPr>
            <w:tcW w:w="4980" w:type="dxa"/>
            <w:vAlign w:val="bottom"/>
          </w:tcPr>
          <w:p>
            <w:pPr>
              <w:ind w:left="240"/>
              <w:spacing w:after="0"/>
              <w:rPr>
                <w:sz w:val="20"/>
                <w:szCs w:val="20"/>
                <w:color w:val="auto"/>
              </w:rPr>
            </w:pPr>
            <w:r>
              <w:rPr>
                <w:rFonts w:ascii="Arial" w:cs="Arial" w:eastAsia="Arial" w:hAnsi="Arial"/>
                <w:sz w:val="18"/>
                <w:szCs w:val="18"/>
                <w:color w:val="auto"/>
              </w:rPr>
              <w:t>Other</w:t>
            </w: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(1,563)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2,260</w:t>
            </w:r>
          </w:p>
        </w:tc>
        <w:tc>
          <w:tcPr>
            <w:tcW w:w="24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(4,257)</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23"/>
        </w:trPr>
        <w:tc>
          <w:tcPr>
            <w:tcW w:w="4980" w:type="dxa"/>
            <w:vAlign w:val="bottom"/>
          </w:tcPr>
          <w:p>
            <w:pPr>
              <w:ind w:left="460"/>
              <w:spacing w:after="0"/>
              <w:rPr>
                <w:sz w:val="20"/>
                <w:szCs w:val="20"/>
                <w:color w:val="auto"/>
              </w:rPr>
            </w:pPr>
            <w:r>
              <w:rPr>
                <w:rFonts w:ascii="Arial" w:cs="Arial" w:eastAsia="Arial" w:hAnsi="Arial"/>
                <w:sz w:val="18"/>
                <w:szCs w:val="18"/>
                <w:color w:val="auto"/>
              </w:rPr>
              <w:t>Other income (expense), net</w:t>
            </w:r>
          </w:p>
        </w:tc>
        <w:tc>
          <w:tcPr>
            <w:tcW w:w="1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(60,598)</w:t>
            </w:r>
          </w:p>
        </w:tc>
        <w:tc>
          <w:tcPr>
            <w:tcW w:w="14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(21,074)</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(164,571)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(102,170)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498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(60,858)</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87,701</w:t>
            </w:r>
          </w:p>
        </w:tc>
        <w:tc>
          <w:tcPr>
            <w:tcW w:w="240" w:type="dxa"/>
            <w:vAlign w:val="bottom"/>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149,283</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327,233</w:t>
            </w:r>
          </w:p>
        </w:tc>
        <w:tc>
          <w:tcPr>
            <w:tcW w:w="0" w:type="dxa"/>
            <w:vAlign w:val="bottom"/>
          </w:tcPr>
          <w:p>
            <w:pPr>
              <w:spacing w:after="0"/>
              <w:rPr>
                <w:sz w:val="1"/>
                <w:szCs w:val="1"/>
                <w:color w:val="auto"/>
              </w:rPr>
            </w:pPr>
          </w:p>
        </w:tc>
      </w:tr>
      <w:tr>
        <w:trPr>
          <w:trHeight w:val="432"/>
        </w:trPr>
        <w:tc>
          <w:tcPr>
            <w:tcW w:w="4980" w:type="dxa"/>
            <w:vAlign w:val="bottom"/>
          </w:tcPr>
          <w:p>
            <w:pPr>
              <w:ind w:left="240"/>
              <w:spacing w:after="0"/>
              <w:rPr>
                <w:sz w:val="20"/>
                <w:szCs w:val="20"/>
                <w:color w:val="auto"/>
              </w:rPr>
            </w:pPr>
            <w:r>
              <w:rPr>
                <w:rFonts w:ascii="Arial" w:cs="Arial" w:eastAsia="Arial" w:hAnsi="Arial"/>
                <w:sz w:val="18"/>
                <w:szCs w:val="18"/>
                <w:color w:val="auto"/>
              </w:rPr>
              <w:t>Benefit (provision) for income taxes</w:t>
            </w: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(98,776)</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(22,248)</w:t>
            </w:r>
          </w:p>
        </w:tc>
        <w:tc>
          <w:tcPr>
            <w:tcW w:w="240" w:type="dxa"/>
            <w:vAlign w:val="bottom"/>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60,923</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(69,085)</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4980" w:type="dxa"/>
            <w:vAlign w:val="bottom"/>
          </w:tcPr>
          <w:p>
            <w:pPr>
              <w:spacing w:after="0"/>
              <w:rPr>
                <w:sz w:val="20"/>
                <w:szCs w:val="20"/>
                <w:color w:val="auto"/>
              </w:rPr>
            </w:pPr>
            <w:r>
              <w:rPr>
                <w:rFonts w:ascii="Arial" w:cs="Arial" w:eastAsia="Arial" w:hAnsi="Arial"/>
                <w:sz w:val="18"/>
                <w:szCs w:val="18"/>
                <w:color w:val="auto"/>
              </w:rPr>
              <w:t>Net income (loss)</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(159,634)</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65,453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210,206</w:t>
            </w:r>
          </w:p>
        </w:tc>
        <w:tc>
          <w:tcPr>
            <w:tcW w:w="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258,148</w:t>
            </w:r>
          </w:p>
        </w:tc>
        <w:tc>
          <w:tcPr>
            <w:tcW w:w="0" w:type="dxa"/>
            <w:vAlign w:val="bottom"/>
          </w:tcPr>
          <w:p>
            <w:pPr>
              <w:spacing w:after="0"/>
              <w:rPr>
                <w:sz w:val="1"/>
                <w:szCs w:val="1"/>
                <w:color w:val="auto"/>
              </w:rPr>
            </w:pPr>
          </w:p>
        </w:tc>
      </w:tr>
      <w:tr>
        <w:trPr>
          <w:trHeight w:val="21"/>
        </w:trPr>
        <w:tc>
          <w:tcPr>
            <w:tcW w:w="4980" w:type="dxa"/>
            <w:vAlign w:val="bottom"/>
            <w:vMerge w:val="restart"/>
          </w:tcPr>
          <w:p>
            <w:pPr>
              <w:spacing w:after="0"/>
              <w:rPr>
                <w:sz w:val="20"/>
                <w:szCs w:val="20"/>
                <w:color w:val="auto"/>
              </w:rPr>
            </w:pPr>
            <w:r>
              <w:rPr>
                <w:rFonts w:ascii="Arial" w:cs="Arial" w:eastAsia="Arial" w:hAnsi="Arial"/>
                <w:sz w:val="18"/>
                <w:szCs w:val="18"/>
                <w:color w:val="auto"/>
              </w:rPr>
              <w:t>Basic and diluted income (loss) per common share:</w:t>
            </w:r>
          </w:p>
        </w:tc>
        <w:tc>
          <w:tcPr>
            <w:tcW w:w="1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7"/>
        </w:trPr>
        <w:tc>
          <w:tcPr>
            <w:tcW w:w="498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240"/>
              <w:spacing w:after="0"/>
              <w:rPr>
                <w:sz w:val="20"/>
                <w:szCs w:val="20"/>
                <w:color w:val="auto"/>
              </w:rPr>
            </w:pPr>
            <w:r>
              <w:rPr>
                <w:rFonts w:ascii="Arial" w:cs="Arial" w:eastAsia="Arial" w:hAnsi="Arial"/>
                <w:sz w:val="18"/>
                <w:szCs w:val="18"/>
                <w:color w:val="auto"/>
              </w:rPr>
              <w:t>Net income (loss):</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420"/>
              <w:spacing w:after="0"/>
              <w:rPr>
                <w:sz w:val="20"/>
                <w:szCs w:val="20"/>
                <w:color w:val="auto"/>
              </w:rPr>
            </w:pPr>
            <w:r>
              <w:rPr>
                <w:rFonts w:ascii="Arial" w:cs="Arial" w:eastAsia="Arial" w:hAnsi="Arial"/>
                <w:sz w:val="18"/>
                <w:szCs w:val="18"/>
                <w:color w:val="auto"/>
              </w:rPr>
              <w:t>Basic</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(1.49)</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0.58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1.94</w:t>
            </w:r>
          </w:p>
        </w:tc>
        <w:tc>
          <w:tcPr>
            <w:tcW w:w="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4980" w:type="dxa"/>
            <w:vAlign w:val="bottom"/>
          </w:tcPr>
          <w:p>
            <w:pPr>
              <w:ind w:left="420"/>
              <w:spacing w:after="0"/>
              <w:rPr>
                <w:sz w:val="20"/>
                <w:szCs w:val="20"/>
                <w:color w:val="auto"/>
              </w:rPr>
            </w:pPr>
            <w:r>
              <w:rPr>
                <w:rFonts w:ascii="Arial" w:cs="Arial" w:eastAsia="Arial" w:hAnsi="Arial"/>
                <w:sz w:val="18"/>
                <w:szCs w:val="18"/>
                <w:color w:val="auto"/>
              </w:rPr>
              <w:t>Diluted*</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(1.49)</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0.57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1.92</w:t>
            </w:r>
          </w:p>
        </w:tc>
        <w:tc>
          <w:tcPr>
            <w:tcW w:w="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6"/>
        </w:trPr>
        <w:tc>
          <w:tcPr>
            <w:tcW w:w="4980" w:type="dxa"/>
            <w:vAlign w:val="bottom"/>
          </w:tcPr>
          <w:p>
            <w:pPr>
              <w:ind w:left="240"/>
              <w:spacing w:after="0"/>
              <w:rPr>
                <w:sz w:val="20"/>
                <w:szCs w:val="20"/>
                <w:color w:val="auto"/>
              </w:rPr>
            </w:pPr>
            <w:r>
              <w:rPr>
                <w:rFonts w:ascii="Arial" w:cs="Arial" w:eastAsia="Arial" w:hAnsi="Arial"/>
                <w:sz w:val="18"/>
                <w:szCs w:val="18"/>
                <w:color w:val="auto"/>
              </w:rPr>
              <w:t>Weighted average common shares outstanding:</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80" w:type="dxa"/>
            <w:vAlign w:val="bottom"/>
          </w:tcPr>
          <w:p>
            <w:pPr>
              <w:ind w:left="420"/>
              <w:spacing w:after="0"/>
              <w:rPr>
                <w:sz w:val="20"/>
                <w:szCs w:val="20"/>
                <w:color w:val="auto"/>
              </w:rPr>
            </w:pPr>
            <w:r>
              <w:rPr>
                <w:rFonts w:ascii="Arial" w:cs="Arial" w:eastAsia="Arial" w:hAnsi="Arial"/>
                <w:sz w:val="18"/>
                <w:szCs w:val="18"/>
                <w:color w:val="auto"/>
              </w:rPr>
              <w:t>Basic</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106,900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113,720</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108,408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106,030</w:t>
            </w:r>
          </w:p>
        </w:tc>
        <w:tc>
          <w:tcPr>
            <w:tcW w:w="0" w:type="dxa"/>
            <w:vAlign w:val="bottom"/>
          </w:tcPr>
          <w:p>
            <w:pPr>
              <w:spacing w:after="0"/>
              <w:rPr>
                <w:sz w:val="1"/>
                <w:szCs w:val="1"/>
                <w:color w:val="auto"/>
              </w:rPr>
            </w:pPr>
          </w:p>
        </w:tc>
      </w:tr>
      <w:tr>
        <w:trPr>
          <w:trHeight w:val="275"/>
        </w:trPr>
        <w:tc>
          <w:tcPr>
            <w:tcW w:w="4980" w:type="dxa"/>
            <w:vAlign w:val="bottom"/>
          </w:tcPr>
          <w:p>
            <w:pPr>
              <w:ind w:left="420"/>
              <w:spacing w:after="0"/>
              <w:rPr>
                <w:sz w:val="20"/>
                <w:szCs w:val="20"/>
                <w:color w:val="auto"/>
              </w:rPr>
            </w:pPr>
            <w:r>
              <w:rPr>
                <w:rFonts w:ascii="Arial" w:cs="Arial" w:eastAsia="Arial" w:hAnsi="Arial"/>
                <w:sz w:val="22"/>
                <w:szCs w:val="22"/>
                <w:color w:val="auto"/>
              </w:rPr>
              <w:t>Diluted</w:t>
            </w:r>
          </w:p>
        </w:tc>
        <w:tc>
          <w:tcPr>
            <w:tcW w:w="1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106,900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115,257</w:t>
            </w:r>
          </w:p>
        </w:tc>
        <w:tc>
          <w:tcPr>
            <w:tcW w:w="240" w:type="dxa"/>
            <w:vAlign w:val="bottom"/>
          </w:tcPr>
          <w:p>
            <w:pPr>
              <w:spacing w:after="0"/>
              <w:rPr>
                <w:sz w:val="23"/>
                <w:szCs w:val="23"/>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109,441</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112,685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2" w:lineRule="exact"/>
        <w:rPr>
          <w:sz w:val="20"/>
          <w:szCs w:val="20"/>
          <w:color w:val="auto"/>
        </w:rPr>
      </w:pPr>
    </w:p>
    <w:p>
      <w:pPr>
        <w:ind w:left="40" w:right="20" w:hanging="5"/>
        <w:spacing w:after="0" w:line="264" w:lineRule="auto"/>
        <w:tabs>
          <w:tab w:leader="none" w:pos="175" w:val="left"/>
        </w:tabs>
        <w:numPr>
          <w:ilvl w:val="0"/>
          <w:numId w:val="5"/>
        </w:numPr>
        <w:rPr>
          <w:rFonts w:ascii="Arial" w:cs="Arial" w:eastAsia="Arial" w:hAnsi="Arial"/>
          <w:sz w:val="18"/>
          <w:szCs w:val="18"/>
          <w:color w:val="auto"/>
        </w:rPr>
      </w:pPr>
      <w:r>
        <w:rPr>
          <w:rFonts w:ascii="Arial" w:cs="Arial" w:eastAsia="Arial" w:hAnsi="Arial"/>
          <w:sz w:val="18"/>
          <w:szCs w:val="18"/>
          <w:color w:val="auto"/>
        </w:rPr>
        <w:t>Diluted earnings per share for the year ended December 31, 2007 includes the assumption that the convertible subordinated debentures were converted into shares of common stock. Accordingly, net income used in the computation of diluted earnings per share is increased by approximately $5.1 million of net interest attributable to these debentures for the year ended December 31, 2007.</w:t>
      </w: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50" w:right="279" w:bottom="1440" w:gutter="0" w:footer="0" w:header="0"/>
        </w:sectPr>
      </w:pPr>
    </w:p>
    <w:bookmarkStart w:id="10" w:name="page11"/>
    <w:bookmarkEnd w:id="10"/>
    <w:p>
      <w:pPr>
        <w:jc w:val="center"/>
        <w:ind w:right="-39"/>
        <w:spacing w:after="0"/>
        <w:rPr>
          <w:sz w:val="20"/>
          <w:szCs w:val="20"/>
          <w:color w:val="auto"/>
        </w:rPr>
      </w:pPr>
      <w:r>
        <w:rPr>
          <w:rFonts w:ascii="Arial" w:cs="Arial" w:eastAsia="Arial" w:hAnsi="Arial"/>
          <w:sz w:val="22"/>
          <w:szCs w:val="22"/>
          <w:b w:val="1"/>
          <w:bCs w:val="1"/>
          <w:color w:val="auto"/>
        </w:rPr>
        <w:t>WYNN RESORTS, LIMITED AND SUBSIDIARIES</w:t>
      </w:r>
    </w:p>
    <w:p>
      <w:pPr>
        <w:spacing w:after="0" w:line="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RECONCILIATION OF NET INCOME (LOSS)</w:t>
      </w:r>
    </w:p>
    <w:p>
      <w:pPr>
        <w:jc w:val="center"/>
        <w:ind w:right="-39"/>
        <w:spacing w:after="0" w:line="234" w:lineRule="auto"/>
        <w:rPr>
          <w:sz w:val="20"/>
          <w:szCs w:val="20"/>
          <w:color w:val="auto"/>
        </w:rPr>
      </w:pPr>
      <w:r>
        <w:rPr>
          <w:rFonts w:ascii="Arial" w:cs="Arial" w:eastAsia="Arial" w:hAnsi="Arial"/>
          <w:sz w:val="18"/>
          <w:szCs w:val="18"/>
          <w:color w:val="auto"/>
        </w:rPr>
        <w:t>TO ADJUSTED NET INCOME</w:t>
      </w:r>
    </w:p>
    <w:p>
      <w:pPr>
        <w:jc w:val="center"/>
        <w:ind w:right="-39"/>
        <w:spacing w:after="0" w:line="235" w:lineRule="auto"/>
        <w:rPr>
          <w:sz w:val="20"/>
          <w:szCs w:val="20"/>
          <w:color w:val="auto"/>
        </w:rPr>
      </w:pPr>
      <w:r>
        <w:rPr>
          <w:rFonts w:ascii="Arial" w:cs="Arial" w:eastAsia="Arial" w:hAnsi="Arial"/>
          <w:sz w:val="18"/>
          <w:szCs w:val="18"/>
          <w:color w:val="auto"/>
        </w:rPr>
        <w:t>(amounts in thousands)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gridSpan w:val="6"/>
          </w:tcPr>
          <w:p>
            <w:pPr>
              <w:jc w:val="center"/>
              <w:ind w:right="460"/>
              <w:spacing w:after="0"/>
              <w:rPr>
                <w:sz w:val="20"/>
                <w:szCs w:val="20"/>
                <w:color w:val="auto"/>
              </w:rPr>
            </w:pPr>
            <w:r>
              <w:rPr>
                <w:rFonts w:ascii="Arial" w:cs="Arial" w:eastAsia="Arial" w:hAnsi="Arial"/>
                <w:sz w:val="18"/>
                <w:szCs w:val="18"/>
                <w:b w:val="1"/>
                <w:bCs w:val="1"/>
                <w:color w:val="auto"/>
                <w:w w:val="92"/>
              </w:rPr>
              <w:t>Three Months Ended</w:t>
            </w:r>
          </w:p>
        </w:tc>
        <w:tc>
          <w:tcPr>
            <w:tcW w:w="240" w:type="dxa"/>
            <w:vAlign w:val="bottom"/>
          </w:tcPr>
          <w:p>
            <w:pPr>
              <w:spacing w:after="0"/>
              <w:rPr>
                <w:sz w:val="18"/>
                <w:szCs w:val="18"/>
                <w:color w:val="auto"/>
              </w:rPr>
            </w:pPr>
          </w:p>
        </w:tc>
        <w:tc>
          <w:tcPr>
            <w:tcW w:w="1480" w:type="dxa"/>
            <w:vAlign w:val="bottom"/>
            <w:gridSpan w:val="4"/>
          </w:tcPr>
          <w:p>
            <w:pPr>
              <w:jc w:val="right"/>
              <w:spacing w:after="0"/>
              <w:rPr>
                <w:sz w:val="20"/>
                <w:szCs w:val="20"/>
                <w:color w:val="auto"/>
              </w:rPr>
            </w:pPr>
            <w:r>
              <w:rPr>
                <w:rFonts w:ascii="Arial" w:cs="Arial" w:eastAsia="Arial" w:hAnsi="Arial"/>
                <w:sz w:val="18"/>
                <w:szCs w:val="18"/>
                <w:b w:val="1"/>
                <w:bCs w:val="1"/>
                <w:color w:val="auto"/>
              </w:rPr>
              <w:t>Year Ended</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1"/>
        </w:trPr>
        <w:tc>
          <w:tcPr>
            <w:tcW w:w="6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00" w:type="dxa"/>
            <w:vAlign w:val="bottom"/>
            <w:gridSpan w:val="6"/>
          </w:tcPr>
          <w:p>
            <w:pPr>
              <w:jc w:val="center"/>
              <w:ind w:right="460"/>
              <w:spacing w:after="0"/>
              <w:rPr>
                <w:sz w:val="20"/>
                <w:szCs w:val="20"/>
                <w:color w:val="auto"/>
              </w:rPr>
            </w:pPr>
            <w:r>
              <w:rPr>
                <w:rFonts w:ascii="Arial" w:cs="Arial" w:eastAsia="Arial" w:hAnsi="Arial"/>
                <w:sz w:val="18"/>
                <w:szCs w:val="18"/>
                <w:b w:val="1"/>
                <w:bCs w:val="1"/>
                <w:color w:val="auto"/>
                <w:w w:val="88"/>
              </w:rPr>
              <w:t>December 31,</w:t>
            </w:r>
          </w:p>
        </w:tc>
        <w:tc>
          <w:tcPr>
            <w:tcW w:w="240" w:type="dxa"/>
            <w:vAlign w:val="bottom"/>
          </w:tcPr>
          <w:p>
            <w:pPr>
              <w:spacing w:after="0"/>
              <w:rPr>
                <w:sz w:val="20"/>
                <w:szCs w:val="20"/>
                <w:color w:val="auto"/>
              </w:rPr>
            </w:pPr>
          </w:p>
        </w:tc>
        <w:tc>
          <w:tcPr>
            <w:tcW w:w="2320" w:type="dxa"/>
            <w:vAlign w:val="bottom"/>
            <w:gridSpan w:val="6"/>
          </w:tcPr>
          <w:p>
            <w:pPr>
              <w:jc w:val="right"/>
              <w:ind w:right="78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6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2007</w:t>
            </w:r>
          </w:p>
        </w:tc>
        <w:tc>
          <w:tcPr>
            <w:tcW w:w="60" w:type="dxa"/>
            <w:vAlign w:val="bottom"/>
          </w:tcPr>
          <w:p>
            <w:pPr>
              <w:spacing w:after="0"/>
              <w:rPr>
                <w:sz w:val="19"/>
                <w:szCs w:val="19"/>
                <w:color w:val="auto"/>
              </w:rPr>
            </w:pPr>
          </w:p>
        </w:tc>
      </w:tr>
      <w:tr>
        <w:trPr>
          <w:trHeight w:val="418"/>
        </w:trPr>
        <w:tc>
          <w:tcPr>
            <w:tcW w:w="6080" w:type="dxa"/>
            <w:vAlign w:val="bottom"/>
          </w:tcPr>
          <w:p>
            <w:pPr>
              <w:spacing w:after="0"/>
              <w:rPr>
                <w:sz w:val="20"/>
                <w:szCs w:val="20"/>
                <w:color w:val="auto"/>
              </w:rPr>
            </w:pPr>
            <w:r>
              <w:rPr>
                <w:rFonts w:ascii="Arial" w:cs="Arial" w:eastAsia="Arial" w:hAnsi="Arial"/>
                <w:sz w:val="18"/>
                <w:szCs w:val="18"/>
                <w:color w:val="auto"/>
              </w:rPr>
              <w:t>Net income (loss)</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(159,634)</w:t>
            </w:r>
          </w:p>
        </w:tc>
        <w:tc>
          <w:tcPr>
            <w:tcW w:w="3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65,453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210,206</w:t>
            </w:r>
          </w:p>
        </w:tc>
        <w:tc>
          <w:tcPr>
            <w:tcW w:w="44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258,148</w:t>
            </w:r>
          </w:p>
        </w:tc>
      </w:tr>
      <w:tr>
        <w:trPr>
          <w:trHeight w:val="216"/>
        </w:trPr>
        <w:tc>
          <w:tcPr>
            <w:tcW w:w="6080" w:type="dxa"/>
            <w:vAlign w:val="bottom"/>
          </w:tcPr>
          <w:p>
            <w:pPr>
              <w:ind w:left="240"/>
              <w:spacing w:after="0"/>
              <w:rPr>
                <w:sz w:val="20"/>
                <w:szCs w:val="20"/>
                <w:color w:val="auto"/>
              </w:rPr>
            </w:pPr>
            <w:r>
              <w:rPr>
                <w:rFonts w:ascii="Arial" w:cs="Arial" w:eastAsia="Arial" w:hAnsi="Arial"/>
                <w:sz w:val="18"/>
                <w:szCs w:val="18"/>
                <w:color w:val="auto"/>
              </w:rPr>
              <w:t>Pre-opening costs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46,320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2,883</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72,375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7,063</w:t>
            </w:r>
          </w:p>
        </w:tc>
      </w:tr>
      <w:tr>
        <w:trPr>
          <w:trHeight w:val="216"/>
        </w:trPr>
        <w:tc>
          <w:tcPr>
            <w:tcW w:w="6080" w:type="dxa"/>
            <w:vAlign w:val="bottom"/>
          </w:tcPr>
          <w:p>
            <w:pPr>
              <w:ind w:left="240"/>
              <w:spacing w:after="0"/>
              <w:rPr>
                <w:sz w:val="20"/>
                <w:szCs w:val="20"/>
                <w:color w:val="auto"/>
              </w:rPr>
            </w:pPr>
            <w:r>
              <w:rPr>
                <w:rFonts w:ascii="Arial" w:cs="Arial" w:eastAsia="Arial" w:hAnsi="Arial"/>
                <w:sz w:val="18"/>
                <w:szCs w:val="18"/>
                <w:color w:val="auto"/>
              </w:rPr>
              <w:t>(Gain) loss from the extinguishment of debt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(22,347)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(22,347)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157</w:t>
            </w:r>
          </w:p>
        </w:tc>
      </w:tr>
      <w:tr>
        <w:trPr>
          <w:trHeight w:val="216"/>
        </w:trPr>
        <w:tc>
          <w:tcPr>
            <w:tcW w:w="6080" w:type="dxa"/>
            <w:vAlign w:val="bottom"/>
          </w:tcPr>
          <w:p>
            <w:pPr>
              <w:ind w:left="240"/>
              <w:spacing w:after="0"/>
              <w:rPr>
                <w:sz w:val="20"/>
                <w:szCs w:val="20"/>
                <w:color w:val="auto"/>
              </w:rPr>
            </w:pPr>
            <w:r>
              <w:rPr>
                <w:rFonts w:ascii="Arial" w:cs="Arial" w:eastAsia="Arial" w:hAnsi="Arial"/>
                <w:sz w:val="18"/>
                <w:szCs w:val="18"/>
                <w:color w:val="auto"/>
              </w:rPr>
              <w:t>Decrease in swap fair value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36,604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3,653</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31,485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6,001</w:t>
            </w:r>
          </w:p>
        </w:tc>
      </w:tr>
      <w:tr>
        <w:trPr>
          <w:trHeight w:val="216"/>
        </w:trPr>
        <w:tc>
          <w:tcPr>
            <w:tcW w:w="6080" w:type="dxa"/>
            <w:vAlign w:val="bottom"/>
          </w:tcPr>
          <w:p>
            <w:pPr>
              <w:ind w:left="240"/>
              <w:spacing w:after="0"/>
              <w:rPr>
                <w:sz w:val="20"/>
                <w:szCs w:val="20"/>
                <w:color w:val="auto"/>
              </w:rPr>
            </w:pPr>
            <w:r>
              <w:rPr>
                <w:rFonts w:ascii="Arial" w:cs="Arial" w:eastAsia="Arial" w:hAnsi="Arial"/>
                <w:sz w:val="18"/>
                <w:szCs w:val="18"/>
                <w:color w:val="auto"/>
              </w:rPr>
              <w:t>Property charges and other</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1,396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9,471</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32,584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60,857</w:t>
            </w:r>
          </w:p>
        </w:tc>
      </w:tr>
      <w:tr>
        <w:trPr>
          <w:trHeight w:val="230"/>
        </w:trPr>
        <w:tc>
          <w:tcPr>
            <w:tcW w:w="6080" w:type="dxa"/>
            <w:vAlign w:val="bottom"/>
          </w:tcPr>
          <w:p>
            <w:pPr>
              <w:ind w:left="240"/>
              <w:spacing w:after="0"/>
              <w:rPr>
                <w:sz w:val="20"/>
                <w:szCs w:val="20"/>
                <w:color w:val="auto"/>
              </w:rPr>
            </w:pPr>
            <w:r>
              <w:rPr>
                <w:rFonts w:ascii="Arial" w:cs="Arial" w:eastAsia="Arial" w:hAnsi="Arial"/>
                <w:sz w:val="18"/>
                <w:szCs w:val="18"/>
                <w:color w:val="auto"/>
              </w:rPr>
              <w:t>Adjustment for income taxes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(17,746)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1,096</w:t>
            </w:r>
          </w:p>
        </w:tc>
        <w:tc>
          <w:tcPr>
            <w:tcW w:w="24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(32,315)</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(2,868)</w:t>
            </w:r>
          </w:p>
        </w:tc>
      </w:tr>
      <w:tr>
        <w:trPr>
          <w:trHeight w:val="250"/>
        </w:trPr>
        <w:tc>
          <w:tcPr>
            <w:tcW w:w="6080" w:type="dxa"/>
            <w:vAlign w:val="bottom"/>
          </w:tcPr>
          <w:p>
            <w:pPr>
              <w:ind w:left="240"/>
              <w:spacing w:after="0"/>
              <w:rPr>
                <w:sz w:val="20"/>
                <w:szCs w:val="20"/>
                <w:color w:val="auto"/>
              </w:rPr>
            </w:pPr>
            <w:r>
              <w:rPr>
                <w:rFonts w:ascii="Arial" w:cs="Arial" w:eastAsia="Arial" w:hAnsi="Arial"/>
                <w:sz w:val="18"/>
                <w:szCs w:val="18"/>
                <w:color w:val="auto"/>
              </w:rPr>
              <w:t>Foreign tax credit valuation allowance adjustment</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123,029</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(17,626)</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Adjusted net income(2)</w:t>
            </w:r>
          </w:p>
        </w:tc>
        <w:tc>
          <w:tcPr>
            <w:tcW w:w="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82,556</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274,362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329,358</w:t>
            </w:r>
          </w:p>
        </w:tc>
        <w:tc>
          <w:tcPr>
            <w:tcW w:w="60" w:type="dxa"/>
            <w:vAlign w:val="bottom"/>
          </w:tcPr>
          <w:p>
            <w:pPr>
              <w:spacing w:after="0"/>
              <w:rPr>
                <w:sz w:val="18"/>
                <w:szCs w:val="18"/>
                <w:color w:val="auto"/>
              </w:rPr>
            </w:pPr>
          </w:p>
        </w:tc>
      </w:tr>
      <w:tr>
        <w:trPr>
          <w:trHeight w:val="21"/>
        </w:trPr>
        <w:tc>
          <w:tcPr>
            <w:tcW w:w="6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26"/>
        </w:trPr>
        <w:tc>
          <w:tcPr>
            <w:tcW w:w="6080" w:type="dxa"/>
            <w:vAlign w:val="bottom"/>
          </w:tcPr>
          <w:p>
            <w:pPr>
              <w:spacing w:after="0"/>
              <w:rPr>
                <w:sz w:val="20"/>
                <w:szCs w:val="20"/>
                <w:color w:val="auto"/>
              </w:rPr>
            </w:pPr>
            <w:r>
              <w:rPr>
                <w:rFonts w:ascii="Arial" w:cs="Arial" w:eastAsia="Arial" w:hAnsi="Arial"/>
                <w:sz w:val="18"/>
                <w:szCs w:val="18"/>
                <w:color w:val="auto"/>
              </w:rPr>
              <w:t>Adjusted net income per diluted share*</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0.07</w:t>
            </w:r>
          </w:p>
        </w:tc>
        <w:tc>
          <w:tcPr>
            <w:tcW w:w="140" w:type="dxa"/>
            <w:vAlign w:val="bottom"/>
          </w:tcPr>
          <w:p>
            <w:pPr>
              <w:spacing w:after="0"/>
              <w:rPr>
                <w:sz w:val="24"/>
                <w:szCs w:val="24"/>
                <w:color w:val="auto"/>
              </w:rPr>
            </w:pPr>
          </w:p>
        </w:tc>
        <w:tc>
          <w:tcPr>
            <w:tcW w:w="3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0.72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2.51</w:t>
            </w:r>
          </w:p>
        </w:tc>
        <w:tc>
          <w:tcPr>
            <w:tcW w:w="44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2.97</w:t>
            </w:r>
          </w:p>
        </w:tc>
      </w:tr>
      <w:tr>
        <w:trPr>
          <w:trHeight w:val="21"/>
        </w:trPr>
        <w:tc>
          <w:tcPr>
            <w:tcW w:w="60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56" w:lineRule="exact"/>
        <w:rPr>
          <w:sz w:val="20"/>
          <w:szCs w:val="20"/>
          <w:color w:val="auto"/>
        </w:rPr>
      </w:pPr>
    </w:p>
    <w:p>
      <w:pPr>
        <w:ind w:left="40" w:right="60" w:hanging="5"/>
        <w:spacing w:after="0" w:line="279" w:lineRule="auto"/>
        <w:tabs>
          <w:tab w:leader="none" w:pos="175" w:val="left"/>
        </w:tabs>
        <w:numPr>
          <w:ilvl w:val="0"/>
          <w:numId w:val="6"/>
        </w:numPr>
        <w:rPr>
          <w:rFonts w:ascii="Arial" w:cs="Arial" w:eastAsia="Arial" w:hAnsi="Arial"/>
          <w:sz w:val="17"/>
          <w:szCs w:val="17"/>
          <w:color w:val="auto"/>
        </w:rPr>
      </w:pPr>
      <w:r>
        <w:rPr>
          <w:rFonts w:ascii="Arial" w:cs="Arial" w:eastAsia="Arial" w:hAnsi="Arial"/>
          <w:sz w:val="17"/>
          <w:szCs w:val="17"/>
          <w:color w:val="auto"/>
        </w:rPr>
        <w:t>Diluted adjusted net income per share for the the year ended December 31, 2007 includes the assumption that the convertible debentures were converted into shares of common stock. Since the convertible debentures were all converted into shares of stock in July 2007, there is no adjustment to net income for the quarter ended December 31, 2007. Accordingly, adjusted net income used in the computation of diluted adjusted net income per share for the year ended December 31, 2007 is increased by approximately $5.1 million of net interest attributable to these debentures.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3" w:right="279" w:bottom="1440" w:gutter="0" w:footer="0" w:header="0"/>
        </w:sectPr>
      </w:pPr>
    </w:p>
    <w:bookmarkStart w:id="11" w:name="page12"/>
    <w:bookmarkEnd w:id="11"/>
    <w:p>
      <w:pPr>
        <w:jc w:val="center"/>
        <w:spacing w:after="0"/>
        <w:rPr>
          <w:sz w:val="20"/>
          <w:szCs w:val="20"/>
          <w:color w:val="auto"/>
        </w:rPr>
      </w:pPr>
      <w:r>
        <w:rPr>
          <w:rFonts w:ascii="Arial" w:cs="Arial" w:eastAsia="Arial" w:hAnsi="Arial"/>
          <w:sz w:val="22"/>
          <w:szCs w:val="22"/>
          <w:b w:val="1"/>
          <w:bCs w:val="1"/>
          <w:color w:val="auto"/>
        </w:rPr>
        <w:t>WYNN RESORTS, LIMITED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RECONCILIATION OF OPERATING INCOME (LOSS) TO ADJUSTED PROPERTY EBITDA</w:t>
      </w:r>
    </w:p>
    <w:p>
      <w:pPr>
        <w:jc w:val="center"/>
        <w:spacing w:after="0" w:line="234" w:lineRule="auto"/>
        <w:rPr>
          <w:sz w:val="20"/>
          <w:szCs w:val="20"/>
          <w:color w:val="auto"/>
        </w:rPr>
      </w:pPr>
      <w:r>
        <w:rPr>
          <w:rFonts w:ascii="Arial" w:cs="Arial" w:eastAsia="Arial" w:hAnsi="Arial"/>
          <w:sz w:val="18"/>
          <w:szCs w:val="18"/>
          <w:color w:val="auto"/>
        </w:rPr>
        <w:t>AND ADJUSTED PROPERTY EBITDA TO NET INCOME (LOSS)</w:t>
      </w:r>
    </w:p>
    <w:p>
      <w:pPr>
        <w:jc w:val="center"/>
        <w:spacing w:after="0" w:line="235" w:lineRule="auto"/>
        <w:rPr>
          <w:sz w:val="20"/>
          <w:szCs w:val="20"/>
          <w:color w:val="auto"/>
        </w:rPr>
      </w:pPr>
      <w:r>
        <w:rPr>
          <w:rFonts w:ascii="Arial" w:cs="Arial" w:eastAsia="Arial" w:hAnsi="Arial"/>
          <w:sz w:val="18"/>
          <w:szCs w:val="18"/>
          <w:color w:val="auto"/>
        </w:rPr>
        <w:t>(amounts 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0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180" w:type="dxa"/>
            <w:vAlign w:val="bottom"/>
            <w:tcBorders>
              <w:bottom w:val="single" w:sz="8" w:color="auto"/>
            </w:tcBorders>
            <w:gridSpan w:val="11"/>
          </w:tcPr>
          <w:p>
            <w:pPr>
              <w:jc w:val="right"/>
              <w:ind w:right="140"/>
              <w:spacing w:after="0"/>
              <w:rPr>
                <w:sz w:val="20"/>
                <w:szCs w:val="20"/>
                <w:color w:val="auto"/>
              </w:rPr>
            </w:pPr>
            <w:r>
              <w:rPr>
                <w:rFonts w:ascii="Arial" w:cs="Arial" w:eastAsia="Arial" w:hAnsi="Arial"/>
                <w:sz w:val="18"/>
                <w:szCs w:val="18"/>
                <w:b w:val="1"/>
                <w:bCs w:val="1"/>
                <w:color w:val="auto"/>
              </w:rPr>
              <w:t>Three Months Ended December 31, 2008</w:t>
            </w:r>
          </w:p>
        </w:tc>
        <w:tc>
          <w:tcPr>
            <w:tcW w:w="9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340"/>
              <w:spacing w:after="0" w:line="198" w:lineRule="exact"/>
              <w:rPr>
                <w:sz w:val="20"/>
                <w:szCs w:val="20"/>
                <w:color w:val="auto"/>
              </w:rPr>
            </w:pPr>
            <w:r>
              <w:rPr>
                <w:rFonts w:ascii="Arial" w:cs="Arial" w:eastAsia="Arial" w:hAnsi="Arial"/>
                <w:sz w:val="18"/>
                <w:szCs w:val="18"/>
                <w:b w:val="1"/>
                <w:bCs w:val="1"/>
                <w:color w:val="auto"/>
                <w:w w:val="94"/>
              </w:rPr>
              <w:t>Wynn Las</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300"/>
              <w:spacing w:after="0" w:line="198" w:lineRule="exact"/>
              <w:rPr>
                <w:sz w:val="20"/>
                <w:szCs w:val="20"/>
                <w:color w:val="auto"/>
              </w:rPr>
            </w:pPr>
            <w:r>
              <w:rPr>
                <w:rFonts w:ascii="Arial" w:cs="Arial" w:eastAsia="Arial" w:hAnsi="Arial"/>
                <w:sz w:val="18"/>
                <w:szCs w:val="18"/>
                <w:b w:val="1"/>
                <w:bCs w:val="1"/>
                <w:color w:val="auto"/>
                <w:w w:val="95"/>
              </w:rPr>
              <w:t>Corporate</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60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Vegas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6"/>
              </w:rPr>
              <w:t>Wynn Macau</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6"/>
              </w:rPr>
              <w:t>and Other</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80" w:type="dxa"/>
            <w:vAlign w:val="bottom"/>
          </w:tcPr>
          <w:p>
            <w:pPr>
              <w:spacing w:after="0"/>
              <w:rPr>
                <w:sz w:val="20"/>
                <w:szCs w:val="20"/>
                <w:color w:val="auto"/>
              </w:rPr>
            </w:pPr>
            <w:r>
              <w:rPr>
                <w:rFonts w:ascii="Arial" w:cs="Arial" w:eastAsia="Arial" w:hAnsi="Arial"/>
                <w:sz w:val="18"/>
                <w:szCs w:val="18"/>
                <w:b w:val="1"/>
                <w:bCs w:val="1"/>
                <w:color w:val="auto"/>
              </w:rPr>
              <w:t>Operating income (loss)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(69,785)</w:t>
            </w:r>
          </w:p>
        </w:tc>
        <w:tc>
          <w:tcPr>
            <w:tcW w:w="4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55,592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13,933</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418"/>
        </w:trPr>
        <w:tc>
          <w:tcPr>
            <w:tcW w:w="6080" w:type="dxa"/>
            <w:vAlign w:val="bottom"/>
          </w:tcPr>
          <w:p>
            <w:pPr>
              <w:ind w:left="700"/>
              <w:spacing w:after="0"/>
              <w:rPr>
                <w:sz w:val="20"/>
                <w:szCs w:val="20"/>
                <w:color w:val="auto"/>
              </w:rPr>
            </w:pPr>
            <w:r>
              <w:rPr>
                <w:rFonts w:ascii="Arial" w:cs="Arial" w:eastAsia="Arial" w:hAnsi="Arial"/>
                <w:sz w:val="18"/>
                <w:szCs w:val="18"/>
                <w:color w:val="auto"/>
              </w:rPr>
              <w:t>Pre-opening costs</w:t>
            </w: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46,319</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4"/>
                <w:szCs w:val="2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46,320</w:t>
            </w:r>
          </w:p>
        </w:tc>
        <w:tc>
          <w:tcPr>
            <w:tcW w:w="0" w:type="dxa"/>
            <w:vAlign w:val="bottom"/>
          </w:tcPr>
          <w:p>
            <w:pPr>
              <w:spacing w:after="0"/>
              <w:rPr>
                <w:sz w:val="1"/>
                <w:szCs w:val="1"/>
                <w:color w:val="auto"/>
              </w:rPr>
            </w:pPr>
          </w:p>
        </w:tc>
      </w:tr>
      <w:tr>
        <w:trPr>
          <w:trHeight w:val="216"/>
        </w:trPr>
        <w:tc>
          <w:tcPr>
            <w:tcW w:w="6080" w:type="dxa"/>
            <w:vAlign w:val="bottom"/>
          </w:tcPr>
          <w:p>
            <w:pPr>
              <w:ind w:left="70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47,097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23,031</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665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70,793</w:t>
            </w:r>
          </w:p>
        </w:tc>
        <w:tc>
          <w:tcPr>
            <w:tcW w:w="0" w:type="dxa"/>
            <w:vAlign w:val="bottom"/>
          </w:tcPr>
          <w:p>
            <w:pPr>
              <w:spacing w:after="0"/>
              <w:rPr>
                <w:sz w:val="1"/>
                <w:szCs w:val="1"/>
                <w:color w:val="auto"/>
              </w:rPr>
            </w:pPr>
          </w:p>
        </w:tc>
      </w:tr>
      <w:tr>
        <w:trPr>
          <w:trHeight w:val="216"/>
        </w:trPr>
        <w:tc>
          <w:tcPr>
            <w:tcW w:w="6080" w:type="dxa"/>
            <w:vAlign w:val="bottom"/>
          </w:tcPr>
          <w:p>
            <w:pPr>
              <w:ind w:left="700"/>
              <w:spacing w:after="0"/>
              <w:rPr>
                <w:sz w:val="20"/>
                <w:szCs w:val="20"/>
                <w:color w:val="auto"/>
              </w:rPr>
            </w:pPr>
            <w:r>
              <w:rPr>
                <w:rFonts w:ascii="Arial" w:cs="Arial" w:eastAsia="Arial" w:hAnsi="Arial"/>
                <w:sz w:val="18"/>
                <w:szCs w:val="18"/>
                <w:color w:val="auto"/>
              </w:rPr>
              <w:t>Property charges and other</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644</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1,396</w:t>
            </w:r>
          </w:p>
        </w:tc>
        <w:tc>
          <w:tcPr>
            <w:tcW w:w="0" w:type="dxa"/>
            <w:vAlign w:val="bottom"/>
          </w:tcPr>
          <w:p>
            <w:pPr>
              <w:spacing w:after="0"/>
              <w:rPr>
                <w:sz w:val="1"/>
                <w:szCs w:val="1"/>
                <w:color w:val="auto"/>
              </w:rPr>
            </w:pPr>
          </w:p>
        </w:tc>
      </w:tr>
      <w:tr>
        <w:trPr>
          <w:trHeight w:val="216"/>
        </w:trPr>
        <w:tc>
          <w:tcPr>
            <w:tcW w:w="6080" w:type="dxa"/>
            <w:vAlign w:val="bottom"/>
          </w:tcPr>
          <w:p>
            <w:pPr>
              <w:ind w:left="700"/>
              <w:spacing w:after="0"/>
              <w:rPr>
                <w:sz w:val="20"/>
                <w:szCs w:val="20"/>
                <w:color w:val="auto"/>
              </w:rPr>
            </w:pPr>
            <w:r>
              <w:rPr>
                <w:rFonts w:ascii="Arial" w:cs="Arial" w:eastAsia="Arial" w:hAnsi="Arial"/>
                <w:sz w:val="18"/>
                <w:szCs w:val="18"/>
                <w:color w:val="auto"/>
              </w:rPr>
              <w:t>Corporate expense, management</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820"/>
              <w:spacing w:after="0"/>
              <w:rPr>
                <w:sz w:val="20"/>
                <w:szCs w:val="20"/>
                <w:color w:val="auto"/>
              </w:rPr>
            </w:pPr>
            <w:r>
              <w:rPr>
                <w:rFonts w:ascii="Arial" w:cs="Arial" w:eastAsia="Arial" w:hAnsi="Arial"/>
                <w:sz w:val="18"/>
                <w:szCs w:val="18"/>
                <w:color w:val="auto"/>
              </w:rPr>
              <w:t>fees, royalties and other</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5,745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14,121</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(16,905)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2,961</w:t>
            </w:r>
          </w:p>
        </w:tc>
        <w:tc>
          <w:tcPr>
            <w:tcW w:w="0" w:type="dxa"/>
            <w:vAlign w:val="bottom"/>
          </w:tcPr>
          <w:p>
            <w:pPr>
              <w:spacing w:after="0"/>
              <w:rPr>
                <w:sz w:val="1"/>
                <w:szCs w:val="1"/>
                <w:color w:val="auto"/>
              </w:rPr>
            </w:pPr>
          </w:p>
        </w:tc>
      </w:tr>
      <w:tr>
        <w:trPr>
          <w:trHeight w:val="230"/>
        </w:trPr>
        <w:tc>
          <w:tcPr>
            <w:tcW w:w="6080" w:type="dxa"/>
            <w:vAlign w:val="bottom"/>
          </w:tcPr>
          <w:p>
            <w:pPr>
              <w:ind w:left="700"/>
              <w:spacing w:after="0"/>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2,488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1,598</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2,251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6,337</w:t>
            </w:r>
          </w:p>
        </w:tc>
        <w:tc>
          <w:tcPr>
            <w:tcW w:w="0" w:type="dxa"/>
            <w:vAlign w:val="bottom"/>
          </w:tcPr>
          <w:p>
            <w:pPr>
              <w:spacing w:after="0"/>
              <w:rPr>
                <w:sz w:val="1"/>
                <w:szCs w:val="1"/>
                <w:color w:val="auto"/>
              </w:rPr>
            </w:pPr>
          </w:p>
        </w:tc>
      </w:tr>
      <w:tr>
        <w:trPr>
          <w:trHeight w:val="27"/>
        </w:trPr>
        <w:tc>
          <w:tcPr>
            <w:tcW w:w="6080" w:type="dxa"/>
            <w:vAlign w:val="bottom"/>
            <w:vMerge w:val="restart"/>
          </w:tcPr>
          <w:p>
            <w:pPr>
              <w:spacing w:after="0"/>
              <w:rPr>
                <w:sz w:val="20"/>
                <w:szCs w:val="20"/>
                <w:color w:val="auto"/>
              </w:rPr>
            </w:pPr>
            <w:r>
              <w:rPr>
                <w:rFonts w:ascii="Arial" w:cs="Arial" w:eastAsia="Arial" w:hAnsi="Arial"/>
                <w:sz w:val="18"/>
                <w:szCs w:val="18"/>
                <w:b w:val="1"/>
                <w:bCs w:val="1"/>
                <w:color w:val="auto"/>
              </w:rPr>
              <w:t xml:space="preserve">Adjusted property EBITDA </w:t>
            </w:r>
            <w:r>
              <w:rPr>
                <w:rFonts w:ascii="Arial" w:cs="Arial" w:eastAsia="Arial" w:hAnsi="Arial"/>
                <w:sz w:val="25"/>
                <w:szCs w:val="25"/>
                <w:b w:val="1"/>
                <w:bCs w:val="1"/>
                <w:color w:val="auto"/>
                <w:vertAlign w:val="superscript"/>
              </w:rPr>
              <w:t>(1)</w:t>
            </w: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46"/>
        </w:trPr>
        <w:tc>
          <w:tcPr>
            <w:tcW w:w="6080" w:type="dxa"/>
            <w:vAlign w:val="bottom"/>
            <w:vMerge w:val="continue"/>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32,560</w:t>
            </w:r>
          </w:p>
        </w:tc>
        <w:tc>
          <w:tcPr>
            <w:tcW w:w="140" w:type="dxa"/>
            <w:vAlign w:val="bottom"/>
          </w:tcPr>
          <w:p>
            <w:pPr>
              <w:spacing w:after="0"/>
              <w:rPr>
                <w:sz w:val="24"/>
                <w:szCs w:val="24"/>
                <w:color w:val="auto"/>
              </w:rPr>
            </w:pPr>
          </w:p>
        </w:tc>
        <w:tc>
          <w:tcPr>
            <w:tcW w:w="4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94,987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127,547</w:t>
            </w:r>
          </w:p>
        </w:tc>
        <w:tc>
          <w:tcPr>
            <w:tcW w:w="0" w:type="dxa"/>
            <w:vAlign w:val="bottom"/>
          </w:tcPr>
          <w:p>
            <w:pPr>
              <w:spacing w:after="0"/>
              <w:rPr>
                <w:sz w:val="1"/>
                <w:szCs w:val="1"/>
                <w:color w:val="auto"/>
              </w:rPr>
            </w:pPr>
          </w:p>
        </w:tc>
      </w:tr>
      <w:tr>
        <w:trPr>
          <w:trHeight w:val="21"/>
        </w:trPr>
        <w:tc>
          <w:tcPr>
            <w:tcW w:w="6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0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180" w:type="dxa"/>
            <w:vAlign w:val="bottom"/>
            <w:tcBorders>
              <w:bottom w:val="single" w:sz="8" w:color="auto"/>
            </w:tcBorders>
            <w:gridSpan w:val="10"/>
          </w:tcPr>
          <w:p>
            <w:pPr>
              <w:jc w:val="right"/>
              <w:ind w:right="140"/>
              <w:spacing w:after="0"/>
              <w:rPr>
                <w:sz w:val="20"/>
                <w:szCs w:val="20"/>
                <w:color w:val="auto"/>
              </w:rPr>
            </w:pPr>
            <w:r>
              <w:rPr>
                <w:rFonts w:ascii="Arial" w:cs="Arial" w:eastAsia="Arial" w:hAnsi="Arial"/>
                <w:sz w:val="18"/>
                <w:szCs w:val="18"/>
                <w:b w:val="1"/>
                <w:bCs w:val="1"/>
                <w:color w:val="auto"/>
              </w:rPr>
              <w:t>Three Months Ended December 31, 2007</w:t>
            </w: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110"/>
              <w:spacing w:after="0" w:line="198" w:lineRule="exact"/>
              <w:rPr>
                <w:sz w:val="20"/>
                <w:szCs w:val="20"/>
                <w:color w:val="auto"/>
              </w:rPr>
            </w:pPr>
            <w:r>
              <w:rPr>
                <w:rFonts w:ascii="Arial" w:cs="Arial" w:eastAsia="Arial" w:hAnsi="Arial"/>
                <w:sz w:val="18"/>
                <w:szCs w:val="18"/>
                <w:b w:val="1"/>
                <w:bCs w:val="1"/>
                <w:color w:val="auto"/>
                <w:w w:val="94"/>
              </w:rPr>
              <w:t>Wynn Las</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300"/>
              <w:spacing w:after="0" w:line="198" w:lineRule="exact"/>
              <w:rPr>
                <w:sz w:val="20"/>
                <w:szCs w:val="20"/>
                <w:color w:val="auto"/>
              </w:rPr>
            </w:pPr>
            <w:r>
              <w:rPr>
                <w:rFonts w:ascii="Arial" w:cs="Arial" w:eastAsia="Arial" w:hAnsi="Arial"/>
                <w:sz w:val="18"/>
                <w:szCs w:val="18"/>
                <w:b w:val="1"/>
                <w:bCs w:val="1"/>
                <w:color w:val="auto"/>
                <w:w w:val="95"/>
              </w:rPr>
              <w:t>Corporate</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60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Vegas</w:t>
            </w:r>
          </w:p>
        </w:tc>
        <w:tc>
          <w:tcPr>
            <w:tcW w:w="240" w:type="dxa"/>
            <w:vAlign w:val="bottom"/>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6"/>
              </w:rPr>
              <w:t>Wynn Macau</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6"/>
              </w:rPr>
              <w:t>and Other</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432"/>
        </w:trPr>
        <w:tc>
          <w:tcPr>
            <w:tcW w:w="608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42,384</w:t>
            </w:r>
          </w:p>
        </w:tc>
        <w:tc>
          <w:tcPr>
            <w:tcW w:w="6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50,565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15,826</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108,775</w:t>
            </w:r>
          </w:p>
        </w:tc>
        <w:tc>
          <w:tcPr>
            <w:tcW w:w="0" w:type="dxa"/>
            <w:vAlign w:val="bottom"/>
          </w:tcPr>
          <w:p>
            <w:pPr>
              <w:spacing w:after="0"/>
              <w:rPr>
                <w:sz w:val="1"/>
                <w:szCs w:val="1"/>
                <w:color w:val="auto"/>
              </w:rPr>
            </w:pPr>
          </w:p>
        </w:tc>
      </w:tr>
      <w:tr>
        <w:trPr>
          <w:trHeight w:val="418"/>
        </w:trPr>
        <w:tc>
          <w:tcPr>
            <w:tcW w:w="6080" w:type="dxa"/>
            <w:vAlign w:val="bottom"/>
          </w:tcPr>
          <w:p>
            <w:pPr>
              <w:ind w:left="700"/>
              <w:spacing w:after="0"/>
              <w:rPr>
                <w:sz w:val="20"/>
                <w:szCs w:val="20"/>
                <w:color w:val="auto"/>
              </w:rPr>
            </w:pPr>
            <w:r>
              <w:rPr>
                <w:rFonts w:ascii="Arial" w:cs="Arial" w:eastAsia="Arial" w:hAnsi="Arial"/>
                <w:sz w:val="18"/>
                <w:szCs w:val="18"/>
                <w:color w:val="auto"/>
              </w:rPr>
              <w:t>Pre-opening costs</w:t>
            </w: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2,683</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208</w:t>
            </w:r>
          </w:p>
        </w:tc>
        <w:tc>
          <w:tcPr>
            <w:tcW w:w="140" w:type="dxa"/>
            <w:vAlign w:val="bottom"/>
          </w:tcPr>
          <w:p>
            <w:pPr>
              <w:spacing w:after="0"/>
              <w:rPr>
                <w:sz w:val="24"/>
                <w:szCs w:val="24"/>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2,883</w:t>
            </w:r>
          </w:p>
        </w:tc>
        <w:tc>
          <w:tcPr>
            <w:tcW w:w="0" w:type="dxa"/>
            <w:vAlign w:val="bottom"/>
          </w:tcPr>
          <w:p>
            <w:pPr>
              <w:spacing w:after="0"/>
              <w:rPr>
                <w:sz w:val="1"/>
                <w:szCs w:val="1"/>
                <w:color w:val="auto"/>
              </w:rPr>
            </w:pPr>
          </w:p>
        </w:tc>
      </w:tr>
      <w:tr>
        <w:trPr>
          <w:trHeight w:val="216"/>
        </w:trPr>
        <w:tc>
          <w:tcPr>
            <w:tcW w:w="6080" w:type="dxa"/>
            <w:vAlign w:val="bottom"/>
          </w:tcPr>
          <w:p>
            <w:pPr>
              <w:ind w:left="70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40,371</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19,231</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894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60,496</w:t>
            </w:r>
          </w:p>
        </w:tc>
        <w:tc>
          <w:tcPr>
            <w:tcW w:w="0" w:type="dxa"/>
            <w:vAlign w:val="bottom"/>
          </w:tcPr>
          <w:p>
            <w:pPr>
              <w:spacing w:after="0"/>
              <w:rPr>
                <w:sz w:val="1"/>
                <w:szCs w:val="1"/>
                <w:color w:val="auto"/>
              </w:rPr>
            </w:pPr>
          </w:p>
        </w:tc>
      </w:tr>
      <w:tr>
        <w:trPr>
          <w:trHeight w:val="216"/>
        </w:trPr>
        <w:tc>
          <w:tcPr>
            <w:tcW w:w="6080" w:type="dxa"/>
            <w:vAlign w:val="bottom"/>
          </w:tcPr>
          <w:p>
            <w:pPr>
              <w:ind w:left="700"/>
              <w:spacing w:after="0"/>
              <w:rPr>
                <w:sz w:val="20"/>
                <w:szCs w:val="20"/>
                <w:color w:val="auto"/>
              </w:rPr>
            </w:pPr>
            <w:r>
              <w:rPr>
                <w:rFonts w:ascii="Arial" w:cs="Arial" w:eastAsia="Arial" w:hAnsi="Arial"/>
                <w:sz w:val="18"/>
                <w:szCs w:val="18"/>
                <w:color w:val="auto"/>
              </w:rPr>
              <w:t>Property charges and other</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1,901</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16,873</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(9,303)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9,471</w:t>
            </w:r>
          </w:p>
        </w:tc>
        <w:tc>
          <w:tcPr>
            <w:tcW w:w="0" w:type="dxa"/>
            <w:vAlign w:val="bottom"/>
          </w:tcPr>
          <w:p>
            <w:pPr>
              <w:spacing w:after="0"/>
              <w:rPr>
                <w:sz w:val="1"/>
                <w:szCs w:val="1"/>
                <w:color w:val="auto"/>
              </w:rPr>
            </w:pPr>
          </w:p>
        </w:tc>
      </w:tr>
      <w:tr>
        <w:trPr>
          <w:trHeight w:val="216"/>
        </w:trPr>
        <w:tc>
          <w:tcPr>
            <w:tcW w:w="6080" w:type="dxa"/>
            <w:vAlign w:val="bottom"/>
          </w:tcPr>
          <w:p>
            <w:pPr>
              <w:ind w:left="700"/>
              <w:spacing w:after="0"/>
              <w:rPr>
                <w:sz w:val="20"/>
                <w:szCs w:val="20"/>
                <w:color w:val="auto"/>
              </w:rPr>
            </w:pPr>
            <w:r>
              <w:rPr>
                <w:rFonts w:ascii="Arial" w:cs="Arial" w:eastAsia="Arial" w:hAnsi="Arial"/>
                <w:sz w:val="18"/>
                <w:szCs w:val="18"/>
                <w:color w:val="auto"/>
              </w:rPr>
              <w:t>Corporate expense, management</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820"/>
              <w:spacing w:after="0"/>
              <w:rPr>
                <w:sz w:val="20"/>
                <w:szCs w:val="20"/>
                <w:color w:val="auto"/>
              </w:rPr>
            </w:pPr>
            <w:r>
              <w:rPr>
                <w:rFonts w:ascii="Arial" w:cs="Arial" w:eastAsia="Arial" w:hAnsi="Arial"/>
                <w:sz w:val="18"/>
                <w:szCs w:val="18"/>
                <w:color w:val="auto"/>
              </w:rPr>
              <w:t>fees, royalties and other</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8,429</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12,299</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(9,415)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11,313</w:t>
            </w:r>
          </w:p>
        </w:tc>
        <w:tc>
          <w:tcPr>
            <w:tcW w:w="0" w:type="dxa"/>
            <w:vAlign w:val="bottom"/>
          </w:tcPr>
          <w:p>
            <w:pPr>
              <w:spacing w:after="0"/>
              <w:rPr>
                <w:sz w:val="1"/>
                <w:szCs w:val="1"/>
                <w:color w:val="auto"/>
              </w:rPr>
            </w:pPr>
          </w:p>
        </w:tc>
      </w:tr>
      <w:tr>
        <w:trPr>
          <w:trHeight w:val="230"/>
        </w:trPr>
        <w:tc>
          <w:tcPr>
            <w:tcW w:w="6080" w:type="dxa"/>
            <w:vAlign w:val="bottom"/>
          </w:tcPr>
          <w:p>
            <w:pPr>
              <w:ind w:left="700"/>
              <w:spacing w:after="0"/>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1,551</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436</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2,006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3,993</w:t>
            </w:r>
          </w:p>
        </w:tc>
        <w:tc>
          <w:tcPr>
            <w:tcW w:w="0" w:type="dxa"/>
            <w:vAlign w:val="bottom"/>
          </w:tcPr>
          <w:p>
            <w:pPr>
              <w:spacing w:after="0"/>
              <w:rPr>
                <w:sz w:val="1"/>
                <w:szCs w:val="1"/>
                <w:color w:val="auto"/>
              </w:rPr>
            </w:pPr>
          </w:p>
        </w:tc>
      </w:tr>
      <w:tr>
        <w:trPr>
          <w:trHeight w:val="27"/>
        </w:trPr>
        <w:tc>
          <w:tcPr>
            <w:tcW w:w="6080" w:type="dxa"/>
            <w:vAlign w:val="bottom"/>
            <w:vMerge w:val="restart"/>
          </w:tcPr>
          <w:p>
            <w:pPr>
              <w:spacing w:after="0"/>
              <w:rPr>
                <w:sz w:val="20"/>
                <w:szCs w:val="20"/>
                <w:color w:val="auto"/>
              </w:rPr>
            </w:pPr>
            <w:r>
              <w:rPr>
                <w:rFonts w:ascii="Arial" w:cs="Arial" w:eastAsia="Arial" w:hAnsi="Arial"/>
                <w:sz w:val="18"/>
                <w:szCs w:val="18"/>
                <w:b w:val="1"/>
                <w:bCs w:val="1"/>
                <w:color w:val="auto"/>
              </w:rPr>
              <w:t xml:space="preserve">Adjusted property EBITDA </w:t>
            </w:r>
            <w:r>
              <w:rPr>
                <w:rFonts w:ascii="Arial" w:cs="Arial" w:eastAsia="Arial" w:hAnsi="Arial"/>
                <w:sz w:val="25"/>
                <w:szCs w:val="25"/>
                <w:b w:val="1"/>
                <w:bCs w:val="1"/>
                <w:color w:val="auto"/>
                <w:vertAlign w:val="superscript"/>
              </w:rPr>
              <w:t>(1)</w:t>
            </w: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46"/>
        </w:trPr>
        <w:tc>
          <w:tcPr>
            <w:tcW w:w="6080" w:type="dxa"/>
            <w:vAlign w:val="bottom"/>
            <w:vMerge w:val="continue"/>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97,319</w:t>
            </w:r>
          </w:p>
        </w:tc>
        <w:tc>
          <w:tcPr>
            <w:tcW w:w="6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99,612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196,931</w:t>
            </w:r>
          </w:p>
        </w:tc>
        <w:tc>
          <w:tcPr>
            <w:tcW w:w="0" w:type="dxa"/>
            <w:vAlign w:val="bottom"/>
          </w:tcPr>
          <w:p>
            <w:pPr>
              <w:spacing w:after="0"/>
              <w:rPr>
                <w:sz w:val="1"/>
                <w:szCs w:val="1"/>
                <w:color w:val="auto"/>
              </w:rPr>
            </w:pPr>
          </w:p>
        </w:tc>
      </w:tr>
      <w:tr>
        <w:trPr>
          <w:trHeight w:val="21"/>
        </w:trPr>
        <w:tc>
          <w:tcPr>
            <w:tcW w:w="6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jc w:val="right"/>
              <w:ind w:right="54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41"/>
        </w:trPr>
        <w:tc>
          <w:tcPr>
            <w:tcW w:w="43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6"/>
          </w:tcPr>
          <w:p>
            <w:pPr>
              <w:jc w:val="right"/>
              <w:ind w:right="8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43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4"/>
        </w:trPr>
        <w:tc>
          <w:tcPr>
            <w:tcW w:w="4320" w:type="dxa"/>
            <w:vAlign w:val="bottom"/>
          </w:tcPr>
          <w:p>
            <w:pPr>
              <w:spacing w:after="0"/>
              <w:rPr>
                <w:sz w:val="20"/>
                <w:szCs w:val="20"/>
                <w:color w:val="auto"/>
              </w:rPr>
            </w:pPr>
            <w:r>
              <w:rPr>
                <w:rFonts w:ascii="Arial" w:cs="Arial" w:eastAsia="Arial" w:hAnsi="Arial"/>
                <w:sz w:val="18"/>
                <w:szCs w:val="18"/>
                <w:b w:val="1"/>
                <w:bCs w:val="1"/>
                <w:color w:val="auto"/>
              </w:rPr>
              <w:t xml:space="preserve">Adjusted property EBITDA </w:t>
            </w:r>
            <w:r>
              <w:rPr>
                <w:rFonts w:ascii="Arial" w:cs="Arial" w:eastAsia="Arial" w:hAnsi="Arial"/>
                <w:sz w:val="25"/>
                <w:szCs w:val="25"/>
                <w:b w:val="1"/>
                <w:bCs w:val="1"/>
                <w:color w:val="auto"/>
                <w:vertAlign w:val="superscript"/>
              </w:rPr>
              <w:t>(1)</w:t>
            </w:r>
          </w:p>
        </w:tc>
        <w:tc>
          <w:tcPr>
            <w:tcW w:w="450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127,547</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196,931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4320" w:type="dxa"/>
            <w:vAlign w:val="bottom"/>
          </w:tcPr>
          <w:p>
            <w:pPr>
              <w:ind w:left="700"/>
              <w:spacing w:after="0"/>
              <w:rPr>
                <w:sz w:val="20"/>
                <w:szCs w:val="20"/>
                <w:color w:val="auto"/>
              </w:rPr>
            </w:pPr>
            <w:r>
              <w:rPr>
                <w:rFonts w:ascii="Arial" w:cs="Arial" w:eastAsia="Arial" w:hAnsi="Arial"/>
                <w:sz w:val="18"/>
                <w:szCs w:val="18"/>
                <w:color w:val="auto"/>
              </w:rPr>
              <w:t>Pre-opening costs</w:t>
            </w:r>
          </w:p>
        </w:tc>
        <w:tc>
          <w:tcPr>
            <w:tcW w:w="4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(46,320)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(2,883)</w:t>
            </w:r>
          </w:p>
        </w:tc>
        <w:tc>
          <w:tcPr>
            <w:tcW w:w="0" w:type="dxa"/>
            <w:vAlign w:val="bottom"/>
          </w:tcPr>
          <w:p>
            <w:pPr>
              <w:spacing w:after="0"/>
              <w:rPr>
                <w:sz w:val="1"/>
                <w:szCs w:val="1"/>
                <w:color w:val="auto"/>
              </w:rPr>
            </w:pPr>
          </w:p>
        </w:tc>
      </w:tr>
      <w:tr>
        <w:trPr>
          <w:trHeight w:val="216"/>
        </w:trPr>
        <w:tc>
          <w:tcPr>
            <w:tcW w:w="4320" w:type="dxa"/>
            <w:vAlign w:val="bottom"/>
          </w:tcPr>
          <w:p>
            <w:pPr>
              <w:ind w:left="700"/>
              <w:spacing w:after="0"/>
              <w:rPr>
                <w:sz w:val="20"/>
                <w:szCs w:val="20"/>
                <w:color w:val="auto"/>
              </w:rPr>
            </w:pPr>
            <w:r>
              <w:rPr>
                <w:rFonts w:ascii="Arial" w:cs="Arial" w:eastAsia="Arial" w:hAnsi="Arial"/>
                <w:sz w:val="18"/>
                <w:szCs w:val="18"/>
                <w:color w:val="auto"/>
              </w:rPr>
              <w:t>Depreciation and amortization</w:t>
            </w:r>
          </w:p>
        </w:tc>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(70,793)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(60,496)</w:t>
            </w:r>
          </w:p>
        </w:tc>
        <w:tc>
          <w:tcPr>
            <w:tcW w:w="0" w:type="dxa"/>
            <w:vAlign w:val="bottom"/>
          </w:tcPr>
          <w:p>
            <w:pPr>
              <w:spacing w:after="0"/>
              <w:rPr>
                <w:sz w:val="1"/>
                <w:szCs w:val="1"/>
                <w:color w:val="auto"/>
              </w:rPr>
            </w:pPr>
          </w:p>
        </w:tc>
      </w:tr>
      <w:tr>
        <w:trPr>
          <w:trHeight w:val="216"/>
        </w:trPr>
        <w:tc>
          <w:tcPr>
            <w:tcW w:w="4320" w:type="dxa"/>
            <w:vAlign w:val="bottom"/>
          </w:tcPr>
          <w:p>
            <w:pPr>
              <w:ind w:left="700"/>
              <w:spacing w:after="0"/>
              <w:rPr>
                <w:sz w:val="20"/>
                <w:szCs w:val="20"/>
                <w:color w:val="auto"/>
              </w:rPr>
            </w:pPr>
            <w:r>
              <w:rPr>
                <w:rFonts w:ascii="Arial" w:cs="Arial" w:eastAsia="Arial" w:hAnsi="Arial"/>
                <w:sz w:val="18"/>
                <w:szCs w:val="18"/>
                <w:color w:val="auto"/>
              </w:rPr>
              <w:t>Property charges and other</w:t>
            </w:r>
          </w:p>
        </w:tc>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(1,396)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(9,471)</w:t>
            </w:r>
          </w:p>
        </w:tc>
        <w:tc>
          <w:tcPr>
            <w:tcW w:w="0" w:type="dxa"/>
            <w:vAlign w:val="bottom"/>
          </w:tcPr>
          <w:p>
            <w:pPr>
              <w:spacing w:after="0"/>
              <w:rPr>
                <w:sz w:val="1"/>
                <w:szCs w:val="1"/>
                <w:color w:val="auto"/>
              </w:rPr>
            </w:pPr>
          </w:p>
        </w:tc>
      </w:tr>
      <w:tr>
        <w:trPr>
          <w:trHeight w:val="216"/>
        </w:trPr>
        <w:tc>
          <w:tcPr>
            <w:tcW w:w="4320" w:type="dxa"/>
            <w:vAlign w:val="bottom"/>
          </w:tcPr>
          <w:p>
            <w:pPr>
              <w:ind w:left="700"/>
              <w:spacing w:after="0"/>
              <w:rPr>
                <w:sz w:val="20"/>
                <w:szCs w:val="20"/>
                <w:color w:val="auto"/>
              </w:rPr>
            </w:pPr>
            <w:r>
              <w:rPr>
                <w:rFonts w:ascii="Arial" w:cs="Arial" w:eastAsia="Arial" w:hAnsi="Arial"/>
                <w:sz w:val="18"/>
                <w:szCs w:val="18"/>
                <w:color w:val="auto"/>
              </w:rPr>
              <w:t>Corporate expenses and other</w:t>
            </w:r>
          </w:p>
        </w:tc>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(2,961)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(11,313)</w:t>
            </w:r>
          </w:p>
        </w:tc>
        <w:tc>
          <w:tcPr>
            <w:tcW w:w="0" w:type="dxa"/>
            <w:vAlign w:val="bottom"/>
          </w:tcPr>
          <w:p>
            <w:pPr>
              <w:spacing w:after="0"/>
              <w:rPr>
                <w:sz w:val="1"/>
                <w:szCs w:val="1"/>
                <w:color w:val="auto"/>
              </w:rPr>
            </w:pPr>
          </w:p>
        </w:tc>
      </w:tr>
      <w:tr>
        <w:trPr>
          <w:trHeight w:val="216"/>
        </w:trPr>
        <w:tc>
          <w:tcPr>
            <w:tcW w:w="4320" w:type="dxa"/>
            <w:vAlign w:val="bottom"/>
          </w:tcPr>
          <w:p>
            <w:pPr>
              <w:ind w:left="700"/>
              <w:spacing w:after="0"/>
              <w:rPr>
                <w:sz w:val="20"/>
                <w:szCs w:val="20"/>
                <w:color w:val="auto"/>
              </w:rPr>
            </w:pPr>
            <w:r>
              <w:rPr>
                <w:rFonts w:ascii="Arial" w:cs="Arial" w:eastAsia="Arial" w:hAnsi="Arial"/>
                <w:sz w:val="18"/>
                <w:szCs w:val="18"/>
                <w:color w:val="auto"/>
              </w:rPr>
              <w:t>Stock-based compensation</w:t>
            </w:r>
          </w:p>
        </w:tc>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(6,337)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(3,993)</w:t>
            </w:r>
          </w:p>
        </w:tc>
        <w:tc>
          <w:tcPr>
            <w:tcW w:w="0" w:type="dxa"/>
            <w:vAlign w:val="bottom"/>
          </w:tcPr>
          <w:p>
            <w:pPr>
              <w:spacing w:after="0"/>
              <w:rPr>
                <w:sz w:val="1"/>
                <w:szCs w:val="1"/>
                <w:color w:val="auto"/>
              </w:rPr>
            </w:pPr>
          </w:p>
        </w:tc>
      </w:tr>
      <w:tr>
        <w:trPr>
          <w:trHeight w:val="216"/>
        </w:trPr>
        <w:tc>
          <w:tcPr>
            <w:tcW w:w="4320" w:type="dxa"/>
            <w:vAlign w:val="bottom"/>
          </w:tcPr>
          <w:p>
            <w:pPr>
              <w:ind w:left="700"/>
              <w:spacing w:after="0"/>
              <w:rPr>
                <w:sz w:val="20"/>
                <w:szCs w:val="20"/>
                <w:color w:val="auto"/>
              </w:rPr>
            </w:pPr>
            <w:r>
              <w:rPr>
                <w:rFonts w:ascii="Arial" w:cs="Arial" w:eastAsia="Arial" w:hAnsi="Arial"/>
                <w:sz w:val="18"/>
                <w:szCs w:val="18"/>
                <w:color w:val="auto"/>
              </w:rPr>
              <w:t>Interest income</w:t>
            </w:r>
          </w:p>
        </w:tc>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1,402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16,220</w:t>
            </w:r>
          </w:p>
        </w:tc>
        <w:tc>
          <w:tcPr>
            <w:tcW w:w="0" w:type="dxa"/>
            <w:vAlign w:val="bottom"/>
          </w:tcPr>
          <w:p>
            <w:pPr>
              <w:spacing w:after="0"/>
              <w:rPr>
                <w:sz w:val="1"/>
                <w:szCs w:val="1"/>
                <w:color w:val="auto"/>
              </w:rPr>
            </w:pPr>
          </w:p>
        </w:tc>
      </w:tr>
      <w:tr>
        <w:trPr>
          <w:trHeight w:val="216"/>
        </w:trPr>
        <w:tc>
          <w:tcPr>
            <w:tcW w:w="4320" w:type="dxa"/>
            <w:vAlign w:val="bottom"/>
          </w:tcPr>
          <w:p>
            <w:pPr>
              <w:ind w:left="700"/>
              <w:spacing w:after="0"/>
              <w:rPr>
                <w:sz w:val="20"/>
                <w:szCs w:val="20"/>
                <w:color w:val="auto"/>
              </w:rPr>
            </w:pPr>
            <w:r>
              <w:rPr>
                <w:rFonts w:ascii="Arial" w:cs="Arial" w:eastAsia="Arial" w:hAnsi="Arial"/>
                <w:sz w:val="18"/>
                <w:szCs w:val="18"/>
                <w:color w:val="auto"/>
              </w:rPr>
              <w:t>Interest expense</w:t>
            </w:r>
          </w:p>
        </w:tc>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(46,180)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(35,901)</w:t>
            </w:r>
          </w:p>
        </w:tc>
        <w:tc>
          <w:tcPr>
            <w:tcW w:w="0" w:type="dxa"/>
            <w:vAlign w:val="bottom"/>
          </w:tcPr>
          <w:p>
            <w:pPr>
              <w:spacing w:after="0"/>
              <w:rPr>
                <w:sz w:val="1"/>
                <w:szCs w:val="1"/>
                <w:color w:val="auto"/>
              </w:rPr>
            </w:pPr>
          </w:p>
        </w:tc>
      </w:tr>
      <w:tr>
        <w:trPr>
          <w:trHeight w:val="216"/>
        </w:trPr>
        <w:tc>
          <w:tcPr>
            <w:tcW w:w="4320" w:type="dxa"/>
            <w:vAlign w:val="bottom"/>
          </w:tcPr>
          <w:p>
            <w:pPr>
              <w:ind w:left="700"/>
              <w:spacing w:after="0"/>
              <w:rPr>
                <w:sz w:val="20"/>
                <w:szCs w:val="20"/>
                <w:color w:val="auto"/>
              </w:rPr>
            </w:pPr>
            <w:r>
              <w:rPr>
                <w:rFonts w:ascii="Arial" w:cs="Arial" w:eastAsia="Arial" w:hAnsi="Arial"/>
                <w:sz w:val="18"/>
                <w:szCs w:val="18"/>
                <w:color w:val="auto"/>
              </w:rPr>
              <w:t>Decrease in swap fair value</w:t>
            </w:r>
          </w:p>
        </w:tc>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(36,604)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(3,653)</w:t>
            </w:r>
          </w:p>
        </w:tc>
        <w:tc>
          <w:tcPr>
            <w:tcW w:w="0" w:type="dxa"/>
            <w:vAlign w:val="bottom"/>
          </w:tcPr>
          <w:p>
            <w:pPr>
              <w:spacing w:after="0"/>
              <w:rPr>
                <w:sz w:val="1"/>
                <w:szCs w:val="1"/>
                <w:color w:val="auto"/>
              </w:rPr>
            </w:pPr>
          </w:p>
        </w:tc>
      </w:tr>
      <w:tr>
        <w:trPr>
          <w:trHeight w:val="216"/>
        </w:trPr>
        <w:tc>
          <w:tcPr>
            <w:tcW w:w="4320" w:type="dxa"/>
            <w:vAlign w:val="bottom"/>
          </w:tcPr>
          <w:p>
            <w:pPr>
              <w:ind w:left="700"/>
              <w:spacing w:after="0"/>
              <w:rPr>
                <w:sz w:val="20"/>
                <w:szCs w:val="20"/>
                <w:color w:val="auto"/>
              </w:rPr>
            </w:pPr>
            <w:r>
              <w:rPr>
                <w:rFonts w:ascii="Arial" w:cs="Arial" w:eastAsia="Arial" w:hAnsi="Arial"/>
                <w:sz w:val="18"/>
                <w:szCs w:val="18"/>
                <w:color w:val="auto"/>
              </w:rPr>
              <w:t>Gain on extinguishment of debt</w:t>
            </w:r>
          </w:p>
        </w:tc>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22,347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tcPr>
          <w:p>
            <w:pPr>
              <w:ind w:left="700"/>
              <w:spacing w:after="0"/>
              <w:rPr>
                <w:sz w:val="20"/>
                <w:szCs w:val="20"/>
                <w:color w:val="auto"/>
              </w:rPr>
            </w:pPr>
            <w:r>
              <w:rPr>
                <w:rFonts w:ascii="Arial" w:cs="Arial" w:eastAsia="Arial" w:hAnsi="Arial"/>
                <w:sz w:val="18"/>
                <w:szCs w:val="18"/>
                <w:color w:val="auto"/>
              </w:rPr>
              <w:t>Other</w:t>
            </w:r>
          </w:p>
        </w:tc>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(1,563)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2,260</w:t>
            </w:r>
          </w:p>
        </w:tc>
        <w:tc>
          <w:tcPr>
            <w:tcW w:w="0" w:type="dxa"/>
            <w:vAlign w:val="bottom"/>
          </w:tcPr>
          <w:p>
            <w:pPr>
              <w:spacing w:after="0"/>
              <w:rPr>
                <w:sz w:val="1"/>
                <w:szCs w:val="1"/>
                <w:color w:val="auto"/>
              </w:rPr>
            </w:pPr>
          </w:p>
        </w:tc>
      </w:tr>
      <w:tr>
        <w:trPr>
          <w:trHeight w:val="230"/>
        </w:trPr>
        <w:tc>
          <w:tcPr>
            <w:tcW w:w="4320" w:type="dxa"/>
            <w:vAlign w:val="bottom"/>
          </w:tcPr>
          <w:p>
            <w:pPr>
              <w:ind w:left="700"/>
              <w:spacing w:after="0"/>
              <w:rPr>
                <w:sz w:val="20"/>
                <w:szCs w:val="20"/>
                <w:color w:val="auto"/>
              </w:rPr>
            </w:pPr>
            <w:r>
              <w:rPr>
                <w:rFonts w:ascii="Arial" w:cs="Arial" w:eastAsia="Arial" w:hAnsi="Arial"/>
                <w:sz w:val="18"/>
                <w:szCs w:val="18"/>
                <w:color w:val="auto"/>
              </w:rPr>
              <w:t>Provision for income taxes</w:t>
            </w:r>
          </w:p>
        </w:tc>
        <w:tc>
          <w:tcPr>
            <w:tcW w:w="4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(98,776)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(22,248)</w:t>
            </w:r>
          </w:p>
        </w:tc>
        <w:tc>
          <w:tcPr>
            <w:tcW w:w="0" w:type="dxa"/>
            <w:vAlign w:val="bottom"/>
          </w:tcPr>
          <w:p>
            <w:pPr>
              <w:spacing w:after="0"/>
              <w:rPr>
                <w:sz w:val="1"/>
                <w:szCs w:val="1"/>
                <w:color w:val="auto"/>
              </w:rPr>
            </w:pPr>
          </w:p>
        </w:tc>
      </w:tr>
      <w:tr>
        <w:trPr>
          <w:trHeight w:val="27"/>
        </w:trPr>
        <w:tc>
          <w:tcPr>
            <w:tcW w:w="4320" w:type="dxa"/>
            <w:vAlign w:val="bottom"/>
            <w:vMerge w:val="restart"/>
          </w:tcPr>
          <w:p>
            <w:pPr>
              <w:spacing w:after="0"/>
              <w:rPr>
                <w:sz w:val="20"/>
                <w:szCs w:val="20"/>
                <w:color w:val="auto"/>
              </w:rPr>
            </w:pPr>
            <w:r>
              <w:rPr>
                <w:rFonts w:ascii="Arial" w:cs="Arial" w:eastAsia="Arial" w:hAnsi="Arial"/>
                <w:sz w:val="18"/>
                <w:szCs w:val="18"/>
                <w:b w:val="1"/>
                <w:bCs w:val="1"/>
                <w:color w:val="auto"/>
              </w:rPr>
              <w:t>Net income (loss)</w:t>
            </w:r>
          </w:p>
        </w:tc>
        <w:tc>
          <w:tcPr>
            <w:tcW w:w="45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4320" w:type="dxa"/>
            <w:vAlign w:val="bottom"/>
            <w:vMerge w:val="continue"/>
          </w:tcPr>
          <w:p>
            <w:pPr>
              <w:spacing w:after="0"/>
              <w:rPr>
                <w:sz w:val="24"/>
                <w:szCs w:val="24"/>
                <w:color w:val="auto"/>
              </w:rPr>
            </w:pPr>
          </w:p>
        </w:tc>
        <w:tc>
          <w:tcPr>
            <w:tcW w:w="450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(159,634)</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65,453</w:t>
            </w:r>
          </w:p>
        </w:tc>
        <w:tc>
          <w:tcPr>
            <w:tcW w:w="0" w:type="dxa"/>
            <w:vAlign w:val="bottom"/>
          </w:tcPr>
          <w:p>
            <w:pPr>
              <w:spacing w:after="0"/>
              <w:rPr>
                <w:sz w:val="1"/>
                <w:szCs w:val="1"/>
                <w:color w:val="auto"/>
              </w:rPr>
            </w:pPr>
          </w:p>
        </w:tc>
      </w:tr>
      <w:tr>
        <w:trPr>
          <w:trHeight w:val="21"/>
        </w:trPr>
        <w:tc>
          <w:tcPr>
            <w:tcW w:w="4320" w:type="dxa"/>
            <w:vAlign w:val="bottom"/>
          </w:tcPr>
          <w:p>
            <w:pPr>
              <w:spacing w:after="0" w:line="20" w:lineRule="exact"/>
              <w:rPr>
                <w:sz w:val="1"/>
                <w:szCs w:val="1"/>
                <w:color w:val="auto"/>
              </w:rPr>
            </w:pPr>
          </w:p>
        </w:tc>
        <w:tc>
          <w:tcPr>
            <w:tcW w:w="4500" w:type="dxa"/>
            <w:vAlign w:val="bottom"/>
            <w:vMerge w:val="restart"/>
          </w:tcPr>
          <w:p>
            <w:pPr>
              <w:jc w:val="right"/>
              <w:ind w:right="2970"/>
              <w:spacing w:after="0"/>
              <w:rPr>
                <w:sz w:val="20"/>
                <w:szCs w:val="20"/>
                <w:color w:val="auto"/>
              </w:rPr>
            </w:pPr>
            <w:r>
              <w:rPr>
                <w:rFonts w:ascii="Arial" w:cs="Arial" w:eastAsia="Arial" w:hAnsi="Arial"/>
                <w:sz w:val="18"/>
                <w:szCs w:val="18"/>
                <w:color w:val="auto"/>
              </w:rPr>
              <w:t>8</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96"/>
        </w:trPr>
        <w:tc>
          <w:tcPr>
            <w:tcW w:w="4320" w:type="dxa"/>
            <w:vAlign w:val="bottom"/>
          </w:tcPr>
          <w:p>
            <w:pPr>
              <w:spacing w:after="0"/>
              <w:rPr>
                <w:sz w:val="24"/>
                <w:szCs w:val="24"/>
                <w:color w:val="auto"/>
              </w:rPr>
            </w:pPr>
          </w:p>
        </w:tc>
        <w:tc>
          <w:tcPr>
            <w:tcW w:w="45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4320" w:type="dxa"/>
            <w:vAlign w:val="bottom"/>
            <w:tcBorders>
              <w:bottom w:val="single" w:sz="8" w:color="808080"/>
            </w:tcBorders>
          </w:tcPr>
          <w:p>
            <w:pPr>
              <w:spacing w:after="0"/>
              <w:rPr>
                <w:sz w:val="10"/>
                <w:szCs w:val="10"/>
                <w:color w:val="auto"/>
              </w:rPr>
            </w:pPr>
          </w:p>
        </w:tc>
        <w:tc>
          <w:tcPr>
            <w:tcW w:w="45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93"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22"/>
          <w:szCs w:val="22"/>
          <w:b w:val="1"/>
          <w:bCs w:val="1"/>
          <w:color w:val="auto"/>
        </w:rPr>
        <w:t>WYNN RESORTS, LIMITED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RECONCILIATION OF OPERATING INCOME (LOSS) TO ADJUSTED PROPERTY EBITDA</w:t>
      </w:r>
    </w:p>
    <w:p>
      <w:pPr>
        <w:jc w:val="center"/>
        <w:spacing w:after="0" w:line="234" w:lineRule="auto"/>
        <w:rPr>
          <w:sz w:val="20"/>
          <w:szCs w:val="20"/>
          <w:color w:val="auto"/>
        </w:rPr>
      </w:pPr>
      <w:r>
        <w:rPr>
          <w:rFonts w:ascii="Arial" w:cs="Arial" w:eastAsia="Arial" w:hAnsi="Arial"/>
          <w:sz w:val="18"/>
          <w:szCs w:val="18"/>
          <w:color w:val="auto"/>
        </w:rPr>
        <w:t>AND ADJUSTED PROPERTY EBITDA TO NET INCOME</w:t>
      </w:r>
    </w:p>
    <w:p>
      <w:pPr>
        <w:jc w:val="center"/>
        <w:spacing w:after="0" w:line="235" w:lineRule="auto"/>
        <w:rPr>
          <w:sz w:val="20"/>
          <w:szCs w:val="20"/>
          <w:color w:val="auto"/>
        </w:rPr>
      </w:pPr>
      <w:r>
        <w:rPr>
          <w:rFonts w:ascii="Arial" w:cs="Arial" w:eastAsia="Arial" w:hAnsi="Arial"/>
          <w:sz w:val="18"/>
          <w:szCs w:val="18"/>
          <w:color w:val="auto"/>
        </w:rPr>
        <w:t>(amounts 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0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6"/>
          </w:tcPr>
          <w:p>
            <w:pPr>
              <w:spacing w:after="0"/>
              <w:rPr>
                <w:sz w:val="20"/>
                <w:szCs w:val="20"/>
                <w:color w:val="auto"/>
              </w:rPr>
            </w:pPr>
            <w:r>
              <w:rPr>
                <w:rFonts w:ascii="Arial" w:cs="Arial" w:eastAsia="Arial" w:hAnsi="Arial"/>
                <w:sz w:val="18"/>
                <w:szCs w:val="18"/>
                <w:b w:val="1"/>
                <w:bCs w:val="1"/>
                <w:color w:val="auto"/>
                <w:w w:val="97"/>
              </w:rPr>
              <w:t>Year Ended December 31, 2008</w:t>
            </w: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340"/>
              <w:spacing w:after="0" w:line="198" w:lineRule="exact"/>
              <w:rPr>
                <w:sz w:val="20"/>
                <w:szCs w:val="20"/>
                <w:color w:val="auto"/>
              </w:rPr>
            </w:pPr>
            <w:r>
              <w:rPr>
                <w:rFonts w:ascii="Arial" w:cs="Arial" w:eastAsia="Arial" w:hAnsi="Arial"/>
                <w:sz w:val="18"/>
                <w:szCs w:val="18"/>
                <w:b w:val="1"/>
                <w:bCs w:val="1"/>
                <w:color w:val="auto"/>
                <w:w w:val="94"/>
              </w:rPr>
              <w:t>Wynn Las</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300"/>
              <w:spacing w:after="0" w:line="198" w:lineRule="exact"/>
              <w:rPr>
                <w:sz w:val="20"/>
                <w:szCs w:val="20"/>
                <w:color w:val="auto"/>
              </w:rPr>
            </w:pPr>
            <w:r>
              <w:rPr>
                <w:rFonts w:ascii="Arial" w:cs="Arial" w:eastAsia="Arial" w:hAnsi="Arial"/>
                <w:sz w:val="18"/>
                <w:szCs w:val="18"/>
                <w:b w:val="1"/>
                <w:bCs w:val="1"/>
                <w:color w:val="auto"/>
                <w:w w:val="95"/>
              </w:rPr>
              <w:t>Corporate</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60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Vegas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6"/>
              </w:rPr>
              <w:t>Wynn Macau</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6"/>
              </w:rPr>
              <w:t>and Other</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432"/>
        </w:trPr>
        <w:tc>
          <w:tcPr>
            <w:tcW w:w="6080" w:type="dxa"/>
            <w:vAlign w:val="bottom"/>
          </w:tcPr>
          <w:p>
            <w:pPr>
              <w:spacing w:after="0"/>
              <w:rPr>
                <w:sz w:val="20"/>
                <w:szCs w:val="20"/>
                <w:color w:val="auto"/>
              </w:rPr>
            </w:pPr>
            <w:r>
              <w:rPr>
                <w:rFonts w:ascii="Arial" w:cs="Arial" w:eastAsia="Arial" w:hAnsi="Arial"/>
                <w:sz w:val="18"/>
                <w:szCs w:val="18"/>
                <w:b w:val="1"/>
                <w:bCs w:val="1"/>
                <w:color w:val="auto"/>
              </w:rPr>
              <w:t>Operating income (loss)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(58,350)</w:t>
            </w:r>
          </w:p>
        </w:tc>
        <w:tc>
          <w:tcPr>
            <w:tcW w:w="4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298,463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73,741</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313,854</w:t>
            </w:r>
          </w:p>
        </w:tc>
        <w:tc>
          <w:tcPr>
            <w:tcW w:w="0" w:type="dxa"/>
            <w:vAlign w:val="bottom"/>
          </w:tcPr>
          <w:p>
            <w:pPr>
              <w:spacing w:after="0"/>
              <w:rPr>
                <w:sz w:val="1"/>
                <w:szCs w:val="1"/>
                <w:color w:val="auto"/>
              </w:rPr>
            </w:pPr>
          </w:p>
        </w:tc>
      </w:tr>
      <w:tr>
        <w:trPr>
          <w:trHeight w:val="418"/>
        </w:trPr>
        <w:tc>
          <w:tcPr>
            <w:tcW w:w="6080" w:type="dxa"/>
            <w:vAlign w:val="bottom"/>
          </w:tcPr>
          <w:p>
            <w:pPr>
              <w:ind w:left="700"/>
              <w:spacing w:after="0"/>
              <w:rPr>
                <w:sz w:val="20"/>
                <w:szCs w:val="20"/>
                <w:color w:val="auto"/>
              </w:rPr>
            </w:pPr>
            <w:r>
              <w:rPr>
                <w:rFonts w:ascii="Arial" w:cs="Arial" w:eastAsia="Arial" w:hAnsi="Arial"/>
                <w:sz w:val="18"/>
                <w:szCs w:val="18"/>
                <w:color w:val="auto"/>
              </w:rPr>
              <w:t>Pre-opening costs</w:t>
            </w:r>
          </w:p>
        </w:tc>
        <w:tc>
          <w:tcPr>
            <w:tcW w:w="140" w:type="dxa"/>
            <w:vAlign w:val="bottom"/>
          </w:tcPr>
          <w:p>
            <w:pPr>
              <w:spacing w:after="0"/>
              <w:rPr>
                <w:sz w:val="24"/>
                <w:szCs w:val="24"/>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72,373</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4"/>
                <w:szCs w:val="2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72,375</w:t>
            </w:r>
          </w:p>
        </w:tc>
        <w:tc>
          <w:tcPr>
            <w:tcW w:w="0" w:type="dxa"/>
            <w:vAlign w:val="bottom"/>
          </w:tcPr>
          <w:p>
            <w:pPr>
              <w:spacing w:after="0"/>
              <w:rPr>
                <w:sz w:val="1"/>
                <w:szCs w:val="1"/>
                <w:color w:val="auto"/>
              </w:rPr>
            </w:pPr>
          </w:p>
        </w:tc>
      </w:tr>
      <w:tr>
        <w:trPr>
          <w:trHeight w:val="216"/>
        </w:trPr>
        <w:tc>
          <w:tcPr>
            <w:tcW w:w="6080" w:type="dxa"/>
            <w:vAlign w:val="bottom"/>
          </w:tcPr>
          <w:p>
            <w:pPr>
              <w:ind w:left="70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169,640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90,592</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2,616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262,848</w:t>
            </w:r>
          </w:p>
        </w:tc>
        <w:tc>
          <w:tcPr>
            <w:tcW w:w="0" w:type="dxa"/>
            <w:vAlign w:val="bottom"/>
          </w:tcPr>
          <w:p>
            <w:pPr>
              <w:spacing w:after="0"/>
              <w:rPr>
                <w:sz w:val="1"/>
                <w:szCs w:val="1"/>
                <w:color w:val="auto"/>
              </w:rPr>
            </w:pPr>
          </w:p>
        </w:tc>
      </w:tr>
      <w:tr>
        <w:trPr>
          <w:trHeight w:val="216"/>
        </w:trPr>
        <w:tc>
          <w:tcPr>
            <w:tcW w:w="6080" w:type="dxa"/>
            <w:vAlign w:val="bottom"/>
          </w:tcPr>
          <w:p>
            <w:pPr>
              <w:ind w:left="700"/>
              <w:spacing w:after="0"/>
              <w:rPr>
                <w:sz w:val="20"/>
                <w:szCs w:val="20"/>
                <w:color w:val="auto"/>
              </w:rPr>
            </w:pPr>
            <w:r>
              <w:rPr>
                <w:rFonts w:ascii="Arial" w:cs="Arial" w:eastAsia="Arial" w:hAnsi="Arial"/>
                <w:sz w:val="18"/>
                <w:szCs w:val="18"/>
                <w:color w:val="auto"/>
              </w:rPr>
              <w:t>Property charges and other</w:t>
            </w: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22,406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10,015</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163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32,584</w:t>
            </w:r>
          </w:p>
        </w:tc>
        <w:tc>
          <w:tcPr>
            <w:tcW w:w="0" w:type="dxa"/>
            <w:vAlign w:val="bottom"/>
          </w:tcPr>
          <w:p>
            <w:pPr>
              <w:spacing w:after="0"/>
              <w:rPr>
                <w:sz w:val="1"/>
                <w:szCs w:val="1"/>
                <w:color w:val="auto"/>
              </w:rPr>
            </w:pPr>
          </w:p>
        </w:tc>
      </w:tr>
      <w:tr>
        <w:trPr>
          <w:trHeight w:val="216"/>
        </w:trPr>
        <w:tc>
          <w:tcPr>
            <w:tcW w:w="6080" w:type="dxa"/>
            <w:vAlign w:val="bottom"/>
          </w:tcPr>
          <w:p>
            <w:pPr>
              <w:ind w:left="700"/>
              <w:spacing w:after="0"/>
              <w:rPr>
                <w:sz w:val="20"/>
                <w:szCs w:val="20"/>
                <w:color w:val="auto"/>
              </w:rPr>
            </w:pPr>
            <w:r>
              <w:rPr>
                <w:rFonts w:ascii="Arial" w:cs="Arial" w:eastAsia="Arial" w:hAnsi="Arial"/>
                <w:sz w:val="18"/>
                <w:szCs w:val="18"/>
                <w:color w:val="auto"/>
              </w:rPr>
              <w:t>Corporate expense, management</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820"/>
              <w:spacing w:after="0"/>
              <w:rPr>
                <w:sz w:val="20"/>
                <w:szCs w:val="20"/>
                <w:color w:val="auto"/>
              </w:rPr>
            </w:pPr>
            <w:r>
              <w:rPr>
                <w:rFonts w:ascii="Arial" w:cs="Arial" w:eastAsia="Arial" w:hAnsi="Arial"/>
                <w:sz w:val="18"/>
                <w:szCs w:val="18"/>
                <w:color w:val="auto"/>
              </w:rPr>
              <w:t>fees, royalties and other</w:t>
            </w: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37,304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82,647</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(83,208)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36,743</w:t>
            </w:r>
          </w:p>
        </w:tc>
        <w:tc>
          <w:tcPr>
            <w:tcW w:w="0" w:type="dxa"/>
            <w:vAlign w:val="bottom"/>
          </w:tcPr>
          <w:p>
            <w:pPr>
              <w:spacing w:after="0"/>
              <w:rPr>
                <w:sz w:val="1"/>
                <w:szCs w:val="1"/>
                <w:color w:val="auto"/>
              </w:rPr>
            </w:pPr>
          </w:p>
        </w:tc>
      </w:tr>
      <w:tr>
        <w:trPr>
          <w:trHeight w:val="230"/>
        </w:trPr>
        <w:tc>
          <w:tcPr>
            <w:tcW w:w="6080" w:type="dxa"/>
            <w:vAlign w:val="bottom"/>
          </w:tcPr>
          <w:p>
            <w:pPr>
              <w:ind w:left="700"/>
              <w:spacing w:after="0"/>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9,502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4,138</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6,688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20,328</w:t>
            </w:r>
          </w:p>
        </w:tc>
        <w:tc>
          <w:tcPr>
            <w:tcW w:w="0" w:type="dxa"/>
            <w:vAlign w:val="bottom"/>
          </w:tcPr>
          <w:p>
            <w:pPr>
              <w:spacing w:after="0"/>
              <w:rPr>
                <w:sz w:val="1"/>
                <w:szCs w:val="1"/>
                <w:color w:val="auto"/>
              </w:rPr>
            </w:pPr>
          </w:p>
        </w:tc>
      </w:tr>
      <w:tr>
        <w:trPr>
          <w:trHeight w:val="27"/>
        </w:trPr>
        <w:tc>
          <w:tcPr>
            <w:tcW w:w="6080" w:type="dxa"/>
            <w:vAlign w:val="bottom"/>
            <w:vMerge w:val="restart"/>
          </w:tcPr>
          <w:p>
            <w:pPr>
              <w:spacing w:after="0"/>
              <w:rPr>
                <w:sz w:val="20"/>
                <w:szCs w:val="20"/>
                <w:color w:val="auto"/>
              </w:rPr>
            </w:pPr>
            <w:r>
              <w:rPr>
                <w:rFonts w:ascii="Arial" w:cs="Arial" w:eastAsia="Arial" w:hAnsi="Arial"/>
                <w:sz w:val="18"/>
                <w:szCs w:val="18"/>
                <w:b w:val="1"/>
                <w:bCs w:val="1"/>
                <w:color w:val="auto"/>
              </w:rPr>
              <w:t xml:space="preserve">Adjusted property EBITDA </w:t>
            </w:r>
            <w:r>
              <w:rPr>
                <w:rFonts w:ascii="Arial" w:cs="Arial" w:eastAsia="Arial" w:hAnsi="Arial"/>
                <w:sz w:val="25"/>
                <w:szCs w:val="25"/>
                <w:b w:val="1"/>
                <w:bCs w:val="1"/>
                <w:color w:val="auto"/>
                <w:vertAlign w:val="superscript"/>
              </w:rPr>
              <w:t>(1)</w:t>
            </w: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46"/>
        </w:trPr>
        <w:tc>
          <w:tcPr>
            <w:tcW w:w="6080" w:type="dxa"/>
            <w:vAlign w:val="bottom"/>
            <w:vMerge w:val="continue"/>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252,875</w:t>
            </w:r>
          </w:p>
        </w:tc>
        <w:tc>
          <w:tcPr>
            <w:tcW w:w="140" w:type="dxa"/>
            <w:vAlign w:val="bottom"/>
          </w:tcPr>
          <w:p>
            <w:pPr>
              <w:spacing w:after="0"/>
              <w:rPr>
                <w:sz w:val="24"/>
                <w:szCs w:val="24"/>
                <w:color w:val="auto"/>
              </w:rPr>
            </w:pPr>
          </w:p>
        </w:tc>
        <w:tc>
          <w:tcPr>
            <w:tcW w:w="4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485,857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738,732</w:t>
            </w:r>
          </w:p>
        </w:tc>
        <w:tc>
          <w:tcPr>
            <w:tcW w:w="0" w:type="dxa"/>
            <w:vAlign w:val="bottom"/>
          </w:tcPr>
          <w:p>
            <w:pPr>
              <w:spacing w:after="0"/>
              <w:rPr>
                <w:sz w:val="1"/>
                <w:szCs w:val="1"/>
                <w:color w:val="auto"/>
              </w:rPr>
            </w:pPr>
          </w:p>
        </w:tc>
      </w:tr>
      <w:tr>
        <w:trPr>
          <w:trHeight w:val="21"/>
        </w:trPr>
        <w:tc>
          <w:tcPr>
            <w:tcW w:w="6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0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6"/>
          </w:tcPr>
          <w:p>
            <w:pPr>
              <w:spacing w:after="0"/>
              <w:rPr>
                <w:sz w:val="20"/>
                <w:szCs w:val="20"/>
                <w:color w:val="auto"/>
              </w:rPr>
            </w:pPr>
            <w:r>
              <w:rPr>
                <w:rFonts w:ascii="Arial" w:cs="Arial" w:eastAsia="Arial" w:hAnsi="Arial"/>
                <w:sz w:val="18"/>
                <w:szCs w:val="18"/>
                <w:b w:val="1"/>
                <w:bCs w:val="1"/>
                <w:color w:val="auto"/>
                <w:w w:val="97"/>
              </w:rPr>
              <w:t>Year Ended December 31, 2007</w:t>
            </w: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ind w:left="40"/>
              <w:spacing w:after="0" w:line="198" w:lineRule="exact"/>
              <w:rPr>
                <w:sz w:val="20"/>
                <w:szCs w:val="20"/>
                <w:color w:val="auto"/>
              </w:rPr>
            </w:pPr>
            <w:r>
              <w:rPr>
                <w:rFonts w:ascii="Arial" w:cs="Arial" w:eastAsia="Arial" w:hAnsi="Arial"/>
                <w:sz w:val="18"/>
                <w:szCs w:val="18"/>
                <w:b w:val="1"/>
                <w:bCs w:val="1"/>
                <w:color w:val="auto"/>
              </w:rPr>
              <w:t>Wynn Las</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300"/>
              <w:spacing w:after="0" w:line="198" w:lineRule="exact"/>
              <w:rPr>
                <w:sz w:val="20"/>
                <w:szCs w:val="20"/>
                <w:color w:val="auto"/>
              </w:rPr>
            </w:pPr>
            <w:r>
              <w:rPr>
                <w:rFonts w:ascii="Arial" w:cs="Arial" w:eastAsia="Arial" w:hAnsi="Arial"/>
                <w:sz w:val="18"/>
                <w:szCs w:val="18"/>
                <w:b w:val="1"/>
                <w:bCs w:val="1"/>
                <w:color w:val="auto"/>
                <w:w w:val="95"/>
              </w:rPr>
              <w:t>Corporate</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60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Vegas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6"/>
              </w:rPr>
              <w:t>Wynn Macau</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6"/>
              </w:rPr>
              <w:t>and Other</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432"/>
        </w:trPr>
        <w:tc>
          <w:tcPr>
            <w:tcW w:w="608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200,621</w:t>
            </w:r>
          </w:p>
        </w:tc>
        <w:tc>
          <w:tcPr>
            <w:tcW w:w="120" w:type="dxa"/>
            <w:vAlign w:val="bottom"/>
          </w:tcPr>
          <w:p>
            <w:pPr>
              <w:spacing w:after="0"/>
              <w:rPr>
                <w:sz w:val="24"/>
                <w:szCs w:val="24"/>
                <w:color w:val="auto"/>
              </w:rPr>
            </w:pPr>
          </w:p>
        </w:tc>
        <w:tc>
          <w:tcPr>
            <w:tcW w:w="4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184,072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44,710</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429,403</w:t>
            </w:r>
          </w:p>
        </w:tc>
        <w:tc>
          <w:tcPr>
            <w:tcW w:w="0" w:type="dxa"/>
            <w:vAlign w:val="bottom"/>
          </w:tcPr>
          <w:p>
            <w:pPr>
              <w:spacing w:after="0"/>
              <w:rPr>
                <w:sz w:val="1"/>
                <w:szCs w:val="1"/>
                <w:color w:val="auto"/>
              </w:rPr>
            </w:pPr>
          </w:p>
        </w:tc>
      </w:tr>
      <w:tr>
        <w:trPr>
          <w:trHeight w:val="418"/>
        </w:trPr>
        <w:tc>
          <w:tcPr>
            <w:tcW w:w="6080" w:type="dxa"/>
            <w:vAlign w:val="bottom"/>
          </w:tcPr>
          <w:p>
            <w:pPr>
              <w:ind w:left="700"/>
              <w:spacing w:after="0"/>
              <w:rPr>
                <w:sz w:val="20"/>
                <w:szCs w:val="20"/>
                <w:color w:val="auto"/>
              </w:rPr>
            </w:pPr>
            <w:r>
              <w:rPr>
                <w:rFonts w:ascii="Arial" w:cs="Arial" w:eastAsia="Arial" w:hAnsi="Arial"/>
                <w:sz w:val="18"/>
                <w:szCs w:val="18"/>
                <w:color w:val="auto"/>
              </w:rPr>
              <w:t>Pre-opening costs</w:t>
            </w: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6,457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590</w:t>
            </w:r>
          </w:p>
        </w:tc>
        <w:tc>
          <w:tcPr>
            <w:tcW w:w="140" w:type="dxa"/>
            <w:vAlign w:val="bottom"/>
          </w:tcPr>
          <w:p>
            <w:pPr>
              <w:spacing w:after="0"/>
              <w:rPr>
                <w:sz w:val="24"/>
                <w:szCs w:val="2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7,063</w:t>
            </w:r>
          </w:p>
        </w:tc>
        <w:tc>
          <w:tcPr>
            <w:tcW w:w="0" w:type="dxa"/>
            <w:vAlign w:val="bottom"/>
          </w:tcPr>
          <w:p>
            <w:pPr>
              <w:spacing w:after="0"/>
              <w:rPr>
                <w:sz w:val="1"/>
                <w:szCs w:val="1"/>
                <w:color w:val="auto"/>
              </w:rPr>
            </w:pPr>
          </w:p>
        </w:tc>
      </w:tr>
      <w:tr>
        <w:trPr>
          <w:trHeight w:val="216"/>
        </w:trPr>
        <w:tc>
          <w:tcPr>
            <w:tcW w:w="6080" w:type="dxa"/>
            <w:vAlign w:val="bottom"/>
          </w:tcPr>
          <w:p>
            <w:pPr>
              <w:ind w:left="70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152,839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63,469</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3,615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219,923</w:t>
            </w:r>
          </w:p>
        </w:tc>
        <w:tc>
          <w:tcPr>
            <w:tcW w:w="0" w:type="dxa"/>
            <w:vAlign w:val="bottom"/>
          </w:tcPr>
          <w:p>
            <w:pPr>
              <w:spacing w:after="0"/>
              <w:rPr>
                <w:sz w:val="1"/>
                <w:szCs w:val="1"/>
                <w:color w:val="auto"/>
              </w:rPr>
            </w:pPr>
          </w:p>
        </w:tc>
      </w:tr>
      <w:tr>
        <w:trPr>
          <w:trHeight w:val="216"/>
        </w:trPr>
        <w:tc>
          <w:tcPr>
            <w:tcW w:w="6080" w:type="dxa"/>
            <w:vAlign w:val="bottom"/>
          </w:tcPr>
          <w:p>
            <w:pPr>
              <w:ind w:left="700"/>
              <w:spacing w:after="0"/>
              <w:rPr>
                <w:sz w:val="20"/>
                <w:szCs w:val="20"/>
                <w:color w:val="auto"/>
              </w:rPr>
            </w:pPr>
            <w:r>
              <w:rPr>
                <w:rFonts w:ascii="Arial" w:cs="Arial" w:eastAsia="Arial" w:hAnsi="Arial"/>
                <w:sz w:val="18"/>
                <w:szCs w:val="18"/>
                <w:color w:val="auto"/>
              </w:rPr>
              <w:t>Property charges and other</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6,005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63,654</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(8,802)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60,857</w:t>
            </w:r>
          </w:p>
        </w:tc>
        <w:tc>
          <w:tcPr>
            <w:tcW w:w="0" w:type="dxa"/>
            <w:vAlign w:val="bottom"/>
          </w:tcPr>
          <w:p>
            <w:pPr>
              <w:spacing w:after="0"/>
              <w:rPr>
                <w:sz w:val="1"/>
                <w:szCs w:val="1"/>
                <w:color w:val="auto"/>
              </w:rPr>
            </w:pPr>
          </w:p>
        </w:tc>
      </w:tr>
      <w:tr>
        <w:trPr>
          <w:trHeight w:val="216"/>
        </w:trPr>
        <w:tc>
          <w:tcPr>
            <w:tcW w:w="6080" w:type="dxa"/>
            <w:vAlign w:val="bottom"/>
          </w:tcPr>
          <w:p>
            <w:pPr>
              <w:ind w:left="700"/>
              <w:spacing w:after="0"/>
              <w:rPr>
                <w:sz w:val="20"/>
                <w:szCs w:val="20"/>
                <w:color w:val="auto"/>
              </w:rPr>
            </w:pPr>
            <w:r>
              <w:rPr>
                <w:rFonts w:ascii="Arial" w:cs="Arial" w:eastAsia="Arial" w:hAnsi="Arial"/>
                <w:sz w:val="18"/>
                <w:szCs w:val="18"/>
                <w:color w:val="auto"/>
              </w:rPr>
              <w:t>Corporate expense, management</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820"/>
              <w:spacing w:after="0"/>
              <w:rPr>
                <w:sz w:val="20"/>
                <w:szCs w:val="20"/>
                <w:color w:val="auto"/>
              </w:rPr>
            </w:pPr>
            <w:r>
              <w:rPr>
                <w:rFonts w:ascii="Arial" w:cs="Arial" w:eastAsia="Arial" w:hAnsi="Arial"/>
                <w:sz w:val="18"/>
                <w:szCs w:val="18"/>
                <w:color w:val="auto"/>
              </w:rPr>
              <w:t>fees, royalties and other</w:t>
            </w: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43,075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49,228</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(46,935)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45,368</w:t>
            </w:r>
          </w:p>
        </w:tc>
        <w:tc>
          <w:tcPr>
            <w:tcW w:w="0" w:type="dxa"/>
            <w:vAlign w:val="bottom"/>
          </w:tcPr>
          <w:p>
            <w:pPr>
              <w:spacing w:after="0"/>
              <w:rPr>
                <w:sz w:val="1"/>
                <w:szCs w:val="1"/>
                <w:color w:val="auto"/>
              </w:rPr>
            </w:pPr>
          </w:p>
        </w:tc>
      </w:tr>
      <w:tr>
        <w:trPr>
          <w:trHeight w:val="230"/>
        </w:trPr>
        <w:tc>
          <w:tcPr>
            <w:tcW w:w="6080" w:type="dxa"/>
            <w:vAlign w:val="bottom"/>
          </w:tcPr>
          <w:p>
            <w:pPr>
              <w:ind w:left="700"/>
              <w:spacing w:after="0"/>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8,031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3,100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7,396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18,527</w:t>
            </w:r>
          </w:p>
        </w:tc>
        <w:tc>
          <w:tcPr>
            <w:tcW w:w="0" w:type="dxa"/>
            <w:vAlign w:val="bottom"/>
          </w:tcPr>
          <w:p>
            <w:pPr>
              <w:spacing w:after="0"/>
              <w:rPr>
                <w:sz w:val="1"/>
                <w:szCs w:val="1"/>
                <w:color w:val="auto"/>
              </w:rPr>
            </w:pPr>
          </w:p>
        </w:tc>
      </w:tr>
      <w:tr>
        <w:trPr>
          <w:trHeight w:val="27"/>
        </w:trPr>
        <w:tc>
          <w:tcPr>
            <w:tcW w:w="6080" w:type="dxa"/>
            <w:vAlign w:val="bottom"/>
            <w:vMerge w:val="restart"/>
          </w:tcPr>
          <w:p>
            <w:pPr>
              <w:spacing w:after="0"/>
              <w:rPr>
                <w:sz w:val="20"/>
                <w:szCs w:val="20"/>
                <w:color w:val="auto"/>
              </w:rPr>
            </w:pPr>
            <w:r>
              <w:rPr>
                <w:rFonts w:ascii="Arial" w:cs="Arial" w:eastAsia="Arial" w:hAnsi="Arial"/>
                <w:sz w:val="18"/>
                <w:szCs w:val="18"/>
                <w:b w:val="1"/>
                <w:bCs w:val="1"/>
                <w:color w:val="auto"/>
              </w:rPr>
              <w:t xml:space="preserve">Adjusted property EBITDA </w:t>
            </w:r>
            <w:r>
              <w:rPr>
                <w:rFonts w:ascii="Arial" w:cs="Arial" w:eastAsia="Arial" w:hAnsi="Arial"/>
                <w:sz w:val="25"/>
                <w:szCs w:val="25"/>
                <w:b w:val="1"/>
                <w:bCs w:val="1"/>
                <w:color w:val="auto"/>
                <w:vertAlign w:val="superscript"/>
              </w:rPr>
              <w:t>(1)</w:t>
            </w: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46"/>
        </w:trPr>
        <w:tc>
          <w:tcPr>
            <w:tcW w:w="6080" w:type="dxa"/>
            <w:vAlign w:val="bottom"/>
            <w:vMerge w:val="continue"/>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417,028</w:t>
            </w:r>
          </w:p>
        </w:tc>
        <w:tc>
          <w:tcPr>
            <w:tcW w:w="120" w:type="dxa"/>
            <w:vAlign w:val="bottom"/>
          </w:tcPr>
          <w:p>
            <w:pPr>
              <w:spacing w:after="0"/>
              <w:rPr>
                <w:sz w:val="24"/>
                <w:szCs w:val="24"/>
                <w:color w:val="auto"/>
              </w:rPr>
            </w:pPr>
          </w:p>
        </w:tc>
        <w:tc>
          <w:tcPr>
            <w:tcW w:w="4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364,113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781,141</w:t>
            </w:r>
          </w:p>
        </w:tc>
        <w:tc>
          <w:tcPr>
            <w:tcW w:w="0" w:type="dxa"/>
            <w:vAlign w:val="bottom"/>
          </w:tcPr>
          <w:p>
            <w:pPr>
              <w:spacing w:after="0"/>
              <w:rPr>
                <w:sz w:val="1"/>
                <w:szCs w:val="1"/>
                <w:color w:val="auto"/>
              </w:rPr>
            </w:pPr>
          </w:p>
        </w:tc>
      </w:tr>
      <w:tr>
        <w:trPr>
          <w:trHeight w:val="21"/>
        </w:trPr>
        <w:tc>
          <w:tcPr>
            <w:tcW w:w="6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6"/>
          </w:tcPr>
          <w:p>
            <w:pPr>
              <w:ind w:left="680"/>
              <w:spacing w:after="0"/>
              <w:rPr>
                <w:sz w:val="20"/>
                <w:szCs w:val="20"/>
                <w:color w:val="auto"/>
              </w:rPr>
            </w:pPr>
            <w:r>
              <w:rPr>
                <w:rFonts w:ascii="Arial" w:cs="Arial" w:eastAsia="Arial" w:hAnsi="Arial"/>
                <w:sz w:val="18"/>
                <w:szCs w:val="18"/>
                <w:b w:val="1"/>
                <w:bCs w:val="1"/>
                <w:color w:val="auto"/>
                <w:w w:val="90"/>
              </w:rPr>
              <w:t>Year Ended</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28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gridSpan w:val="8"/>
          </w:tcPr>
          <w:p>
            <w:pPr>
              <w:jc w:val="right"/>
              <w:ind w:right="8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428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4"/>
        </w:trPr>
        <w:tc>
          <w:tcPr>
            <w:tcW w:w="4280" w:type="dxa"/>
            <w:vAlign w:val="bottom"/>
          </w:tcPr>
          <w:p>
            <w:pPr>
              <w:spacing w:after="0"/>
              <w:rPr>
                <w:sz w:val="20"/>
                <w:szCs w:val="20"/>
                <w:color w:val="auto"/>
              </w:rPr>
            </w:pPr>
            <w:r>
              <w:rPr>
                <w:rFonts w:ascii="Arial" w:cs="Arial" w:eastAsia="Arial" w:hAnsi="Arial"/>
                <w:sz w:val="18"/>
                <w:szCs w:val="18"/>
                <w:b w:val="1"/>
                <w:bCs w:val="1"/>
                <w:color w:val="auto"/>
              </w:rPr>
              <w:t xml:space="preserve">Adjusted property EBITDA </w:t>
            </w:r>
            <w:r>
              <w:rPr>
                <w:rFonts w:ascii="Arial" w:cs="Arial" w:eastAsia="Arial" w:hAnsi="Arial"/>
                <w:sz w:val="25"/>
                <w:szCs w:val="25"/>
                <w:b w:val="1"/>
                <w:bCs w:val="1"/>
                <w:color w:val="auto"/>
                <w:vertAlign w:val="superscript"/>
              </w:rPr>
              <w:t>(1)</w:t>
            </w:r>
          </w:p>
        </w:tc>
        <w:tc>
          <w:tcPr>
            <w:tcW w:w="45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738,732</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781,141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4280" w:type="dxa"/>
            <w:vAlign w:val="bottom"/>
          </w:tcPr>
          <w:p>
            <w:pPr>
              <w:ind w:left="700"/>
              <w:spacing w:after="0"/>
              <w:rPr>
                <w:sz w:val="20"/>
                <w:szCs w:val="20"/>
                <w:color w:val="auto"/>
              </w:rPr>
            </w:pPr>
            <w:r>
              <w:rPr>
                <w:rFonts w:ascii="Arial" w:cs="Arial" w:eastAsia="Arial" w:hAnsi="Arial"/>
                <w:sz w:val="18"/>
                <w:szCs w:val="18"/>
                <w:color w:val="auto"/>
              </w:rPr>
              <w:t>Pre-opening costs</w:t>
            </w:r>
          </w:p>
        </w:tc>
        <w:tc>
          <w:tcPr>
            <w:tcW w:w="4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(72,375)</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(7,063)</w:t>
            </w:r>
          </w:p>
        </w:tc>
        <w:tc>
          <w:tcPr>
            <w:tcW w:w="0" w:type="dxa"/>
            <w:vAlign w:val="bottom"/>
          </w:tcPr>
          <w:p>
            <w:pPr>
              <w:spacing w:after="0"/>
              <w:rPr>
                <w:sz w:val="1"/>
                <w:szCs w:val="1"/>
                <w:color w:val="auto"/>
              </w:rPr>
            </w:pPr>
          </w:p>
        </w:tc>
      </w:tr>
      <w:tr>
        <w:trPr>
          <w:trHeight w:val="216"/>
        </w:trPr>
        <w:tc>
          <w:tcPr>
            <w:tcW w:w="4280" w:type="dxa"/>
            <w:vAlign w:val="bottom"/>
          </w:tcPr>
          <w:p>
            <w:pPr>
              <w:ind w:left="700"/>
              <w:spacing w:after="0"/>
              <w:rPr>
                <w:sz w:val="20"/>
                <w:szCs w:val="20"/>
                <w:color w:val="auto"/>
              </w:rPr>
            </w:pPr>
            <w:r>
              <w:rPr>
                <w:rFonts w:ascii="Arial" w:cs="Arial" w:eastAsia="Arial" w:hAnsi="Arial"/>
                <w:sz w:val="18"/>
                <w:szCs w:val="18"/>
                <w:color w:val="auto"/>
              </w:rPr>
              <w:t>Depreciation and amortization</w:t>
            </w:r>
          </w:p>
        </w:tc>
        <w:tc>
          <w:tcPr>
            <w:tcW w:w="4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(262,848)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(219,923)</w:t>
            </w:r>
          </w:p>
        </w:tc>
        <w:tc>
          <w:tcPr>
            <w:tcW w:w="0" w:type="dxa"/>
            <w:vAlign w:val="bottom"/>
          </w:tcPr>
          <w:p>
            <w:pPr>
              <w:spacing w:after="0"/>
              <w:rPr>
                <w:sz w:val="1"/>
                <w:szCs w:val="1"/>
                <w:color w:val="auto"/>
              </w:rPr>
            </w:pPr>
          </w:p>
        </w:tc>
      </w:tr>
      <w:tr>
        <w:trPr>
          <w:trHeight w:val="216"/>
        </w:trPr>
        <w:tc>
          <w:tcPr>
            <w:tcW w:w="4280" w:type="dxa"/>
            <w:vAlign w:val="bottom"/>
          </w:tcPr>
          <w:p>
            <w:pPr>
              <w:ind w:left="700"/>
              <w:spacing w:after="0"/>
              <w:rPr>
                <w:sz w:val="20"/>
                <w:szCs w:val="20"/>
                <w:color w:val="auto"/>
              </w:rPr>
            </w:pPr>
            <w:r>
              <w:rPr>
                <w:rFonts w:ascii="Arial" w:cs="Arial" w:eastAsia="Arial" w:hAnsi="Arial"/>
                <w:sz w:val="18"/>
                <w:szCs w:val="18"/>
                <w:color w:val="auto"/>
              </w:rPr>
              <w:t>Property charges and other</w:t>
            </w:r>
          </w:p>
        </w:tc>
        <w:tc>
          <w:tcPr>
            <w:tcW w:w="4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(32,584)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(60,857)</w:t>
            </w:r>
          </w:p>
        </w:tc>
        <w:tc>
          <w:tcPr>
            <w:tcW w:w="0" w:type="dxa"/>
            <w:vAlign w:val="bottom"/>
          </w:tcPr>
          <w:p>
            <w:pPr>
              <w:spacing w:after="0"/>
              <w:rPr>
                <w:sz w:val="1"/>
                <w:szCs w:val="1"/>
                <w:color w:val="auto"/>
              </w:rPr>
            </w:pPr>
          </w:p>
        </w:tc>
      </w:tr>
      <w:tr>
        <w:trPr>
          <w:trHeight w:val="216"/>
        </w:trPr>
        <w:tc>
          <w:tcPr>
            <w:tcW w:w="4280" w:type="dxa"/>
            <w:vAlign w:val="bottom"/>
          </w:tcPr>
          <w:p>
            <w:pPr>
              <w:ind w:left="700"/>
              <w:spacing w:after="0"/>
              <w:rPr>
                <w:sz w:val="20"/>
                <w:szCs w:val="20"/>
                <w:color w:val="auto"/>
              </w:rPr>
            </w:pPr>
            <w:r>
              <w:rPr>
                <w:rFonts w:ascii="Arial" w:cs="Arial" w:eastAsia="Arial" w:hAnsi="Arial"/>
                <w:sz w:val="18"/>
                <w:szCs w:val="18"/>
                <w:color w:val="auto"/>
              </w:rPr>
              <w:t>Corporate expenses and other</w:t>
            </w:r>
          </w:p>
        </w:tc>
        <w:tc>
          <w:tcPr>
            <w:tcW w:w="4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(36,743)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(45,368)</w:t>
            </w:r>
          </w:p>
        </w:tc>
        <w:tc>
          <w:tcPr>
            <w:tcW w:w="0" w:type="dxa"/>
            <w:vAlign w:val="bottom"/>
          </w:tcPr>
          <w:p>
            <w:pPr>
              <w:spacing w:after="0"/>
              <w:rPr>
                <w:sz w:val="1"/>
                <w:szCs w:val="1"/>
                <w:color w:val="auto"/>
              </w:rPr>
            </w:pPr>
          </w:p>
        </w:tc>
      </w:tr>
      <w:tr>
        <w:trPr>
          <w:trHeight w:val="216"/>
        </w:trPr>
        <w:tc>
          <w:tcPr>
            <w:tcW w:w="4280" w:type="dxa"/>
            <w:vAlign w:val="bottom"/>
          </w:tcPr>
          <w:p>
            <w:pPr>
              <w:ind w:left="700"/>
              <w:spacing w:after="0"/>
              <w:rPr>
                <w:sz w:val="20"/>
                <w:szCs w:val="20"/>
                <w:color w:val="auto"/>
              </w:rPr>
            </w:pPr>
            <w:r>
              <w:rPr>
                <w:rFonts w:ascii="Arial" w:cs="Arial" w:eastAsia="Arial" w:hAnsi="Arial"/>
                <w:sz w:val="18"/>
                <w:szCs w:val="18"/>
                <w:color w:val="auto"/>
              </w:rPr>
              <w:t>Stock-based compensation</w:t>
            </w:r>
          </w:p>
        </w:tc>
        <w:tc>
          <w:tcPr>
            <w:tcW w:w="4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(20,328)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(18,527)</w:t>
            </w:r>
          </w:p>
        </w:tc>
        <w:tc>
          <w:tcPr>
            <w:tcW w:w="0" w:type="dxa"/>
            <w:vAlign w:val="bottom"/>
          </w:tcPr>
          <w:p>
            <w:pPr>
              <w:spacing w:after="0"/>
              <w:rPr>
                <w:sz w:val="1"/>
                <w:szCs w:val="1"/>
                <w:color w:val="auto"/>
              </w:rPr>
            </w:pPr>
          </w:p>
        </w:tc>
      </w:tr>
      <w:tr>
        <w:trPr>
          <w:trHeight w:val="216"/>
        </w:trPr>
        <w:tc>
          <w:tcPr>
            <w:tcW w:w="4280" w:type="dxa"/>
            <w:vAlign w:val="bottom"/>
          </w:tcPr>
          <w:p>
            <w:pPr>
              <w:ind w:left="700"/>
              <w:spacing w:after="0"/>
              <w:rPr>
                <w:sz w:val="20"/>
                <w:szCs w:val="20"/>
                <w:color w:val="auto"/>
              </w:rPr>
            </w:pPr>
            <w:r>
              <w:rPr>
                <w:rFonts w:ascii="Arial" w:cs="Arial" w:eastAsia="Arial" w:hAnsi="Arial"/>
                <w:sz w:val="18"/>
                <w:szCs w:val="18"/>
                <w:color w:val="auto"/>
              </w:rPr>
              <w:t>Interest income</w:t>
            </w:r>
          </w:p>
        </w:tc>
        <w:tc>
          <w:tcPr>
            <w:tcW w:w="4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rPr>
              <w:t>21,517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47,259</w:t>
            </w:r>
          </w:p>
        </w:tc>
        <w:tc>
          <w:tcPr>
            <w:tcW w:w="0" w:type="dxa"/>
            <w:vAlign w:val="bottom"/>
          </w:tcPr>
          <w:p>
            <w:pPr>
              <w:spacing w:after="0"/>
              <w:rPr>
                <w:sz w:val="1"/>
                <w:szCs w:val="1"/>
                <w:color w:val="auto"/>
              </w:rPr>
            </w:pPr>
          </w:p>
        </w:tc>
      </w:tr>
      <w:tr>
        <w:trPr>
          <w:trHeight w:val="216"/>
        </w:trPr>
        <w:tc>
          <w:tcPr>
            <w:tcW w:w="4280" w:type="dxa"/>
            <w:vAlign w:val="bottom"/>
          </w:tcPr>
          <w:p>
            <w:pPr>
              <w:ind w:left="700"/>
              <w:spacing w:after="0"/>
              <w:rPr>
                <w:sz w:val="20"/>
                <w:szCs w:val="20"/>
                <w:color w:val="auto"/>
              </w:rPr>
            </w:pPr>
            <w:r>
              <w:rPr>
                <w:rFonts w:ascii="Arial" w:cs="Arial" w:eastAsia="Arial" w:hAnsi="Arial"/>
                <w:sz w:val="18"/>
                <w:szCs w:val="18"/>
                <w:color w:val="auto"/>
              </w:rPr>
              <w:t>Interest expense</w:t>
            </w:r>
          </w:p>
        </w:tc>
        <w:tc>
          <w:tcPr>
            <w:tcW w:w="4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(172,693)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(143,777)</w:t>
            </w:r>
          </w:p>
        </w:tc>
        <w:tc>
          <w:tcPr>
            <w:tcW w:w="0" w:type="dxa"/>
            <w:vAlign w:val="bottom"/>
          </w:tcPr>
          <w:p>
            <w:pPr>
              <w:spacing w:after="0"/>
              <w:rPr>
                <w:sz w:val="1"/>
                <w:szCs w:val="1"/>
                <w:color w:val="auto"/>
              </w:rPr>
            </w:pPr>
          </w:p>
        </w:tc>
      </w:tr>
      <w:tr>
        <w:trPr>
          <w:trHeight w:val="216"/>
        </w:trPr>
        <w:tc>
          <w:tcPr>
            <w:tcW w:w="4280" w:type="dxa"/>
            <w:vAlign w:val="bottom"/>
          </w:tcPr>
          <w:p>
            <w:pPr>
              <w:ind w:left="700"/>
              <w:spacing w:after="0"/>
              <w:rPr>
                <w:sz w:val="20"/>
                <w:szCs w:val="20"/>
                <w:color w:val="auto"/>
              </w:rPr>
            </w:pPr>
            <w:r>
              <w:rPr>
                <w:rFonts w:ascii="Arial" w:cs="Arial" w:eastAsia="Arial" w:hAnsi="Arial"/>
                <w:sz w:val="18"/>
                <w:szCs w:val="18"/>
                <w:color w:val="auto"/>
              </w:rPr>
              <w:t>Decrease in swap fair value</w:t>
            </w:r>
          </w:p>
        </w:tc>
        <w:tc>
          <w:tcPr>
            <w:tcW w:w="4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(31,485)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(6,001)</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Gain (loss) on extinguishment of debt</w:t>
            </w:r>
          </w:p>
        </w:tc>
        <w:tc>
          <w:tcPr>
            <w:tcW w:w="4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rPr>
              <w:t>22,347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4280" w:type="dxa"/>
            <w:vAlign w:val="bottom"/>
          </w:tcPr>
          <w:p>
            <w:pPr>
              <w:ind w:left="700"/>
              <w:spacing w:after="0"/>
              <w:rPr>
                <w:sz w:val="20"/>
                <w:szCs w:val="20"/>
                <w:color w:val="auto"/>
              </w:rPr>
            </w:pPr>
            <w:r>
              <w:rPr>
                <w:rFonts w:ascii="Arial" w:cs="Arial" w:eastAsia="Arial" w:hAnsi="Arial"/>
                <w:sz w:val="18"/>
                <w:szCs w:val="18"/>
                <w:color w:val="auto"/>
              </w:rPr>
              <w:t>Other</w:t>
            </w:r>
          </w:p>
        </w:tc>
        <w:tc>
          <w:tcPr>
            <w:tcW w:w="4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(4,257)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37"/>
        </w:trPr>
        <w:tc>
          <w:tcPr>
            <w:tcW w:w="4280" w:type="dxa"/>
            <w:vAlign w:val="bottom"/>
          </w:tcPr>
          <w:p>
            <w:pPr>
              <w:spacing w:after="0"/>
              <w:rPr>
                <w:sz w:val="20"/>
                <w:szCs w:val="20"/>
                <w:color w:val="auto"/>
              </w:rPr>
            </w:pPr>
            <w:r>
              <w:rPr>
                <w:rFonts w:ascii="Arial" w:cs="Arial" w:eastAsia="Arial" w:hAnsi="Arial"/>
                <w:sz w:val="18"/>
                <w:szCs w:val="18"/>
                <w:color w:val="auto"/>
              </w:rPr>
              <w:t>Benefit (provision) for income taxes</w:t>
            </w:r>
          </w:p>
        </w:tc>
        <w:tc>
          <w:tcPr>
            <w:tcW w:w="4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60,923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(69,085)</w:t>
            </w:r>
          </w:p>
        </w:tc>
        <w:tc>
          <w:tcPr>
            <w:tcW w:w="0" w:type="dxa"/>
            <w:vAlign w:val="bottom"/>
          </w:tcPr>
          <w:p>
            <w:pPr>
              <w:spacing w:after="0"/>
              <w:rPr>
                <w:sz w:val="1"/>
                <w:szCs w:val="1"/>
                <w:color w:val="auto"/>
              </w:rPr>
            </w:pPr>
          </w:p>
        </w:tc>
      </w:tr>
      <w:tr>
        <w:trPr>
          <w:trHeight w:val="432"/>
        </w:trPr>
        <w:tc>
          <w:tcPr>
            <w:tcW w:w="428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4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210,206</w:t>
            </w:r>
          </w:p>
        </w:tc>
        <w:tc>
          <w:tcPr>
            <w:tcW w:w="12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258,148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280" w:type="dxa"/>
            <w:vAlign w:val="bottom"/>
          </w:tcPr>
          <w:p>
            <w:pPr>
              <w:spacing w:after="0" w:line="20" w:lineRule="exact"/>
              <w:rPr>
                <w:sz w:val="1"/>
                <w:szCs w:val="1"/>
                <w:color w:val="auto"/>
              </w:rPr>
            </w:pPr>
          </w:p>
        </w:tc>
        <w:tc>
          <w:tcPr>
            <w:tcW w:w="4540" w:type="dxa"/>
            <w:vAlign w:val="bottom"/>
            <w:vMerge w:val="restart"/>
          </w:tcPr>
          <w:p>
            <w:pPr>
              <w:jc w:val="right"/>
              <w:ind w:right="2970"/>
              <w:spacing w:after="0"/>
              <w:rPr>
                <w:sz w:val="20"/>
                <w:szCs w:val="20"/>
                <w:color w:val="auto"/>
              </w:rPr>
            </w:pPr>
            <w:r>
              <w:rPr>
                <w:rFonts w:ascii="Arial" w:cs="Arial" w:eastAsia="Arial" w:hAnsi="Arial"/>
                <w:sz w:val="18"/>
                <w:szCs w:val="18"/>
                <w:color w:val="auto"/>
              </w:rPr>
              <w:t>9</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96"/>
        </w:trPr>
        <w:tc>
          <w:tcPr>
            <w:tcW w:w="4280" w:type="dxa"/>
            <w:vAlign w:val="bottom"/>
          </w:tcPr>
          <w:p>
            <w:pPr>
              <w:spacing w:after="0"/>
              <w:rPr>
                <w:sz w:val="24"/>
                <w:szCs w:val="24"/>
                <w:color w:val="auto"/>
              </w:rPr>
            </w:pPr>
          </w:p>
        </w:tc>
        <w:tc>
          <w:tcPr>
            <w:tcW w:w="45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4280" w:type="dxa"/>
            <w:vAlign w:val="bottom"/>
            <w:tcBorders>
              <w:bottom w:val="single" w:sz="8" w:color="808080"/>
            </w:tcBorders>
          </w:tcPr>
          <w:p>
            <w:pPr>
              <w:spacing w:after="0"/>
              <w:rPr>
                <w:sz w:val="10"/>
                <w:szCs w:val="10"/>
                <w:color w:val="auto"/>
              </w:rPr>
            </w:pPr>
          </w:p>
        </w:tc>
        <w:tc>
          <w:tcPr>
            <w:tcW w:w="45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50" w:right="239" w:bottom="1440" w:gutter="0" w:footer="0" w:header="0"/>
        </w:sectPr>
      </w:pPr>
    </w:p>
    <w:bookmarkStart w:id="13" w:name="page14"/>
    <w:bookmarkEnd w:id="13"/>
    <w:p>
      <w:pPr>
        <w:jc w:val="center"/>
        <w:ind w:right="-99"/>
        <w:spacing w:after="0"/>
        <w:rPr>
          <w:sz w:val="20"/>
          <w:szCs w:val="20"/>
          <w:color w:val="auto"/>
        </w:rPr>
      </w:pPr>
      <w:r>
        <w:rPr>
          <w:rFonts w:ascii="Arial" w:cs="Arial" w:eastAsia="Arial" w:hAnsi="Arial"/>
          <w:sz w:val="22"/>
          <w:szCs w:val="22"/>
          <w:b w:val="1"/>
          <w:bCs w:val="1"/>
          <w:color w:val="auto"/>
        </w:rPr>
        <w:t>WYNN RESORTS, LIMITED AND SUBSIDIARIES</w:t>
      </w:r>
    </w:p>
    <w:p>
      <w:pPr>
        <w:spacing w:after="0" w:line="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SUPPLEMENTAL DATA SCHEDULE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8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3"/>
          </w:tcPr>
          <w:p>
            <w:pPr>
              <w:jc w:val="right"/>
              <w:ind w:right="47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Year Ended</w:t>
            </w:r>
          </w:p>
        </w:tc>
        <w:tc>
          <w:tcPr>
            <w:tcW w:w="7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8"/>
        </w:trPr>
        <w:tc>
          <w:tcPr>
            <w:tcW w:w="48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80" w:type="dxa"/>
            <w:vAlign w:val="bottom"/>
            <w:gridSpan w:val="2"/>
          </w:tcPr>
          <w:p>
            <w:pPr>
              <w:jc w:val="right"/>
              <w:ind w:right="90"/>
              <w:spacing w:after="0" w:line="198" w:lineRule="exact"/>
              <w:rPr>
                <w:sz w:val="20"/>
                <w:szCs w:val="20"/>
                <w:color w:val="auto"/>
              </w:rPr>
            </w:pPr>
            <w:r>
              <w:rPr>
                <w:rFonts w:ascii="Arial" w:cs="Arial" w:eastAsia="Arial" w:hAnsi="Arial"/>
                <w:sz w:val="18"/>
                <w:szCs w:val="18"/>
                <w:b w:val="1"/>
                <w:bCs w:val="1"/>
                <w:color w:val="auto"/>
                <w:w w:val="92"/>
              </w:rPr>
              <w:t>December 31,</w:t>
            </w:r>
          </w:p>
        </w:tc>
        <w:tc>
          <w:tcPr>
            <w:tcW w:w="1360" w:type="dxa"/>
            <w:vAlign w:val="bottom"/>
            <w:gridSpan w:val="2"/>
          </w:tcPr>
          <w:p>
            <w:pPr>
              <w:jc w:val="right"/>
              <w:ind w:right="70"/>
              <w:spacing w:after="0" w:line="198" w:lineRule="exact"/>
              <w:rPr>
                <w:sz w:val="20"/>
                <w:szCs w:val="20"/>
                <w:color w:val="auto"/>
              </w:rPr>
            </w:pPr>
            <w:r>
              <w:rPr>
                <w:rFonts w:ascii="Arial" w:cs="Arial" w:eastAsia="Arial" w:hAnsi="Arial"/>
                <w:sz w:val="18"/>
                <w:szCs w:val="18"/>
                <w:b w:val="1"/>
                <w:bCs w:val="1"/>
                <w:color w:val="auto"/>
              </w:rPr>
              <w:t>December 31,</w:t>
            </w:r>
          </w:p>
        </w:tc>
        <w:tc>
          <w:tcPr>
            <w:tcW w:w="1340" w:type="dxa"/>
            <w:vAlign w:val="bottom"/>
            <w:gridSpan w:val="2"/>
          </w:tcPr>
          <w:p>
            <w:pPr>
              <w:jc w:val="right"/>
              <w:ind w:right="50"/>
              <w:spacing w:after="0" w:line="198" w:lineRule="exact"/>
              <w:rPr>
                <w:sz w:val="20"/>
                <w:szCs w:val="20"/>
                <w:color w:val="auto"/>
              </w:rPr>
            </w:pPr>
            <w:r>
              <w:rPr>
                <w:rFonts w:ascii="Arial" w:cs="Arial" w:eastAsia="Arial" w:hAnsi="Arial"/>
                <w:sz w:val="18"/>
                <w:szCs w:val="18"/>
                <w:b w:val="1"/>
                <w:bCs w:val="1"/>
                <w:color w:val="auto"/>
              </w:rPr>
              <w:t>December 31,</w:t>
            </w:r>
          </w:p>
        </w:tc>
        <w:tc>
          <w:tcPr>
            <w:tcW w:w="126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rPr>
              <w:t>December 31,</w:t>
            </w:r>
          </w:p>
        </w:tc>
        <w:tc>
          <w:tcPr>
            <w:tcW w:w="20" w:type="dxa"/>
            <w:vAlign w:val="bottom"/>
          </w:tcPr>
          <w:p>
            <w:pPr>
              <w:spacing w:after="0"/>
              <w:rPr>
                <w:sz w:val="17"/>
                <w:szCs w:val="17"/>
                <w:color w:val="auto"/>
              </w:rPr>
            </w:pPr>
          </w:p>
        </w:tc>
      </w:tr>
      <w:tr>
        <w:trPr>
          <w:trHeight w:val="241"/>
        </w:trPr>
        <w:tc>
          <w:tcPr>
            <w:tcW w:w="48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2008</w:t>
            </w: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2007</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2008</w:t>
            </w:r>
          </w:p>
        </w:tc>
        <w:tc>
          <w:tcPr>
            <w:tcW w:w="4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2007</w:t>
            </w:r>
          </w:p>
        </w:tc>
        <w:tc>
          <w:tcPr>
            <w:tcW w:w="20" w:type="dxa"/>
            <w:vAlign w:val="bottom"/>
          </w:tcPr>
          <w:p>
            <w:pPr>
              <w:spacing w:after="0"/>
              <w:rPr>
                <w:sz w:val="20"/>
                <w:szCs w:val="20"/>
                <w:color w:val="auto"/>
              </w:rPr>
            </w:pPr>
          </w:p>
        </w:tc>
      </w:tr>
      <w:tr>
        <w:trPr>
          <w:trHeight w:val="242"/>
        </w:trPr>
        <w:tc>
          <w:tcPr>
            <w:tcW w:w="4840" w:type="dxa"/>
            <w:vAlign w:val="bottom"/>
          </w:tcPr>
          <w:p>
            <w:pPr>
              <w:spacing w:after="0" w:line="242" w:lineRule="exact"/>
              <w:rPr>
                <w:sz w:val="20"/>
                <w:szCs w:val="20"/>
                <w:color w:val="auto"/>
              </w:rPr>
            </w:pPr>
            <w:r>
              <w:rPr>
                <w:rFonts w:ascii="Arial" w:cs="Arial" w:eastAsia="Arial" w:hAnsi="Arial"/>
                <w:sz w:val="18"/>
                <w:szCs w:val="18"/>
                <w:color w:val="auto"/>
              </w:rPr>
              <w:t>Room Statistics for Wynn Las Vegas</w:t>
            </w:r>
            <w:r>
              <w:rPr>
                <w:rFonts w:ascii="Arial" w:cs="Arial" w:eastAsia="Arial" w:hAnsi="Arial"/>
                <w:sz w:val="25"/>
                <w:szCs w:val="25"/>
                <w:color w:val="auto"/>
                <w:vertAlign w:val="superscript"/>
              </w:rPr>
              <w:t>5</w:t>
            </w:r>
            <w:r>
              <w:rPr>
                <w:rFonts w:ascii="Arial" w:cs="Arial" w:eastAsia="Arial" w:hAnsi="Arial"/>
                <w:sz w:val="18"/>
                <w:szCs w:val="18"/>
                <w:color w:val="auto"/>
              </w:rPr>
              <w:t>:</w:t>
            </w:r>
          </w:p>
        </w:tc>
        <w:tc>
          <w:tcPr>
            <w:tcW w:w="1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4840" w:type="dxa"/>
            <w:vAlign w:val="bottom"/>
          </w:tcPr>
          <w:p>
            <w:pPr>
              <w:ind w:left="660"/>
              <w:spacing w:after="0"/>
              <w:rPr>
                <w:sz w:val="20"/>
                <w:szCs w:val="20"/>
                <w:color w:val="auto"/>
              </w:rPr>
            </w:pPr>
            <w:r>
              <w:rPr>
                <w:rFonts w:ascii="Arial" w:cs="Arial" w:eastAsia="Arial" w:hAnsi="Arial"/>
                <w:sz w:val="18"/>
                <w:szCs w:val="18"/>
                <w:color w:val="auto"/>
              </w:rPr>
              <w:t>Occupancy %</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79.7%</w:t>
            </w:r>
          </w:p>
        </w:tc>
        <w:tc>
          <w:tcPr>
            <w:tcW w:w="3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94.3%</w:t>
            </w:r>
          </w:p>
        </w:tc>
        <w:tc>
          <w:tcPr>
            <w:tcW w:w="3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91.8%</w:t>
            </w:r>
          </w:p>
        </w:tc>
        <w:tc>
          <w:tcPr>
            <w:tcW w:w="4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96.0%</w:t>
            </w:r>
          </w:p>
        </w:tc>
      </w:tr>
      <w:tr>
        <w:trPr>
          <w:trHeight w:val="230"/>
        </w:trPr>
        <w:tc>
          <w:tcPr>
            <w:tcW w:w="4840" w:type="dxa"/>
            <w:vAlign w:val="bottom"/>
          </w:tcPr>
          <w:p>
            <w:pPr>
              <w:ind w:left="660"/>
              <w:spacing w:after="0" w:line="229" w:lineRule="exact"/>
              <w:rPr>
                <w:sz w:val="20"/>
                <w:szCs w:val="20"/>
                <w:color w:val="auto"/>
              </w:rPr>
            </w:pPr>
            <w:r>
              <w:rPr>
                <w:rFonts w:ascii="Arial" w:cs="Arial" w:eastAsia="Arial" w:hAnsi="Arial"/>
                <w:sz w:val="18"/>
                <w:szCs w:val="18"/>
                <w:color w:val="auto"/>
              </w:rPr>
              <w:t>Average Daily Rate (ADR)</w:t>
            </w:r>
            <w:r>
              <w:rPr>
                <w:rFonts w:ascii="Arial" w:cs="Arial" w:eastAsia="Arial" w:hAnsi="Arial"/>
                <w:sz w:val="25"/>
                <w:szCs w:val="25"/>
                <w:color w:val="auto"/>
                <w:vertAlign w:val="superscript"/>
              </w:rPr>
              <w:t>1</w:t>
            </w:r>
          </w:p>
        </w:tc>
        <w:tc>
          <w:tcPr>
            <w:tcW w:w="14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281</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298</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288</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300</w:t>
            </w:r>
          </w:p>
        </w:tc>
      </w:tr>
      <w:tr>
        <w:trPr>
          <w:trHeight w:val="329"/>
        </w:trPr>
        <w:tc>
          <w:tcPr>
            <w:tcW w:w="4840" w:type="dxa"/>
            <w:vAlign w:val="bottom"/>
          </w:tcPr>
          <w:p>
            <w:pPr>
              <w:ind w:left="660"/>
              <w:spacing w:after="0"/>
              <w:rPr>
                <w:sz w:val="20"/>
                <w:szCs w:val="20"/>
                <w:color w:val="auto"/>
              </w:rPr>
            </w:pPr>
            <w:r>
              <w:rPr>
                <w:rFonts w:ascii="Arial" w:cs="Arial" w:eastAsia="Arial" w:hAnsi="Arial"/>
                <w:sz w:val="18"/>
                <w:szCs w:val="18"/>
                <w:color w:val="auto"/>
              </w:rPr>
              <w:t>Revenue per available room (REVPAR)</w:t>
            </w:r>
            <w:r>
              <w:rPr>
                <w:rFonts w:ascii="Arial" w:cs="Arial" w:eastAsia="Arial" w:hAnsi="Arial"/>
                <w:sz w:val="25"/>
                <w:szCs w:val="25"/>
                <w:color w:val="auto"/>
                <w:vertAlign w:val="superscript"/>
              </w:rPr>
              <w:t>2</w:t>
            </w:r>
          </w:p>
        </w:tc>
        <w:tc>
          <w:tcPr>
            <w:tcW w:w="14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224</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281</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265</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288</w:t>
            </w:r>
          </w:p>
        </w:tc>
      </w:tr>
      <w:tr>
        <w:trPr>
          <w:trHeight w:val="347"/>
        </w:trPr>
        <w:tc>
          <w:tcPr>
            <w:tcW w:w="4840" w:type="dxa"/>
            <w:vAlign w:val="bottom"/>
          </w:tcPr>
          <w:p>
            <w:pPr>
              <w:spacing w:after="0"/>
              <w:rPr>
                <w:sz w:val="20"/>
                <w:szCs w:val="20"/>
                <w:color w:val="auto"/>
              </w:rPr>
            </w:pPr>
            <w:r>
              <w:rPr>
                <w:rFonts w:ascii="Arial" w:cs="Arial" w:eastAsia="Arial" w:hAnsi="Arial"/>
                <w:sz w:val="18"/>
                <w:szCs w:val="18"/>
                <w:color w:val="auto"/>
              </w:rPr>
              <w:t>Other information for Wynn Las Vegas</w:t>
            </w:r>
            <w:r>
              <w:rPr>
                <w:rFonts w:ascii="Arial" w:cs="Arial" w:eastAsia="Arial" w:hAnsi="Arial"/>
                <w:sz w:val="25"/>
                <w:szCs w:val="25"/>
                <w:color w:val="auto"/>
                <w:vertAlign w:val="superscript"/>
              </w:rPr>
              <w:t>5</w:t>
            </w:r>
            <w:r>
              <w:rPr>
                <w:rFonts w:ascii="Arial" w:cs="Arial" w:eastAsia="Arial" w:hAnsi="Arial"/>
                <w:sz w:val="18"/>
                <w:szCs w:val="18"/>
                <w:color w:val="auto"/>
              </w:rPr>
              <w:t>:</w:t>
            </w: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6"/>
        </w:trPr>
        <w:tc>
          <w:tcPr>
            <w:tcW w:w="4840" w:type="dxa"/>
            <w:vAlign w:val="bottom"/>
          </w:tcPr>
          <w:p>
            <w:pPr>
              <w:ind w:left="500"/>
              <w:spacing w:after="0" w:line="257" w:lineRule="exact"/>
              <w:rPr>
                <w:sz w:val="20"/>
                <w:szCs w:val="20"/>
                <w:color w:val="auto"/>
              </w:rPr>
            </w:pPr>
            <w:r>
              <w:rPr>
                <w:rFonts w:ascii="Arial" w:cs="Arial" w:eastAsia="Arial" w:hAnsi="Arial"/>
                <w:sz w:val="18"/>
                <w:szCs w:val="18"/>
                <w:color w:val="auto"/>
              </w:rPr>
              <w:t>Table games win per unit per day</w:t>
            </w:r>
            <w:r>
              <w:rPr>
                <w:rFonts w:ascii="Arial" w:cs="Arial" w:eastAsia="Arial" w:hAnsi="Arial"/>
                <w:sz w:val="25"/>
                <w:szCs w:val="25"/>
                <w:color w:val="auto"/>
                <w:vertAlign w:val="superscript"/>
              </w:rPr>
              <w:t>3</w:t>
            </w:r>
          </w:p>
        </w:tc>
        <w:tc>
          <w:tcPr>
            <w:tcW w:w="14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5,629</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11,293</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7,976</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10,872</w:t>
            </w:r>
          </w:p>
        </w:tc>
      </w:tr>
      <w:tr>
        <w:trPr>
          <w:trHeight w:val="216"/>
        </w:trPr>
        <w:tc>
          <w:tcPr>
            <w:tcW w:w="4840" w:type="dxa"/>
            <w:vAlign w:val="bottom"/>
          </w:tcPr>
          <w:p>
            <w:pPr>
              <w:ind w:left="500"/>
              <w:spacing w:after="0"/>
              <w:rPr>
                <w:sz w:val="20"/>
                <w:szCs w:val="20"/>
                <w:color w:val="auto"/>
              </w:rPr>
            </w:pPr>
            <w:r>
              <w:rPr>
                <w:rFonts w:ascii="Arial" w:cs="Arial" w:eastAsia="Arial" w:hAnsi="Arial"/>
                <w:sz w:val="18"/>
                <w:szCs w:val="18"/>
                <w:color w:val="auto"/>
              </w:rPr>
              <w:t>Table Win %</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15.3%</w:t>
            </w:r>
          </w:p>
        </w:tc>
        <w:tc>
          <w:tcPr>
            <w:tcW w:w="3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23.5%</w:t>
            </w:r>
          </w:p>
        </w:tc>
        <w:tc>
          <w:tcPr>
            <w:tcW w:w="3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20.0%</w:t>
            </w:r>
          </w:p>
        </w:tc>
        <w:tc>
          <w:tcPr>
            <w:tcW w:w="4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25.3%</w:t>
            </w:r>
          </w:p>
        </w:tc>
      </w:tr>
      <w:tr>
        <w:trPr>
          <w:trHeight w:val="229"/>
        </w:trPr>
        <w:tc>
          <w:tcPr>
            <w:tcW w:w="4840" w:type="dxa"/>
            <w:vAlign w:val="bottom"/>
          </w:tcPr>
          <w:p>
            <w:pPr>
              <w:ind w:left="500"/>
              <w:spacing w:after="0" w:line="229" w:lineRule="exact"/>
              <w:rPr>
                <w:sz w:val="20"/>
                <w:szCs w:val="20"/>
                <w:color w:val="auto"/>
              </w:rPr>
            </w:pPr>
            <w:r>
              <w:rPr>
                <w:rFonts w:ascii="Arial" w:cs="Arial" w:eastAsia="Arial" w:hAnsi="Arial"/>
                <w:sz w:val="18"/>
                <w:szCs w:val="18"/>
                <w:color w:val="auto"/>
              </w:rPr>
              <w:t>Slot machine win per unit per day</w:t>
            </w:r>
            <w:r>
              <w:rPr>
                <w:rFonts w:ascii="Arial" w:cs="Arial" w:eastAsia="Arial" w:hAnsi="Arial"/>
                <w:sz w:val="25"/>
                <w:szCs w:val="25"/>
                <w:color w:val="auto"/>
                <w:vertAlign w:val="superscript"/>
              </w:rPr>
              <w:t>4</w:t>
            </w:r>
          </w:p>
        </w:tc>
        <w:tc>
          <w:tcPr>
            <w:tcW w:w="14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203</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241</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221</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250</w:t>
            </w:r>
          </w:p>
        </w:tc>
      </w:tr>
      <w:tr>
        <w:trPr>
          <w:trHeight w:val="216"/>
        </w:trPr>
        <w:tc>
          <w:tcPr>
            <w:tcW w:w="4840" w:type="dxa"/>
            <w:vAlign w:val="bottom"/>
          </w:tcPr>
          <w:p>
            <w:pPr>
              <w:ind w:left="500"/>
              <w:spacing w:after="0"/>
              <w:rPr>
                <w:sz w:val="20"/>
                <w:szCs w:val="20"/>
                <w:color w:val="auto"/>
              </w:rPr>
            </w:pPr>
            <w:r>
              <w:rPr>
                <w:rFonts w:ascii="Arial" w:cs="Arial" w:eastAsia="Arial" w:hAnsi="Arial"/>
                <w:sz w:val="18"/>
                <w:szCs w:val="18"/>
                <w:color w:val="auto"/>
              </w:rPr>
              <w:t>Average number of table games</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147</w:t>
            </w:r>
          </w:p>
        </w:tc>
        <w:tc>
          <w:tcPr>
            <w:tcW w:w="3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141</w:t>
            </w:r>
          </w:p>
        </w:tc>
        <w:tc>
          <w:tcPr>
            <w:tcW w:w="3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141</w:t>
            </w:r>
          </w:p>
        </w:tc>
        <w:tc>
          <w:tcPr>
            <w:tcW w:w="4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141</w:t>
            </w:r>
          </w:p>
        </w:tc>
      </w:tr>
      <w:tr>
        <w:trPr>
          <w:trHeight w:val="230"/>
        </w:trPr>
        <w:tc>
          <w:tcPr>
            <w:tcW w:w="4840" w:type="dxa"/>
            <w:vAlign w:val="bottom"/>
          </w:tcPr>
          <w:p>
            <w:pPr>
              <w:ind w:left="500"/>
              <w:spacing w:after="0"/>
              <w:rPr>
                <w:sz w:val="20"/>
                <w:szCs w:val="20"/>
                <w:color w:val="auto"/>
              </w:rPr>
            </w:pPr>
            <w:r>
              <w:rPr>
                <w:rFonts w:ascii="Arial" w:cs="Arial" w:eastAsia="Arial" w:hAnsi="Arial"/>
                <w:sz w:val="18"/>
                <w:szCs w:val="18"/>
                <w:color w:val="auto"/>
              </w:rPr>
              <w:t>Average number of slot machines</w:t>
            </w: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2,034</w:t>
            </w:r>
          </w:p>
        </w:tc>
        <w:tc>
          <w:tcPr>
            <w:tcW w:w="36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1,973</w:t>
            </w:r>
          </w:p>
        </w:tc>
        <w:tc>
          <w:tcPr>
            <w:tcW w:w="3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1,971</w:t>
            </w:r>
          </w:p>
        </w:tc>
        <w:tc>
          <w:tcPr>
            <w:tcW w:w="48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1,966</w:t>
            </w:r>
          </w:p>
        </w:tc>
      </w:tr>
      <w:tr>
        <w:trPr>
          <w:trHeight w:val="432"/>
        </w:trPr>
        <w:tc>
          <w:tcPr>
            <w:tcW w:w="4840" w:type="dxa"/>
            <w:vAlign w:val="bottom"/>
          </w:tcPr>
          <w:p>
            <w:pPr>
              <w:spacing w:after="0"/>
              <w:rPr>
                <w:sz w:val="20"/>
                <w:szCs w:val="20"/>
                <w:color w:val="auto"/>
              </w:rPr>
            </w:pPr>
            <w:r>
              <w:rPr>
                <w:rFonts w:ascii="Arial" w:cs="Arial" w:eastAsia="Arial" w:hAnsi="Arial"/>
                <w:sz w:val="18"/>
                <w:szCs w:val="18"/>
                <w:color w:val="auto"/>
              </w:rPr>
              <w:t>Room Statistics for Wynn Macau:</w:t>
            </w: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9"/>
        </w:trPr>
        <w:tc>
          <w:tcPr>
            <w:tcW w:w="4840" w:type="dxa"/>
            <w:vAlign w:val="bottom"/>
          </w:tcPr>
          <w:p>
            <w:pPr>
              <w:ind w:left="660"/>
              <w:spacing w:after="0"/>
              <w:rPr>
                <w:sz w:val="20"/>
                <w:szCs w:val="20"/>
                <w:color w:val="auto"/>
              </w:rPr>
            </w:pPr>
            <w:r>
              <w:rPr>
                <w:rFonts w:ascii="Arial" w:cs="Arial" w:eastAsia="Arial" w:hAnsi="Arial"/>
                <w:sz w:val="18"/>
                <w:szCs w:val="18"/>
                <w:color w:val="auto"/>
              </w:rPr>
              <w:t>Occupancy %</w:t>
            </w: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86.8%</w:t>
            </w:r>
          </w:p>
        </w:tc>
        <w:tc>
          <w:tcPr>
            <w:tcW w:w="36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92.4%</w:t>
            </w:r>
          </w:p>
        </w:tc>
        <w:tc>
          <w:tcPr>
            <w:tcW w:w="34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87.3%</w:t>
            </w:r>
          </w:p>
        </w:tc>
        <w:tc>
          <w:tcPr>
            <w:tcW w:w="48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88.8%</w:t>
            </w:r>
          </w:p>
        </w:tc>
      </w:tr>
      <w:tr>
        <w:trPr>
          <w:trHeight w:val="230"/>
        </w:trPr>
        <w:tc>
          <w:tcPr>
            <w:tcW w:w="4840" w:type="dxa"/>
            <w:vAlign w:val="bottom"/>
          </w:tcPr>
          <w:p>
            <w:pPr>
              <w:ind w:left="660"/>
              <w:spacing w:after="0" w:line="229" w:lineRule="exact"/>
              <w:rPr>
                <w:sz w:val="20"/>
                <w:szCs w:val="20"/>
                <w:color w:val="auto"/>
              </w:rPr>
            </w:pPr>
            <w:r>
              <w:rPr>
                <w:rFonts w:ascii="Arial" w:cs="Arial" w:eastAsia="Arial" w:hAnsi="Arial"/>
                <w:sz w:val="18"/>
                <w:szCs w:val="18"/>
                <w:color w:val="auto"/>
              </w:rPr>
              <w:t>Average Daily Rate (ADR)</w:t>
            </w:r>
            <w:r>
              <w:rPr>
                <w:rFonts w:ascii="Arial" w:cs="Arial" w:eastAsia="Arial" w:hAnsi="Arial"/>
                <w:sz w:val="25"/>
                <w:szCs w:val="25"/>
                <w:color w:val="auto"/>
                <w:vertAlign w:val="superscript"/>
              </w:rPr>
              <w:t>1</w:t>
            </w:r>
          </w:p>
        </w:tc>
        <w:tc>
          <w:tcPr>
            <w:tcW w:w="14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273</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256</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275</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251</w:t>
            </w:r>
          </w:p>
        </w:tc>
      </w:tr>
      <w:tr>
        <w:trPr>
          <w:trHeight w:val="329"/>
        </w:trPr>
        <w:tc>
          <w:tcPr>
            <w:tcW w:w="4840" w:type="dxa"/>
            <w:vAlign w:val="bottom"/>
          </w:tcPr>
          <w:p>
            <w:pPr>
              <w:ind w:left="660"/>
              <w:spacing w:after="0"/>
              <w:rPr>
                <w:sz w:val="20"/>
                <w:szCs w:val="20"/>
                <w:color w:val="auto"/>
              </w:rPr>
            </w:pPr>
            <w:r>
              <w:rPr>
                <w:rFonts w:ascii="Arial" w:cs="Arial" w:eastAsia="Arial" w:hAnsi="Arial"/>
                <w:sz w:val="18"/>
                <w:szCs w:val="18"/>
                <w:color w:val="auto"/>
              </w:rPr>
              <w:t>Revenue per available room (REVPAR)</w:t>
            </w:r>
            <w:r>
              <w:rPr>
                <w:rFonts w:ascii="Arial" w:cs="Arial" w:eastAsia="Arial" w:hAnsi="Arial"/>
                <w:sz w:val="25"/>
                <w:szCs w:val="25"/>
                <w:color w:val="auto"/>
                <w:vertAlign w:val="superscript"/>
              </w:rPr>
              <w:t>2</w:t>
            </w:r>
          </w:p>
        </w:tc>
        <w:tc>
          <w:tcPr>
            <w:tcW w:w="14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237</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237</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240</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223</w:t>
            </w:r>
          </w:p>
        </w:tc>
      </w:tr>
      <w:tr>
        <w:trPr>
          <w:trHeight w:val="333"/>
        </w:trPr>
        <w:tc>
          <w:tcPr>
            <w:tcW w:w="4840" w:type="dxa"/>
            <w:vAlign w:val="bottom"/>
          </w:tcPr>
          <w:p>
            <w:pPr>
              <w:spacing w:after="0"/>
              <w:rPr>
                <w:sz w:val="20"/>
                <w:szCs w:val="20"/>
                <w:color w:val="auto"/>
              </w:rPr>
            </w:pPr>
            <w:r>
              <w:rPr>
                <w:rFonts w:ascii="Arial" w:cs="Arial" w:eastAsia="Arial" w:hAnsi="Arial"/>
                <w:sz w:val="18"/>
                <w:szCs w:val="18"/>
                <w:color w:val="auto"/>
              </w:rPr>
              <w:t>Other information for Wynn Macau:</w:t>
            </w: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4840" w:type="dxa"/>
            <w:vAlign w:val="bottom"/>
          </w:tcPr>
          <w:p>
            <w:pPr>
              <w:ind w:left="500"/>
              <w:spacing w:after="0" w:line="229" w:lineRule="exact"/>
              <w:rPr>
                <w:sz w:val="20"/>
                <w:szCs w:val="20"/>
                <w:color w:val="auto"/>
              </w:rPr>
            </w:pPr>
            <w:r>
              <w:rPr>
                <w:rFonts w:ascii="Arial" w:cs="Arial" w:eastAsia="Arial" w:hAnsi="Arial"/>
                <w:sz w:val="18"/>
                <w:szCs w:val="18"/>
                <w:color w:val="auto"/>
              </w:rPr>
              <w:t>Table games win per unit per day</w:t>
            </w:r>
            <w:r>
              <w:rPr>
                <w:rFonts w:ascii="Arial" w:cs="Arial" w:eastAsia="Arial" w:hAnsi="Arial"/>
                <w:sz w:val="25"/>
                <w:szCs w:val="25"/>
                <w:color w:val="auto"/>
                <w:vertAlign w:val="superscript"/>
              </w:rPr>
              <w:t>3</w:t>
            </w:r>
          </w:p>
        </w:tc>
        <w:tc>
          <w:tcPr>
            <w:tcW w:w="14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12,366</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16,239</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15,265</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16,410</w:t>
            </w:r>
          </w:p>
        </w:tc>
      </w:tr>
      <w:tr>
        <w:trPr>
          <w:trHeight w:val="229"/>
        </w:trPr>
        <w:tc>
          <w:tcPr>
            <w:tcW w:w="4840" w:type="dxa"/>
            <w:vAlign w:val="bottom"/>
          </w:tcPr>
          <w:p>
            <w:pPr>
              <w:ind w:left="500"/>
              <w:spacing w:after="0" w:line="229" w:lineRule="exact"/>
              <w:rPr>
                <w:sz w:val="20"/>
                <w:szCs w:val="20"/>
                <w:color w:val="auto"/>
              </w:rPr>
            </w:pPr>
            <w:r>
              <w:rPr>
                <w:rFonts w:ascii="Arial" w:cs="Arial" w:eastAsia="Arial" w:hAnsi="Arial"/>
                <w:sz w:val="18"/>
                <w:szCs w:val="18"/>
                <w:color w:val="auto"/>
              </w:rPr>
              <w:t>Slot machine win per unit per day</w:t>
            </w:r>
            <w:r>
              <w:rPr>
                <w:rFonts w:ascii="Arial" w:cs="Arial" w:eastAsia="Arial" w:hAnsi="Arial"/>
                <w:sz w:val="25"/>
                <w:szCs w:val="25"/>
                <w:color w:val="auto"/>
                <w:vertAlign w:val="superscript"/>
              </w:rPr>
              <w:t>4</w:t>
            </w:r>
          </w:p>
        </w:tc>
        <w:tc>
          <w:tcPr>
            <w:tcW w:w="14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348</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456</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346</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470</w:t>
            </w:r>
          </w:p>
        </w:tc>
      </w:tr>
      <w:tr>
        <w:trPr>
          <w:trHeight w:val="216"/>
        </w:trPr>
        <w:tc>
          <w:tcPr>
            <w:tcW w:w="4840" w:type="dxa"/>
            <w:vAlign w:val="bottom"/>
          </w:tcPr>
          <w:p>
            <w:pPr>
              <w:ind w:left="500"/>
              <w:spacing w:after="0"/>
              <w:rPr>
                <w:sz w:val="20"/>
                <w:szCs w:val="20"/>
                <w:color w:val="auto"/>
              </w:rPr>
            </w:pPr>
            <w:r>
              <w:rPr>
                <w:rFonts w:ascii="Arial" w:cs="Arial" w:eastAsia="Arial" w:hAnsi="Arial"/>
                <w:sz w:val="18"/>
                <w:szCs w:val="18"/>
                <w:color w:val="auto"/>
              </w:rPr>
              <w:t>Average number of table games</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367</w:t>
            </w:r>
          </w:p>
        </w:tc>
        <w:tc>
          <w:tcPr>
            <w:tcW w:w="3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290</w:t>
            </w:r>
          </w:p>
        </w:tc>
        <w:tc>
          <w:tcPr>
            <w:tcW w:w="3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377</w:t>
            </w:r>
          </w:p>
        </w:tc>
        <w:tc>
          <w:tcPr>
            <w:tcW w:w="4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259</w:t>
            </w:r>
          </w:p>
        </w:tc>
      </w:tr>
      <w:tr>
        <w:trPr>
          <w:trHeight w:val="230"/>
        </w:trPr>
        <w:tc>
          <w:tcPr>
            <w:tcW w:w="4840" w:type="dxa"/>
            <w:vAlign w:val="bottom"/>
          </w:tcPr>
          <w:p>
            <w:pPr>
              <w:ind w:left="500"/>
              <w:spacing w:after="0"/>
              <w:rPr>
                <w:sz w:val="20"/>
                <w:szCs w:val="20"/>
                <w:color w:val="auto"/>
              </w:rPr>
            </w:pPr>
            <w:r>
              <w:rPr>
                <w:rFonts w:ascii="Arial" w:cs="Arial" w:eastAsia="Arial" w:hAnsi="Arial"/>
                <w:sz w:val="18"/>
                <w:szCs w:val="18"/>
                <w:color w:val="auto"/>
              </w:rPr>
              <w:t>Average number of slot machines</w:t>
            </w: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1,241</w:t>
            </w:r>
          </w:p>
        </w:tc>
        <w:tc>
          <w:tcPr>
            <w:tcW w:w="36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708</w:t>
            </w:r>
          </w:p>
        </w:tc>
        <w:tc>
          <w:tcPr>
            <w:tcW w:w="3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1,243</w:t>
            </w:r>
          </w:p>
        </w:tc>
        <w:tc>
          <w:tcPr>
            <w:tcW w:w="48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521</w:t>
            </w:r>
          </w:p>
        </w:tc>
      </w:tr>
    </w:tbl>
    <w:p>
      <w:pPr>
        <w:spacing w:after="0" w:line="229" w:lineRule="exact"/>
        <w:rPr>
          <w:sz w:val="20"/>
          <w:szCs w:val="20"/>
          <w:color w:val="auto"/>
        </w:rPr>
      </w:pPr>
    </w:p>
    <w:p>
      <w:pPr>
        <w:ind w:left="300" w:hanging="292"/>
        <w:spacing w:after="0"/>
        <w:tabs>
          <w:tab w:leader="none" w:pos="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ADR is Average Daily Rate and is calculated by dividing total room revenue (less service charges, if any) by total rooms occupied.</w:t>
      </w:r>
    </w:p>
    <w:p>
      <w:pPr>
        <w:spacing w:after="0" w:line="23" w:lineRule="exact"/>
        <w:rPr>
          <w:rFonts w:ascii="Arial" w:cs="Arial" w:eastAsia="Arial" w:hAnsi="Arial"/>
          <w:sz w:val="18"/>
          <w:szCs w:val="18"/>
          <w:color w:val="auto"/>
        </w:rPr>
      </w:pPr>
    </w:p>
    <w:p>
      <w:pPr>
        <w:ind w:left="300" w:hanging="292"/>
        <w:spacing w:after="0"/>
        <w:tabs>
          <w:tab w:leader="none" w:pos="30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REVPAR is Revenue per Available Room and is calculated by dividing total room revenue (less service charges, if any) by total rooms available.</w:t>
      </w:r>
    </w:p>
    <w:p>
      <w:pPr>
        <w:spacing w:after="0" w:line="20" w:lineRule="exact"/>
        <w:rPr>
          <w:rFonts w:ascii="Arial" w:cs="Arial" w:eastAsia="Arial" w:hAnsi="Arial"/>
          <w:sz w:val="17"/>
          <w:szCs w:val="17"/>
          <w:color w:val="auto"/>
        </w:rPr>
      </w:pPr>
    </w:p>
    <w:p>
      <w:pPr>
        <w:ind w:left="300" w:hanging="292"/>
        <w:spacing w:after="0"/>
        <w:tabs>
          <w:tab w:leader="none" w:pos="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Table games win per unit per day is shown before discounts and commissions.</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Slot machine win per unit per day is net of participation fees and progressive accruals.</w:t>
      </w:r>
    </w:p>
    <w:p>
      <w:pPr>
        <w:spacing w:after="0" w:line="9" w:lineRule="exact"/>
        <w:rPr>
          <w:rFonts w:ascii="Arial" w:cs="Arial" w:eastAsia="Arial" w:hAnsi="Arial"/>
          <w:sz w:val="18"/>
          <w:szCs w:val="18"/>
          <w:color w:val="auto"/>
        </w:rPr>
      </w:pPr>
    </w:p>
    <w:p>
      <w:pPr>
        <w:ind w:right="200" w:firstLine="8"/>
        <w:spacing w:after="0" w:line="261" w:lineRule="auto"/>
        <w:tabs>
          <w:tab w:leader="none" w:pos="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Results on the table above include the 10 days of operations for Encore, which opened on December 22, 2008. Encore did not significantly impact our results of operations for the year ended December 31, 2008.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SOURCE: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Samanta Stewart, 702-770-7555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investorrelations@wynnresorts.com</w:t>
      </w:r>
    </w:p>
    <w:p>
      <w:pPr>
        <w:spacing w:after="0" w:line="200" w:lineRule="exact"/>
        <w:rPr>
          <w:sz w:val="20"/>
          <w:szCs w:val="20"/>
          <w:color w:val="auto"/>
        </w:rPr>
      </w:pPr>
    </w:p>
    <w:p>
      <w:pPr>
        <w:spacing w:after="0" w:line="274"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10</w:t>
      </w:r>
    </w:p>
    <w:sectPr>
      <w:pgSz w:w="11900" w:h="16838" w:orient="portrait"/>
      <w:cols w:equalWidth="0" w:num="1">
        <w:col w:w="11320"/>
      </w:cols>
      <w:pgMar w:left="240" w:top="59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o"/>
      <w:numFmt w:val="bullet"/>
      <w:start w:val="1"/>
    </w:lvl>
  </w:abstractNum>
  <w:abstractNum w:abstractNumId="1">
    <w:nsid w:val="238E1F29"/>
    <w:multiLevelType w:val="hybridMultilevel"/>
    <w:lvl w:ilvl="0">
      <w:lvlJc w:val="left"/>
      <w:lvlText w:val="(%1)"/>
      <w:numFmt w:val="lowerLetter"/>
      <w:start w:val="4"/>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2"/>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2019-12-10T21:46:42Z</dcterms:created>
  <dcterms:modified xsi:type="dcterms:W3CDTF">2019-12-10T21:46:42Z</dcterms:modified>
</cp:coreProperties>
</file>