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jc w:val="center"/>
        <w:ind w:right="-1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jc w:val="center"/>
        <w:ind w:right="-119"/>
        <w:spacing w:after="0" w:line="233" w:lineRule="auto"/>
        <w:rPr>
          <w:sz w:val="20"/>
          <w:szCs w:val="20"/>
          <w:color w:val="auto"/>
        </w:rPr>
      </w:pPr>
      <w:r>
        <w:rPr>
          <w:rFonts w:ascii="Arial" w:cs="Arial" w:eastAsia="Arial" w:hAnsi="Arial"/>
          <w:sz w:val="20"/>
          <w:szCs w:val="20"/>
          <w:b w:val="1"/>
          <w:bCs w:val="1"/>
          <w:color w:val="auto"/>
        </w:rPr>
        <w:t>Pursuant to Section 13 or 15(d) of</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April 18, 2011</w:t>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172"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Nevada</w:t>
            </w: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0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2340" w:type="dxa"/>
            <w:vAlign w:val="bottom"/>
          </w:tcPr>
          <w:p>
            <w:pPr>
              <w:jc w:val="center"/>
              <w:ind w:right="81"/>
              <w:spacing w:after="0" w:line="216" w:lineRule="exact"/>
              <w:rPr>
                <w:sz w:val="20"/>
                <w:szCs w:val="20"/>
                <w:color w:val="auto"/>
              </w:rPr>
            </w:pPr>
            <w:r>
              <w:rPr>
                <w:rFonts w:ascii="Arial" w:cs="Arial" w:eastAsia="Arial" w:hAnsi="Arial"/>
                <w:sz w:val="20"/>
                <w:szCs w:val="20"/>
                <w:color w:val="auto"/>
                <w:w w:val="90"/>
              </w:rPr>
              <w:t>(State or Other Jurisdiction</w:t>
            </w:r>
          </w:p>
        </w:tc>
        <w:tc>
          <w:tcPr>
            <w:tcW w:w="5320" w:type="dxa"/>
            <w:vAlign w:val="bottom"/>
          </w:tcPr>
          <w:p>
            <w:pPr>
              <w:jc w:val="center"/>
              <w:spacing w:after="0" w:line="216" w:lineRule="exact"/>
              <w:rPr>
                <w:sz w:val="20"/>
                <w:szCs w:val="20"/>
                <w:color w:val="auto"/>
              </w:rPr>
            </w:pPr>
            <w:r>
              <w:rPr>
                <w:rFonts w:ascii="Arial" w:cs="Arial" w:eastAsia="Arial" w:hAnsi="Arial"/>
                <w:sz w:val="20"/>
                <w:szCs w:val="20"/>
                <w:color w:val="auto"/>
                <w:w w:val="91"/>
              </w:rPr>
              <w:t>(Commission File</w:t>
            </w:r>
          </w:p>
        </w:tc>
        <w:tc>
          <w:tcPr>
            <w:tcW w:w="2100" w:type="dxa"/>
            <w:vAlign w:val="bottom"/>
          </w:tcPr>
          <w:p>
            <w:pPr>
              <w:jc w:val="center"/>
              <w:ind w:left="161"/>
              <w:spacing w:after="0" w:line="216" w:lineRule="exact"/>
              <w:rPr>
                <w:sz w:val="20"/>
                <w:szCs w:val="20"/>
                <w:color w:val="auto"/>
              </w:rPr>
            </w:pPr>
            <w:r>
              <w:rPr>
                <w:rFonts w:ascii="Arial" w:cs="Arial" w:eastAsia="Arial" w:hAnsi="Arial"/>
                <w:sz w:val="20"/>
                <w:szCs w:val="20"/>
                <w:color w:val="auto"/>
                <w:w w:val="92"/>
              </w:rPr>
              <w:t>(I.R.S. Employer</w:t>
            </w:r>
          </w:p>
        </w:tc>
      </w:tr>
      <w:tr>
        <w:trPr>
          <w:trHeight w:val="250"/>
        </w:trPr>
        <w:tc>
          <w:tcPr>
            <w:tcW w:w="2340" w:type="dxa"/>
            <w:vAlign w:val="bottom"/>
          </w:tcPr>
          <w:p>
            <w:pPr>
              <w:jc w:val="center"/>
              <w:ind w:right="81"/>
              <w:spacing w:after="0"/>
              <w:rPr>
                <w:sz w:val="20"/>
                <w:szCs w:val="20"/>
                <w:color w:val="auto"/>
              </w:rPr>
            </w:pPr>
            <w:r>
              <w:rPr>
                <w:rFonts w:ascii="Arial" w:cs="Arial" w:eastAsia="Arial" w:hAnsi="Arial"/>
                <w:sz w:val="20"/>
                <w:szCs w:val="20"/>
                <w:color w:val="auto"/>
                <w:w w:val="93"/>
              </w:rPr>
              <w:t>of Incorporation)</w:t>
            </w:r>
          </w:p>
        </w:tc>
        <w:tc>
          <w:tcPr>
            <w:tcW w:w="532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100" w:type="dxa"/>
            <w:vAlign w:val="bottom"/>
          </w:tcPr>
          <w:p>
            <w:pPr>
              <w:jc w:val="center"/>
              <w:ind w:left="161"/>
              <w:spacing w:after="0"/>
              <w:rPr>
                <w:sz w:val="20"/>
                <w:szCs w:val="20"/>
                <w:color w:val="auto"/>
              </w:rPr>
            </w:pPr>
            <w:r>
              <w:rPr>
                <w:rFonts w:ascii="Arial" w:cs="Arial" w:eastAsia="Arial" w:hAnsi="Arial"/>
                <w:sz w:val="20"/>
                <w:szCs w:val="20"/>
                <w:color w:val="auto"/>
                <w:w w:val="94"/>
              </w:rPr>
              <w:t>Identification Number)</w:t>
            </w:r>
          </w:p>
        </w:tc>
      </w:tr>
      <w:tr>
        <w:trPr>
          <w:trHeight w:val="60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7"/>
              </w:rPr>
              <w:t>3131 Las Vegas Boulevard South</w:t>
            </w:r>
          </w:p>
        </w:tc>
        <w:tc>
          <w:tcPr>
            <w:tcW w:w="2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532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7"/>
              </w:rPr>
              <w:t>Las Vegas, Nevada 89109</w:t>
            </w:r>
          </w:p>
        </w:tc>
        <w:tc>
          <w:tcPr>
            <w:tcW w:w="2100" w:type="dxa"/>
            <w:vAlign w:val="bottom"/>
          </w:tcPr>
          <w:p>
            <w:pPr>
              <w:spacing w:after="0"/>
              <w:rPr>
                <w:sz w:val="19"/>
                <w:szCs w:val="19"/>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91"/>
              </w:rPr>
              <w:t>(Address of principal executive offices) (Zip Code)</w:t>
            </w:r>
          </w:p>
        </w:tc>
        <w:tc>
          <w:tcPr>
            <w:tcW w:w="2100" w:type="dxa"/>
            <w:vAlign w:val="bottom"/>
          </w:tcPr>
          <w:p>
            <w:pPr>
              <w:spacing w:after="0"/>
              <w:rPr>
                <w:sz w:val="21"/>
                <w:szCs w:val="21"/>
                <w:color w:val="auto"/>
              </w:rPr>
            </w:pPr>
          </w:p>
        </w:tc>
      </w:tr>
      <w:tr>
        <w:trPr>
          <w:trHeight w:val="39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90"/>
              </w:rPr>
              <w:t>(702) 770-7555</w:t>
            </w:r>
          </w:p>
        </w:tc>
        <w:tc>
          <w:tcPr>
            <w:tcW w:w="210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88"/>
              </w:rPr>
              <w:t>(Registrant’s telephone number, including area code)</w:t>
            </w:r>
          </w:p>
        </w:tc>
        <w:tc>
          <w:tcPr>
            <w:tcW w:w="2100" w:type="dxa"/>
            <w:vAlign w:val="bottom"/>
          </w:tcPr>
          <w:p>
            <w:pPr>
              <w:spacing w:after="0"/>
              <w:rPr>
                <w:sz w:val="21"/>
                <w:szCs w:val="21"/>
                <w:color w:val="auto"/>
              </w:rPr>
            </w:pPr>
          </w:p>
        </w:tc>
      </w:tr>
      <w:tr>
        <w:trPr>
          <w:trHeight w:val="398"/>
        </w:trPr>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20"/>
                <w:szCs w:val="20"/>
                <w:b w:val="1"/>
                <w:bCs w:val="1"/>
                <w:color w:val="auto"/>
                <w:w w:val="89"/>
              </w:rPr>
              <w:t>Not applicable.</w:t>
            </w:r>
          </w:p>
        </w:tc>
        <w:tc>
          <w:tcPr>
            <w:tcW w:w="210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5320" w:type="dxa"/>
            <w:vAlign w:val="bottom"/>
          </w:tcPr>
          <w:p>
            <w:pPr>
              <w:jc w:val="center"/>
              <w:ind w:right="1"/>
              <w:spacing w:after="0"/>
              <w:rPr>
                <w:sz w:val="20"/>
                <w:szCs w:val="20"/>
                <w:color w:val="auto"/>
              </w:rPr>
            </w:pPr>
            <w:r>
              <w:rPr>
                <w:rFonts w:ascii="Arial" w:cs="Arial" w:eastAsia="Arial" w:hAnsi="Arial"/>
                <w:sz w:val="20"/>
                <w:szCs w:val="20"/>
                <w:color w:val="auto"/>
                <w:w w:val="88"/>
              </w:rPr>
              <w:t>(Former name or former address, if changed since last report)</w:t>
            </w:r>
          </w:p>
        </w:tc>
        <w:tc>
          <w:tcPr>
            <w:tcW w:w="2100" w:type="dxa"/>
            <w:vAlign w:val="bottom"/>
          </w:tcPr>
          <w:p>
            <w:pPr>
              <w:spacing w:after="0"/>
              <w:rPr>
                <w:sz w:val="21"/>
                <w:szCs w:val="21"/>
                <w:color w:val="auto"/>
              </w:rPr>
            </w:pPr>
          </w:p>
        </w:tc>
      </w:tr>
    </w:tbl>
    <w:p>
      <w:pPr>
        <w:spacing w:after="0" w:line="398"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179"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179"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819"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Wynn Resorts, Limited (the “Company”) has determined that the stock performance graph it voluntarily included in Item 5 of the Company’s Annual Report on Form 10-K for the fiscal year ended December 31, 2010 (the “2010 10-K”) failed to reflect the reinvestment of dividends on the Company’s common stock, and therefore under-reported the Company’s stock price performance. A revised stock performance graph is attached hereto as Exhibit 99.1 and is incorporated by reference herein. Exhibit 99.1 supersedes the section titled “Stock Performance Graph” set forth in Item 5 of the 2010 10-K.</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Stock Performance Graph of Wynn Resorts, Limited, December 31, 2005 to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20" w:right="3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April 18, 2011</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2"/>
          <w:szCs w:val="22"/>
          <w:color w:val="auto"/>
        </w:rPr>
        <w:t>Kim Sinatra</w:t>
      </w:r>
    </w:p>
    <w:p>
      <w:pPr>
        <w:ind w:left="6300"/>
        <w:spacing w:after="0" w:line="230" w:lineRule="auto"/>
        <w:rPr>
          <w:sz w:val="20"/>
          <w:szCs w:val="20"/>
          <w:color w:val="auto"/>
        </w:rPr>
      </w:pPr>
      <w:r>
        <w:rPr>
          <w:rFonts w:ascii="Arial" w:cs="Arial" w:eastAsia="Arial" w:hAnsi="Arial"/>
          <w:sz w:val="22"/>
          <w:szCs w:val="22"/>
          <w:color w:val="auto"/>
        </w:rPr>
        <w:t>Senior Vice President,</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560070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47"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20" w:type="dxa"/>
            <w:vAlign w:val="bottom"/>
          </w:tcPr>
          <w:p>
            <w:pPr>
              <w:ind w:left="3160"/>
              <w:spacing w:after="0"/>
              <w:rPr>
                <w:sz w:val="20"/>
                <w:szCs w:val="20"/>
                <w:color w:val="auto"/>
              </w:rPr>
            </w:pPr>
            <w:r>
              <w:rPr>
                <w:rFonts w:ascii="Arial" w:cs="Arial" w:eastAsia="Arial" w:hAnsi="Arial"/>
                <w:sz w:val="22"/>
                <w:szCs w:val="22"/>
                <w:color w:val="auto"/>
              </w:rPr>
              <w:t>EXHIBIT INDEX</w:t>
            </w:r>
          </w:p>
        </w:tc>
        <w:tc>
          <w:tcPr>
            <w:tcW w:w="460" w:type="dxa"/>
            <w:vAlign w:val="bottom"/>
          </w:tcPr>
          <w:p>
            <w:pPr>
              <w:spacing w:after="0"/>
              <w:rPr>
                <w:sz w:val="23"/>
                <w:szCs w:val="23"/>
                <w:color w:val="auto"/>
              </w:rPr>
            </w:pPr>
          </w:p>
        </w:tc>
      </w:tr>
      <w:tr>
        <w:trPr>
          <w:trHeight w:val="476"/>
        </w:trPr>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Exhibit No.</w:t>
            </w:r>
          </w:p>
        </w:tc>
        <w:tc>
          <w:tcPr>
            <w:tcW w:w="280" w:type="dxa"/>
            <w:vAlign w:val="bottom"/>
          </w:tcPr>
          <w:p>
            <w:pPr>
              <w:spacing w:after="0"/>
              <w:rPr>
                <w:sz w:val="24"/>
                <w:szCs w:val="24"/>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Description</w:t>
            </w:r>
          </w:p>
        </w:tc>
        <w:tc>
          <w:tcPr>
            <w:tcW w:w="460" w:type="dxa"/>
            <w:vAlign w:val="bottom"/>
          </w:tcPr>
          <w:p>
            <w:pPr>
              <w:spacing w:after="0"/>
              <w:rPr>
                <w:sz w:val="24"/>
                <w:szCs w:val="24"/>
                <w:color w:val="auto"/>
              </w:rPr>
            </w:pPr>
          </w:p>
        </w:tc>
      </w:tr>
      <w:tr>
        <w:trPr>
          <w:trHeight w:val="463"/>
        </w:trPr>
        <w:tc>
          <w:tcPr>
            <w:tcW w:w="148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22"/>
                <w:szCs w:val="22"/>
                <w:color w:val="auto"/>
                <w:w w:val="97"/>
              </w:rPr>
              <w:t>Stock Performance Graph of Wynn Resorts, Limited, December 31, 2005 to December 31, 2010.</w:t>
            </w:r>
          </w:p>
        </w:tc>
        <w:tc>
          <w:tcPr>
            <w:tcW w:w="460" w:type="dxa"/>
            <w:vAlign w:val="bottom"/>
          </w:tcPr>
          <w:p>
            <w:pPr>
              <w:spacing w:after="0"/>
              <w:rPr>
                <w:sz w:val="24"/>
                <w:szCs w:val="24"/>
                <w:color w:val="auto"/>
              </w:rPr>
            </w:pPr>
          </w:p>
        </w:tc>
      </w:tr>
      <w:tr>
        <w:trPr>
          <w:trHeight w:val="838"/>
        </w:trPr>
        <w:tc>
          <w:tcPr>
            <w:tcW w:w="1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239" w:lineRule="exact"/>
        <w:rPr>
          <w:sz w:val="20"/>
          <w:szCs w:val="20"/>
          <w:color w:val="auto"/>
        </w:rPr>
      </w:pPr>
    </w:p>
    <w:p>
      <w:pPr>
        <w:jc w:val="both"/>
        <w:ind w:right="60"/>
        <w:spacing w:after="0" w:line="282" w:lineRule="auto"/>
        <w:rPr>
          <w:sz w:val="20"/>
          <w:szCs w:val="20"/>
          <w:color w:val="auto"/>
        </w:rPr>
      </w:pPr>
      <w:r>
        <w:rPr>
          <w:rFonts w:ascii="Arial" w:cs="Arial" w:eastAsia="Arial" w:hAnsi="Arial"/>
          <w:sz w:val="19"/>
          <w:szCs w:val="19"/>
          <w:color w:val="auto"/>
        </w:rPr>
        <w:t>The graph below compares the five year cumulative total return on the common stock of Wynn Resorts, Limited (the “Company”) to the cumulative total return of the Standard &amp; Poor’s 500 Stock Index (“S&amp;P 500”) and the Dow Jones US Gambling Index. The performance graph assumes that $100 was invested on December 31, 2005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4793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79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12/05</w:t>
            </w: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12/06</w:t>
            </w: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12/07</w:t>
            </w: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12/08</w:t>
            </w: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12/09</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Wynn Resorts Ltd.</w:t>
            </w:r>
          </w:p>
        </w:tc>
        <w:tc>
          <w:tcPr>
            <w:tcW w:w="218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100.00</w:t>
            </w:r>
          </w:p>
        </w:tc>
        <w:tc>
          <w:tcPr>
            <w:tcW w:w="138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182.51</w:t>
            </w:r>
          </w:p>
        </w:tc>
        <w:tc>
          <w:tcPr>
            <w:tcW w:w="140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228.00</w:t>
            </w:r>
          </w:p>
        </w:tc>
        <w:tc>
          <w:tcPr>
            <w:tcW w:w="130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85.93</w:t>
            </w:r>
          </w:p>
        </w:tc>
        <w:tc>
          <w:tcPr>
            <w:tcW w:w="136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125.47</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242.51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2180" w:type="dxa"/>
            <w:vAlign w:val="bottom"/>
          </w:tcPr>
          <w:p>
            <w:pPr>
              <w:jc w:val="right"/>
              <w:ind w:right="428"/>
              <w:spacing w:after="0"/>
              <w:rPr>
                <w:sz w:val="20"/>
                <w:szCs w:val="20"/>
                <w:color w:val="auto"/>
              </w:rPr>
            </w:pPr>
            <w:r>
              <w:rPr>
                <w:rFonts w:ascii="Arial" w:cs="Arial" w:eastAsia="Arial" w:hAnsi="Arial"/>
                <w:sz w:val="14"/>
                <w:szCs w:val="14"/>
                <w:b w:val="1"/>
                <w:bCs w:val="1"/>
                <w:color w:val="auto"/>
              </w:rPr>
              <w:t>100.00</w:t>
            </w: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115.80</w:t>
            </w: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122.16</w:t>
            </w: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76.96</w:t>
            </w: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97.33</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111.99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Dow Jones US Gambling</w:t>
            </w:r>
          </w:p>
        </w:tc>
        <w:tc>
          <w:tcPr>
            <w:tcW w:w="218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100.00</w:t>
            </w:r>
          </w:p>
        </w:tc>
        <w:tc>
          <w:tcPr>
            <w:tcW w:w="138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145.71</w:t>
            </w:r>
          </w:p>
        </w:tc>
        <w:tc>
          <w:tcPr>
            <w:tcW w:w="140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167.28</w:t>
            </w:r>
          </w:p>
        </w:tc>
        <w:tc>
          <w:tcPr>
            <w:tcW w:w="130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44.99</w:t>
            </w:r>
          </w:p>
        </w:tc>
        <w:tc>
          <w:tcPr>
            <w:tcW w:w="136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70.06</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121.28</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The performance graph should not be deemed filed or incorporated by reference into any other of the Company’s filings under the Securities Act of 1933 or the Exchange Act of 1934, unless the Company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7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2019-12-10T22:09:30Z</dcterms:created>
  <dcterms:modified xsi:type="dcterms:W3CDTF">2019-12-10T22:09:30Z</dcterms:modified>
</cp:coreProperties>
</file>