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9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70" w:lineRule="exact"/>
        <w:rPr>
          <w:sz w:val="24"/>
          <w:szCs w:val="24"/>
          <w:color w:val="auto"/>
        </w:rPr>
      </w:pPr>
    </w:p>
    <w:p>
      <w:pPr>
        <w:jc w:val="center"/>
        <w:ind w:right="2099"/>
        <w:spacing w:after="0"/>
        <w:rPr>
          <w:sz w:val="20"/>
          <w:szCs w:val="20"/>
          <w:color w:val="auto"/>
        </w:rPr>
      </w:pPr>
      <w:r>
        <w:rPr>
          <w:rFonts w:ascii="Arial" w:cs="Arial" w:eastAsia="Arial" w:hAnsi="Arial"/>
          <w:sz w:val="22"/>
          <w:szCs w:val="22"/>
          <w:b w:val="1"/>
          <w:bCs w:val="1"/>
          <w:color w:val="auto"/>
        </w:rPr>
        <w:t>FORM 8-K</w:t>
      </w:r>
    </w:p>
    <w:p>
      <w:pPr>
        <w:spacing w:after="0" w:line="233" w:lineRule="exact"/>
        <w:rPr>
          <w:sz w:val="24"/>
          <w:szCs w:val="24"/>
          <w:color w:val="auto"/>
        </w:rPr>
      </w:pPr>
    </w:p>
    <w:p>
      <w:pPr>
        <w:ind w:left="3060"/>
        <w:spacing w:after="0"/>
        <w:rPr>
          <w:sz w:val="20"/>
          <w:szCs w:val="20"/>
          <w:color w:val="auto"/>
        </w:rPr>
      </w:pPr>
      <w:r>
        <w:rPr>
          <w:rFonts w:ascii="Arial" w:cs="Arial" w:eastAsia="Arial" w:hAnsi="Arial"/>
          <w:sz w:val="22"/>
          <w:szCs w:val="22"/>
          <w:b w:val="1"/>
          <w:bCs w:val="1"/>
          <w:color w:val="auto"/>
        </w:rPr>
        <w:t>CURRENT REPORT</w:t>
      </w:r>
    </w:p>
    <w:p>
      <w:pPr>
        <w:spacing w:after="0" w:line="200" w:lineRule="exact"/>
        <w:rPr>
          <w:sz w:val="24"/>
          <w:szCs w:val="24"/>
          <w:color w:val="auto"/>
        </w:rPr>
      </w:pPr>
    </w:p>
    <w:p>
      <w:pPr>
        <w:spacing w:after="0" w:line="28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SECURITIES EXCHANGE ACT OF 1934</w:t>
      </w:r>
    </w:p>
    <w:p>
      <w:pPr>
        <w:spacing w:after="0" w:line="240" w:lineRule="exact"/>
        <w:rPr>
          <w:sz w:val="24"/>
          <w:szCs w:val="24"/>
          <w:color w:val="auto"/>
        </w:rPr>
      </w:pPr>
    </w:p>
    <w:p>
      <w:pPr>
        <w:jc w:val="center"/>
        <w:ind w:right="2099"/>
        <w:spacing w:after="0"/>
        <w:tabs>
          <w:tab w:leader="none" w:pos="20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6"/>
          <w:szCs w:val="16"/>
          <w:b w:val="1"/>
          <w:bCs w:val="1"/>
          <w:color w:val="auto"/>
        </w:rPr>
        <w:t>March 18, 2005</w:t>
      </w:r>
    </w:p>
    <w:p>
      <w:pPr>
        <w:spacing w:after="0" w:line="239" w:lineRule="exact"/>
        <w:rPr>
          <w:sz w:val="24"/>
          <w:szCs w:val="24"/>
          <w:color w:val="auto"/>
        </w:rPr>
      </w:pPr>
    </w:p>
    <w:p>
      <w:pPr>
        <w:jc w:val="center"/>
        <w:ind w:right="2099"/>
        <w:spacing w:after="0"/>
        <w:rPr>
          <w:sz w:val="20"/>
          <w:szCs w:val="20"/>
          <w:color w:val="auto"/>
        </w:rPr>
      </w:pPr>
      <w:r>
        <w:rPr>
          <w:rFonts w:ascii="Arial" w:cs="Arial" w:eastAsia="Arial" w:hAnsi="Arial"/>
          <w:sz w:val="22"/>
          <w:szCs w:val="22"/>
          <w:b w:val="1"/>
          <w:bCs w:val="1"/>
          <w:color w:val="auto"/>
        </w:rPr>
        <w:t>Wynn Resorts, Limited</w:t>
      </w:r>
    </w:p>
    <w:p>
      <w:pPr>
        <w:spacing w:after="0" w:line="23" w:lineRule="exact"/>
        <w:rPr>
          <w:sz w:val="24"/>
          <w:szCs w:val="24"/>
          <w:color w:val="auto"/>
        </w:rPr>
      </w:pPr>
    </w:p>
    <w:p>
      <w:pPr>
        <w:ind w:left="2160"/>
        <w:spacing w:after="0"/>
        <w:rPr>
          <w:sz w:val="20"/>
          <w:szCs w:val="20"/>
          <w:color w:val="auto"/>
        </w:rPr>
      </w:pPr>
      <w:r>
        <w:rPr>
          <w:rFonts w:ascii="Arial" w:cs="Arial" w:eastAsia="Arial" w:hAnsi="Arial"/>
          <w:sz w:val="18"/>
          <w:szCs w:val="18"/>
          <w:color w:val="auto"/>
        </w:rPr>
        <w:t>(Exact Name of Registrant as Specified in its Charter)</w:t>
      </w:r>
    </w:p>
    <w:p>
      <w:pPr>
        <w:spacing w:after="0" w:line="232" w:lineRule="exact"/>
        <w:rPr>
          <w:sz w:val="24"/>
          <w:szCs w:val="24"/>
          <w:color w:val="auto"/>
        </w:rPr>
      </w:pPr>
    </w:p>
    <w:p>
      <w:pPr>
        <w:ind w:left="1060"/>
        <w:spacing w:after="0"/>
        <w:tabs>
          <w:tab w:leader="none" w:pos="3660" w:val="left"/>
          <w:tab w:leader="none" w:pos="6320" w:val="left"/>
        </w:tabs>
        <w:rPr>
          <w:sz w:val="20"/>
          <w:szCs w:val="20"/>
          <w:color w:val="auto"/>
        </w:rPr>
      </w:pPr>
      <w:r>
        <w:rPr>
          <w:rFonts w:ascii="Arial" w:cs="Arial" w:eastAsia="Arial" w:hAnsi="Arial"/>
          <w:sz w:val="18"/>
          <w:szCs w:val="18"/>
          <w:b w:val="1"/>
          <w:bCs w:val="1"/>
          <w:color w:val="auto"/>
        </w:rPr>
        <w:t>Nevada</w:t>
      </w:r>
      <w:r>
        <w:rPr>
          <w:sz w:val="20"/>
          <w:szCs w:val="20"/>
          <w:color w:val="auto"/>
        </w:rPr>
        <w:tab/>
      </w:r>
      <w:r>
        <w:rPr>
          <w:rFonts w:ascii="Arial" w:cs="Arial" w:eastAsia="Arial" w:hAnsi="Arial"/>
          <w:sz w:val="18"/>
          <w:szCs w:val="18"/>
          <w:b w:val="1"/>
          <w:bCs w:val="1"/>
          <w:color w:val="auto"/>
        </w:rPr>
        <w:t>000-50028</w:t>
      </w:r>
      <w:r>
        <w:rPr>
          <w:sz w:val="20"/>
          <w:szCs w:val="20"/>
          <w:color w:val="auto"/>
        </w:rPr>
        <w:tab/>
      </w:r>
      <w:r>
        <w:rPr>
          <w:rFonts w:ascii="Arial" w:cs="Arial" w:eastAsia="Arial" w:hAnsi="Arial"/>
          <w:sz w:val="16"/>
          <w:szCs w:val="16"/>
          <w:b w:val="1"/>
          <w:bCs w:val="1"/>
          <w:color w:val="auto"/>
        </w:rPr>
        <w:t>46-0484987</w:t>
      </w:r>
    </w:p>
    <w:p>
      <w:pPr>
        <w:spacing w:after="0" w:line="21" w:lineRule="exact"/>
        <w:rPr>
          <w:sz w:val="24"/>
          <w:szCs w:val="24"/>
          <w:color w:val="auto"/>
        </w:rPr>
      </w:pPr>
    </w:p>
    <w:p>
      <w:pPr>
        <w:ind w:left="380"/>
        <w:spacing w:after="0"/>
        <w:tabs>
          <w:tab w:leader="none" w:pos="3560" w:val="left"/>
          <w:tab w:leader="none" w:pos="6220" w:val="left"/>
        </w:tabs>
        <w:rPr>
          <w:sz w:val="20"/>
          <w:szCs w:val="20"/>
          <w:color w:val="auto"/>
        </w:rPr>
      </w:pPr>
      <w:r>
        <w:rPr>
          <w:rFonts w:ascii="Arial" w:cs="Arial" w:eastAsia="Arial" w:hAnsi="Arial"/>
          <w:sz w:val="18"/>
          <w:szCs w:val="18"/>
          <w:color w:val="auto"/>
        </w:rPr>
        <w:t>(State or Other Jurisdiction</w:t>
      </w:r>
      <w:r>
        <w:rPr>
          <w:sz w:val="20"/>
          <w:szCs w:val="20"/>
          <w:color w:val="auto"/>
        </w:rPr>
        <w:tab/>
      </w:r>
      <w:r>
        <w:rPr>
          <w:rFonts w:ascii="Arial" w:cs="Arial" w:eastAsia="Arial" w:hAnsi="Arial"/>
          <w:sz w:val="18"/>
          <w:szCs w:val="18"/>
          <w:color w:val="auto"/>
        </w:rPr>
        <w:t>(Commission</w:t>
      </w:r>
      <w:r>
        <w:rPr>
          <w:sz w:val="20"/>
          <w:szCs w:val="20"/>
          <w:color w:val="auto"/>
        </w:rPr>
        <w:tab/>
      </w:r>
      <w:r>
        <w:rPr>
          <w:rFonts w:ascii="Arial" w:cs="Arial" w:eastAsia="Arial" w:hAnsi="Arial"/>
          <w:sz w:val="16"/>
          <w:szCs w:val="16"/>
          <w:color w:val="auto"/>
        </w:rPr>
        <w:t>(IRS Employer</w:t>
      </w:r>
    </w:p>
    <w:p>
      <w:pPr>
        <w:spacing w:after="0" w:line="9" w:lineRule="exact"/>
        <w:rPr>
          <w:sz w:val="24"/>
          <w:szCs w:val="24"/>
          <w:color w:val="auto"/>
        </w:rPr>
      </w:pPr>
    </w:p>
    <w:p>
      <w:pPr>
        <w:ind w:left="740"/>
        <w:spacing w:after="0"/>
        <w:tabs>
          <w:tab w:leader="none" w:pos="3560" w:val="left"/>
          <w:tab w:leader="none" w:pos="6100" w:val="left"/>
        </w:tabs>
        <w:rPr>
          <w:sz w:val="20"/>
          <w:szCs w:val="20"/>
          <w:color w:val="auto"/>
        </w:rPr>
      </w:pPr>
      <w:r>
        <w:rPr>
          <w:rFonts w:ascii="Arial" w:cs="Arial" w:eastAsia="Arial" w:hAnsi="Arial"/>
          <w:sz w:val="18"/>
          <w:szCs w:val="18"/>
          <w:color w:val="auto"/>
        </w:rPr>
        <w:t>of Incorporation)</w:t>
      </w:r>
      <w:r>
        <w:rPr>
          <w:sz w:val="20"/>
          <w:szCs w:val="20"/>
          <w:color w:val="auto"/>
        </w:rPr>
        <w:tab/>
      </w:r>
      <w:r>
        <w:rPr>
          <w:rFonts w:ascii="Arial" w:cs="Arial" w:eastAsia="Arial" w:hAnsi="Arial"/>
          <w:sz w:val="18"/>
          <w:szCs w:val="18"/>
          <w:color w:val="auto"/>
        </w:rPr>
        <w:t>File Number)</w:t>
      </w:r>
      <w:r>
        <w:rPr>
          <w:sz w:val="20"/>
          <w:szCs w:val="20"/>
          <w:color w:val="auto"/>
        </w:rPr>
        <w:tab/>
      </w:r>
      <w:r>
        <w:rPr>
          <w:rFonts w:ascii="Arial" w:cs="Arial" w:eastAsia="Arial" w:hAnsi="Arial"/>
          <w:sz w:val="16"/>
          <w:szCs w:val="16"/>
          <w:color w:val="auto"/>
        </w:rPr>
        <w:t>Identification No.)</w:t>
      </w: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3131 Las Vegas Boulevard South</w:t>
      </w:r>
    </w:p>
    <w:p>
      <w:pPr>
        <w:spacing w:after="0" w:line="21" w:lineRule="exact"/>
        <w:rPr>
          <w:sz w:val="24"/>
          <w:szCs w:val="24"/>
          <w:color w:val="auto"/>
        </w:rPr>
      </w:pPr>
    </w:p>
    <w:p>
      <w:pPr>
        <w:spacing w:after="0"/>
        <w:tabs>
          <w:tab w:leader="none" w:pos="6440" w:val="left"/>
        </w:tabs>
        <w:rPr>
          <w:sz w:val="20"/>
          <w:szCs w:val="20"/>
          <w:color w:val="auto"/>
        </w:rPr>
      </w:pPr>
      <w:r>
        <w:rPr>
          <w:rFonts w:ascii="Arial" w:cs="Arial" w:eastAsia="Arial" w:hAnsi="Arial"/>
          <w:sz w:val="18"/>
          <w:szCs w:val="18"/>
          <w:b w:val="1"/>
          <w:bCs w:val="1"/>
          <w:color w:val="auto"/>
        </w:rPr>
        <w:t>Las Vegas, Nevada</w:t>
      </w:r>
      <w:r>
        <w:rPr>
          <w:sz w:val="20"/>
          <w:szCs w:val="20"/>
          <w:color w:val="auto"/>
        </w:rPr>
        <w:tab/>
      </w:r>
      <w:r>
        <w:rPr>
          <w:rFonts w:ascii="Arial" w:cs="Arial" w:eastAsia="Arial" w:hAnsi="Arial"/>
          <w:sz w:val="15"/>
          <w:szCs w:val="15"/>
          <w:b w:val="1"/>
          <w:bCs w:val="1"/>
          <w:color w:val="auto"/>
        </w:rPr>
        <w:t>89109</w:t>
      </w:r>
    </w:p>
    <w:p>
      <w:pPr>
        <w:spacing w:after="0" w:line="9" w:lineRule="exact"/>
        <w:rPr>
          <w:sz w:val="24"/>
          <w:szCs w:val="24"/>
          <w:color w:val="auto"/>
        </w:rPr>
      </w:pPr>
    </w:p>
    <w:p>
      <w:pPr>
        <w:spacing w:after="0"/>
        <w:tabs>
          <w:tab w:leader="none" w:pos="6280" w:val="left"/>
        </w:tabs>
        <w:rPr>
          <w:sz w:val="20"/>
          <w:szCs w:val="20"/>
          <w:color w:val="auto"/>
        </w:rPr>
      </w:pPr>
      <w:r>
        <w:rPr>
          <w:rFonts w:ascii="Arial" w:cs="Arial" w:eastAsia="Arial" w:hAnsi="Arial"/>
          <w:sz w:val="18"/>
          <w:szCs w:val="18"/>
          <w:color w:val="auto"/>
        </w:rPr>
        <w:t>(Address of Principal Executive Offices)</w:t>
      </w:r>
      <w:r>
        <w:rPr>
          <w:sz w:val="20"/>
          <w:szCs w:val="20"/>
          <w:color w:val="auto"/>
        </w:rPr>
        <w:tab/>
      </w:r>
      <w:r>
        <w:rPr>
          <w:rFonts w:ascii="Arial" w:cs="Arial" w:eastAsia="Arial" w:hAnsi="Arial"/>
          <w:sz w:val="16"/>
          <w:szCs w:val="16"/>
          <w:color w:val="auto"/>
        </w:rPr>
        <w:t>(Zip Code)</w:t>
      </w:r>
    </w:p>
    <w:p>
      <w:pPr>
        <w:spacing w:after="0" w:line="240"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(702) 770-7555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1282700</wp:posOffset>
            </wp:positionH>
            <wp:positionV relativeFrom="paragraph">
              <wp:posOffset>71120</wp:posOffset>
            </wp:positionV>
            <wp:extent cx="260286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02865" cy="34290"/>
                    </a:xfrm>
                    <a:prstGeom prst="rect">
                      <a:avLst/>
                    </a:prstGeom>
                    <a:noFill/>
                  </pic:spPr>
                </pic:pic>
              </a:graphicData>
            </a:graphic>
          </wp:anchor>
        </w:drawing>
      </w:r>
    </w:p>
    <w:p>
      <w:pPr>
        <w:spacing w:after="0" w:line="225"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ind w:right="2259"/>
        <w:spacing w:after="0" w:line="286"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29"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43"/>
          <w:szCs w:val="43"/>
          <w:color w:val="auto"/>
          <w:vertAlign w:val="subscript"/>
        </w:rPr>
      </w:pPr>
      <w:r>
        <w:rPr>
          <w:rFonts w:ascii="Arial" w:cs="Arial" w:eastAsia="Arial" w:hAnsi="Arial"/>
          <w:sz w:val="18"/>
          <w:szCs w:val="18"/>
          <w:color w:val="auto"/>
        </w:rPr>
        <w:t>Written communications pursuant to Rule 425 under the Securities Act (17 CFR 230.425)</w:t>
      </w:r>
    </w:p>
    <w:p>
      <w:pPr>
        <w:spacing w:after="0" w:line="76" w:lineRule="exact"/>
        <w:rPr>
          <w:rFonts w:ascii="MS PGothic" w:cs="MS PGothic" w:eastAsia="MS PGothic" w:hAnsi="MS PGothic"/>
          <w:sz w:val="43"/>
          <w:szCs w:val="43"/>
          <w:color w:val="auto"/>
          <w:vertAlign w:val="subscript"/>
        </w:rPr>
      </w:pPr>
    </w:p>
    <w:p>
      <w:pPr>
        <w:ind w:left="340" w:hanging="332"/>
        <w:spacing w:after="0" w:line="236" w:lineRule="auto"/>
        <w:tabs>
          <w:tab w:leader="none" w:pos="340" w:val="left"/>
        </w:tabs>
        <w:numPr>
          <w:ilvl w:val="0"/>
          <w:numId w:val="1"/>
        </w:numPr>
        <w:rPr>
          <w:rFonts w:ascii="MS PGothic" w:cs="MS PGothic" w:eastAsia="MS PGothic" w:hAnsi="MS PGothic"/>
          <w:sz w:val="43"/>
          <w:szCs w:val="43"/>
          <w:color w:val="auto"/>
          <w:vertAlign w:val="subscript"/>
        </w:rPr>
      </w:pPr>
      <w:r>
        <w:rPr>
          <w:rFonts w:ascii="Arial" w:cs="Arial" w:eastAsia="Arial" w:hAnsi="Arial"/>
          <w:sz w:val="18"/>
          <w:szCs w:val="18"/>
          <w:color w:val="auto"/>
        </w:rPr>
        <w:t>Soliciting material pursuant to Rule 14a-12 under the Exchange Act (17 CFR 240.14a-12)</w:t>
      </w:r>
    </w:p>
    <w:p>
      <w:pPr>
        <w:spacing w:after="0" w:line="277" w:lineRule="exact"/>
        <w:rPr>
          <w:rFonts w:ascii="MS PGothic" w:cs="MS PGothic" w:eastAsia="MS PGothic" w:hAnsi="MS PGothic"/>
          <w:sz w:val="43"/>
          <w:szCs w:val="43"/>
          <w:color w:val="auto"/>
          <w:vertAlign w:val="subscript"/>
        </w:rPr>
      </w:pPr>
    </w:p>
    <w:p>
      <w:pPr>
        <w:ind w:left="340" w:right="3659" w:hanging="332"/>
        <w:spacing w:after="0" w:line="186" w:lineRule="auto"/>
        <w:tabs>
          <w:tab w:leader="none" w:pos="340" w:val="left"/>
        </w:tabs>
        <w:numPr>
          <w:ilvl w:val="0"/>
          <w:numId w:val="1"/>
        </w:numPr>
        <w:rPr>
          <w:rFonts w:ascii="MS PGothic" w:cs="MS PGothic" w:eastAsia="MS PGothic" w:hAnsi="MS PGothic"/>
          <w:sz w:val="38"/>
          <w:szCs w:val="38"/>
          <w:color w:val="auto"/>
          <w:vertAlign w:val="subscript"/>
        </w:rPr>
      </w:pPr>
      <w:r>
        <w:rPr>
          <w:rFonts w:ascii="Arial" w:cs="Arial" w:eastAsia="Arial" w:hAnsi="Arial"/>
          <w:sz w:val="16"/>
          <w:szCs w:val="16"/>
          <w:color w:val="auto"/>
        </w:rPr>
        <w:t>Pre-commencement communications pursuant to Rule 14d-2(b) under the Exchange Act (17 CFR 240.14d-2(b))</w:t>
      </w:r>
    </w:p>
    <w:p>
      <w:pPr>
        <w:spacing w:after="0" w:line="238" w:lineRule="exact"/>
        <w:rPr>
          <w:rFonts w:ascii="MS PGothic" w:cs="MS PGothic" w:eastAsia="MS PGothic" w:hAnsi="MS PGothic"/>
          <w:sz w:val="38"/>
          <w:szCs w:val="38"/>
          <w:color w:val="auto"/>
          <w:vertAlign w:val="subscript"/>
        </w:rPr>
      </w:pPr>
    </w:p>
    <w:p>
      <w:pPr>
        <w:ind w:left="340" w:right="3679" w:hanging="332"/>
        <w:spacing w:after="0" w:line="186" w:lineRule="auto"/>
        <w:tabs>
          <w:tab w:leader="none" w:pos="340" w:val="left"/>
        </w:tabs>
        <w:numPr>
          <w:ilvl w:val="0"/>
          <w:numId w:val="1"/>
        </w:numPr>
        <w:rPr>
          <w:rFonts w:ascii="MS PGothic" w:cs="MS PGothic" w:eastAsia="MS PGothic" w:hAnsi="MS PGothic"/>
          <w:sz w:val="38"/>
          <w:szCs w:val="38"/>
          <w:color w:val="auto"/>
          <w:vertAlign w:val="subscript"/>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222885</wp:posOffset>
            </wp:positionV>
            <wp:extent cx="5149850" cy="46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9850" cy="469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00" w:lineRule="exact"/>
        <w:rPr>
          <w:sz w:val="24"/>
          <w:szCs w:val="24"/>
          <w:color w:val="auto"/>
        </w:rPr>
      </w:pPr>
    </w:p>
    <w:p>
      <w:pPr>
        <w:spacing w:after="0" w:line="342" w:lineRule="exact"/>
        <w:rPr>
          <w:sz w:val="24"/>
          <w:szCs w:val="24"/>
          <w:color w:val="auto"/>
        </w:rPr>
      </w:pPr>
    </w:p>
    <w:p>
      <w:pPr>
        <w:ind w:right="2299"/>
        <w:spacing w:after="0" w:line="291" w:lineRule="auto"/>
        <w:rPr>
          <w:sz w:val="20"/>
          <w:szCs w:val="20"/>
          <w:color w:val="auto"/>
        </w:rPr>
      </w:pPr>
      <w:r>
        <w:rPr>
          <w:rFonts w:ascii="Arial" w:cs="Arial" w:eastAsia="Arial" w:hAnsi="Arial"/>
          <w:sz w:val="16"/>
          <w:szCs w:val="16"/>
          <w:color w:val="auto"/>
        </w:rPr>
        <w:t>On March 18, 2005, the Compensation Committee of the Board of Directors of the Registrant approved performance criteria for the payment of bonuses for the fiscal year 2005 to participants in the Registrant’s Performance Based Incentive Plan for Executive Officers (the “Incentive Plan”). The Incentive Plan is an annual bonus plan designed to provide certain senior executive officers with incentive compensation based upon the achievement of pre-established performance goals. The performance bonus criteria for fiscal year 2005 are described in Exhibit 10.1 hereto, which is incorporated by reference herein.</w:t>
      </w:r>
    </w:p>
    <w:p>
      <w:pPr>
        <w:spacing w:after="0" w:line="195" w:lineRule="exact"/>
        <w:rPr>
          <w:sz w:val="24"/>
          <w:szCs w:val="24"/>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200" w:lineRule="exact"/>
        <w:rPr>
          <w:sz w:val="24"/>
          <w:szCs w:val="24"/>
          <w:color w:val="auto"/>
        </w:rPr>
      </w:pPr>
    </w:p>
    <w:p>
      <w:pPr>
        <w:spacing w:after="0" w:line="342" w:lineRule="exact"/>
        <w:rPr>
          <w:sz w:val="24"/>
          <w:szCs w:val="24"/>
          <w:color w:val="auto"/>
        </w:rPr>
      </w:pPr>
    </w:p>
    <w:p>
      <w:pPr>
        <w:ind w:left="1220" w:hanging="510"/>
        <w:spacing w:after="0"/>
        <w:tabs>
          <w:tab w:leader="none" w:pos="1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52" w:lineRule="exact"/>
        <w:rPr>
          <w:sz w:val="24"/>
          <w:szCs w:val="24"/>
          <w:color w:val="auto"/>
        </w:rPr>
      </w:pPr>
    </w:p>
    <w:p>
      <w:pPr>
        <w:ind w:left="660"/>
        <w:spacing w:after="0"/>
        <w:rPr>
          <w:sz w:val="20"/>
          <w:szCs w:val="20"/>
          <w:color w:val="auto"/>
        </w:rPr>
      </w:pPr>
      <w:r>
        <w:rPr>
          <w:rFonts w:ascii="Arial" w:cs="Arial" w:eastAsia="Arial" w:hAnsi="Arial"/>
          <w:sz w:val="18"/>
          <w:szCs w:val="18"/>
          <w:color w:val="auto"/>
        </w:rPr>
        <w:t>Exhibit</w:t>
      </w:r>
    </w:p>
    <w:p>
      <w:pPr>
        <w:spacing w:after="0" w:line="15" w:lineRule="exact"/>
        <w:rPr>
          <w:sz w:val="24"/>
          <w:szCs w:val="24"/>
          <w:color w:val="auto"/>
        </w:rPr>
      </w:pPr>
    </w:p>
    <w:p>
      <w:pPr>
        <w:ind w:left="660"/>
        <w:spacing w:after="0"/>
        <w:tabs>
          <w:tab w:leader="none" w:pos="1940" w:val="left"/>
        </w:tabs>
        <w:rPr>
          <w:sz w:val="20"/>
          <w:szCs w:val="20"/>
          <w:color w:val="auto"/>
        </w:rPr>
      </w:pPr>
      <w:r>
        <w:rPr>
          <w:rFonts w:ascii="Arial" w:cs="Arial" w:eastAsia="Arial" w:hAnsi="Arial"/>
          <w:sz w:val="18"/>
          <w:szCs w:val="18"/>
          <w:u w:val="single" w:color="auto"/>
          <w:color w:val="auto"/>
        </w:rPr>
        <w:t>Number</w:t>
      </w:r>
      <w:r>
        <w:rPr>
          <w:sz w:val="20"/>
          <w:szCs w:val="20"/>
          <w:color w:val="auto"/>
        </w:rPr>
        <w:tab/>
      </w:r>
      <w:r>
        <w:rPr>
          <w:rFonts w:ascii="Arial" w:cs="Arial" w:eastAsia="Arial" w:hAnsi="Arial"/>
          <w:sz w:val="18"/>
          <w:szCs w:val="18"/>
          <w:u w:val="single" w:color="auto"/>
          <w:color w:val="auto"/>
        </w:rPr>
        <w:t>Description</w:t>
      </w:r>
    </w:p>
    <w:p>
      <w:pPr>
        <w:spacing w:after="0" w:line="246" w:lineRule="exact"/>
        <w:rPr>
          <w:sz w:val="24"/>
          <w:szCs w:val="24"/>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Description of Performance Based Incentive Plan Bonus Criteria for Fiscal Year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5149850" cy="469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9850" cy="46990"/>
                    </a:xfrm>
                    <a:prstGeom prst="rect">
                      <a:avLst/>
                    </a:prstGeom>
                    <a:noFill/>
                  </pic:spPr>
                </pic:pic>
              </a:graphicData>
            </a:graphic>
          </wp:anchor>
        </w:drawing>
      </w:r>
    </w:p>
    <w:p>
      <w:pPr>
        <w:sectPr>
          <w:pgSz w:w="11900" w:h="16838" w:orient="portrait"/>
          <w:cols w:equalWidth="0" w:num="1">
            <w:col w:w="10219"/>
          </w:cols>
          <w:pgMar w:left="240" w:top="719"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p>
      <w:pPr>
        <w:ind w:left="3500"/>
        <w:spacing w:after="0"/>
        <w:rPr>
          <w:sz w:val="20"/>
          <w:szCs w:val="20"/>
          <w:color w:val="auto"/>
        </w:rPr>
      </w:pPr>
      <w:r>
        <w:rPr>
          <w:rFonts w:ascii="Arial" w:cs="Arial" w:eastAsia="Arial" w:hAnsi="Arial"/>
          <w:sz w:val="16"/>
          <w:szCs w:val="16"/>
          <w:b w:val="1"/>
          <w:bCs w:val="1"/>
          <w:color w:val="auto"/>
        </w:rPr>
        <w:t>SIGNATURES</w:t>
      </w:r>
    </w:p>
    <w:p>
      <w:pPr>
        <w:sectPr>
          <w:pgSz w:w="11900" w:h="16838" w:orient="portrait"/>
          <w:cols w:equalWidth="0" w:num="1">
            <w:col w:w="10219"/>
          </w:cols>
          <w:pgMar w:left="240" w:top="719" w:right="1440" w:bottom="0" w:gutter="0" w:footer="0" w:header="0"/>
          <w:type w:val="continuous"/>
        </w:sectPr>
      </w:pPr>
    </w:p>
    <w:bookmarkStart w:id="1" w:name="page2"/>
    <w:bookmarkEnd w:id="1"/>
    <w:p>
      <w:pPr>
        <w:ind w:right="2179" w:firstLine="702"/>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13"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March 24, 2005</w:t>
      </w:r>
    </w:p>
    <w:p>
      <w:pPr>
        <w:spacing w:after="0" w:line="25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Wynn Resorts, Limited</w:t>
      </w:r>
    </w:p>
    <w:p>
      <w:pPr>
        <w:spacing w:after="0" w:line="252" w:lineRule="exact"/>
        <w:rPr>
          <w:sz w:val="20"/>
          <w:szCs w:val="20"/>
          <w:color w:val="auto"/>
        </w:rPr>
      </w:pPr>
    </w:p>
    <w:p>
      <w:pPr>
        <w:ind w:left="4220"/>
        <w:spacing w:after="0"/>
        <w:tabs>
          <w:tab w:leader="none" w:pos="4660" w:val="left"/>
        </w:tabs>
        <w:rPr>
          <w:sz w:val="20"/>
          <w:szCs w:val="20"/>
          <w:color w:val="auto"/>
        </w:rPr>
      </w:pPr>
      <w:r>
        <w:rPr>
          <w:rFonts w:ascii="Arial" w:cs="Arial" w:eastAsia="Arial" w:hAnsi="Arial"/>
          <w:sz w:val="18"/>
          <w:szCs w:val="18"/>
          <w:color w:val="auto"/>
        </w:rPr>
        <w:t>By:</w:t>
        <w:tab/>
        <w:t>/s/ John Strzemp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2966085</wp:posOffset>
            </wp:positionH>
            <wp:positionV relativeFrom="paragraph">
              <wp:posOffset>-13970</wp:posOffset>
            </wp:positionV>
            <wp:extent cx="9385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38530" cy="8890"/>
                    </a:xfrm>
                    <a:prstGeom prst="rect">
                      <a:avLst/>
                    </a:prstGeom>
                    <a:noFill/>
                  </pic:spPr>
                </pic:pic>
              </a:graphicData>
            </a:graphic>
          </wp:anchor>
        </w:drawing>
      </w:r>
    </w:p>
    <w:p>
      <w:pPr>
        <w:ind w:left="4620"/>
        <w:spacing w:after="0"/>
        <w:rPr>
          <w:sz w:val="20"/>
          <w:szCs w:val="20"/>
          <w:color w:val="auto"/>
        </w:rPr>
      </w:pPr>
      <w:r>
        <w:rPr>
          <w:rFonts w:ascii="Arial" w:cs="Arial" w:eastAsia="Arial" w:hAnsi="Arial"/>
          <w:sz w:val="18"/>
          <w:szCs w:val="18"/>
          <w:color w:val="auto"/>
        </w:rPr>
        <w:t>John Strzemp</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219"/>
          </w:cols>
          <w:pgMar w:left="240" w:top="469" w:right="1440" w:bottom="1440" w:gutter="0" w:footer="0" w:header="0"/>
        </w:sectPr>
      </w:pPr>
    </w:p>
    <w:bookmarkStart w:id="2" w:name="page3"/>
    <w:bookmarkEnd w:id="2"/>
    <w:p>
      <w:pPr>
        <w:jc w:val="right"/>
        <w:ind w:right="2099"/>
        <w:spacing w:after="0"/>
        <w:rPr>
          <w:sz w:val="20"/>
          <w:szCs w:val="20"/>
          <w:color w:val="auto"/>
        </w:rPr>
      </w:pPr>
      <w:r>
        <w:rPr>
          <w:rFonts w:ascii="Arial" w:cs="Arial" w:eastAsia="Arial" w:hAnsi="Arial"/>
          <w:sz w:val="18"/>
          <w:szCs w:val="18"/>
          <w:b w:val="1"/>
          <w:bCs w:val="1"/>
          <w:u w:val="single" w:color="auto"/>
          <w:color w:val="auto"/>
        </w:rPr>
        <w:t>Exhibit 10.1</w:t>
      </w:r>
    </w:p>
    <w:p>
      <w:pPr>
        <w:spacing w:after="0" w:line="252"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u w:val="single" w:color="auto"/>
          <w:color w:val="auto"/>
        </w:rPr>
        <w:t>Description of Performance Based Incentive Plan</w:t>
      </w:r>
    </w:p>
    <w:p>
      <w:pPr>
        <w:spacing w:after="0" w:line="21"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u w:val="single" w:color="auto"/>
          <w:color w:val="auto"/>
        </w:rPr>
        <w:t>Bonus Criteria for Fiscal Year 2005</w:t>
      </w:r>
    </w:p>
    <w:p>
      <w:pPr>
        <w:spacing w:after="0" w:line="200" w:lineRule="exact"/>
        <w:rPr>
          <w:sz w:val="20"/>
          <w:szCs w:val="20"/>
          <w:color w:val="auto"/>
        </w:rPr>
      </w:pPr>
    </w:p>
    <w:p>
      <w:pPr>
        <w:spacing w:after="0" w:line="329" w:lineRule="exact"/>
        <w:rPr>
          <w:sz w:val="20"/>
          <w:szCs w:val="20"/>
          <w:color w:val="auto"/>
        </w:rPr>
      </w:pPr>
    </w:p>
    <w:p>
      <w:pPr>
        <w:ind w:right="2339"/>
        <w:spacing w:after="0" w:line="254" w:lineRule="auto"/>
        <w:rPr>
          <w:sz w:val="20"/>
          <w:szCs w:val="20"/>
          <w:color w:val="auto"/>
        </w:rPr>
      </w:pPr>
      <w:r>
        <w:rPr>
          <w:rFonts w:ascii="Arial" w:cs="Arial" w:eastAsia="Arial" w:hAnsi="Arial"/>
          <w:sz w:val="18"/>
          <w:szCs w:val="18"/>
          <w:color w:val="auto"/>
        </w:rPr>
        <w:t>The following senior executive officers of Wynn Resorts, Limited (the “Company”) are participants in the Company’s Performance Based Incentive Plan for Executive Officers (the “Incentive Plan”) for the fiscal year 2005: Stephen A. Wynn, Chief Executive Officer; Ronald J. Kramer, President; and Marc. D. Schorr, Chief Operating Officer. On March 18, 2005, the Compensation Committee of the Board of Directors of the Company (the “Compensation Committee”) approved performance criteria applicable to the payment of bonuses for the fiscal year 2005 under the Incentive Plan.</w:t>
      </w:r>
    </w:p>
    <w:p>
      <w:pPr>
        <w:spacing w:after="0" w:line="225" w:lineRule="exact"/>
        <w:rPr>
          <w:sz w:val="20"/>
          <w:szCs w:val="20"/>
          <w:color w:val="auto"/>
        </w:rPr>
      </w:pPr>
    </w:p>
    <w:p>
      <w:pPr>
        <w:ind w:right="2119"/>
        <w:spacing w:after="0" w:line="291" w:lineRule="auto"/>
        <w:rPr>
          <w:sz w:val="20"/>
          <w:szCs w:val="20"/>
          <w:color w:val="auto"/>
        </w:rPr>
      </w:pPr>
      <w:r>
        <w:rPr>
          <w:rFonts w:ascii="Arial" w:cs="Arial" w:eastAsia="Arial" w:hAnsi="Arial"/>
          <w:sz w:val="16"/>
          <w:szCs w:val="16"/>
          <w:color w:val="auto"/>
        </w:rPr>
        <w:t>The approved performance criteria include an EBITDA target; as well as performance targets related to the opening of the Company’s Wynn Las Vegas project; financing for the Company’s Encore at Wynn Las Vegas and Wynn Macau projects; and other corporate compliance, leadership and operational objectives. Each executive’s primary areas of responsibility vary within the performance criteria and not every executive is allocated responsibility for each criteria. Accordingly, the Compensation Committee has determined the applicability of each criteria and the weighting of the respective criteria for each executive.</w:t>
      </w:r>
    </w:p>
    <w:p>
      <w:pPr>
        <w:spacing w:after="0" w:line="201" w:lineRule="exact"/>
        <w:rPr>
          <w:sz w:val="20"/>
          <w:szCs w:val="20"/>
          <w:color w:val="auto"/>
        </w:rPr>
      </w:pPr>
    </w:p>
    <w:p>
      <w:pPr>
        <w:ind w:right="2179"/>
        <w:spacing w:after="0" w:line="290" w:lineRule="auto"/>
        <w:rPr>
          <w:sz w:val="20"/>
          <w:szCs w:val="20"/>
          <w:color w:val="auto"/>
        </w:rPr>
      </w:pPr>
      <w:r>
        <w:rPr>
          <w:rFonts w:ascii="Arial" w:cs="Arial" w:eastAsia="Arial" w:hAnsi="Arial"/>
          <w:sz w:val="16"/>
          <w:szCs w:val="16"/>
          <w:color w:val="auto"/>
        </w:rPr>
        <w:t>Achievement of all of the performance objectives could result in maximum bonuses under the Incentive Plan for Messrs. Wynn, Kramer and Schorr of 250%, 200% and 200%, respectively, of their annual base salary (calculated in accordance with the Incentive Plan). The earned bonus for each executive shall be subject to (i) downward (but not upward) discretionary adjustments, if any, as determined by the Compensation Committee, and (ii) any maximum bonus amount set forth in the Incentive Plan. The Compensation Committee will determine whether the performance objectives were reached after the end of the Company’s fiscal year 2005, and any bonus payments will be made early in 2006.</w:t>
      </w:r>
    </w:p>
    <w:sectPr>
      <w:pgSz w:w="11900" w:h="16838" w:orient="portrait"/>
      <w:cols w:equalWidth="0" w:num="1">
        <w:col w:w="10219"/>
      </w:cols>
      <w:pgMar w:left="240" w:top="36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2019-12-12T04:21:59Z</dcterms:created>
  <dcterms:modified xsi:type="dcterms:W3CDTF">2019-12-12T04:21:59Z</dcterms:modified>
</cp:coreProperties>
</file>