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340995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158750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00" w:hanging="665"/>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w:t>
      </w:r>
    </w:p>
    <w:p>
      <w:pPr>
        <w:spacing w:after="0" w:line="14" w:lineRule="exact"/>
        <w:rPr>
          <w:sz w:val="24"/>
          <w:szCs w:val="24"/>
          <w:color w:val="auto"/>
        </w:rPr>
      </w:pPr>
    </w:p>
    <w:p>
      <w:pPr>
        <w:ind w:left="700"/>
        <w:spacing w:after="0"/>
        <w:rPr>
          <w:sz w:val="20"/>
          <w:szCs w:val="20"/>
          <w:color w:val="auto"/>
        </w:rPr>
      </w:pPr>
      <w:r>
        <w:rPr>
          <w:rFonts w:ascii="Arial" w:cs="Arial" w:eastAsia="Arial" w:hAnsi="Arial"/>
          <w:sz w:val="22"/>
          <w:szCs w:val="22"/>
          <w:b w:val="1"/>
          <w:bCs w:val="1"/>
          <w:color w:val="auto"/>
        </w:rPr>
        <w:t>ACT OF 1934</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1040" w:hanging="665"/>
        <w:spacing w:after="0" w:line="254"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180340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3940" w:type="dxa"/>
            <w:vAlign w:val="bottom"/>
          </w:tcPr>
          <w:p>
            <w:pPr>
              <w:jc w:val="center"/>
              <w:ind w:right="19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320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88-0494875</w:t>
            </w:r>
          </w:p>
        </w:tc>
      </w:tr>
      <w:tr>
        <w:trPr>
          <w:trHeight w:val="180"/>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3"/>
              </w:rPr>
              <w:t>(State or other jurisdiction of</w:t>
            </w:r>
          </w:p>
        </w:tc>
        <w:tc>
          <w:tcPr>
            <w:tcW w:w="3200" w:type="dxa"/>
            <w:vAlign w:val="bottom"/>
          </w:tcPr>
          <w:p>
            <w:pPr>
              <w:jc w:val="center"/>
              <w:ind w:left="19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4"/>
              </w:rPr>
              <w:t>incorporation or organization)</w:t>
            </w:r>
          </w:p>
        </w:tc>
        <w:tc>
          <w:tcPr>
            <w:tcW w:w="3200" w:type="dxa"/>
            <w:vAlign w:val="bottom"/>
          </w:tcPr>
          <w:p>
            <w:pPr>
              <w:jc w:val="center"/>
              <w:ind w:left="1982"/>
              <w:spacing w:after="0"/>
              <w:rPr>
                <w:sz w:val="20"/>
                <w:szCs w:val="20"/>
                <w:color w:val="auto"/>
              </w:rPr>
            </w:pPr>
            <w:r>
              <w:rPr>
                <w:rFonts w:ascii="Arial" w:cs="Arial" w:eastAsia="Arial" w:hAnsi="Arial"/>
                <w:sz w:val="14"/>
                <w:szCs w:val="14"/>
                <w:b w:val="1"/>
                <w:bCs w:val="1"/>
                <w:color w:val="auto"/>
                <w:w w:val="96"/>
              </w:rPr>
              <w:t>Identification No.)</w:t>
            </w:r>
          </w:p>
        </w:tc>
      </w:tr>
    </w:tbl>
    <w:p>
      <w:pPr>
        <w:jc w:val="center"/>
        <w:ind w:right="-39"/>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(702) 770-7555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-127635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9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2"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387"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2480" w:space="720"/>
            <w:col w:w="2840" w:space="720"/>
            <w:col w:w="3060" w:space="720"/>
            <w:col w:w="840"/>
          </w:cols>
          <w:pgMar w:left="240" w:top="387"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2480" w:space="720"/>
            <w:col w:w="2840" w:space="720"/>
            <w:col w:w="3060" w:space="720"/>
            <w:col w:w="840"/>
          </w:cols>
          <w:pgMar w:left="240" w:top="387" w:right="279" w:bottom="1440" w:gutter="0" w:footer="0" w:header="0"/>
          <w:type w:val="continuous"/>
        </w:sectPr>
      </w:pPr>
    </w:p>
    <w:p>
      <w:pPr>
        <w:ind w:left="4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96"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Wynn Las Vegas Holdings, LLC owns all of the membership interests of the Registrant as of August 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177800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right="320" w:firstLine="432"/>
        <w:spacing w:after="0" w:line="282" w:lineRule="auto"/>
        <w:rPr>
          <w:sz w:val="20"/>
          <w:szCs w:val="20"/>
          <w:color w:val="auto"/>
        </w:rPr>
      </w:pPr>
      <w:r>
        <w:rPr>
          <w:rFonts w:ascii="Arial" w:cs="Arial" w:eastAsia="Arial" w:hAnsi="Arial"/>
          <w:sz w:val="18"/>
          <w:szCs w:val="18"/>
          <w:b w:val="1"/>
          <w:bCs w:val="1"/>
          <w:color w:val="auto"/>
        </w:rPr>
        <w:t>The Registrant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148590</wp:posOffset>
            </wp:positionV>
            <wp:extent cx="6877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62865</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387" w:right="27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14"/>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1"/>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June 30, 2016 (unaudited) and December 31, 2015</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(Loss) (unaudited) – Three and Six Months Ended June</w:t>
              </w:r>
            </w:hyperlink>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6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30, 2016 and 2015</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 Six Months Ended June 30, 2016 and 2015</w:t>
              </w:r>
            </w:hyperlink>
          </w:p>
        </w:tc>
        <w:tc>
          <w:tcPr>
            <w:tcW w:w="15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1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6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7920" w:type="dxa"/>
            <w:vAlign w:val="bottom"/>
            <w:gridSpan w:val="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412"/>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9700" w:type="dxa"/>
            <w:vAlign w:val="bottom"/>
            <w:gridSpan w:val="14"/>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700" w:type="dxa"/>
            <w:vAlign w:val="bottom"/>
            <w:gridSpan w:val="1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1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5360" w:type="dxa"/>
            <w:vAlign w:val="bottom"/>
            <w:gridSpan w:val="7"/>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669"/>
        </w:trPr>
        <w:tc>
          <w:tcPr>
            <w:tcW w:w="3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340" w:type="dxa"/>
            <w:vAlign w:val="bottom"/>
            <w:gridSpan w:val="7"/>
          </w:tcPr>
          <w:p>
            <w:pPr>
              <w:ind w:left="422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-2923540</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00"/>
          </w:cols>
          <w:pgMar w:left="240" w:top="279"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3"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CONDENSED CONSOLIDATED BALANCE SHEETS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13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F"/>
            </w:tcBorders>
          </w:tcPr>
          <w:p>
            <w:pPr>
              <w:spacing w:after="0"/>
              <w:rPr>
                <w:sz w:val="16"/>
                <w:szCs w:val="16"/>
                <w:color w:val="auto"/>
              </w:rPr>
            </w:pPr>
          </w:p>
        </w:tc>
        <w:tc>
          <w:tcPr>
            <w:tcW w:w="4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(unaudited)</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488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91"/>
              </w:rPr>
              <w:t>ASSETS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48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177,732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77,062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Receivables, net</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119,356</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46,624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51,293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4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29,162</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46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354,614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276,873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2,779,053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2,825,239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41,487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4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3,172,846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3,145,713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jc w:val="center"/>
              <w:ind w:right="490"/>
              <w:spacing w:after="0"/>
              <w:rPr>
                <w:sz w:val="20"/>
                <w:szCs w:val="20"/>
                <w:color w:val="auto"/>
              </w:rPr>
            </w:pPr>
            <w:r>
              <w:rPr>
                <w:rFonts w:ascii="Arial" w:cs="Arial" w:eastAsia="Arial" w:hAnsi="Arial"/>
                <w:sz w:val="18"/>
                <w:szCs w:val="18"/>
                <w:b w:val="1"/>
                <w:bCs w:val="1"/>
                <w:color w:val="auto"/>
              </w:rPr>
              <w:t>LIABILITIES AND MEMBER'S DEFICIT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tcPr>
          <w:p>
            <w:pPr>
              <w:spacing w:after="0"/>
              <w:rPr>
                <w:sz w:val="17"/>
                <w:szCs w:val="17"/>
                <w:color w:val="auto"/>
              </w:rPr>
            </w:pPr>
          </w:p>
        </w:tc>
        <w:tc>
          <w:tcPr>
            <w:tcW w:w="4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48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42,999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42,992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deposits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84,094</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Gaming taxes payable</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9,981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benefits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52,312</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Accrued interest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48,939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48,939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23,290</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Due to affiliates, net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13,084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289,801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270,568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3,167,206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3,165,499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46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3,459,487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3,438,493</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7)</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Member's deficit: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Contributed capital</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957,907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957,138</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(1,244,548)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(1,249,918)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member's deficit</w:t>
            </w:r>
          </w:p>
        </w:tc>
        <w:tc>
          <w:tcPr>
            <w:tcW w:w="4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(292,780)</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 and member's deficit</w:t>
            </w:r>
          </w:p>
        </w:tc>
        <w:tc>
          <w:tcPr>
            <w:tcW w:w="4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3,172,846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3,145,713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9"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4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4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Casino</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132,904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134,689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293,864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296,468</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108,834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218,708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208,474</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153,882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162,047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264,809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276,502</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115,399</w:t>
            </w:r>
          </w:p>
        </w:tc>
      </w:tr>
      <w:tr>
        <w:trPr>
          <w:trHeight w:val="237"/>
        </w:trPr>
        <w:tc>
          <w:tcPr>
            <w:tcW w:w="542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460,263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464,903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892,514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896,843</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(86,377)</w:t>
            </w:r>
          </w:p>
        </w:tc>
      </w:tr>
      <w:tr>
        <w:trPr>
          <w:trHeight w:val="237"/>
        </w:trPr>
        <w:tc>
          <w:tcPr>
            <w:tcW w:w="542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419,049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423,436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808,484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810,466</w:t>
            </w:r>
          </w:p>
        </w:tc>
      </w:tr>
      <w:tr>
        <w:trPr>
          <w:trHeight w:val="27"/>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Casino</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66,478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67,207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140,999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146,082</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71,886</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100,315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105,334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174,748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177,168</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68,095</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63,548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61,226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125,285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122,303</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4,778</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Management and license fees</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13,197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13,323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25,522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21,454</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costs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45,752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45,249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90,946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91,489</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1,109</w:t>
            </w:r>
          </w:p>
        </w:tc>
      </w:tr>
      <w:tr>
        <w:trPr>
          <w:trHeight w:val="237"/>
        </w:trPr>
        <w:tc>
          <w:tcPr>
            <w:tcW w:w="5420" w:type="dxa"/>
            <w:vAlign w:val="bottom"/>
          </w:tcPr>
          <w:p>
            <w:pPr>
              <w:ind w:left="72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372,688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364,934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717,111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704,364</w:t>
            </w:r>
          </w:p>
        </w:tc>
      </w:tr>
      <w:tr>
        <w:trPr>
          <w:trHeight w:val="27"/>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106,102</w:t>
            </w:r>
          </w:p>
        </w:tc>
      </w:tr>
      <w:tr>
        <w:trPr>
          <w:trHeight w:val="223"/>
        </w:trPr>
        <w:tc>
          <w:tcPr>
            <w:tcW w:w="54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5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(86,019)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(93,194)</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(122,355)</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(215,548)</w:t>
            </w: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5,370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(109,446)</w:t>
            </w:r>
          </w:p>
        </w:tc>
      </w:tr>
      <w:tr>
        <w:trPr>
          <w:trHeight w:val="27"/>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9,542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5,370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(109,446)</w:t>
            </w:r>
          </w:p>
        </w:tc>
      </w:tr>
      <w:tr>
        <w:trPr>
          <w:trHeight w:val="27"/>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240" w:top="279" w:right="59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(109,446)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90,946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91,489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deferred financing costs and 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3,591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122,355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4,778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cash from changes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33,096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 and prepaid expenses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(21,832)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Due to affiliates,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(202,980)</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160,828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(69,299)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expenditures, net of construction payables and retention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(54,911)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(46,772)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in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other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to affiliates,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sale of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2,949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(42,301)</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parent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1,800,000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(86,307)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Repurchase of first mortgage notes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(1,523,511)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financing costs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(129,291)</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10,891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100,670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(100,709)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266,360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177,732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165,651</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9"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left="280" w:right="2360"/>
        <w:spacing w:after="0" w:line="255"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Wynn Las Vegas, LLC, a Nevada limited liability company, was organized primarily to construct and operate Wynn Las Vegas | Encore ("Wynn Las Vegas"), an integrated destination casino resort on the "Strip" in Las Vegas, Nevada. Unless the context otherwise requires, all references herein to the "Company" refer to Wynn Las Vegas, LLC and its consolidated subsidiaries.</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is a direct wholly owned subsidiary of Wynn Las Vegas Holdings, LLC ("WLVH"). WLVH is a direct wholly owned subsidiary of Wynn America, LLC ("Wynn America"). Wynn America is a direct wholly owned subsidiary of Wynn Resorts Holdings, LLC ("Holdings"). Holdings is a direct wholly owned subsidiary of Wynn Resorts, Limited ("Wynn Resorts").</w:t>
      </w:r>
    </w:p>
    <w:p>
      <w:pPr>
        <w:spacing w:after="0" w:line="18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Wynn Las Vegas Capital Corp. ("Wynn Capital") is a wholly owned subsidiary of the Company organized solely for the purpose of obtaining financing for Wynn Las Vegas. Wynn Capital is authorized to issue 2,000 shares of common stock, par value $0.01. At June 30, 2016, the Company owned the one share that was issued and outstanding. Wynn Capital has no significant net assets and has had no operating activity. Its sole function is to serve as the co-issuer of the mortgage and senior notes. Wynn Las Vegas, LLC and Wynn Capital together are hereinafter referred to as the "Issuers".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2016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wholly owned subsidiaries. In April 2016, the Company dissolved its 50%-owned joint venture operating the Ferrari and Maserati automobile dealership inside Wynn Las Vegas, which was closed in October 2015 and was accounted for under the equity method. All significant intercompany accounts and transactions have been eliminated.</w:t>
      </w:r>
    </w:p>
    <w:p>
      <w:pPr>
        <w:spacing w:after="0" w:line="14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Certain amounts in the Condensed Consolidated Statements of Cash Flows for the previous year have been reclassified to be consistent with the current year presentation. The payment of deposits on property and equipment, previously presented in purchase of other assets in investing activities, is now presented in capital expenditures in investing activities. The amount of deposits on property and equipment that have been reclassified for the six months ended June 30, 2015 was $10.8 million. The reclassification had no effect on the previously reported net cash used in 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Cash equivalents are carried at cost, which approximates fair value.</w:t>
      </w: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18" w:right="27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2016 and December 31, 2015, approximately 79.3% and 80.1%,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5"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Direct and incremental costs incurred and original issue discounts and premiums in connection with the issuance of long-term debt are deferred and amortized to interest expense using the effective interest method or, if the amounts approximate the effective interest method, on a straight-line basis. Deferred financing costs incurred in connection with the issuance of long-term debt are presented as a direct reduction of long-term debt on the Condensed Consolidated Balance Sheets. See the Recently Issued and Adopted Accounting Standards section below for details on the presentation change of deferred financing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Casino revenues are measured by the aggregate net difference between gaming wins and losses, with liabilities recognized for funds deposited by customers before gaming play occurs and for chips in the customers' possession. Cash discounts and other cash incentives related to casino play are recorded as a reduction to casino revenues. Rooms,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78"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Revenues are recognized net of certain sales incentives, which are required to be recorded as a reduction of revenue; consequently, the Company's casino revenues are reduced by discounts and points earned by customers from the Company's loyalty program.</w:t>
      </w:r>
    </w:p>
    <w:p>
      <w:pPr>
        <w:spacing w:after="0" w:line="147"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The retail value of accommodations, food and beverage, and other services furnished to guests without charge is included in gross revenues. Such amounts are then deducted as promotional allowances. The estimated retail value of providing such promotional allowances are as follows (in thousands):</w:t>
      </w:r>
    </w:p>
    <w:p>
      <w:pPr>
        <w:sectPr>
          <w:pgSz w:w="11900" w:h="16838" w:orient="portrait"/>
          <w:cols w:equalWidth="0" w:num="1">
            <w:col w:w="11360"/>
          </w:cols>
          <w:pgMar w:left="240" w:top="118" w:right="299" w:bottom="1440" w:gutter="0" w:footer="0" w:header="0"/>
        </w:sectPr>
      </w:pPr>
    </w:p>
    <w:p>
      <w:pPr>
        <w:spacing w:after="0" w:line="129" w:lineRule="exact"/>
        <w:rPr>
          <w:sz w:val="20"/>
          <w:szCs w:val="20"/>
          <w:color w:val="auto"/>
        </w:rPr>
      </w:pPr>
    </w:p>
    <w:p>
      <w:pPr>
        <w:ind w:left="576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31115</wp:posOffset>
            </wp:positionV>
            <wp:extent cx="1732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14" w:lineRule="exact"/>
        <w:rPr>
          <w:sz w:val="20"/>
          <w:szCs w:val="20"/>
          <w:color w:val="auto"/>
        </w:rPr>
      </w:pPr>
    </w:p>
    <w:p>
      <w:pPr>
        <w:ind w:left="5820"/>
        <w:spacing w:after="0"/>
        <w:tabs>
          <w:tab w:leader="none" w:pos="72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96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31115</wp:posOffset>
            </wp:positionV>
            <wp:extent cx="17322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400" w:val="left"/>
        </w:tabs>
        <w:rPr>
          <w:sz w:val="20"/>
          <w:szCs w:val="20"/>
          <w:color w:val="auto"/>
        </w:rPr>
      </w:pPr>
      <w:r>
        <w:rPr>
          <w:rFonts w:ascii="Arial" w:cs="Arial" w:eastAsia="Arial" w:hAnsi="Arial"/>
          <w:sz w:val="13"/>
          <w:szCs w:val="13"/>
          <w:b w:val="1"/>
          <w:bCs w:val="1"/>
          <w:color w:val="auto"/>
        </w:rPr>
        <w:t>2016</w:t>
      </w:r>
      <w:r>
        <w:rPr>
          <w:sz w:val="20"/>
          <w:szCs w:val="20"/>
          <w:color w:val="auto"/>
        </w:rPr>
        <w:tab/>
      </w:r>
      <w:r>
        <w:rPr>
          <w:rFonts w:ascii="Arial" w:cs="Arial" w:eastAsia="Arial" w:hAnsi="Arial"/>
          <w:sz w:val="13"/>
          <w:szCs w:val="13"/>
          <w:b w:val="1"/>
          <w:bCs w:val="1"/>
          <w:color w:val="auto"/>
        </w:rPr>
        <w:t>2015</w:t>
      </w:r>
    </w:p>
    <w:p>
      <w:pPr>
        <w:spacing w:after="0" w:line="36" w:lineRule="exact"/>
        <w:rPr>
          <w:sz w:val="20"/>
          <w:szCs w:val="20"/>
          <w:color w:val="auto"/>
        </w:rPr>
      </w:pPr>
    </w:p>
    <w:p>
      <w:pPr>
        <w:sectPr>
          <w:pgSz w:w="11900" w:h="16838" w:orient="portrait"/>
          <w:cols w:equalWidth="0" w:num="2">
            <w:col w:w="7940" w:space="720"/>
            <w:col w:w="2700"/>
          </w:cols>
          <w:pgMar w:left="240" w:top="118" w:right="29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17,317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37,160</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36,079</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2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19,837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37,675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40,877</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9,421</w:t>
            </w:r>
          </w:p>
        </w:tc>
      </w:tr>
      <w:tr>
        <w:trPr>
          <w:trHeight w:val="237"/>
        </w:trPr>
        <w:tc>
          <w:tcPr>
            <w:tcW w:w="53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41,214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41,467</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84,030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86,377</w:t>
            </w:r>
          </w:p>
        </w:tc>
      </w:tr>
      <w:tr>
        <w:trPr>
          <w:trHeight w:val="27"/>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18"/>
        </w:trPr>
        <w:tc>
          <w:tcPr>
            <w:tcW w:w="5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7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360"/>
          </w:cols>
          <w:pgMar w:left="240" w:top="118" w:right="299" w:bottom="1440" w:gutter="0" w:footer="0" w:header="0"/>
          <w:type w:val="continuous"/>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cost of providing such promotional allowances, which is included primarily in casino expenses,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15,997</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14,043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15,076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29,805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31,382</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5,785</w:t>
            </w:r>
          </w:p>
        </w:tc>
      </w:tr>
      <w:tr>
        <w:trPr>
          <w:trHeight w:val="237"/>
        </w:trPr>
        <w:tc>
          <w:tcPr>
            <w:tcW w:w="52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24,470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25,197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51,274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53,164</w:t>
            </w:r>
          </w:p>
        </w:tc>
      </w:tr>
      <w:tr>
        <w:trPr>
          <w:trHeight w:val="27"/>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Company is subject to taxes based on gross gaming revenues in the jurisdiction in which it operates, subject to applicable jurisdictional adjustments. These gaming taxes are an assessment on the Company's gross gaming revenues and are recorded as casino expenses in the accompanying Condensed Consolidated Statements of Comprehensive Income (Loss). These taxes totaled $9.6 million and $9.5 million for the three months ended June 30, 2016 and 2015, respectively, and totaled $20.6 million and $21.0 million for the six months ended June 30, 2016 and 2015,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The Company accounts for stock-based compensation related to equity shares of Wynn Resorts granted to its employees in accordance with accounting standards, which require the compensation cost relating to share-based payment transactions be recognized in the Company's Condensed Consolidated Statements of Comprehensive Income (Loss). The cost is measured at the grant date, based on the estimated fair value of the award using the Black-Scholes option pricing model for stock options, and based on the closing share price of the Company's stock on the grant date for nonvested share awards. The cost is recognized as an expense on a straight-line basis over the employee's requisite service period (the vesting period of the award), net of estimated forfeitures. For the three months ended June 30, 2016 and 2015, the Company recorded $0.6 million and $0.8 million, respectively, of stock-based compensation costs. For the six months ended June 30, 2016 and 2015, the Company recorded $1.4 million and $1.5 million, respectively, in stock-based compensation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and Adopted Accounting Standards</w:t>
      </w:r>
    </w:p>
    <w:p>
      <w:pPr>
        <w:spacing w:after="0" w:line="22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In March 2016, the Financial Accounting Standards Board ("FASB") issued an accounting standards update that involves several aspects of the accounting for share-based payment transactions, including the income tax consequences, classification of awards as either equity or liabilities, and classification on the statement of cash flows. Under the new guidance, income tax benefits and deficiencies are to be recognized as income tax expense or benefit in the income statement and the tax effects of exercised or vested awards should be treated as discrete items in the reporting period in which they occur. An entity should also recognize excess tax benefits regardless of whether the benefit reduces taxes payable in the current period. Excess tax benefits should be classified along with other income tax cash flows as an operating activity. In regards to forfeitures, the entity may make an entity-wide accounting policy election to either estimate the number of awards that are expected to vest or account for forfeitures when they occur. The effective date for this guidance is for financial statements for fiscal years beginning after December 15, 2016, and interim periods within those fiscal periods and early application is permitted. The Company is currently assessing the impact the adoption of this guidance will have on its consolidated financial statements.</w:t>
      </w:r>
    </w:p>
    <w:p>
      <w:pPr>
        <w:spacing w:after="0" w:line="167"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In February 2016, the FASB issued an accounting standards update that changes the accounting for leases and requires expanded disclosures about leasing activities. Under the new guidance, lessees will be required to recognize a right-of-use asset and lease liability, measured on a discounted basis, at the commencement date for all leases with terms greater than 12 months. Lessor accounting will remain largely unchanged, other than certain targeted improvements intended to align lessor accounting with the lessee accounting model and with the updated revenue recognition guidance issued in 2014. Lessees and lessors are required to apply a modified retrospective transition approach for leases existing at the beginning of the earliest comparative period presented in the adoption-period financial statements. The new standard is effective for fiscal years beginning after December 15, 2018, including interim periods within those fiscal years and early adoption is permitted. The Company is currently assessing the impact the adoption of this standard will have on its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20" w:firstLine="432"/>
        <w:spacing w:after="0" w:line="289" w:lineRule="auto"/>
        <w:rPr>
          <w:sz w:val="20"/>
          <w:szCs w:val="20"/>
          <w:color w:val="auto"/>
        </w:rPr>
      </w:pPr>
      <w:r>
        <w:rPr>
          <w:rFonts w:ascii="Arial" w:cs="Arial" w:eastAsia="Arial" w:hAnsi="Arial"/>
          <w:sz w:val="16"/>
          <w:szCs w:val="16"/>
          <w:color w:val="auto"/>
        </w:rPr>
        <w:t>In April 2015, the FASB issued an accounting standards update that requires deferred financing costs related to a recognized debt liability to be presented on the balance sheet as a direct reduction from the carrying amount of that debt liability, consistent with debt discounts. The recognition and measurement guidance for deferred financing costs are not affected by the amendments in this update. In August 2015, the FASB issued an accounting standards update that clarifies that the guidance issued in April 2015 does not apply to line-of-credit arrangements. According to the additional guidance, deferred financing costs related to line-of-credit arrangements will continue to be presented as an asset and subsequently amortized ratably over the term of the arrangement. The effective date for this guidance is for financial statements for fiscal years beginning after December 15, 2015, and interim periods within those fiscal years. The Company adopted the guidance on January 1, 2016, with retrospective application in the accompanying Condensed Consolidated Balance Sheet at December 31, 2015. This change in accounting principle resulted in net deferred financing costs of $34.5 million incurred in connection with the issuance of the Company's long-term debt being reclassified from noncurrent assets to a direct reduction of the long-term debt balance.</w:t>
      </w:r>
    </w:p>
    <w:p>
      <w:pPr>
        <w:spacing w:after="0" w:line="167"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August 2015, the FASB issued an accounting standards update that defers the effective date of the new revenue recognition accounting guidance by one year, to annual and interim periods beginning after December 15, 2017. Early application is permitted for annual and interim periods beginning after December 15, 2016. The Company will adopt this standard effective January 1, 2018. The Company is currently assessing the impact the adoption of this standard will have on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Receivables,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Receivables,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0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116,723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Hotel</w:t>
            </w:r>
          </w:p>
        </w:tc>
        <w:tc>
          <w:tcPr>
            <w:tcW w:w="2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17,896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leases and other</w:t>
            </w:r>
          </w:p>
        </w:tc>
        <w:tc>
          <w:tcPr>
            <w:tcW w:w="2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21,288</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130,419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158,025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2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(38,669)</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98,663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119,356</w:t>
            </w:r>
          </w:p>
        </w:tc>
        <w:tc>
          <w:tcPr>
            <w:tcW w:w="0" w:type="dxa"/>
            <w:vAlign w:val="bottom"/>
          </w:tcPr>
          <w:p>
            <w:pPr>
              <w:spacing w:after="0"/>
              <w:rPr>
                <w:sz w:val="1"/>
                <w:szCs w:val="1"/>
                <w:color w:val="auto"/>
              </w:rPr>
            </w:pPr>
          </w:p>
        </w:tc>
      </w:tr>
      <w:tr>
        <w:trPr>
          <w:trHeight w:val="27"/>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Note 4 - Property and Equipment, net</w:t>
            </w:r>
          </w:p>
        </w:tc>
        <w:tc>
          <w:tcPr>
            <w:tcW w:w="2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vMerge w:val="continue"/>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tcPr>
          <w:p>
            <w:pPr>
              <w:ind w:left="440"/>
              <w:spacing w:after="0"/>
              <w:rPr>
                <w:sz w:val="20"/>
                <w:szCs w:val="20"/>
                <w:color w:val="auto"/>
              </w:rPr>
            </w:pPr>
            <w:r>
              <w:rPr>
                <w:rFonts w:ascii="Arial" w:cs="Arial" w:eastAsia="Arial" w:hAnsi="Arial"/>
                <w:sz w:val="18"/>
                <w:szCs w:val="18"/>
                <w:color w:val="auto"/>
                <w:w w:val="92"/>
              </w:rPr>
              <w:t>Property and equipment, net consisted of the following (in thousands):</w:t>
            </w: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30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623,866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2,641,846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2,630,788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2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1,417,704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1,419,018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20,585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12,294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4,703,600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4,685,966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(1,924,547)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(1,860,727)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2,779,053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2,825,239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6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1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5 3/8% First Mortgage Notes, due March 15, 2022, net of debt issuance costs of $7,257 at June 30, 2016 and</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$7,791 at December 31, 2015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892,743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892,209</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4"/>
              </w:rPr>
              <w:t>4 1/4% Senior Notes, due May 30, 2023, net of debt issuance costs of $3,003 at June 30, 2016 and $3,183 at</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30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496,997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496,817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5 1/2% Senior Notes, due March 1, 2025, net of debt issuance costs of $22,534 at June 30, 2016 and $23,527 at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1,777,466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1,776,473</w:t>
            </w: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3,167,206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3,165,499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3,167,206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3,165,499</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Mortgage Notes due 2020</w:t>
      </w:r>
    </w:p>
    <w:p>
      <w:pPr>
        <w:spacing w:after="0" w:line="225"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On February 10, 2015, the Issuers commenced a cash tender offer for any and all of the outstanding aggregate principal amounts of the 7 7/8% First Mortgage Notes due May 1, 2020 and the 7 3/4% First Mortgage Notes due August 15, 2020 (the "2020 Notes"). The premium portion of the aggregate total consideration was $101.2 million and was recorded as a loss on extinguishment of debt in the accompanying Condensed Consolidated Statements of Comprehensive Income (Loss). In connection with the cash tender, the Company expensed $17.3 million of unamortized deferred financing costs and original issue discount related to the 2020 Notes and incurred other fees of $0.1 million that are included in loss on extinguishment of debt in the accompanying Condensed Consolidated Statements of Comprehensive Income (Loss).</w:t>
      </w:r>
    </w:p>
    <w:p>
      <w:pPr>
        <w:spacing w:after="0" w:line="193" w:lineRule="exact"/>
        <w:rPr>
          <w:sz w:val="20"/>
          <w:szCs w:val="20"/>
          <w:color w:val="auto"/>
        </w:rPr>
      </w:pPr>
    </w:p>
    <w:p>
      <w:pPr>
        <w:ind w:right="400" w:firstLine="392"/>
        <w:spacing w:after="0" w:line="259" w:lineRule="auto"/>
        <w:rPr>
          <w:sz w:val="20"/>
          <w:szCs w:val="20"/>
          <w:color w:val="auto"/>
        </w:rPr>
      </w:pPr>
      <w:r>
        <w:rPr>
          <w:rFonts w:ascii="Arial" w:cs="Arial" w:eastAsia="Arial" w:hAnsi="Arial"/>
          <w:sz w:val="18"/>
          <w:szCs w:val="18"/>
          <w:color w:val="auto"/>
        </w:rPr>
        <w:t>On May 1, 2015, the Company redeemed the remaining $71.1 million principal amount of the untendered 7 7/8% First Mortgage Notes due May 1, 2020. The Company recorded a loss for the premium portion of the consideration of $2.8 million and expensed $1.0 million of unamortized deferred financing costs and original discount that are included in loss on extinguishment of debt in the accompanying Condensed Consolidated Statements of Comprehensive Income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2016, management believes the Company was in compliance with all debt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 Term Debt</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estimated fair value of the Company's long-term debt as of June 30, 2016 and December 31, 2015 was $3.11 billion and $2.93 billion, respectively, compared to its carrying value, excluding debt issuance costs, of $3.20 billion. The estimated fair value of the Company's long-term debt is based on recent trades, if available, and indicative pricing from market information (Level 2 inputs).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Affiliates, net</w:t>
      </w:r>
    </w:p>
    <w:p>
      <w:pPr>
        <w:spacing w:after="0" w:line="22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Company periodically settles net amounts due to affiliates with cash payments. Amounts are primarily comprised of management and license fees, construction related payables and corporate allocations. As of June 30, 2016 and December 31, 2015, the Company's net current due to affiliates were $13.1 million and $7.3 million, respectively.</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 and corporate allocations</w:t>
      </w:r>
    </w:p>
    <w:p>
      <w:pPr>
        <w:spacing w:after="0" w:line="22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February 2015, the Company entered into a new corporate support services agreement with Wynn Resorts and terminated the prior agreement. Wynn Resorts provides the Company legal, accounting, human resources, information services, real estate, and other corporate support services. Under the agreement,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and aircraft operated by Wynn Resorts are available for use by the Company. In addition, the Company pays a management fee of 1.5% of net revenues. For the three months ended June 30, 2016 and 2015, $9.6 million and $10.3 million, respectively, were charged to the Company under the corporate support services agreement. For the six months ended June 30, 2016 and 2015, $19.4 million and $21.6 million, respectively, were charged to the Company under the corporate support services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Under an agreement with Wynn Resorts and a wholly owned subsidiary of Wynn Resorts, the Company licenses certain intellectual property, including certain trademarks, domain names, copyrights and service marks in connection with a variety of goods and services. The Company currently has two agreements in effect. Under the agreement, dated December 14, 2004 ("2004 IP Agreement"), which relates to intellectual property existing on or before December 14, 2004, the Company is not charged a licensing fee. Under the agreement, dated February 26, 2015, which relates to intellectual property existing after December 14, 2004, the monthly license fee payable is 1.5% of gross monthly revenues until the 2004 IP Agreement is terminated and 3% of gross monthly revenues once the 2004 IP Agreement is terminated. For the three months ended June 30, 2016 and 2015, $6.9 million and $7.0 million, respectively, of licensing fees were charged to the Company. For the six months ended June 30, 2016 and 2015, $13.4 million and $9.3 million, respectively, of licensing fees were charged to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of Wynn Resorts ("Mr. Wynn"), and certain other executive officers and directors of Wynn Resorts, including the personal use of employees, construction work and other personal services, for which the officers and directors reimburse the Company.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On February 18, 2012, Wynn Resorts' Gaming Compliance Committee received an independent report by Freeh, Sporkin &amp; Sullivan, LLP (the "Freeh Report") detailing a pattern of misconduct by Aruze USA, Inc. ("Aruze") (at the time a stockholder of Wynn Resorts), Universal Entertainment Corporation (Aruze's parent company), and Kazuo Okada (the majority shareholder of Universal Entertainment Corporation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Wynn Resorts' directors, Mr. Okada refused to acknowledge or abide by Wynn Resorts' anti-bribery policies and refused to participate in the training all other directors received concerning these policies.</w:t>
      </w: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Based on the Freeh Report, the Board of Directors of Wynn Resorts determined that the Okada Parties are "unsuitable persons" under Article VII of Wynn Resorts' articles of incorporation. The Board of Directors was unanimous (other than Mr. Okada) in its determination. After authorizing the redemption of Aruze's shares, as discussed below, the Board of Directors took certain actions to protect Wynn Resorts and its operations from any influence of an unsuitable person, including placing limitations on the provision of certain operating information to unsuitable persons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Capital.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Wynn Resorts has retained the structure of the Executive Committee, the Board has resumed its past role in managing the business and affairs of Wynn Resorts.</w:t>
      </w:r>
    </w:p>
    <w:p>
      <w:pPr>
        <w:spacing w:after="0" w:line="188"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 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8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Wynn Resorts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6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Wynn Resorts'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w:t>
      </w: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18" w:right="2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9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Mr. Wynn, the "Wynn Cross Defendants") as cross defendants. The amended cross claim substantially repeats its earlier allegations and further alleges that Mr. Wynn engaged in acts of misconduct that, with the Wynn Cross Defendants, resulted in Mr. Wynn allegedly breaching the Stockholders Agreement and violating alleged duties under the Stockholders Agreement by preventing Elaine Wynn from being nominated and elected to serve as one of Wynn Resorts' directors. In addition to continuing to seek the declarations asserted under the original cross claim, the amended cross claim seeks an order compelling Mr. Wynn to comply with the Stockholders Agreement by assuring the nomination and election of Elaine Wynn to the Board of Directors and seeks unspecified monetary damages from Mr. Wynn and the Wynn Cross Defendants. The Wynn Cross Defendants filed motions to dismiss and a motion to sever in April 2016 and will vigorously defend against the claims asserted against them. On May 5, 2016, the court granted Wynn Resorts' and Wynn Resorts' General Counsel's motions to dismiss and denied Mr. Wynn's motion to dismiss. On May 26, 2016, the court denied the Wynn Cross Defendants’ motion to sever. Mr. Wynn is continuing to oppose Elaine Wynn's cross claim.</w:t>
      </w:r>
    </w:p>
    <w:p>
      <w:pPr>
        <w:spacing w:after="0" w:line="188"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indenture for Wynn Las Vegas, LLC's 4 1/4% Senior Notes due 2023 (the "2023 Indenture") provides that if Mr. Wynn, together with certain related parties, in the aggregate beneficially owns a lesser percentage of the voting power of the outstanding common stock of Wynn Resorts than is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If the Stockholders Agreement is determined not to be enforceable pursuant to Elaine Wynn’s cross claim, Mr. Wynn would not beneficially own or control Elaine Wynn's shares, which could increase the likelihood that a change in control may occur under the Wynn Las Vegas debt documents. Under the 2023 Indenture and the 2025 Indenture, if (1) a change of control occurs and (2) at any time within 60 days after that occurrence, the 4 1/4% Senior Notes due 2023 or the 5 1/2% Senior Notes due 2025, as applicable, are rated below investment grade by both rating agencies that rate such notes, Wynn Resorts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w:t>
      </w:r>
    </w:p>
    <w:p>
      <w:pPr>
        <w:spacing w:after="0" w:line="183"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August 30, 2013, the Okada Parties filed their third amended Counterclaim. On September 18, 2013, Wynn Resorts filed a Partial Motion to Dismiss related to a claim in the third amended Counterclaim alleging civil extortion by Mr. Wynn and Wynn Resorts' General Counsel. On October 29, 2013, the court granted the motion and dismissed the claim. On November 26, 2013, the Okada Parties filed their fourth amended Counterclaim, and Wynn Resorts filed an answer to that pleading on December 16, 2013. On September 16, 2014, Aruze filed a motion for partial summary judgment related to its counterclaim alleging Wynn Resorts' directors violated the terms of the Articles by failing to pay Aruze fair value for the redeemed shares. At a hearing held on October 21, 2014, the court denied Aruze's motion. On October 10, 2014, the Okada Parties filed a motion for partial judgment on the pleadings principally to seek dismissal of certain breach of fiduciary claims against Mr. Okada included in Wynn Resorts' Complaint. On November 13, 2014, the court denied the motion.</w:t>
      </w: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each of February 14, 2013 and February 13, 2014, Wynn Resorts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Wynn Resorts for reissue in the same amounts, payable to the clerk of the court for deposit into the clerk's trust account. Pursuant to the stipulation, on March 20, 2014, Wynn Resorts delivered to the clerk of the court the reissued checks that were deposited into the clerk's trust account and filed a notice with the court with respect to the same. On each of February 13, 2015 and February 12, 2016, Wynn Resorts issued a check for the interest payment due at those times to the clerk of the court for deposit into the clerk's trust account.</w:t>
      </w:r>
    </w:p>
    <w:p>
      <w:pPr>
        <w:spacing w:after="0" w:line="16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Wynn Resorts'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6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In May 2016, Wynn Resorts filed a motion to disqualify one of Ms. Wynn’s law firms and sought an injunction related to Ms. Wynn providing her attorneys with confidential and privileged information that belongs to Wynn Resorts. On June 23, 2016, the court stayed discovery as to both Ms. Wynn and the Okada Parties, pending an evidentiary hearing to be set by the court. New discovery deadlines and trial-related dates will be set after the stay is lifted. Wynn Resorts will continue to vigorously pursue its claims against the Okada Parties, and Wynn Resorts and the Wynn Parties will continue to vigorously defend against the counterclaims asserted against them.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Japan Action:</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August 28, 2012, Mr. Okada, Universal Entertainment Corporation and Okada Holdings ("Okada Japan Parties") filed a complaint in Tokyo District Court against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The Supreme Court of Japan dismissed the appeal as to all of the individuals (including Wynn Resorts directors) in February 2016 and as to Wynn Resorts in March 2016, thus upholding the motion for dismissal of the Okada Japan Parties' defamation action against the Wynn Parties.</w:t>
      </w: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On March 20, 2013, Mr. Okada filed a complaint against Wynn Resorts in Nevada state court for indemnification under Wynn Resorts' Articles, bylaws and agreements with its directors. The complaint sought advancement of Mr. Okada's costs and expenses (including attorney's fees) incurred pursuant to the various legal proceedings and related regulatory investigations described above. Wynn Resorts' answer and counterclaim was filed on April 15, 2013. The counterclaim named each of the Okada Parties as defendants and sought indemnification under Wynn Resorts'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Wynn Resorts; (2) reserved Mr. Okada's right to assert, in the future, any claims for indemnity following the resolution of the Redemption Action; and (3) stayed the claims asserted by Wynn Resorts against Mr. Okada pending the resolution of the Redemption Action.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Macau Action:</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On July 3, 2015, Wynn Macau, Limited announced that the Okada Parties filed a complaint in the Court of First Instance of Macau ("Macau Court") against Wynn Macau SA and certain individuals who are or were directors of Wynn Macau SA and or Wynn Macau, Limited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Resorts is building Wynn Palace was unlawful and that the previously disclosed donation by Wynn Resorts to the University of Macau Development Foundation was unlawful. The plaintiffs seek dissolution of Wynn Macau SA and compensatory damages. The Okada Parties recently released one of the defendants from the lawsuit. The Macau Court has served the complaint on all of the remaining defendants and the Wynn Macau Parties filed their response on May 17, 2016.</w:t>
      </w:r>
    </w:p>
    <w:p>
      <w:pPr>
        <w:spacing w:after="0" w:line="179"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Wynn Resorts believes these actions commenced by Okada Parties discussed above are without merit and will vigorously defend the Wynn Macau Parties against them. Management has determined that based on proceedings to date, it is currently unable to determine the probability of the outcome of these actions or the range of reasonably possible loss, if 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previously disclosed donation to the University of Macau Development Foundation. Wynn Resorts has not received any target letter or subpoena in connection with such an investigation. Wynn Resorts intends to cooperate fully with the government in response to any inquiry related to the donation to the University of Macau Development Foundation.</w:t>
      </w:r>
    </w:p>
    <w:p>
      <w:pPr>
        <w:spacing w:after="0" w:line="188"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Wynn Resorts' donation to the University of Macau Development Foundation. While Wynn Resorts believes that it is in full compliance with all applicable laws, any such investigations could result in actions by regulators against Wynn Resorts. Prior investigations by the Nevada Gaming Control Board and SEC were closed with no actions taken.</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Six derivative actions were commenced against Wynn Resorts and all members of its Board of Directors: four in the United States District Court, District of Nevada, and two in the Eighth Judicial District Court of Clark County, Nevada.</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46" w:lineRule="exact"/>
        <w:rPr>
          <w:sz w:val="20"/>
          <w:szCs w:val="20"/>
          <w:color w:val="auto"/>
        </w:rPr>
      </w:pPr>
    </w:p>
    <w:p>
      <w:pPr>
        <w:ind w:firstLine="8"/>
        <w:spacing w:after="0" w:line="285"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injunctive relief; and (4) unjust enrichment. The claims were against Wynn Resorts and all of Wynn Resorts'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Development Foundation; and (c) redeeming Aruze's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Wynn Resorts and the directors filed their motion to dismiss the amended complaint on May 23, 2013. On March 13, 2014, the federal court granted the motion to dismiss and entered judgment in favor of Wynn Resorts and directors and against the Federal Plaintiffs without prejudice. On April 10, 2014, the Federal Plaintiffs filed a notice of appeal to the United States Court of Appeals for the Ninth Circuit. On July 18, 2016, the Ninth Circuit affirmed the federal court's dismissal.</w:t>
      </w:r>
    </w:p>
    <w:p>
      <w:pPr>
        <w:spacing w:after="0" w:line="171"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The two state court actions brought by the following plaintiffs also have been consolidated: (1) IBEW Local 98 Pension Fund and (2) Danny Hinson (collectively, the "State Plaintiffs"). Through a coordination of efforts by all parties, the directors and Wynn Resorts (a nominal defendant) have been served in all of the actions. The State Plaintiffs filed a consolidated complaint on July 20, 2012 asserting claims for (1) breach of fiduciary duty; (2) abuse of control;</w:t>
      </w:r>
    </w:p>
    <w:p>
      <w:pPr>
        <w:ind w:firstLine="8"/>
        <w:spacing w:after="0" w:line="267"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mismanagement; and (4) unjust enrichment. The claims are against Wynn Resorts and all of Wynn Resorts' directors during the applicable period, including Mr. Okada, as well as Wynn Resorts' Chief Financial Officer who signed financial disclosures filed with the SEC during the applicable periods. The State Plaintiffs claim that the individual defendants failed to disclose to Wynn Resorts'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Wynn Resorts and the individual defendants that they intended to resume the action by filing an amended complaint, which they did, on April 26, 2013. Wynn Resorts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81"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 individual defendants are vigorously defending against the claims pleaded against them. Management has determined that based on proceedings to date, it is currently unable to determine the probability of the outcome of these actions or the range of reasonably possible loss, if 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2015. Unless the context otherwise requires, all references herein to the "Company," "we," "us" or "our," or similar terms, refer to Wynn Las</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Vegas, LLC, a Nevada limited liability company and its consolidated subsidiaries. This discussion and analysis contains forward-looking statements. Please refer to the section below entitled "Special Note Regarding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We are a developer, owner and operator of destination casino resorts (integrated resorts). We currently own and operate Wynn Las Vegas | Encore ("Wynn Las Vegas"), an integrated destination casino resort in Las Vegas, Nevada. Wynn Las Vegas | Encore is located at the intersection of the Las Vegas Strip and Sands Avenue and occupies approximately 215 acres of land fronting the Las Vegas Strip. We own approximately 18 acres across Sands Avenue, a portion of which is utilized for employee parking and an office building. We also utilize approximately five acres adjacent to the golf course on which an office building is located. We lease approximately 140 acres where the golf course is located, along with related water rights, from Wynn Resorts.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Wynn Las Vegas | Encore features the following as of July 15, 2016:</w:t>
      </w:r>
    </w:p>
    <w:p>
      <w:pPr>
        <w:spacing w:after="0" w:line="279" w:lineRule="exact"/>
        <w:rPr>
          <w:sz w:val="20"/>
          <w:szCs w:val="20"/>
          <w:color w:val="auto"/>
        </w:rPr>
      </w:pPr>
    </w:p>
    <w:p>
      <w:pPr>
        <w:ind w:left="900" w:right="4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194,000 square feet of casino space, offering 24-hour gaming and a full range of games with 233 table games and 1,893 slot machines, private gaming salons, a sky casino, a poker room and a race and sports book;</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33 food and beverage outlets featuring signature chefs;</w:t>
      </w:r>
    </w:p>
    <w:p>
      <w:pPr>
        <w:spacing w:after="0" w:line="117"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99,000 square feet of high-end, brand-name retail shopping, including stores and boutiques by Alexander McQueen, Brioni, Cartier, Chanel, Chloé, Chopard, Dior, Givenchy, Graff, Hermes, IWC Schaffhausen, Jaeger-LeCoultre, Loro Piana, Louis Vuitton, Moncler, Nicholas Kirkwood, Piaget, Prada, Rolex, Vertu and others;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17"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specially designed theater presenting "Le Rêve-The Dream," a water-based theatrical production and a theater presenting "Steve Wynn's ShowStoppers," a Broadway-style entertainment production; and</w:t>
      </w:r>
    </w:p>
    <w:p>
      <w:pPr>
        <w:spacing w:after="0" w:line="62"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Recreation and leisure facilities, including an 18-hole golf course, swimming pools, private cabanas, two full service spas and salons, and a wedding chapel.</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Construction and Future Development</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In response to our evaluation of our property and our commitment to creating a unique customer experience, we have made and expect to continue to make enhancements and refinements to this resort. In October 2015, we closed the Ferrari and Maserati automobile dealership inside Wynn Las Vegas. We are in the process of replacing the dealership and adjacent space with more than 75,000 square feet of additional high-end retail space.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Certain key operating measures specific to the gaming industry are included in our discussion of our operational performance for the periods for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Statements of Comprehensive Income (Loss) are presented. Below are definitions of these key operating measures discussed:</w:t>
      </w:r>
    </w:p>
    <w:p>
      <w:pPr>
        <w:spacing w:after="0" w:line="31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Table 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Table games win is the amount of table drop that is retained and recorded as casino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revenues.</w:t>
      </w:r>
    </w:p>
    <w:p>
      <w:pPr>
        <w:spacing w:after="0" w:line="9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the retail value of promotional allowances (less service charges, if any), by total rooms occupied, including complimentary rooms.</w:t>
      </w:r>
    </w:p>
    <w:p>
      <w:pPr>
        <w:spacing w:after="0" w:line="3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the retail value of promotional allowances (less service charges, if any), by total rooms available.</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9"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Summary second quarter 2016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vMerge w:val="restart"/>
          </w:tcPr>
          <w:p>
            <w:pPr>
              <w:spacing w:after="0"/>
              <w:rPr>
                <w:sz w:val="20"/>
                <w:szCs w:val="20"/>
                <w:color w:val="auto"/>
              </w:rPr>
            </w:pPr>
            <w:r>
              <w:rPr>
                <w:rFonts w:ascii="Arial" w:cs="Arial" w:eastAsia="Arial" w:hAnsi="Arial"/>
                <w:sz w:val="18"/>
                <w:szCs w:val="18"/>
                <w:color w:val="auto"/>
                <w:w w:val="89"/>
              </w:rPr>
              <w:t>(dollars in thousands)</w:t>
            </w:r>
          </w:p>
        </w:tc>
        <w:tc>
          <w:tcPr>
            <w:tcW w:w="24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220"/>
              <w:spacing w:after="0" w:line="139" w:lineRule="exact"/>
              <w:rPr>
                <w:sz w:val="20"/>
                <w:szCs w:val="20"/>
                <w:color w:val="auto"/>
              </w:rPr>
            </w:pPr>
            <w:r>
              <w:rPr>
                <w:rFonts w:ascii="Arial" w:cs="Arial" w:eastAsia="Arial" w:hAnsi="Arial"/>
                <w:sz w:val="14"/>
                <w:szCs w:val="14"/>
                <w:b w:val="1"/>
                <w:bCs w:val="1"/>
                <w:color w:val="auto"/>
              </w:rPr>
              <w:t>Percent</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ind w:left="220"/>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2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right"/>
              <w:ind w:right="417"/>
              <w:spacing w:after="0" w:line="12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394"/>
              <w:spacing w:after="0" w:line="12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c>
          <w:tcPr>
            <w:tcW w:w="1000" w:type="dxa"/>
            <w:vAlign w:val="bottom"/>
            <w:gridSpan w:val="2"/>
          </w:tcPr>
          <w:p>
            <w:pPr>
              <w:ind w:left="220"/>
              <w:spacing w:after="0" w:line="125" w:lineRule="exact"/>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1"/>
                <w:szCs w:val="11"/>
                <w:color w:val="auto"/>
              </w:rPr>
            </w:pPr>
          </w:p>
        </w:tc>
        <w:tc>
          <w:tcPr>
            <w:tcW w:w="960" w:type="dxa"/>
            <w:vAlign w:val="bottom"/>
          </w:tcPr>
          <w:p>
            <w:pPr>
              <w:ind w:left="200"/>
              <w:spacing w:after="0" w:line="12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right"/>
              <w:ind w:right="394"/>
              <w:spacing w:after="0" w:line="12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1"/>
                <w:szCs w:val="11"/>
                <w:color w:val="auto"/>
              </w:rPr>
            </w:pPr>
          </w:p>
        </w:tc>
        <w:tc>
          <w:tcPr>
            <w:tcW w:w="900" w:type="dxa"/>
            <w:vAlign w:val="bottom"/>
          </w:tcPr>
          <w:p>
            <w:pPr>
              <w:ind w:left="220"/>
              <w:spacing w:after="0" w:line="12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24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419,049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423,436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808,484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810,466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gridSpan w:val="3"/>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3,346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9,542</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5,370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(109,446)</w:t>
            </w:r>
          </w:p>
        </w:tc>
        <w:tc>
          <w:tcPr>
            <w:tcW w:w="120" w:type="dxa"/>
            <w:vAlign w:val="bottom"/>
          </w:tcPr>
          <w:p>
            <w:pPr>
              <w:spacing w:after="0"/>
              <w:rPr>
                <w:sz w:val="21"/>
                <w:szCs w:val="21"/>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Adjusted Property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122,290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122,037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231,314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232,714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80" w:firstLine="432"/>
        <w:spacing w:after="0" w:line="286" w:lineRule="auto"/>
        <w:rPr>
          <w:sz w:val="20"/>
          <w:szCs w:val="20"/>
          <w:color w:val="auto"/>
        </w:rPr>
      </w:pPr>
      <w:r>
        <w:rPr>
          <w:rFonts w:ascii="Arial" w:cs="Arial" w:eastAsia="Arial" w:hAnsi="Arial"/>
          <w:sz w:val="17"/>
          <w:szCs w:val="17"/>
          <w:color w:val="auto"/>
        </w:rPr>
        <w:t>During the three months ended June 30, 2016, net income decreased 64.9%, or $6.2 million when compared to the same period in 2015. During the three months ended June 30, 2016, asset abandonment charges and other costs associated with enhancements and refinements to the resort, included in property charges and other, contributed to a reduction in operating income and a decline in net income.</w:t>
      </w:r>
    </w:p>
    <w:p>
      <w:pPr>
        <w:spacing w:after="0" w:line="16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During the six months ended June 30, 2016, net income was $5.4 million, compared to a net loss of $109.4 million for the same period in 2015. During the six months ended June 30, 2015, we experienced a net loss primarily due to $122.4 million in losses from the extinguishment of debt related to the purchase of the 7 7/8% first mortgage notes due May 1, 2020 (the "7 7/8% 2020 Notes") and the 7 3/4% first mortgage notes due August 15, 2020 (the "7 3/4% 2020 Notes" and together with the 7 7/8% 2020 Notes, the "2020 Notes") pursuant to a cash tender offer and subsequent redemption of the untendered 7 7/8% 2020 Notes.</w:t>
      </w:r>
    </w:p>
    <w:p>
      <w:pPr>
        <w:spacing w:after="0" w:line="18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our resort. We currently rely solely upon the operations of Wynn Las Vegas for our operating cash flow. Concentration of our cash flows from Wynn Las Vegas exposes us to certain risks that competitors, whose operations are more diversified, may be better able to control. In addition to the concentration of operations in Wynn Las Vegas, many of our customers are premium gaming customers who wager on credit, thus exposing us to increased credit risk. High-end gaming also increases the potential for variability in our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2016 compared to the three months ended June 30, 2015.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020" w:type="dxa"/>
            <w:vAlign w:val="bottom"/>
          </w:tcPr>
          <w:p>
            <w:pPr>
              <w:jc w:val="right"/>
              <w:ind w:right="2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132,904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134,689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286,145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288,747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7"/>
        </w:trPr>
        <w:tc>
          <w:tcPr>
            <w:tcW w:w="72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419,049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423,436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Casino revenues were 31.7% of total net revenues for the three months ended June 30, 2016, compared to 31.8% of total net revenues for the same period in 2015, while non-casino revenues were 68.3% of total revenues, compared to 68.2% for the same period in 2015.</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Casino revenues decreased 1.3%, or $1.8 million, for the three months ended June 30, 2016 when compared to the same period in 2015. The decrease in casino revenues is attributable to a 16.1% decrease in table drop, primarily from international customers, partially offset by an increase in table games win percentage of 3.0 percentage points.</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9"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Increase/(Decrease)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132,904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134,689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drop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427,418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509,309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(81,891)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96,138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99,313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750,380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712,147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48,742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51,010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jc w:val="both"/>
        <w:ind w:right="40" w:firstLine="432"/>
        <w:spacing w:after="0" w:line="342" w:lineRule="auto"/>
        <w:rPr>
          <w:sz w:val="20"/>
          <w:szCs w:val="20"/>
          <w:color w:val="auto"/>
        </w:rPr>
      </w:pPr>
      <w:r>
        <w:rPr>
          <w:rFonts w:ascii="Arial" w:cs="Arial" w:eastAsia="Arial" w:hAnsi="Arial"/>
          <w:sz w:val="16"/>
          <w:szCs w:val="16"/>
          <w:color w:val="auto"/>
        </w:rPr>
        <w:t>Non-casino revenues were relatively flat with $286.1 million for the three months ended June 30, 2016, compared to $288.7 million for the same period in 2015. The change was primarily due to a decrease of 5.0% in food and beverage revenues largely offset by an increase of 4.4% in room revenues.</w:t>
      </w:r>
    </w:p>
    <w:p>
      <w:pPr>
        <w:spacing w:after="0" w:line="124"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Room revenues increased 4.4%, or $4.7 million for the three months ended June 30, 2016 when compared to the same period in 2015. The increase is primarily attributable to a 6.6% increase in ADR to $308 for the three months ended June 30, 2016, compared to $289 for the same period in 2015, partially offset by a 3.1 percentage point decrease in occupancy.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 Change (a)</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113,569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108,834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3.1</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0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Food and beverage revenues decreased 5.0%, or $8.2 million, to $153.9 million for the three months ended June 30, 2016, from $162.0 million for the same period in 2015, mainly due to a decline in revenues from our nightclubs.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Operating costs and expenses increased 2.1%, or $7.8 million, to $372.7 million for the three months ended June 30, 2016, from $364.9 million for the same period in 2015.</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Casino expenses decreased 1.1%, or $0.7 million, to $66.5 million for the three months ended June 30, 2016, from $67.2 million for the same period in 2015. The decrease was commensurate with the 1.3% decrease in casino revenues.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Room expenses were relatively flat with $37.0 million for the three months ended June 30, 2016 when compared to $36.4 million for the same period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9"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Food and beverage expenses decreased 4.8%, or $5.0 million, to $100.3 million for the three months ended June 30, 2016, from $105.3 million for the same period in 2015. The decrease was commensurate with the 5.0% decrease in food and beverage revenues.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General and administrative expenses increased 3.8%, or $2.3 million, to $63.5 million for the three months ended June 30, 2016, from $61.2 million for the same period in 2015. The increase was primarily due to increased payroll and advertising related expenses.</w:t>
      </w:r>
    </w:p>
    <w:p>
      <w:pPr>
        <w:spacing w:after="0" w:line="17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Provision for doubtful accounts decreased $2.3 million to $0.7 million for the three months ended June 30, 2016, from $3.0 million for the same period in 2015. The change in the provision was primarily due to the impact of historical collection patterns and current collection trends, as well as specific review of customer accounts, on our estimated allowance for the respective periods.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incurred pre-opening costs of $1.4 million for the three months ended June 30, 2016 in connection with the re-branding of one of our nightclubs.</w:t>
      </w:r>
    </w:p>
    <w:p>
      <w:pPr>
        <w:spacing w:after="0" w:line="248"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Property charges and other expense was $10.1 million for the three months ended June 30, 2016 compared to a $0.9 million gain for the same period in 2015. During the three months ended June 30, 2016, we incurred $7.5 million in asset abandonment charges primarily associated with the current construction of more than 75,000 square feet of additional high-end retail space to the resort and $2.6 million of losses from the sale of assets.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Interest expense decreased 4.6%, or $2.1 million, to $43.0 million for the three months ended June 30, 2016, from $45.1 million for the same period in 2015. The decrease is a result of additional interest expense incurred for the three months ended June 30, 2015 from the untendered 2020 Notes. In May 2015, we redeemed the remaining $71.1 million principal amount of the untendered 7 7/8% 2020 Notes, and in August 2015, we redeemed the remaining $80.1 million principal amount of the untendered 7 3/4% 2020 Notes.</w:t>
      </w:r>
    </w:p>
    <w:p>
      <w:pPr>
        <w:spacing w:after="0" w:line="18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incurred a loss of $3.8 million on the extinguishment of debt for the three months ended June 30, 2015. In connection with the redemption of the remaining $71.1 million principal amount of the untendered 7 7/8% 2020 Notes, we recorded a loss for the premium portion of the consideration of $2.8 million and expensed $1.0 million of unamortized deferred financing costs and original discount. We incurred no loss on the extinguishment of debt for the three months ended June 30,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2016 compared to the six months ended June 30, 2015.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020" w:type="dxa"/>
            <w:vAlign w:val="bottom"/>
          </w:tcPr>
          <w:p>
            <w:pPr>
              <w:jc w:val="right"/>
              <w:ind w:right="2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293,864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296,468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514,620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513,998</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72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808,484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810,466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percentage of our net revenues from non-casino revenues was 63.7% for the six months ended June 30, 2016, compared to 63.4% for the same period in 2015. Casino revenues were 36.3% of total net revenues for the six months ended June 30, 2016, compared to 36.6% of total net revenues for the same period in 2015.</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9"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Casino revenues decreased 0.9%, or $2.6 million, to $293.9 million for the six months ended June 30, 2016, from $296.5 million for the same period in 2015. The decrease in casino revenues is attributable to a 16.7% decrease in table drop, primarily from international customers, partially offset by an increase in table games win percentage of 2.8 percentage points.</w:t>
      </w:r>
    </w:p>
    <w:p>
      <w:pPr>
        <w:spacing w:after="0" w:line="18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w w:val="92"/>
              </w:rPr>
              <w:t>Increase/(Decrease)</w:t>
            </w:r>
          </w:p>
        </w:tc>
        <w:tc>
          <w:tcPr>
            <w:tcW w:w="12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293,864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296,468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(2,604)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392"/>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drop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902,580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1,082,921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(180,341)</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Table games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221,184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234,992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(13,808)</w:t>
            </w: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2.8%</w:t>
            </w: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5,121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5,501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(380)</w:t>
            </w:r>
          </w:p>
        </w:tc>
        <w:tc>
          <w:tcPr>
            <w:tcW w:w="1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1,887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392"/>
              <w:spacing w:after="0"/>
              <w:rPr>
                <w:sz w:val="20"/>
                <w:szCs w:val="20"/>
                <w:color w:val="auto"/>
              </w:rPr>
            </w:pPr>
            <w:r>
              <w:rPr>
                <w:rFonts w:ascii="Arial" w:cs="Arial" w:eastAsia="Arial" w:hAnsi="Arial"/>
                <w:sz w:val="18"/>
                <w:szCs w:val="18"/>
                <w:color w:val="auto"/>
              </w:rPr>
              <w:t>26</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1,467,840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1,474,331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(6,491)</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98,327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99,427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32"/>
              <w:spacing w:after="0"/>
              <w:rPr>
                <w:sz w:val="20"/>
                <w:szCs w:val="20"/>
                <w:color w:val="auto"/>
              </w:rPr>
            </w:pPr>
            <w:r>
              <w:rPr>
                <w:rFonts w:ascii="Arial" w:cs="Arial" w:eastAsia="Arial" w:hAnsi="Arial"/>
                <w:sz w:val="18"/>
                <w:szCs w:val="18"/>
                <w:color w:val="auto"/>
              </w:rPr>
              <w:t>(1,100)</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Non-casino revenues were relatively flat with $514.6 million for the six months ended June 30, 2016, compared to $514.0 million for the same period in 2015. The change was primarily due to an increase of 4.9% in room revenues largely offset by a decrease of 4.2% in food and beverage revenues.</w:t>
      </w:r>
    </w:p>
    <w:p>
      <w:pPr>
        <w:spacing w:after="0" w:line="124"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Room revenues increased 4.9%, or $10.2 million for the six months ended June 30, 2016 when compared to the same period in 2015. The increase is primarily attributable to a 5.9% increase in ADR to $303 for the six months ended June 30, 2016, compared to $286 for the same period in 2015, partially offset by a 2.2 percentage point decrease in occupancy.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 Change (a)</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218,708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208,474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3.3</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02"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Food and beverage revenues decreased 4.2%, or $11.7 million, to $264.8 million for the six months ended June 30, 2016, from $276.5 million for the same period in 2015, mainly due to a decline in revenues from our nightclubs. Food and beverage revenue performance was impacted by one of our nightclubs being closed for re-branding during the period and not re-opening until the end of April.</w:t>
      </w:r>
    </w:p>
    <w:p>
      <w:pPr>
        <w:spacing w:after="0" w:line="18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Promotional allowances decreased 2.7%, or $2.3 million, to $84.0 million for the six months ended June 30, 2016, from $86.4 million for the same period in 2015, primarily as a result of less complimentaries on the decrease in table drop.</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9"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Operating costs and expenses increased 1.8%, or $12.7 million, to $717.1 million for the six months ended June 30, 2016, from $704.4 million for the same period in 2015.</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Casino expenses decreased 3.5%, or $5.1 million, to $141.0 million for the six months ended June 30, 2016, from $146.1 million for the same period in 2015, primarily due to a decrease in gaming taxes and other expenses associated with the casino revenues decrease.</w:t>
      </w:r>
    </w:p>
    <w:p>
      <w:pPr>
        <w:spacing w:after="0" w:line="17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Room expenses increased 2.3%, or $1.7 million, to $73.5 million for the six months ended June 30, 2016, from $71.9 million for the same period in 2015, primarily due to an increase in payroll related expenses.</w:t>
      </w:r>
    </w:p>
    <w:p>
      <w:pPr>
        <w:spacing w:after="0" w:line="17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Food and beverage expenses decreased 1.4%, or $2.4 million, to $174.7 million for the six months ended June 30, 2016, from $177.2 million for the same period in 2015. The decrease is primarily due to lower costs in the current period for entertainment at our nightclubs, as well as lower costs associated with the food and beverage revenues decrease, partially offset by an increase in payroll related expenses.</w:t>
      </w:r>
    </w:p>
    <w:p>
      <w:pPr>
        <w:spacing w:after="0" w:line="181"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General and administrative expenses increased 2.4%, or $3.0 million, to $125.3 million for the six months ended June 30, 2016, from $122.3 million for the same period in 2015. The increase is primarily due to an increase in payroll related expenses, partially offset by a decrease in corporate allocations.</w:t>
      </w:r>
    </w:p>
    <w:p>
      <w:pPr>
        <w:spacing w:after="0" w:line="12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Provision for doubtful accounts increased $1.1 million to $5.9 million for the six months ended June 30, 2016, from $4.8 million for the same period in 2015. The change in the provision was primarily due to the impact of historical collection patterns and current collection trends, as well as specific review of customer accounts, on our estimated allowance for the respective periods.</w:t>
      </w:r>
    </w:p>
    <w:p>
      <w:pPr>
        <w:spacing w:after="0" w:line="18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Management and license fees increased 19.0%, or $4.1 million, to $25.5 million for the six months ended June 30, 2016, from $21.5 million for the same period in 2015. In February 2015, we began incurring fees associated with our license agreement with Wynn Resorts and a wholly owned subsidiary of Wynn Resorts for use of certain intellectual property. The license agreement resulted in fees of $13.4 million during the six months ended June 30, 2016 compared to $9.3 million for the same period in 2015.</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incurred pre-opening costs of $2.1 million for the six months ended June 30, 2016 in connection with the re-branding of one of our nightclubs.</w:t>
      </w:r>
    </w:p>
    <w:p>
      <w:pPr>
        <w:spacing w:after="0" w:line="237"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Property charges and other was $10.2 million for the six months ended June 30, 2016, compared to $1.1 million for the same period in 2015. During the six months ended June 30, 2016, we incurred $7.5 million in asset abandonment charges primarily associated with the current construction of more than 75,000 square feet of additional high-end retail space to the resort and $2.7 million of losses from the sale of assets.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Interest expense decreased 7.7%, or $7.2 million, to $86.0 million for the six months ended June 30, 2016, from $93.2 million for the same period in 2015. In February 2015, we issued $1.8 billion of 5 1/2% Senior Notes due 2025 ("2025 Notes") and used the proceeds for the purchase of $305.8 million of 7 7/8% 2020 Notes and $1,146.5 million of 7 3/4% 2020 Notes pursuant to a cash tender offer. In May 2015, we redeemed the remaining $71.1 million principal amount of the untendered 7 7/8% 2020 Notes, and in August 2015, we redeemed the remaining $80.1 million principal amount of the untendered 7 3/4% 2020 Notes. As a result of these financing activities, our weighted average interest rate was lower for the six months ended June 30, 2016, compared to the same period in 2015.</w:t>
      </w:r>
    </w:p>
    <w:p>
      <w:pPr>
        <w:spacing w:after="0" w:line="193"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incurred a loss of $122.4 million on the extinguishment of debt for the six months ended June 30, 2015, in connection with the cash tender offer for the 2020 Notes and the subsequent redemption of the untendered 7 7/8% 2020 Notes. We expensed $101.2 million for the consideration to holders who tendered, $17.3 million of unamortized deferred financing costs and original issue discount, and $0.1 million in other fees incurred. In connection with the redemption of the remaining $71.1 million principal amount of the untendered 7 7/8% 2020 Notes, we recorded a loss for the premium portion of the consideration of $2.8 million and expensed $1.0 million of unamortized deferred financing costs and original discount. We incurred no loss on the extinguishment of debt for the six months ended June 30, 2016.</w:t>
      </w:r>
    </w:p>
    <w:p>
      <w:pPr>
        <w:spacing w:after="0" w:line="200" w:lineRule="exact"/>
        <w:rPr>
          <w:sz w:val="20"/>
          <w:szCs w:val="20"/>
          <w:color w:val="auto"/>
        </w:rPr>
      </w:pPr>
    </w:p>
    <w:p>
      <w:pPr>
        <w:spacing w:after="0" w:line="3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9" w:right="2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use Adjusted Property EBITDA to manage the operating results of our resort. Adjusted Property EBITDA is net income (loss) before interest, taxes, depreciation and amortization, pre-opening costs, property charges and other, management and license fees, corporate expenses and other (including intercompany golf course and water rights leases), stock-based compensation, loss on extinguishment of debt, and other non-operating income and expenses and includes equity in income (loss)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resort and comparison with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reconciliation of Adjusted Property EBITDA to net income (loss) (in thousands):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122,290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231,314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232,714</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Other operating costs and expenses</w:t>
            </w: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5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Pre-opening costs</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45,752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45,249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90,946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91,489</w:t>
            </w:r>
          </w:p>
        </w:tc>
      </w:tr>
      <w:tr>
        <w:trPr>
          <w:trHeight w:val="27"/>
        </w:trPr>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charges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w:t>
            </w:r>
          </w:p>
        </w:tc>
      </w:tr>
      <w:tr>
        <w:trPr>
          <w:trHeight w:val="243"/>
        </w:trPr>
        <w:tc>
          <w:tcPr>
            <w:tcW w:w="5540" w:type="dxa"/>
            <w:vAlign w:val="bottom"/>
          </w:tcPr>
          <w:p>
            <w:pPr>
              <w:ind w:left="360"/>
              <w:spacing w:after="0"/>
              <w:rPr>
                <w:sz w:val="20"/>
                <w:szCs w:val="20"/>
                <w:color w:val="auto"/>
              </w:rPr>
            </w:pPr>
            <w:r>
              <w:rPr>
                <w:rFonts w:ascii="Arial" w:cs="Arial" w:eastAsia="Arial" w:hAnsi="Arial"/>
                <w:sz w:val="18"/>
                <w:szCs w:val="18"/>
                <w:color w:val="auto"/>
              </w:rPr>
              <w:t>Management and license fees</w:t>
            </w:r>
          </w:p>
        </w:tc>
        <w:tc>
          <w:tcPr>
            <w:tcW w:w="3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13,197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13,323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25,522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21,454</w:t>
            </w:r>
          </w:p>
        </w:tc>
      </w:tr>
      <w:tr>
        <w:trPr>
          <w:trHeight w:val="27"/>
        </w:trPr>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expenses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11,098</w:t>
            </w:r>
          </w:p>
        </w:tc>
      </w:tr>
      <w:tr>
        <w:trPr>
          <w:trHeight w:val="243"/>
        </w:trPr>
        <w:tc>
          <w:tcPr>
            <w:tcW w:w="55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1,472</w:t>
            </w:r>
          </w:p>
        </w:tc>
      </w:tr>
      <w:tr>
        <w:trPr>
          <w:trHeight w:val="27"/>
        </w:trPr>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in income (loss) from unconsolidated affiliates</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540" w:type="dxa"/>
            <w:vAlign w:val="bottom"/>
          </w:tcPr>
          <w:p>
            <w:pPr>
              <w:ind w:left="70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75,929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63,535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139,941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126,612</w:t>
            </w:r>
          </w:p>
        </w:tc>
      </w:tr>
      <w:tr>
        <w:trPr>
          <w:trHeight w:val="27"/>
        </w:trPr>
        <w:tc>
          <w:tcPr>
            <w:tcW w:w="5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106,102</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and expenses</w:t>
            </w: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5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55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(86,019)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(93,194)</w:t>
            </w:r>
          </w:p>
        </w:tc>
      </w:tr>
      <w:tr>
        <w:trPr>
          <w:trHeight w:val="27"/>
        </w:trPr>
        <w:tc>
          <w:tcPr>
            <w:tcW w:w="5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(122,355)</w:t>
            </w:r>
          </w:p>
        </w:tc>
      </w:tr>
      <w:tr>
        <w:trPr>
          <w:trHeight w:val="243"/>
        </w:trPr>
        <w:tc>
          <w:tcPr>
            <w:tcW w:w="5540" w:type="dxa"/>
            <w:vAlign w:val="bottom"/>
          </w:tcPr>
          <w:p>
            <w:pPr>
              <w:ind w:left="360"/>
              <w:spacing w:after="0"/>
              <w:rPr>
                <w:sz w:val="20"/>
                <w:szCs w:val="20"/>
                <w:color w:val="auto"/>
              </w:rPr>
            </w:pPr>
            <w:r>
              <w:rPr>
                <w:rFonts w:ascii="Arial" w:cs="Arial" w:eastAsia="Arial" w:hAnsi="Arial"/>
                <w:sz w:val="18"/>
                <w:szCs w:val="18"/>
                <w:color w:val="auto"/>
              </w:rPr>
              <w:t>Equity in income (loss) from unconsolidated affiliates</w:t>
            </w:r>
          </w:p>
        </w:tc>
        <w:tc>
          <w:tcPr>
            <w:tcW w:w="3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5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(215,548)</w:t>
            </w: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9,542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5,370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(109,446)</w:t>
            </w:r>
          </w:p>
        </w:tc>
      </w:tr>
      <w:tr>
        <w:trPr>
          <w:trHeight w:val="27"/>
        </w:trPr>
        <w:tc>
          <w:tcPr>
            <w:tcW w:w="5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18"/>
        </w:trPr>
        <w:tc>
          <w:tcPr>
            <w:tcW w:w="5540" w:type="dxa"/>
            <w:vAlign w:val="bottom"/>
          </w:tcPr>
          <w:p>
            <w:pPr>
              <w:spacing w:after="0"/>
              <w:rPr>
                <w:sz w:val="24"/>
                <w:szCs w:val="24"/>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00"/>
          </w:cols>
          <w:pgMar w:left="240" w:top="279" w:right="2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operating cash flows primarily consist of our operating income generated by our resort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Net cash provided by operations for the six months ended June 30, 2016 was $160.8 million, compared to net cash used in operations of $69.3 million for the same period in 2015. The change was primarily due to $192.8 million in accrued management fees paid to Wynn Resorts during the six months ended June 30, 2015, as we were no longer subject to certain restrictive covenants under the 2020 Notes indentures.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Net cash used in investing activities for the six months ended June 30, 2016 was $60.2 million, compared to $42.3 million for the same period in 2015, primarily consisting of capital expenditures. Capital expenditures for the six months June 30, 2016 were primarily for the re-branding of one of our nightclubs and general property maintenance. Capital expenditures for the six months ended June 30, 2015 were primarily for the remodel of guest rooms in the Encore hotel tower and general property maintenance.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had no financing activities for the six months ended June 30, 2016. Net cash provided by financing activities for the six months ended June 30, 2015 was $10.9 million. During the six months ended June 30, 2015, we issued $1.8 billion of 2025 Notes with proceeds used for the purchase of $1.52 billion of our 2020 Notes pursuant to a cash tender offer and subsequent redemption of the untendered 7 7/8% 2020 Notes. In connection with the cash tender offer, we restricted funds of $86.3 million for the purpose of redeeming the portion of the 2020 Notes that were not tendered. We used these funds for the redemption of untendered notes in August 2015. During the six months ended June 30, 2015, the proceeds from the issuance were also offset by payments of financing costs of $129.3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of June 30, 2016, we had $177.7 million of cash and cash equivalents available for use without restriction, including for operations, debt service and extinguishment, new development activities, enhancements to our property and general corporate purposes. We require a certain amount of cash on hand for operations. We expect to meet our cash needs including our contractual obligations with future anticipated cash flow from operations and our existing cash balances.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We have not entered into any transactions with special purpose entities nor do we engage in any derivatives. We do not have any retained or contingent interest in assets transferred to an unconsolidated entity. At June 30, 2016, we had outstanding letters of credit totaling $8.2 million.</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720" w:firstLine="432"/>
        <w:spacing w:after="0" w:line="342" w:lineRule="auto"/>
        <w:rPr>
          <w:sz w:val="20"/>
          <w:szCs w:val="20"/>
          <w:color w:val="auto"/>
        </w:rPr>
      </w:pPr>
      <w:r>
        <w:rPr>
          <w:rFonts w:ascii="Arial" w:cs="Arial" w:eastAsia="Arial" w:hAnsi="Arial"/>
          <w:sz w:val="16"/>
          <w:szCs w:val="16"/>
          <w:color w:val="auto"/>
        </w:rPr>
        <w:t>There have been no material changes outside the ordinary course of our business during the six months ended June 30, 2016 to our contractual obligations or off balance sheet arrangements as disclosed in our Annual Report on Form 10-K for the year ended December 31, 2015.</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9"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are restricted under the indentures governing the first mortgage notes from making certain "restricted payments" as defined in the indentures. These restricted payments include the payments of dividends or distributions to any direct or indirect holders of equity interests of Wynn Las Vegas, LLC. These restricted payments are limited by certain financial and non-financial criteria have been satisfied.</w:t>
      </w:r>
    </w:p>
    <w:p>
      <w:pPr>
        <w:spacing w:after="0" w:line="18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w:t>
      </w:r>
    </w:p>
    <w:p>
      <w:pPr>
        <w:spacing w:after="0" w:line="147"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Legal proceedings in which Wynn Resorts is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7 "Commitments and Contingencies."</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Wynn America, LLC ("Wynn America"), an indirect wholly owned subsidiary of Wynn Resorts, Limited, was created in September 2014 in connection with a senior secured credit facility. Wynn America has agreed to use commercially reasonable efforts to cause a series of corporate restructurings and related transactions, including receipt of gaming approvals from relevant gaming authorities, pursuant to which we will become subsidiaries of Wynn Las Vegas Holdings, LLC, a direct subsidiary of Wynn America (the "Reorganization"). On September 1, 2015, Wynn Resorts Holdings, LLC transferred its equity interest in Wynn Las Vegas, LLC and effectuated the Reorganization. Upon the consummation of the Reorganization, we became restricted subsidiaries under Wynn America's credit facilities and became obligated to guarantee the obligations of Wynn America to such extent as may be permitted by any of our existing senior secured notes.</w:t>
      </w:r>
    </w:p>
    <w:p>
      <w:pPr>
        <w:spacing w:after="0" w:line="18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the United States. There can be no assurances regarding the business prospects with respect to any other opportunity. Any other development would require us to obtain additional financing.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2015. There have been no significant changes to these policies for the six months ended June 30, 2016.</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related disclosure at Item 1—"Notes to Condensed Consolidated Financial Statements," Note 2 "Summary of Significant Accounting Policies."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Forward-looking statements are subject to a number of risks and uncertainties that could cause actual results to differ materially from those we express in these forward-looking statements, including the risks and uncertainties in Item 1A—"Risk Factors" of our Annual Report on Form 10-K for the year ended December 31, 2015 and other factors we describe from time to time in our periodic filings with the Securities and Exchange Commission ("SEC"), such as:</w:t>
      </w:r>
    </w:p>
    <w:p>
      <w:pPr>
        <w:spacing w:after="0" w:line="3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9" w:right="2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 particularly from our international customers;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Wynn Resorts;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900" w:right="620" w:hanging="325"/>
        <w:spacing w:after="0" w:line="250"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that terrorism, regional political events, outbreak of an infectious disease or natural disaster may have on the travel and leisure industry;</w:t>
      </w: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environmental regulation;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2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had $3.20 billion of fixed-rate debt outstanding as of June 30, 2016. As a result of our outstanding debt being based on fixed rates, we currently do not have exposure to adverse changes in market rates.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2016, our long-term debt was based on fixed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right="140" w:firstLine="413"/>
        <w:spacing w:after="0" w:line="342" w:lineRule="auto"/>
        <w:tabs>
          <w:tab w:leader="none" w:pos="848"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principal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w:t>
      </w:r>
    </w:p>
    <w:p>
      <w:pPr>
        <w:sectPr>
          <w:pgSz w:w="11900" w:h="16838" w:orient="portrait"/>
          <w:cols w:equalWidth="0" w:num="1">
            <w:col w:w="11420"/>
          </w:cols>
          <w:pgMar w:left="240" w:top="279" w:right="239" w:bottom="1440" w:gutter="0" w:footer="0" w:header="0"/>
        </w:sectPr>
      </w:pPr>
    </w:p>
    <w:p>
      <w:pPr>
        <w:spacing w:after="0" w:line="32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279" w:right="239" w:bottom="1440" w:gutter="0" w:footer="0" w:header="0"/>
          <w:type w:val="continuous"/>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8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70" w:lineRule="exact"/>
        <w:rPr>
          <w:sz w:val="20"/>
          <w:szCs w:val="20"/>
          <w:color w:val="auto"/>
        </w:rPr>
      </w:pPr>
    </w:p>
    <w:p>
      <w:pPr>
        <w:jc w:val="both"/>
        <w:ind w:right="120" w:firstLine="413"/>
        <w:spacing w:after="0" w:line="311" w:lineRule="auto"/>
        <w:tabs>
          <w:tab w:leader="none" w:pos="858"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quarter to which this report relates that materially affected, or are reasonably likely to materially affect, the Company's internal control over financial reporting.</w:t>
      </w:r>
    </w:p>
    <w:p>
      <w:pPr>
        <w:spacing w:after="0" w:line="3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240" w:top="279" w:right="39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2015. There were no material changes to those risk factors during the six months ended June 30,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financial and non-financial criteria have been satisfied.</w:t>
      </w:r>
    </w:p>
    <w:p>
      <w:pPr>
        <w:spacing w:after="0" w:line="3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279" w:right="4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113"/>
              <w:spacing w:after="0"/>
              <w:rPr>
                <w:sz w:val="20"/>
                <w:szCs w:val="20"/>
                <w:color w:val="auto"/>
              </w:rPr>
            </w:pPr>
            <w:r>
              <w:rPr>
                <w:rFonts w:ascii="Arial" w:cs="Arial" w:eastAsia="Arial" w:hAnsi="Arial"/>
                <w:sz w:val="18"/>
                <w:szCs w:val="18"/>
                <w:color w:val="auto"/>
              </w:rPr>
              <w:t>(a)</w:t>
            </w:r>
          </w:p>
        </w:tc>
        <w:tc>
          <w:tcPr>
            <w:tcW w:w="10560" w:type="dxa"/>
            <w:vAlign w:val="bottom"/>
            <w:gridSpan w:val="3"/>
          </w:tcPr>
          <w:p>
            <w:pPr>
              <w:ind w:left="4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940" w:type="dxa"/>
            <w:vAlign w:val="bottom"/>
            <w:gridSpan w:val="2"/>
          </w:tcPr>
          <w:p>
            <w:pPr>
              <w:ind w:left="5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12"/>
        </w:trPr>
        <w:tc>
          <w:tcPr>
            <w:tcW w:w="820" w:type="dxa"/>
            <w:vAlign w:val="bottom"/>
          </w:tcPr>
          <w:p>
            <w:pPr>
              <w:jc w:val="right"/>
              <w:ind w:right="93"/>
              <w:spacing w:after="0"/>
              <w:rPr>
                <w:sz w:val="20"/>
                <w:szCs w:val="20"/>
                <w:color w:val="auto"/>
              </w:rPr>
            </w:pPr>
            <w:r>
              <w:rPr>
                <w:rFonts w:ascii="Arial" w:cs="Arial" w:eastAsia="Arial" w:hAnsi="Arial"/>
                <w:sz w:val="14"/>
                <w:szCs w:val="14"/>
                <w:b w:val="1"/>
                <w:bCs w:val="1"/>
                <w:color w:val="auto"/>
              </w:rPr>
              <w:t>Exhibit</w:t>
            </w:r>
          </w:p>
        </w:tc>
        <w:tc>
          <w:tcPr>
            <w:tcW w:w="3620" w:type="dxa"/>
            <w:vAlign w:val="bottom"/>
          </w:tcPr>
          <w:p>
            <w:pPr>
              <w:spacing w:after="0"/>
              <w:rPr>
                <w:sz w:val="24"/>
                <w:szCs w:val="24"/>
                <w:color w:val="auto"/>
              </w:rPr>
            </w:pPr>
          </w:p>
        </w:tc>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20" w:type="dxa"/>
            <w:vAlign w:val="bottom"/>
          </w:tcPr>
          <w:p>
            <w:pPr>
              <w:jc w:val="right"/>
              <w:ind w:right="213"/>
              <w:spacing w:after="0" w:line="158" w:lineRule="exact"/>
              <w:rPr>
                <w:sz w:val="20"/>
                <w:szCs w:val="20"/>
                <w:color w:val="auto"/>
              </w:rPr>
            </w:pPr>
            <w:r>
              <w:rPr>
                <w:rFonts w:ascii="Arial" w:cs="Arial" w:eastAsia="Arial" w:hAnsi="Arial"/>
                <w:sz w:val="14"/>
                <w:szCs w:val="14"/>
                <w:b w:val="1"/>
                <w:bCs w:val="1"/>
                <w:color w:val="auto"/>
              </w:rPr>
              <w:t>No.</w:t>
            </w:r>
          </w:p>
        </w:tc>
        <w:tc>
          <w:tcPr>
            <w:tcW w:w="3620" w:type="dxa"/>
            <w:vAlign w:val="bottom"/>
          </w:tcPr>
          <w:p>
            <w:pPr>
              <w:spacing w:after="0"/>
              <w:rPr>
                <w:sz w:val="13"/>
                <w:szCs w:val="13"/>
                <w:color w:val="auto"/>
              </w:rPr>
            </w:pPr>
          </w:p>
        </w:tc>
        <w:tc>
          <w:tcPr>
            <w:tcW w:w="6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0560" w:type="dxa"/>
            <w:vAlign w:val="bottom"/>
            <w:gridSpan w:val="3"/>
            <w:vMerge w:val="restart"/>
          </w:tcPr>
          <w:p>
            <w:pPr>
              <w:ind w:left="940"/>
              <w:spacing w:after="0"/>
              <w:rPr>
                <w:sz w:val="20"/>
                <w:szCs w:val="20"/>
                <w:color w:val="auto"/>
              </w:rPr>
            </w:pPr>
            <w:r>
              <w:rPr>
                <w:rFonts w:ascii="Arial" w:cs="Arial" w:eastAsia="Arial" w:hAnsi="Arial"/>
                <w:sz w:val="18"/>
                <w:szCs w:val="18"/>
                <w:color w:val="auto"/>
                <w:w w:val="91"/>
              </w:rPr>
              <w:t>Fourth Restated Articles of Organization of Wynn Las Vegas, LLC. (Incorporated by reference from the Current Report on Form 8-K</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105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filed by the Registrant on September 3, 2015.)</w:t>
            </w:r>
          </w:p>
        </w:tc>
        <w:tc>
          <w:tcPr>
            <w:tcW w:w="0" w:type="dxa"/>
            <w:vAlign w:val="bottom"/>
          </w:tcPr>
          <w:p>
            <w:pPr>
              <w:spacing w:after="0"/>
              <w:rPr>
                <w:sz w:val="1"/>
                <w:szCs w:val="1"/>
                <w:color w:val="auto"/>
              </w:rPr>
            </w:pPr>
          </w:p>
        </w:tc>
      </w:tr>
      <w:tr>
        <w:trPr>
          <w:trHeight w:val="256"/>
        </w:trPr>
        <w:tc>
          <w:tcPr>
            <w:tcW w:w="820" w:type="dxa"/>
            <w:vAlign w:val="bottom"/>
          </w:tcPr>
          <w:p>
            <w:pPr>
              <w:spacing w:after="0"/>
              <w:rPr>
                <w:sz w:val="22"/>
                <w:szCs w:val="22"/>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0"/>
              </w:rPr>
              <w:t>Third Amended and Restated Operating Agreement of Wynn Las Vegas, LLC. (Incorporated by reference from the Current Report on</w:t>
            </w:r>
          </w:p>
        </w:tc>
        <w:tc>
          <w:tcPr>
            <w:tcW w:w="0" w:type="dxa"/>
            <w:vAlign w:val="bottom"/>
          </w:tcPr>
          <w:p>
            <w:pPr>
              <w:spacing w:after="0"/>
              <w:rPr>
                <w:sz w:val="1"/>
                <w:szCs w:val="1"/>
                <w:color w:val="auto"/>
              </w:rPr>
            </w:pP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Form 8-K filed by the Registrant on September 3, 2015.)</w:t>
            </w:r>
          </w:p>
        </w:tc>
        <w:tc>
          <w:tcPr>
            <w:tcW w:w="0" w:type="dxa"/>
            <w:vAlign w:val="bottom"/>
          </w:tcPr>
          <w:p>
            <w:pPr>
              <w:spacing w:after="0"/>
              <w:rPr>
                <w:sz w:val="1"/>
                <w:szCs w:val="1"/>
                <w:color w:val="auto"/>
              </w:rPr>
            </w:pPr>
          </w:p>
        </w:tc>
      </w:tr>
      <w:tr>
        <w:trPr>
          <w:trHeight w:val="256"/>
        </w:trPr>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1"/>
              </w:rPr>
              <w:t>Third Amendment to Credit Agreement, dated as of June 21, 2016, by and among Wynn America, LLC, as borrower, the Guarantors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4"/>
              </w:rPr>
              <w:t>named therein, Deutsche Bank AG New York Branch, as administrative agent on behalf of the several banks and other financial</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9"/>
              </w:rPr>
              <w:t>institutions or entities from time to time party to Wynn America, LLC's Credit Agreement, dated as of November 20, 2014.</w:t>
            </w:r>
          </w:p>
        </w:tc>
        <w:tc>
          <w:tcPr>
            <w:tcW w:w="0" w:type="dxa"/>
            <w:vAlign w:val="bottom"/>
          </w:tcPr>
          <w:p>
            <w:pPr>
              <w:spacing w:after="0"/>
              <w:rPr>
                <w:sz w:val="1"/>
                <w:szCs w:val="1"/>
                <w:color w:val="auto"/>
              </w:rPr>
            </w:pPr>
          </w:p>
        </w:tc>
      </w:tr>
      <w:tr>
        <w:trPr>
          <w:trHeight w:val="256"/>
        </w:trPr>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1"/>
              </w:rPr>
              <w:t>Fourth Amendment to Credit Agreement, dated as of July 1, 2016, by and among Wynn America, LLC, as borrower, the Guarantors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4"/>
              </w:rPr>
              <w:t>named therein, Deutsche Bank AG New York Branch, as administrative agent on behalf of the several banks and other financial</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9"/>
              </w:rPr>
              <w:t>institutions or entities from time to time party to Wynn America, LLC's Credit Agreement, dated as of November 20, 2014.</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Certification of Principal Executive Officer of Periodic Report Pursuant to Rule 13a – 14(a) and Rule 15d – 14(a).</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Certification of Principal Financial Officer of Periodic Report Pursuant to Rule 13a – 14(a) and Rule 15d – 14(a).</w:t>
            </w:r>
          </w:p>
        </w:tc>
        <w:tc>
          <w:tcPr>
            <w:tcW w:w="0" w:type="dxa"/>
            <w:vAlign w:val="bottom"/>
          </w:tcPr>
          <w:p>
            <w:pPr>
              <w:spacing w:after="0"/>
              <w:rPr>
                <w:sz w:val="1"/>
                <w:szCs w:val="1"/>
                <w:color w:val="auto"/>
              </w:rPr>
            </w:pPr>
          </w:p>
        </w:tc>
      </w:tr>
      <w:tr>
        <w:trPr>
          <w:trHeight w:val="270"/>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rPr>
              <w:t>Certification of CEO and CFO Pursuant to 18 U.S.C. Section 1350.</w:t>
            </w:r>
          </w:p>
        </w:tc>
        <w:tc>
          <w:tcPr>
            <w:tcW w:w="0" w:type="dxa"/>
            <w:vAlign w:val="bottom"/>
          </w:tcPr>
          <w:p>
            <w:pPr>
              <w:spacing w:after="0"/>
              <w:rPr>
                <w:sz w:val="1"/>
                <w:szCs w:val="1"/>
                <w:color w:val="auto"/>
              </w:rPr>
            </w:pPr>
          </w:p>
        </w:tc>
      </w:tr>
      <w:tr>
        <w:trPr>
          <w:trHeight w:val="256"/>
        </w:trPr>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3"/>
              </w:rPr>
              <w:t>The following financial information from the Company's Quarterly Report on Form 10-Q for the quarter ended June 30, 2016, filed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560" w:type="dxa"/>
            <w:vAlign w:val="bottom"/>
            <w:gridSpan w:val="3"/>
          </w:tcPr>
          <w:p>
            <w:pPr>
              <w:ind w:left="940"/>
              <w:spacing w:after="0"/>
              <w:rPr>
                <w:sz w:val="20"/>
                <w:szCs w:val="20"/>
                <w:color w:val="auto"/>
              </w:rPr>
            </w:pPr>
            <w:r>
              <w:rPr>
                <w:rFonts w:ascii="Arial" w:cs="Arial" w:eastAsia="Arial" w:hAnsi="Arial"/>
                <w:sz w:val="18"/>
                <w:szCs w:val="18"/>
                <w:color w:val="auto"/>
                <w:w w:val="94"/>
              </w:rPr>
              <w:t>with the SEC on August 9, 2016 formatted in Extensible Business Reporting Language (XBRL): (i) the Condensed Consolidated</w:t>
            </w:r>
          </w:p>
        </w:tc>
        <w:tc>
          <w:tcPr>
            <w:tcW w:w="0" w:type="dxa"/>
            <w:vAlign w:val="bottom"/>
          </w:tcPr>
          <w:p>
            <w:pPr>
              <w:spacing w:after="0"/>
              <w:rPr>
                <w:sz w:val="1"/>
                <w:szCs w:val="1"/>
                <w:color w:val="auto"/>
              </w:rPr>
            </w:pPr>
          </w:p>
        </w:tc>
      </w:tr>
    </w:tbl>
    <w:p>
      <w:pPr>
        <w:ind w:left="1760" w:right="240"/>
        <w:spacing w:after="0" w:line="302" w:lineRule="auto"/>
        <w:rPr>
          <w:sz w:val="20"/>
          <w:szCs w:val="20"/>
          <w:color w:val="auto"/>
        </w:rPr>
      </w:pPr>
      <w:r>
        <w:rPr>
          <w:rFonts w:ascii="Arial" w:cs="Arial" w:eastAsia="Arial" w:hAnsi="Arial"/>
          <w:sz w:val="16"/>
          <w:szCs w:val="16"/>
          <w:color w:val="auto"/>
        </w:rPr>
        <w:t>Balance Sheets at June 30, 2016 and December 31, 2015, (ii) the Condensed Consolidated Statements of Comprehensive Income (Loss) for the three and six months ended June 30, 2016 and 2015, (iii) the Condensed Consolidated Statements of Cash Flows for the six months ended June 30, 2016 and 2015,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543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9" w:right="2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WYNN LAS VEGAS, LLC</w:t>
      </w:r>
    </w:p>
    <w:p>
      <w:pPr>
        <w:spacing w:after="0" w:line="391" w:lineRule="exact"/>
        <w:rPr>
          <w:sz w:val="20"/>
          <w:szCs w:val="20"/>
          <w:color w:val="auto"/>
        </w:rPr>
      </w:pPr>
    </w:p>
    <w:p>
      <w:pPr>
        <w:ind w:left="40"/>
        <w:spacing w:after="0"/>
        <w:tabs>
          <w:tab w:leader="none" w:pos="6080" w:val="left"/>
          <w:tab w:leader="none" w:pos="6640" w:val="left"/>
        </w:tabs>
        <w:rPr>
          <w:sz w:val="20"/>
          <w:szCs w:val="20"/>
          <w:color w:val="auto"/>
        </w:rPr>
      </w:pPr>
      <w:r>
        <w:rPr>
          <w:rFonts w:ascii="Arial" w:cs="Arial" w:eastAsia="Arial" w:hAnsi="Arial"/>
          <w:sz w:val="18"/>
          <w:szCs w:val="18"/>
          <w:color w:val="auto"/>
        </w:rPr>
        <w:t>Dated: August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Dean Lawrence</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80"/>
          </w:cols>
          <w:pgMar w:left="240" w:top="279" w:right="87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THIRD AMENDMENT TO CREDIT AGREEMENT</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This Third Amendment to Credit Agreement, dated as of June 21, 2016 (this “</w:t>
      </w:r>
      <w:r>
        <w:rPr>
          <w:rFonts w:ascii="Arial" w:cs="Arial" w:eastAsia="Arial" w:hAnsi="Arial"/>
          <w:sz w:val="19"/>
          <w:szCs w:val="19"/>
          <w:b w:val="1"/>
          <w:bCs w:val="1"/>
          <w:color w:val="auto"/>
        </w:rPr>
        <w:t>Agreement</w:t>
      </w:r>
      <w:r>
        <w:rPr>
          <w:rFonts w:ascii="Arial" w:cs="Arial" w:eastAsia="Arial" w:hAnsi="Arial"/>
          <w:sz w:val="19"/>
          <w:szCs w:val="19"/>
          <w:color w:val="auto"/>
        </w:rPr>
        <w:t>”), by and among Wynn America, LLC, a Nevada limited liability company (“</w:t>
      </w:r>
      <w:r>
        <w:rPr>
          <w:rFonts w:ascii="Arial" w:cs="Arial" w:eastAsia="Arial" w:hAnsi="Arial"/>
          <w:sz w:val="19"/>
          <w:szCs w:val="19"/>
          <w:b w:val="1"/>
          <w:bCs w:val="1"/>
          <w:color w:val="auto"/>
        </w:rPr>
        <w:t>Borrower</w:t>
      </w:r>
      <w:r>
        <w:rPr>
          <w:rFonts w:ascii="Arial" w:cs="Arial" w:eastAsia="Arial" w:hAnsi="Arial"/>
          <w:sz w:val="19"/>
          <w:szCs w:val="19"/>
          <w:color w:val="auto"/>
        </w:rPr>
        <w:t>”), the Guarantors (as defined in the Amended Credit Agreement referred to below) party hereto, Deutsche Bank AG New York Branch, as administrative agent (in such capacity, “</w:t>
      </w:r>
      <w:r>
        <w:rPr>
          <w:rFonts w:ascii="Arial" w:cs="Arial" w:eastAsia="Arial" w:hAnsi="Arial"/>
          <w:sz w:val="19"/>
          <w:szCs w:val="19"/>
          <w:b w:val="1"/>
          <w:bCs w:val="1"/>
          <w:color w:val="auto"/>
        </w:rPr>
        <w:t>Administrative Agent</w:t>
      </w:r>
      <w:r>
        <w:rPr>
          <w:rFonts w:ascii="Arial" w:cs="Arial" w:eastAsia="Arial" w:hAnsi="Arial"/>
          <w:sz w:val="19"/>
          <w:szCs w:val="19"/>
          <w:color w:val="auto"/>
        </w:rPr>
        <w:t>”) for (and on behalf of) the Lenders under the Existing Credit Agreement referred to below and, after giving effect hereto, the Amended Credit Agreement and as collateral agent (in such capacity, “</w:t>
      </w:r>
      <w:r>
        <w:rPr>
          <w:rFonts w:ascii="Arial" w:cs="Arial" w:eastAsia="Arial" w:hAnsi="Arial"/>
          <w:sz w:val="19"/>
          <w:szCs w:val="19"/>
          <w:b w:val="1"/>
          <w:bCs w:val="1"/>
          <w:color w:val="auto"/>
        </w:rPr>
        <w:t>Collateral Agent</w:t>
      </w:r>
      <w:r>
        <w:rPr>
          <w:rFonts w:ascii="Arial" w:cs="Arial" w:eastAsia="Arial" w:hAnsi="Arial"/>
          <w:sz w:val="19"/>
          <w:szCs w:val="19"/>
          <w:color w:val="auto"/>
        </w:rPr>
        <w:t>”) for the Secured Parties (as defined under the Existing Credit Agreement and, after giving effect hereto, the Amended Credit Agreement), and the Consenting Lenders (as defined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reference is hereby made to the Credit Agreement, dated as of November 20, 2014 (as amended by the First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to Credit Agreement, dated as of November 5, 2015, the Second Amendment to Credit Agreement, dated as of December 21, 2015 and as it may be further amended, restated, replaced, supplemented or otherwise modified and as in effect immediately prior to giving effect to the amendments contemplated by this Agreement, the “</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and the Existing Credit Agreement as modified by this Agreement, the “</w:t>
      </w:r>
      <w:r>
        <w:rPr>
          <w:rFonts w:ascii="Arial" w:cs="Arial" w:eastAsia="Arial" w:hAnsi="Arial"/>
          <w:sz w:val="18"/>
          <w:szCs w:val="18"/>
          <w:b w:val="1"/>
          <w:bCs w:val="1"/>
          <w:color w:val="auto"/>
        </w:rPr>
        <w:t>Amended Credit Agreement</w:t>
      </w:r>
      <w:r>
        <w:rPr>
          <w:rFonts w:ascii="Arial" w:cs="Arial" w:eastAsia="Arial" w:hAnsi="Arial"/>
          <w:sz w:val="18"/>
          <w:szCs w:val="18"/>
          <w:color w:val="auto"/>
        </w:rPr>
        <w:t>”; capitalized terms defined in the Amended Credit Agreement and not otherwise defined herein being used herein as therein defined), among Borrower, the Guarantors party thereto, the Lenders party thereto from time to time, the L/C Lenders party thereto from time to time, Administrative Agent, Collateral Agent and the other parties thereto;</w:t>
      </w:r>
    </w:p>
    <w:p>
      <w:pPr>
        <w:spacing w:after="0" w:line="16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each Lender holding a Tranche C Term Facility Commitment that has executed this Agreement (collectively,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avoidance of doubt, each Lender holding a Tranche C Term Facility Commitment that has executed this Agreement after the date hereof in accordance with the terms of this Agreement, the “</w:t>
      </w:r>
      <w:r>
        <w:rPr>
          <w:rFonts w:ascii="Arial" w:cs="Arial" w:eastAsia="Arial" w:hAnsi="Arial"/>
          <w:sz w:val="20"/>
          <w:szCs w:val="20"/>
          <w:b w:val="1"/>
          <w:bCs w:val="1"/>
          <w:color w:val="auto"/>
        </w:rPr>
        <w:t>Consenting Lenders</w:t>
      </w:r>
      <w:r>
        <w:rPr>
          <w:rFonts w:ascii="Arial" w:cs="Arial" w:eastAsia="Arial" w:hAnsi="Arial"/>
          <w:sz w:val="20"/>
          <w:szCs w:val="20"/>
          <w:color w:val="auto"/>
        </w:rPr>
        <w:t>”) has agreed to extend the Term Facility Availability Period applicable to its Tranche C Term Facility Commitments as in effect immediately prior to the Agreement Effective Date (as defined below) on the terms and subject to the conditions set forth in this Agreement; and</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Borrower, the Guarantors, the Consenting Lenders, Administrative Agent and Collateral Agent will make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amendments to the Existing Credit Agreement and Exhibit B thereto, in each case, as set forth herein;</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agreements, provisions and covenants herein contained and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are hereby acknowledged, the parties hereto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EXISTING CREDIT DOCUMENTS</w:t>
      </w:r>
    </w:p>
    <w:p>
      <w:pPr>
        <w:spacing w:after="0" w:line="23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9"/>
          <w:szCs w:val="19"/>
          <w:u w:val="single" w:color="auto"/>
          <w:color w:val="auto"/>
        </w:rPr>
        <w:t>Consent of Consenting Lenders</w:t>
      </w:r>
      <w:r>
        <w:rPr>
          <w:rFonts w:ascii="Arial" w:cs="Arial" w:eastAsia="Arial" w:hAnsi="Arial"/>
          <w:sz w:val="19"/>
          <w:szCs w:val="19"/>
          <w:color w:val="auto"/>
        </w:rPr>
        <w:t>. Subject to the terms and conditions of this Agreement, each Consenting</w:t>
      </w:r>
      <w:r>
        <w:rPr>
          <w:rFonts w:ascii="Arial" w:cs="Arial" w:eastAsia="Arial" w:hAnsi="Arial"/>
          <w:sz w:val="18"/>
          <w:szCs w:val="18"/>
          <w:color w:val="auto"/>
        </w:rPr>
        <w:t xml:space="preserve"> </w:t>
      </w:r>
      <w:r>
        <w:rPr>
          <w:rFonts w:ascii="Arial" w:cs="Arial" w:eastAsia="Arial" w:hAnsi="Arial"/>
          <w:sz w:val="19"/>
          <w:szCs w:val="19"/>
          <w:color w:val="auto"/>
        </w:rPr>
        <w:t>Lender that executes and delivers a signature page to this Agreement irrevocably agrees to the amendments to, and waivers and consents under, the Existing Credit Agreement provided for herein with respect to all of such Lender’s Tranche C Term Facility Commitments as in effect immediately prior to the Agreement Effective Date (or, if expressly indicated on such signature page so delivered, such partial amount of such Lender’s Tranche C Term Facility Commitments so indicated), which shall from and after the Agreement Effective Date be designated as Tranche</w:t>
      </w:r>
    </w:p>
    <w:p>
      <w:pPr>
        <w:sectPr>
          <w:pgSz w:w="11900" w:h="16838" w:orient="portrait"/>
          <w:cols w:equalWidth="0" w:num="1">
            <w:col w:w="11420"/>
          </w:cols>
          <w:pgMar w:left="240" w:top="580" w:right="239" w:bottom="1440" w:gutter="0" w:footer="0" w:header="0"/>
        </w:sectPr>
      </w:pPr>
    </w:p>
    <w:bookmarkStart w:id="31" w:name="page32"/>
    <w:bookmarkEnd w:id="31"/>
    <w:p>
      <w:pPr>
        <w:spacing w:after="0" w:line="289" w:lineRule="auto"/>
        <w:rPr>
          <w:sz w:val="20"/>
          <w:szCs w:val="20"/>
          <w:color w:val="auto"/>
        </w:rPr>
      </w:pPr>
      <w:r>
        <w:rPr>
          <w:rFonts w:ascii="Arial" w:cs="Arial" w:eastAsia="Arial" w:hAnsi="Arial"/>
          <w:sz w:val="20"/>
          <w:szCs w:val="20"/>
          <w:color w:val="auto"/>
        </w:rPr>
        <w:t>D Term Facility Commitments under the Amended Credit Agreement. Such agreement shall be irrevocably binding on any subsequent assignees, transferees, participants, successors and assigns with respect to such Commitments.</w:t>
      </w:r>
    </w:p>
    <w:p>
      <w:pPr>
        <w:spacing w:after="0" w:line="189" w:lineRule="exact"/>
        <w:rPr>
          <w:sz w:val="20"/>
          <w:szCs w:val="20"/>
          <w:color w:val="auto"/>
        </w:rPr>
      </w:pPr>
    </w:p>
    <w:p>
      <w:pPr>
        <w:ind w:firstLine="648"/>
        <w:spacing w:after="0" w:line="281"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9"/>
          <w:szCs w:val="19"/>
          <w:u w:val="single" w:color="auto"/>
          <w:color w:val="auto"/>
        </w:rPr>
        <w:t>Amendments</w:t>
      </w:r>
      <w:r>
        <w:rPr>
          <w:rFonts w:ascii="Arial" w:cs="Arial" w:eastAsia="Arial" w:hAnsi="Arial"/>
          <w:sz w:val="19"/>
          <w:szCs w:val="19"/>
          <w:color w:val="auto"/>
        </w:rPr>
        <w:t>. Subject to the satisfaction of the conditions set forth in Article III of this Agreement, as of</w:t>
      </w:r>
      <w:r>
        <w:rPr>
          <w:rFonts w:ascii="Arial" w:cs="Arial" w:eastAsia="Arial" w:hAnsi="Arial"/>
          <w:sz w:val="18"/>
          <w:szCs w:val="18"/>
          <w:color w:val="auto"/>
        </w:rPr>
        <w:t xml:space="preserve"> </w:t>
      </w:r>
      <w:r>
        <w:rPr>
          <w:rFonts w:ascii="Arial" w:cs="Arial" w:eastAsia="Arial" w:hAnsi="Arial"/>
          <w:sz w:val="19"/>
          <w:szCs w:val="19"/>
          <w:color w:val="auto"/>
        </w:rPr>
        <w:t>the Agreement Effective Date the terms and provisions of the Existing Credit Agreement are hereby amended as follows:</w:t>
      </w:r>
    </w:p>
    <w:p>
      <w:pPr>
        <w:spacing w:after="0" w:line="2" w:lineRule="exact"/>
        <w:rPr>
          <w:sz w:val="20"/>
          <w:szCs w:val="20"/>
          <w:color w:val="auto"/>
        </w:rPr>
      </w:pPr>
    </w:p>
    <w:p>
      <w:pPr>
        <w:ind w:left="2160" w:hanging="855"/>
        <w:spacing w:after="0"/>
        <w:tabs>
          <w:tab w:leader="none" w:pos="2160" w:val="left"/>
        </w:tabs>
        <w:numPr>
          <w:ilvl w:val="0"/>
          <w:numId w:val="11"/>
        </w:numPr>
        <w:rPr>
          <w:rFonts w:ascii="Arial" w:cs="Arial" w:eastAsia="Arial" w:hAnsi="Arial"/>
          <w:sz w:val="16"/>
          <w:szCs w:val="16"/>
          <w:color w:val="auto"/>
        </w:rPr>
      </w:pPr>
      <w:r>
        <w:rPr>
          <w:rFonts w:ascii="Arial" w:cs="Arial" w:eastAsia="Arial" w:hAnsi="Arial"/>
          <w:sz w:val="18"/>
          <w:szCs w:val="18"/>
          <w:color w:val="auto"/>
        </w:rPr>
        <w:t>The following new definitions are hereby inserted into Section 1.01 of the Existing Credit Agreement in appropriate</w:t>
      </w:r>
    </w:p>
    <w:p>
      <w:pPr>
        <w:spacing w:after="0" w:line="4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alphabetical order:</w:t>
      </w:r>
    </w:p>
    <w:p>
      <w:pPr>
        <w:spacing w:after="0" w:line="20" w:lineRule="exact"/>
        <w:rPr>
          <w:rFonts w:ascii="Arial" w:cs="Arial" w:eastAsia="Arial" w:hAnsi="Arial"/>
          <w:sz w:val="16"/>
          <w:szCs w:val="16"/>
          <w:color w:val="auto"/>
        </w:rPr>
      </w:pPr>
    </w:p>
    <w:p>
      <w:pPr>
        <w:ind w:left="1300" w:right="20"/>
        <w:spacing w:after="0" w:line="308"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Amendment</w:t>
      </w:r>
      <w:r>
        <w:rPr>
          <w:rFonts w:ascii="Arial" w:cs="Arial" w:eastAsia="Arial" w:hAnsi="Arial"/>
          <w:sz w:val="18"/>
          <w:szCs w:val="18"/>
          <w:color w:val="auto"/>
        </w:rPr>
        <w:t>” shall mean that certain Third Amendment to Credit Agreement, dated as of June 21, 2016, by and among Borrower, the Guarantors party thereto, Administrative Agent, Collateral Agent and the other parties party thereto.</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Amendment Effective Date</w:t>
      </w:r>
      <w:r>
        <w:rPr>
          <w:rFonts w:ascii="Arial" w:cs="Arial" w:eastAsia="Arial" w:hAnsi="Arial"/>
          <w:sz w:val="19"/>
          <w:szCs w:val="19"/>
          <w:color w:val="auto"/>
        </w:rPr>
        <w:t>” shall mean the “Agreement Effective Date” as defined in the Third Amendment.</w:t>
      </w:r>
    </w:p>
    <w:p>
      <w:pPr>
        <w:spacing w:after="0" w:line="227" w:lineRule="exact"/>
        <w:rPr>
          <w:sz w:val="20"/>
          <w:szCs w:val="20"/>
          <w:color w:val="auto"/>
        </w:rPr>
      </w:pPr>
    </w:p>
    <w:p>
      <w:pPr>
        <w:jc w:val="both"/>
        <w:ind w:left="130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D Term Facility Commitment”</w:t>
      </w:r>
      <w:r>
        <w:rPr>
          <w:rFonts w:ascii="Arial" w:cs="Arial" w:eastAsia="Arial" w:hAnsi="Arial"/>
          <w:sz w:val="18"/>
          <w:szCs w:val="18"/>
          <w:color w:val="auto"/>
        </w:rPr>
        <w:t xml:space="preserve"> shall mean, for each Tranche D Term Facility Lender, the obligation of such Lender to make Term Facility Loans pursuant to Section 2.01(b)(iv) hereof during the applicable Term Facility Availability Period in a principal amount not to exceed the amount of such Tranche D Term Facility Lender’s Tranche C Term Facility Commitments (as defined in the Existing Credit Agreement) immediately prior to the Third Amendment Effective Date (or, in a principal amount not to exceed the partial amount of such Tranche D Term Facility Lender’s Tranche C Term Facility Commitments (as defined in the Existing Credit Agreement) immediately prior to the Third Amendment Effective Date as expressly indicated on such Lender’s signature page delivered in connection with and in accordance with the terms of the Third Amendment (the aggregate amount of all such partially extended Tranche C Term Facility Commitments, the “</w:t>
      </w:r>
      <w:r>
        <w:rPr>
          <w:rFonts w:ascii="Arial" w:cs="Arial" w:eastAsia="Arial" w:hAnsi="Arial"/>
          <w:sz w:val="18"/>
          <w:szCs w:val="18"/>
          <w:b w:val="1"/>
          <w:bCs w:val="1"/>
          <w:color w:val="auto"/>
        </w:rPr>
        <w:t>Partial</w:t>
      </w:r>
      <w:r>
        <w:rPr>
          <w:rFonts w:ascii="Arial" w:cs="Arial" w:eastAsia="Arial" w:hAnsi="Arial"/>
          <w:sz w:val="18"/>
          <w:szCs w:val="18"/>
          <w:color w:val="auto"/>
        </w:rPr>
        <w:t xml:space="preserve"> </w:t>
      </w:r>
      <w:r>
        <w:rPr>
          <w:rFonts w:ascii="Arial" w:cs="Arial" w:eastAsia="Arial" w:hAnsi="Arial"/>
          <w:sz w:val="18"/>
          <w:szCs w:val="18"/>
          <w:b w:val="1"/>
          <w:bCs w:val="1"/>
          <w:color w:val="auto"/>
        </w:rPr>
        <w:t>Tranche D Term Facility Commitment Amount</w:t>
      </w:r>
      <w:r>
        <w:rPr>
          <w:rFonts w:ascii="Arial" w:cs="Arial" w:eastAsia="Arial" w:hAnsi="Arial"/>
          <w:sz w:val="18"/>
          <w:szCs w:val="18"/>
          <w:color w:val="auto"/>
        </w:rPr>
        <w:t>”)) or as set forth in the Assignment Agreement pursuant 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 assumed its Tranche D Term Facility Commitment, as applicable, as the same may be (a) changed pursuant to Section 13.05(b) or (b) reduced or terminated from time to time pursuant to Section 2.04 or Section 11.01. The aggregate principal amount of the Tranche D Term Facility Commitments of all Tranche D Term Facility Lenders as of the Third Amendment Effective Date is $569,333,333.33 </w:t>
      </w:r>
      <w:r>
        <w:rPr>
          <w:rFonts w:ascii="Arial" w:cs="Arial" w:eastAsia="Arial" w:hAnsi="Arial"/>
          <w:sz w:val="18"/>
          <w:szCs w:val="18"/>
          <w:i w:val="1"/>
          <w:iCs w:val="1"/>
          <w:color w:val="auto"/>
        </w:rPr>
        <w:t>plus</w:t>
      </w:r>
      <w:r>
        <w:rPr>
          <w:rFonts w:ascii="Arial" w:cs="Arial" w:eastAsia="Arial" w:hAnsi="Arial"/>
          <w:sz w:val="18"/>
          <w:szCs w:val="18"/>
          <w:color w:val="auto"/>
        </w:rPr>
        <w:t>, if provided after the Third Amendment Effective Date in accordance with the terms of the Third Amendment, any Partial Tranche D Term Facility Commitment Amount.</w:t>
      </w:r>
    </w:p>
    <w:p>
      <w:pPr>
        <w:spacing w:after="0" w:line="170" w:lineRule="exact"/>
        <w:rPr>
          <w:sz w:val="20"/>
          <w:szCs w:val="20"/>
          <w:color w:val="auto"/>
        </w:rPr>
      </w:pPr>
    </w:p>
    <w:p>
      <w:pPr>
        <w:jc w:val="both"/>
        <w:ind w:left="13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Tranche D Term Facility Lenders</w:t>
      </w:r>
      <w:r>
        <w:rPr>
          <w:rFonts w:ascii="Arial" w:cs="Arial" w:eastAsia="Arial" w:hAnsi="Arial"/>
          <w:sz w:val="19"/>
          <w:szCs w:val="19"/>
          <w:color w:val="auto"/>
        </w:rPr>
        <w:t>” shall mean (a) as of the Third Amendment Effective Date, the Consenting Lenders (as defined in the Third Amendment) and (b) thereafter, the Lenders from time to time holding any unutilized Tranche D Term Facility Commitments after giving effect to any assignments thereof permitted by Section 13.05(b).</w:t>
      </w:r>
    </w:p>
    <w:p>
      <w:pPr>
        <w:spacing w:after="0" w:line="179" w:lineRule="exact"/>
        <w:rPr>
          <w:sz w:val="20"/>
          <w:szCs w:val="20"/>
          <w:color w:val="auto"/>
        </w:rPr>
      </w:pPr>
    </w:p>
    <w:p>
      <w:pPr>
        <w:jc w:val="both"/>
        <w:ind w:left="660" w:firstLine="645"/>
        <w:spacing w:after="0" w:line="299" w:lineRule="auto"/>
        <w:tabs>
          <w:tab w:leader="none" w:pos="2166" w:val="left"/>
        </w:tabs>
        <w:numPr>
          <w:ilvl w:val="0"/>
          <w:numId w:val="12"/>
        </w:numPr>
        <w:rPr>
          <w:rFonts w:ascii="Arial" w:cs="Arial" w:eastAsia="Arial" w:hAnsi="Arial"/>
          <w:sz w:val="17"/>
          <w:szCs w:val="17"/>
          <w:color w:val="auto"/>
        </w:rPr>
      </w:pPr>
      <w:r>
        <w:rPr>
          <w:rFonts w:ascii="Arial" w:cs="Arial" w:eastAsia="Arial" w:hAnsi="Arial"/>
          <w:sz w:val="19"/>
          <w:szCs w:val="19"/>
          <w:color w:val="auto"/>
        </w:rPr>
        <w:t>Each of the definitions of “Existing Credit Agreement”, “Required Tranche Lenders”, “Term Facility Availability Period”, “Term Facility Commitment”, “Term Facility Lenders”, “Tranche”, “Tranche C Term Facility Commitment” and “Tranche C Term Facility Lenders” are hereby deleted from Section 1.01 of the Existing Credit Agreement and replaced by the following:</w:t>
      </w:r>
    </w:p>
    <w:p>
      <w:pPr>
        <w:spacing w:after="0" w:line="163" w:lineRule="exact"/>
        <w:rPr>
          <w:sz w:val="20"/>
          <w:szCs w:val="20"/>
          <w:color w:val="auto"/>
        </w:rPr>
      </w:pPr>
    </w:p>
    <w:p>
      <w:pPr>
        <w:jc w:val="both"/>
        <w:ind w:left="1300"/>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shall, except as used in the definition of “Tranche C Term Facility Commitment,” “Tranche C Term Facility Lenders” and “Tranche D Term Facility Commitment,” have the meaning provided in the First Amendment. As used in the definitions of “Tranche C Term Facility Commitment,” “Tranche C Term Facility Lenders” and “Tranche D Term Facility Commitment,” “Existing Credit Agreement” shall have the meaning provided in the Third Amendment.</w:t>
      </w:r>
    </w:p>
    <w:p>
      <w:pPr>
        <w:spacing w:after="0" w:line="367" w:lineRule="exact"/>
        <w:rPr>
          <w:sz w:val="20"/>
          <w:szCs w:val="20"/>
          <w:color w:val="auto"/>
        </w:rPr>
      </w:pPr>
    </w:p>
    <w:p>
      <w:pPr>
        <w:jc w:val="both"/>
        <w:ind w:left="130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Tranche Lenders</w:t>
      </w:r>
      <w:r>
        <w:rPr>
          <w:rFonts w:ascii="Arial" w:cs="Arial" w:eastAsia="Arial" w:hAnsi="Arial"/>
          <w:sz w:val="20"/>
          <w:szCs w:val="20"/>
          <w:color w:val="auto"/>
        </w:rPr>
        <w:t>” shall mean: (a) with respect to Revolving Commitments or Revolving Loans of any particular Tranche, Non-Defaulting Lenders having more than 50%</w:t>
      </w:r>
    </w:p>
    <w:p>
      <w:pPr>
        <w:sectPr>
          <w:pgSz w:w="11900" w:h="16838" w:orient="portrait"/>
          <w:cols w:equalWidth="0" w:num="1">
            <w:col w:w="11420"/>
          </w:cols>
          <w:pgMar w:left="240" w:top="595" w:right="239" w:bottom="1440" w:gutter="0" w:footer="0" w:header="0"/>
        </w:sectPr>
      </w:pPr>
    </w:p>
    <w:bookmarkStart w:id="32" w:name="page33"/>
    <w:bookmarkEnd w:id="32"/>
    <w:p>
      <w:pPr>
        <w:jc w:val="both"/>
        <w:ind w:left="100"/>
        <w:spacing w:after="0" w:line="269" w:lineRule="auto"/>
        <w:rPr>
          <w:sz w:val="20"/>
          <w:szCs w:val="20"/>
          <w:color w:val="auto"/>
        </w:rPr>
      </w:pPr>
      <w:r>
        <w:rPr>
          <w:rFonts w:ascii="Arial" w:cs="Arial" w:eastAsia="Arial" w:hAnsi="Arial"/>
          <w:sz w:val="18"/>
          <w:szCs w:val="18"/>
          <w:color w:val="auto"/>
        </w:rPr>
        <w:t>of the aggregate sum of the Unutilized R/C Commitments, Revolving Loans and L/C Liabilities of all Non-Defaulting Lenders, in each case, in respect of such Tranche and then outstanding; (b) with respect to Term Facility Loans, Non-Defaulting Lenders having more than 50% of the aggregate sum of the Term Facility Loans and unutilized Term Facility Commitments of all Non-Defaulting Lenders then outstanding; (c) with respect to Tranche A Term Facility Commitments, Non-Defaulting Lenders having more than 50% of the aggregate sum of the unutilized Tranche A Term Facility Commitments of all Non-Defaulting Lenders then outstanding; (d) with respect to Tranche B Term Facility Commitments, Non-Defaulting Lenders having more than 50% of the aggregate sum of the unutilized Tranche B Term Facility Commitments of all Non-Defaulting Lenders then outstanding; (e) with respect to Tranche C Term Facility Commitments, Non-Defaulting Lenders having more than 50% of the aggregate sum of the unutilized Tranche C Term Facility Commitments of all Non-Defaulting Lenders then outstanding; (f) with respect to Tranche D Term Facility Commitments, Non-Defaulting Lenders having more than 50% of the aggregate sum of the unutilized Tranche D Term Facility Commitments of all Non-Defaulting Lenders then outstanding; (g) for each Extension Tranche, if applicable, with respect to Lenders having Extended Revolving Loans or Extended Revolving Commitments or Extended Term Loans or commitments in respect of Extended Term Loans, in each case, in respect of such Extension Tranche, Non-Defaulting Lenders having more than 50% of the aggregate sum of such Extended Revolving Loans and Extended Revolving Commitments or Extended Term Loans and commitments of all Non-Defaulting Lenders in respect thereof, as applicable, then outstanding; and (h) for each Tranche of Other Term Loans, Non-Defaulting Lenders having more than 50% of the aggregate sum of such Other Term Loans and unutilized Other Term Loan Commitments of all Non-Defaulting Lenders then outstanding.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10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Facility Availability Period</w:t>
      </w:r>
      <w:r>
        <w:rPr>
          <w:rFonts w:ascii="Arial" w:cs="Arial" w:eastAsia="Arial" w:hAnsi="Arial"/>
          <w:sz w:val="20"/>
          <w:szCs w:val="20"/>
          <w:color w:val="auto"/>
        </w:rPr>
        <w:t>” shall mean (a) with respect to the Tranche A Term Facility Commitments, the period from and including the Closing Date through but excluding the earlier of November 21, 2015 and the date of termination of the Tranche A Term Facility Commitments, (b) with respect to the Tranche B Term Facility Commitments, the period from and including the Closing Date through but excluding the earlier of March 30, 2016 and the date of termination of the Tranche B Term Facility Commitments, (c) with respect to the Tranche C Term Facility Commitments, the period from and including the Closing Date through but excluding the earlier of June 30, 2016 and the date of termination of the Tranche C Term Facility Commitments and (d) with respect to the Tranche D Term Facility Commitments, the period from and including the Closing Date through but excluding the earlier of December 31, 2016 and the date of termination of the Tranche D Term Facility Commitments.</w:t>
      </w:r>
    </w:p>
    <w:p>
      <w:pPr>
        <w:spacing w:after="0" w:line="200" w:lineRule="exact"/>
        <w:rPr>
          <w:sz w:val="20"/>
          <w:szCs w:val="20"/>
          <w:color w:val="auto"/>
        </w:rPr>
      </w:pPr>
    </w:p>
    <w:p>
      <w:pPr>
        <w:spacing w:after="0" w:line="203" w:lineRule="exact"/>
        <w:rPr>
          <w:sz w:val="20"/>
          <w:szCs w:val="20"/>
          <w:color w:val="auto"/>
        </w:rPr>
      </w:pPr>
    </w:p>
    <w:p>
      <w:pPr>
        <w:jc w:val="both"/>
        <w:ind w:left="10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Facility Commitment</w:t>
      </w:r>
      <w:r>
        <w:rPr>
          <w:rFonts w:ascii="Arial" w:cs="Arial" w:eastAsia="Arial" w:hAnsi="Arial"/>
          <w:sz w:val="20"/>
          <w:szCs w:val="20"/>
          <w:color w:val="auto"/>
        </w:rPr>
        <w:t>” shall mean, for each Term Facility Lender, its Tranche A Term Facility Commitment, Tranche B Term Facility Commitment, Tranche C Term Facility Commitment and/or Tranche D Term Facility Commitment, as applicable. The aggregate principal amount of the Term Facility Commitments of all Term Facility Lenders on the Third Amendment Effective Date is $875.0 million.</w:t>
      </w:r>
    </w:p>
    <w:p>
      <w:pPr>
        <w:spacing w:after="0" w:line="400" w:lineRule="exact"/>
        <w:rPr>
          <w:sz w:val="20"/>
          <w:szCs w:val="20"/>
          <w:color w:val="auto"/>
        </w:rPr>
      </w:pPr>
    </w:p>
    <w:p>
      <w:pPr>
        <w:jc w:val="both"/>
        <w:ind w:left="10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Facility Lenders</w:t>
      </w:r>
      <w:r>
        <w:rPr>
          <w:rFonts w:ascii="Arial" w:cs="Arial" w:eastAsia="Arial" w:hAnsi="Arial"/>
          <w:sz w:val="19"/>
          <w:szCs w:val="19"/>
          <w:color w:val="auto"/>
        </w:rPr>
        <w:t>” shall mean (a) in respect of any unutilized Term Facility Commitments, the Tranche A Term Facility Lenders, the Tranche B Term Facility Lenders, the Tranche C Term Facility Lenders and/or the Tranche D Term Facility Lenders, as applicable, and (b) in respect of any Term Facility Loans, the Lenders from time to time holding any Term Facility Loans after giving effect to any assignments thereof permitted by Section 13.05(b).</w:t>
      </w:r>
    </w:p>
    <w:p>
      <w:pPr>
        <w:spacing w:after="0" w:line="382" w:lineRule="exact"/>
        <w:rPr>
          <w:sz w:val="20"/>
          <w:szCs w:val="20"/>
          <w:color w:val="auto"/>
        </w:rPr>
      </w:pPr>
    </w:p>
    <w:p>
      <w:pPr>
        <w:jc w:val="both"/>
        <w:ind w:left="1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w:t>
      </w:r>
      <w:r>
        <w:rPr>
          <w:rFonts w:ascii="Arial" w:cs="Arial" w:eastAsia="Arial" w:hAnsi="Arial"/>
          <w:sz w:val="20"/>
          <w:szCs w:val="20"/>
          <w:color w:val="auto"/>
        </w:rPr>
        <w:t>” shall mean (i) when used with respect to the Lenders, each of the following classes of Lenders: (a) Lenders having Revolving Loans incurred pursuant to the Closing Date Revolving Commitment or Closing Date Revolving Commitments, (b) Lenders having such</w:t>
      </w:r>
    </w:p>
    <w:p>
      <w:pPr>
        <w:sectPr>
          <w:pgSz w:w="11900" w:h="16838" w:orient="portrait"/>
          <w:cols w:equalWidth="0" w:num="1">
            <w:col w:w="10220"/>
          </w:cols>
          <w:pgMar w:left="1440" w:top="798" w:right="239" w:bottom="1440" w:gutter="0" w:footer="0" w:header="0"/>
        </w:sectPr>
      </w:pPr>
    </w:p>
    <w:bookmarkStart w:id="33" w:name="page34"/>
    <w:bookmarkEnd w:id="33"/>
    <w:p>
      <w:pPr>
        <w:jc w:val="both"/>
        <w:ind w:left="100"/>
        <w:spacing w:after="0" w:line="255" w:lineRule="auto"/>
        <w:rPr>
          <w:sz w:val="20"/>
          <w:szCs w:val="20"/>
          <w:color w:val="auto"/>
        </w:rPr>
      </w:pPr>
      <w:r>
        <w:rPr>
          <w:rFonts w:ascii="Arial" w:cs="Arial" w:eastAsia="Arial" w:hAnsi="Arial"/>
          <w:sz w:val="19"/>
          <w:szCs w:val="19"/>
          <w:color w:val="auto"/>
        </w:rPr>
        <w:t>other Tranche of Revolving Loans or Revolving Commitments created pursuant to an Extension Amendment, (c) Lenders having Term Facility Loans, (d) Lenders having Tranche A Term Facility Commitments, (e) Lenders having Tranche B Term Facility Commitments, (f) Lenders having Tranche C Term Facility Commitments, (g) Lenders having Tranche D Term Facility Commitments and (h) Lenders having such other Tranche of Term Loans or Term Loan Commitments created pursuant to an Extension Amendment or Refinancing Amendment, and (ii) when used with respect to Loans or Commitments, each of the following classes of Loans or Commitments: (a) Revolving Loans incurred pursuant to the Closing Date Revolving Commitment or Closing Date Revolving Commitments, (b) such other Tranche of Revolving Loans or Revolving Commitments created pursuant to an Extension Amendment, (c) Term Facility Loans, (d) Tranche A Term Facility Commitments, (e) Tranche B Term Facility Commitments, (f) Tranche C Term Facility Commitments, (g) Tranche D Term Facility Commitments and (h) such other Tranche of Term Loans or Term Loan Commitments created pursuant to an Extension Amendment or Refinancing Amendment.</w:t>
      </w:r>
    </w:p>
    <w:p>
      <w:pPr>
        <w:spacing w:after="0" w:line="182" w:lineRule="exact"/>
        <w:rPr>
          <w:sz w:val="20"/>
          <w:szCs w:val="20"/>
          <w:color w:val="auto"/>
        </w:rPr>
      </w:pPr>
    </w:p>
    <w:p>
      <w:pPr>
        <w:jc w:val="both"/>
        <w:ind w:left="1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Term Facility Commitment”</w:t>
      </w:r>
      <w:r>
        <w:rPr>
          <w:rFonts w:ascii="Arial" w:cs="Arial" w:eastAsia="Arial" w:hAnsi="Arial"/>
          <w:sz w:val="18"/>
          <w:szCs w:val="18"/>
          <w:color w:val="auto"/>
        </w:rPr>
        <w:t xml:space="preserve"> shall mean, for each Tranche C Term Facility Lender, the obligation of such Lender to make Term Facility Loans pursuant to Section 2.01(b)(iii) hereof during the applicable Term Facility Availability Period in a principal amount not to exceed the amount of such Tranche C Term Facility Lender’s Tranche C Term Facility Commitments (as defined in the Existing Credit Agreement) immediately prior to the Third Amendment Effective Date (or, in a principal amount not to exceed the amount of such Tranche C Term Facility Lender’s Tranche C Term Facility Commitments (as defined in the Existing Credit Agreement) immediately prior to the Third Amendment Effective Date </w:t>
      </w:r>
      <w:r>
        <w:rPr>
          <w:rFonts w:ascii="Arial" w:cs="Arial" w:eastAsia="Arial" w:hAnsi="Arial"/>
          <w:sz w:val="18"/>
          <w:szCs w:val="18"/>
          <w:i w:val="1"/>
          <w:iCs w:val="1"/>
          <w:color w:val="auto"/>
        </w:rPr>
        <w:t>minus</w:t>
      </w:r>
      <w:r>
        <w:rPr>
          <w:rFonts w:ascii="Arial" w:cs="Arial" w:eastAsia="Arial" w:hAnsi="Arial"/>
          <w:sz w:val="18"/>
          <w:szCs w:val="18"/>
          <w:color w:val="auto"/>
        </w:rPr>
        <w:t xml:space="preserve"> such Lender’s Partial Tranche D Term Facility Commitment Amount) or as set forth in the Assignment Agreement pursuant to which such Lender assumed its Tranche C Term Facility Commitment, as applicable, as the same may be (a) changed pursuant to Section 13.05(b) or (b) reduced or terminated from time to time pursuant to Section 2.04 or Section 11.01. The aggregate principal amount of the Tranche C Term Facility Commitments of all Tranche C Term Facility Lenders as of the Third Amendment Effective Date is $135,333,333.33 </w:t>
      </w:r>
      <w:r>
        <w:rPr>
          <w:rFonts w:ascii="Arial" w:cs="Arial" w:eastAsia="Arial" w:hAnsi="Arial"/>
          <w:sz w:val="18"/>
          <w:szCs w:val="18"/>
          <w:i w:val="1"/>
          <w:iCs w:val="1"/>
          <w:color w:val="auto"/>
        </w:rPr>
        <w:t>minus</w:t>
      </w:r>
      <w:r>
        <w:rPr>
          <w:rFonts w:ascii="Arial" w:cs="Arial" w:eastAsia="Arial" w:hAnsi="Arial"/>
          <w:sz w:val="18"/>
          <w:szCs w:val="18"/>
          <w:color w:val="auto"/>
        </w:rPr>
        <w:t>, if provided after the Third Amendment Effective Date in accordance with the terms of the Third Amendment, any Partial Tranche D Term Facility Commitment Amount.</w:t>
      </w:r>
    </w:p>
    <w:p>
      <w:pPr>
        <w:spacing w:after="0" w:line="383" w:lineRule="exact"/>
        <w:rPr>
          <w:sz w:val="20"/>
          <w:szCs w:val="20"/>
          <w:color w:val="auto"/>
        </w:rPr>
      </w:pPr>
    </w:p>
    <w:p>
      <w:pPr>
        <w:jc w:val="both"/>
        <w:ind w:left="10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Tranche C Term Facility Lenders</w:t>
      </w:r>
      <w:r>
        <w:rPr>
          <w:rFonts w:ascii="Arial" w:cs="Arial" w:eastAsia="Arial" w:hAnsi="Arial"/>
          <w:sz w:val="20"/>
          <w:szCs w:val="20"/>
          <w:color w:val="auto"/>
        </w:rPr>
        <w:t>” shall mean (a) as of the Third Amendment Effective Date, the Tranche C Term Facility Lenders (as defined in the Existing Credit Agreement) that were not Consenting Lenders (as defined in the Third Amendment) and (b) thereafter, the Lenders from time to time holding any unutilized Tranche C Term Facility Commitments after giving effect to any assignments thereof permitted by Section 13.05(b).</w:t>
      </w:r>
    </w:p>
    <w:p>
      <w:pPr>
        <w:spacing w:after="0" w:line="203" w:lineRule="exact"/>
        <w:rPr>
          <w:sz w:val="20"/>
          <w:szCs w:val="20"/>
          <w:color w:val="auto"/>
        </w:rPr>
      </w:pPr>
    </w:p>
    <w:p>
      <w:pPr>
        <w:ind w:left="960" w:hanging="855"/>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20"/>
          <w:szCs w:val="20"/>
          <w:color w:val="auto"/>
        </w:rPr>
        <w:t>Section 1.03 of the Existing Credit Agreement is hereby deleted and replaced by the following:</w:t>
      </w:r>
    </w:p>
    <w:p>
      <w:pPr>
        <w:spacing w:after="0" w:line="223" w:lineRule="exact"/>
        <w:rPr>
          <w:sz w:val="20"/>
          <w:szCs w:val="20"/>
          <w:color w:val="auto"/>
        </w:rPr>
      </w:pPr>
    </w:p>
    <w:p>
      <w:pPr>
        <w:jc w:val="both"/>
        <w:ind w:left="100"/>
        <w:spacing w:after="0" w:line="275" w:lineRule="auto"/>
        <w:rPr>
          <w:sz w:val="20"/>
          <w:szCs w:val="20"/>
          <w:color w:val="auto"/>
        </w:rPr>
      </w:pPr>
      <w:r>
        <w:rPr>
          <w:rFonts w:ascii="Arial" w:cs="Arial" w:eastAsia="Arial" w:hAnsi="Arial"/>
          <w:sz w:val="18"/>
          <w:szCs w:val="18"/>
          <w:b w:val="1"/>
          <w:bCs w:val="1"/>
          <w:color w:val="auto"/>
        </w:rPr>
        <w:t>SECTION 1.03. Classes and Types of Loans</w:t>
      </w:r>
      <w:r>
        <w:rPr>
          <w:rFonts w:ascii="Arial" w:cs="Arial" w:eastAsia="Arial" w:hAnsi="Arial"/>
          <w:sz w:val="18"/>
          <w:szCs w:val="18"/>
          <w:color w:val="auto"/>
        </w:rPr>
        <w:t>. Loans hereunder are distinguished by “Class” and by “Type.” The “Class” of a</w:t>
      </w:r>
      <w:r>
        <w:rPr>
          <w:rFonts w:ascii="Arial" w:cs="Arial" w:eastAsia="Arial" w:hAnsi="Arial"/>
          <w:sz w:val="18"/>
          <w:szCs w:val="18"/>
          <w:b w:val="1"/>
          <w:bCs w:val="1"/>
          <w:color w:val="auto"/>
        </w:rPr>
        <w:t xml:space="preserve"> </w:t>
      </w:r>
      <w:r>
        <w:rPr>
          <w:rFonts w:ascii="Arial" w:cs="Arial" w:eastAsia="Arial" w:hAnsi="Arial"/>
          <w:sz w:val="18"/>
          <w:szCs w:val="18"/>
          <w:color w:val="auto"/>
        </w:rPr>
        <w:t>Loan (or of a Commitment to make a Loan) refers to whether such Loan is a Revolving Loan of any particular Tranche, a Term Facility Loan (or, in the case of a commitment to make a Term Facility Loan, a Tranche A Term Facility Commitment, a Tranche B Term Facility Commitment, a Tranche C Term Facility Commitment or a Tranche D Term Facility Commitment, as applicable), or a Term Loan of any particular Tranche of Term Loans created pursuant to an Extension Amendment or a Refinancing Amendment, each of which constitutes a Class. The “Type” of a Loan refers to whether such Loan is an ABR Loan or a LIBOR Loan, each of which constitutes a Type. Loans may be identified by both Class and Type.</w:t>
      </w:r>
    </w:p>
    <w:p>
      <w:pPr>
        <w:spacing w:after="0" w:line="183" w:lineRule="exact"/>
        <w:rPr>
          <w:sz w:val="20"/>
          <w:szCs w:val="20"/>
          <w:color w:val="auto"/>
        </w:rPr>
      </w:pPr>
    </w:p>
    <w:p>
      <w:pPr>
        <w:ind w:left="960" w:hanging="855"/>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20"/>
          <w:szCs w:val="20"/>
          <w:color w:val="auto"/>
        </w:rPr>
        <w:t>A new Section 2.01(b)(iv) is added to the Existing Credit Agreement as follows:</w:t>
      </w:r>
    </w:p>
    <w:p>
      <w:pPr>
        <w:sectPr>
          <w:pgSz w:w="11900" w:h="16838" w:orient="portrait"/>
          <w:cols w:equalWidth="0" w:num="1">
            <w:col w:w="10220"/>
          </w:cols>
          <w:pgMar w:left="1440" w:top="798" w:right="239" w:bottom="1440" w:gutter="0" w:footer="0" w:header="0"/>
        </w:sectPr>
      </w:pPr>
    </w:p>
    <w:bookmarkStart w:id="34" w:name="page35"/>
    <w:bookmarkEnd w:id="34"/>
    <w:p>
      <w:pPr>
        <w:jc w:val="both"/>
        <w:ind w:left="1300" w:firstLine="5"/>
        <w:spacing w:after="0" w:line="282" w:lineRule="auto"/>
        <w:tabs>
          <w:tab w:leader="none" w:pos="17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Lender with a Tranche D Term Facility Commitment agrees, severally and not jointly, on the terms and conditions of this Agreement, to make Term Facility Loans to Borrower in Dollars from time to time, on any Business Day during the applicable Term Facility Availability Period, in an aggregate principal amount at any one time outstanding not exceeding the amount of the Tranche D Term Facility Commitment of such Term Facility Lender as in effect from time to time.</w:t>
      </w:r>
    </w:p>
    <w:p>
      <w:pPr>
        <w:spacing w:after="0" w:line="175" w:lineRule="exact"/>
        <w:rPr>
          <w:sz w:val="20"/>
          <w:szCs w:val="20"/>
          <w:color w:val="auto"/>
        </w:rPr>
      </w:pPr>
    </w:p>
    <w:p>
      <w:pPr>
        <w:ind w:left="2160" w:hanging="855"/>
        <w:spacing w:after="0"/>
        <w:tabs>
          <w:tab w:leader="none" w:pos="2160" w:val="left"/>
        </w:tabs>
        <w:numPr>
          <w:ilvl w:val="0"/>
          <w:numId w:val="16"/>
        </w:numPr>
        <w:rPr>
          <w:rFonts w:ascii="Arial" w:cs="Arial" w:eastAsia="Arial" w:hAnsi="Arial"/>
          <w:sz w:val="18"/>
          <w:szCs w:val="18"/>
          <w:color w:val="auto"/>
        </w:rPr>
      </w:pPr>
      <w:r>
        <w:rPr>
          <w:rFonts w:ascii="Arial" w:cs="Arial" w:eastAsia="Arial" w:hAnsi="Arial"/>
          <w:sz w:val="20"/>
          <w:szCs w:val="20"/>
          <w:color w:val="auto"/>
        </w:rPr>
        <w:t>Section 2.04(a)(i) of the Existing Credit Agreement is hereby deleted and replaced by the following:</w:t>
      </w:r>
    </w:p>
    <w:p>
      <w:pPr>
        <w:spacing w:after="0" w:line="229" w:lineRule="exact"/>
        <w:rPr>
          <w:sz w:val="20"/>
          <w:szCs w:val="20"/>
          <w:color w:val="auto"/>
        </w:rPr>
      </w:pPr>
    </w:p>
    <w:p>
      <w:pPr>
        <w:jc w:val="both"/>
        <w:ind w:left="1300" w:firstLine="5"/>
        <w:spacing w:after="0" w:line="255" w:lineRule="auto"/>
        <w:tabs>
          <w:tab w:leader="none" w:pos="16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In addition to any other mandatory commitment reductions pursuant to this Section 2.04, (A) the aggregate amount of the Tranche A Term Facility Commitments shall be automatically and permanently reduced by the amount of Term Facility Loans made in respect thereof from time to time, (B) the aggregate amount of the Tranche B Term Facility Commitments shall be automatically and permanently reduced by the amount of Term Facility Loans made in respect thereof from time to time, (C) the aggregate amount of the Tranche C Term Facility Commitments shall be automatically and permanently reduced by the amount of Term Facility Loans made in respect thereof from time to time and (D) the aggregate amount of the Tranche D Term Facility Commitments shall be automatically and permanently reduced by the amount of Term Facility Loans made in respect thereof from time to time. Notwithstanding any other provision of this Agreement, any outstanding Term Facility Commitments shall automatically terminate upon the earlier of (x) such Term Facility Commitments being fully funded pursuant to Section 2.01(b) and (y) at 5:00 p.m., New York City time, on the last Business Day of the applicable Term Facility Availability Period.</w:t>
      </w:r>
    </w:p>
    <w:p>
      <w:pPr>
        <w:spacing w:after="0" w:line="202" w:lineRule="exact"/>
        <w:rPr>
          <w:sz w:val="20"/>
          <w:szCs w:val="20"/>
          <w:color w:val="auto"/>
        </w:rPr>
      </w:pPr>
    </w:p>
    <w:p>
      <w:pPr>
        <w:ind w:left="2140" w:hanging="835"/>
        <w:spacing w:after="0"/>
        <w:tabs>
          <w:tab w:leader="none" w:pos="2140" w:val="left"/>
        </w:tabs>
        <w:numPr>
          <w:ilvl w:val="0"/>
          <w:numId w:val="18"/>
        </w:numPr>
        <w:rPr>
          <w:rFonts w:ascii="Arial" w:cs="Arial" w:eastAsia="Arial" w:hAnsi="Arial"/>
          <w:sz w:val="18"/>
          <w:szCs w:val="18"/>
          <w:color w:val="auto"/>
        </w:rPr>
      </w:pPr>
      <w:r>
        <w:rPr>
          <w:rFonts w:ascii="Arial" w:cs="Arial" w:eastAsia="Arial" w:hAnsi="Arial"/>
          <w:sz w:val="20"/>
          <w:szCs w:val="20"/>
          <w:color w:val="auto"/>
        </w:rPr>
        <w:t>Section 2.04(b) of the Existing Credit Agreement is hereby deleted and replaced by the following:</w:t>
      </w:r>
    </w:p>
    <w:p>
      <w:pPr>
        <w:spacing w:after="0" w:line="229" w:lineRule="exact"/>
        <w:rPr>
          <w:sz w:val="20"/>
          <w:szCs w:val="20"/>
          <w:color w:val="auto"/>
        </w:rPr>
      </w:pPr>
    </w:p>
    <w:p>
      <w:pPr>
        <w:jc w:val="both"/>
        <w:ind w:left="1300" w:firstLine="5"/>
        <w:spacing w:after="0" w:line="269" w:lineRule="auto"/>
        <w:tabs>
          <w:tab w:leader="none" w:pos="17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Borrower shall have the right at any time or from time to time (without premium or penalty except breakage costs (if any) pursuant to Section 5.05) (i) so long as no Revolving Loans or L/C Liabilities will be outstanding as of the date specified for termination (after giving effect to all transactions occurring on such date), to terminate the Revolving Commitments in their entirety, (ii) to reduce the aggregate amount of the Unutilized R/C Commitments (which shall be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Revolving Lenders), (iii) to reduce (w) the aggregate amount of the unutilized Tranche A Term Facility Commitments (which shall be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among the Tranche A Term Facility Lenders), (x) to reduce the aggregate amount of the unutilized Tranche B Term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Facility Commitments (which shall be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Tranche B Term Facility Lenders), (y) to reduce the aggregate amount of the unutilized Tranche C Term Facility Commitments (which shall be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Tranche C Term Facility Lenders), and (z) to reduce the aggregate amount of the unutilized Tranche D Term Facility Commitments (which shall be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among the Tranche D Term Facility Lenders), and (iv) so long as the remaining Total Revolving Commitments will equal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exceed the aggregate amount of outstanding Revolving Loans and L/C Liabilities, to reduce the aggregate amount of the Revolving Commitments (which shall be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the Revolving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(x) Borrower shall give notice of each such termination or reduction as provided in Section 4.05, and (y) each partial reduction shall be in an aggregate amount at least equal to $5.0 million (or any whole multiple of $1.0 million in excess thereof) or, if less, the remaining Unutilized R/C Commitments or unutilized Term Facility Commitments of the applicable Tranche, as applicable.</w:t>
      </w:r>
    </w:p>
    <w:p>
      <w:pPr>
        <w:spacing w:after="0" w:line="39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Subject to the satisfaction of the conditions set forth in Article III of this Agreement, as of the Agreement Effective Date, Exhibit B to the Existing Credit Agreement is hereby amended to add the following language immediately prior to clause (A)(iv):</w:t>
      </w:r>
    </w:p>
    <w:p>
      <w:pPr>
        <w:sectPr>
          <w:pgSz w:w="11900" w:h="16838" w:orient="portrait"/>
          <w:cols w:equalWidth="0" w:num="1">
            <w:col w:w="11420"/>
          </w:cols>
          <w:pgMar w:left="240" w:top="798" w:right="239" w:bottom="1440" w:gutter="0" w:footer="0" w:header="0"/>
        </w:sectPr>
      </w:pPr>
    </w:p>
    <w:bookmarkStart w:id="35" w:name="page36"/>
    <w:bookmarkEnd w:id="35"/>
    <w:p>
      <w:pPr>
        <w:ind w:left="1300"/>
        <w:spacing w:after="0"/>
        <w:rPr>
          <w:sz w:val="20"/>
          <w:szCs w:val="20"/>
          <w:color w:val="auto"/>
        </w:rPr>
      </w:pPr>
      <w:r>
        <w:rPr>
          <w:rFonts w:ascii="Arial" w:cs="Arial" w:eastAsia="Arial" w:hAnsi="Arial"/>
          <w:sz w:val="18"/>
          <w:szCs w:val="18"/>
          <w:color w:val="auto"/>
        </w:rPr>
        <w:t>[a $[__________] Term Facility Loan made from the Tranche D Term Facility Commitments, which shall initially be [an ABR</w:t>
      </w:r>
    </w:p>
    <w:p>
      <w:pPr>
        <w:spacing w:after="0" w:line="39" w:lineRule="exact"/>
        <w:rPr>
          <w:sz w:val="20"/>
          <w:szCs w:val="20"/>
          <w:color w:val="auto"/>
        </w:rPr>
      </w:pPr>
    </w:p>
    <w:p>
      <w:pPr>
        <w:ind w:left="1300" w:right="500"/>
        <w:spacing w:after="0" w:line="244" w:lineRule="auto"/>
        <w:rPr>
          <w:sz w:val="20"/>
          <w:szCs w:val="20"/>
          <w:color w:val="auto"/>
        </w:rPr>
      </w:pPr>
      <w:r>
        <w:rPr>
          <w:rFonts w:ascii="Arial" w:cs="Arial" w:eastAsia="Arial" w:hAnsi="Arial"/>
          <w:sz w:val="20"/>
          <w:szCs w:val="20"/>
          <w:color w:val="auto"/>
        </w:rPr>
        <w:t>Loan][a LIBOR Loan], [The amount of such Term Loans that are requested to be LIBOR Loans are requested to have the following Interest Period(s): [ ]];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 AND WARRANTIES</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To induce the Lenders party hereto to agree to this Agreement, the Credit Parties represent to Administrative Agent and the Lenders that, as of the Agreement Effective Date:</w:t>
      </w:r>
    </w:p>
    <w:p>
      <w:pPr>
        <w:spacing w:after="0" w:line="190"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Each Credit Party (a) is a corporation, partnership, limited liability company or other</w:t>
      </w:r>
      <w:r>
        <w:rPr>
          <w:rFonts w:ascii="Arial" w:cs="Arial" w:eastAsia="Arial" w:hAnsi="Arial"/>
          <w:sz w:val="17"/>
          <w:szCs w:val="17"/>
          <w:color w:val="auto"/>
        </w:rPr>
        <w:t xml:space="preserve"> </w:t>
      </w:r>
      <w:r>
        <w:rPr>
          <w:rFonts w:ascii="Arial" w:cs="Arial" w:eastAsia="Arial" w:hAnsi="Arial"/>
          <w:sz w:val="18"/>
          <w:szCs w:val="18"/>
          <w:color w:val="auto"/>
        </w:rPr>
        <w:t>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9"/>
          <w:szCs w:val="19"/>
          <w:u w:val="single" w:color="auto"/>
          <w:color w:val="auto"/>
        </w:rPr>
        <w:t>Action; Enforceability</w:t>
      </w:r>
      <w:r>
        <w:rPr>
          <w:rFonts w:ascii="Arial" w:cs="Arial" w:eastAsia="Arial" w:hAnsi="Arial"/>
          <w:sz w:val="19"/>
          <w:szCs w:val="19"/>
          <w:color w:val="auto"/>
        </w:rPr>
        <w:t>. Each Credit Party has all necessary corporate or other organizational power,</w:t>
      </w:r>
      <w:r>
        <w:rPr>
          <w:rFonts w:ascii="Arial" w:cs="Arial" w:eastAsia="Arial" w:hAnsi="Arial"/>
          <w:sz w:val="18"/>
          <w:szCs w:val="18"/>
          <w:color w:val="auto"/>
        </w:rPr>
        <w:t xml:space="preserve"> </w:t>
      </w:r>
      <w:r>
        <w:rPr>
          <w:rFonts w:ascii="Arial" w:cs="Arial" w:eastAsia="Arial" w:hAnsi="Arial"/>
          <w:sz w:val="19"/>
          <w:szCs w:val="19"/>
          <w:color w:val="auto"/>
        </w:rPr>
        <w:t>authority and legal right to execute, deliver and perform its obligations under this Agreement and to consummate the transactions herein contemplated; the execution, delivery and performance by each Credit Party of this Agreement and the consummation of the transactions herein contemplated have been duly authorized by all necessary corporate, partnership or other organizational action on its part; and this Agreement has been duly and validly executed and delivered by each Credit Party and constitutes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196"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8"/>
          <w:szCs w:val="18"/>
          <w:u w:val="single" w:color="auto"/>
          <w:color w:val="auto"/>
        </w:rPr>
        <w:t>No Breach; No Default</w:t>
      </w:r>
      <w:r>
        <w:rPr>
          <w:rFonts w:ascii="Arial" w:cs="Arial" w:eastAsia="Arial" w:hAnsi="Arial"/>
          <w:sz w:val="18"/>
          <w:szCs w:val="18"/>
          <w:color w:val="auto"/>
        </w:rPr>
        <w:t>.</w:t>
      </w:r>
    </w:p>
    <w:p>
      <w:pPr>
        <w:spacing w:after="0" w:line="50" w:lineRule="exact"/>
        <w:rPr>
          <w:sz w:val="20"/>
          <w:szCs w:val="20"/>
          <w:color w:val="auto"/>
        </w:rPr>
      </w:pPr>
    </w:p>
    <w:p>
      <w:pPr>
        <w:jc w:val="both"/>
        <w:ind w:firstLine="656"/>
        <w:spacing w:after="0" w:line="297" w:lineRule="auto"/>
        <w:tabs>
          <w:tab w:leader="none" w:pos="1496" w:val="left"/>
        </w:tabs>
        <w:numPr>
          <w:ilvl w:val="0"/>
          <w:numId w:val="20"/>
        </w:numPr>
        <w:rPr>
          <w:rFonts w:ascii="Arial" w:cs="Arial" w:eastAsia="Arial" w:hAnsi="Arial"/>
          <w:sz w:val="16"/>
          <w:szCs w:val="16"/>
          <w:color w:val="auto"/>
        </w:rPr>
      </w:pPr>
      <w:r>
        <w:rPr>
          <w:rFonts w:ascii="Arial" w:cs="Arial" w:eastAsia="Arial" w:hAnsi="Arial"/>
          <w:sz w:val="18"/>
          <w:szCs w:val="18"/>
          <w:color w:val="auto"/>
        </w:rPr>
        <w:t>None of the execution, delivery and performance by any Credit Party of this Agreement nor the consummation of the transactions herein contemplated do or will (i) conflict with or result in a breach of, or require any consent (which has not been obtained and is in full force and effect) under (x) any Organizational Document of any Credit Party or (y) subject to Section 13.13 of the Existing Credit Agreement,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(i)(y), (i)(z), (ii) or (iii) which would not reasonably be expected to result in a Material Adverse Effect; and</w:t>
      </w:r>
    </w:p>
    <w:p>
      <w:pPr>
        <w:spacing w:after="0" w:line="3" w:lineRule="exact"/>
        <w:rPr>
          <w:rFonts w:ascii="Arial" w:cs="Arial" w:eastAsia="Arial" w:hAnsi="Arial"/>
          <w:sz w:val="16"/>
          <w:szCs w:val="16"/>
          <w:color w:val="auto"/>
        </w:rPr>
      </w:pPr>
    </w:p>
    <w:p>
      <w:pPr>
        <w:ind w:left="1520" w:hanging="864"/>
        <w:spacing w:after="0"/>
        <w:tabs>
          <w:tab w:leader="none" w:pos="1520" w:val="left"/>
        </w:tabs>
        <w:numPr>
          <w:ilvl w:val="0"/>
          <w:numId w:val="20"/>
        </w:numPr>
        <w:rPr>
          <w:rFonts w:ascii="Arial" w:cs="Arial" w:eastAsia="Arial" w:hAnsi="Arial"/>
          <w:sz w:val="18"/>
          <w:szCs w:val="18"/>
          <w:color w:val="auto"/>
        </w:rPr>
      </w:pPr>
      <w:r>
        <w:rPr>
          <w:rFonts w:ascii="Arial" w:cs="Arial" w:eastAsia="Arial" w:hAnsi="Arial"/>
          <w:sz w:val="20"/>
          <w:szCs w:val="20"/>
          <w:color w:val="auto"/>
        </w:rPr>
        <w:t>No Default or Event of Default has occurred and is continuing.</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TO THE AGREEMENT EFFECTIVE DATE</w:t>
      </w:r>
    </w:p>
    <w:p>
      <w:pPr>
        <w:spacing w:after="0" w:line="21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This Agreement and the Amended Credit Agreement shall become effective on the date (the “</w:t>
      </w:r>
      <w:r>
        <w:rPr>
          <w:rFonts w:ascii="Arial" w:cs="Arial" w:eastAsia="Arial" w:hAnsi="Arial"/>
          <w:sz w:val="20"/>
          <w:szCs w:val="20"/>
          <w:b w:val="1"/>
          <w:bCs w:val="1"/>
          <w:color w:val="auto"/>
        </w:rPr>
        <w:t>Agreement Effective Date</w:t>
      </w:r>
      <w:r>
        <w:rPr>
          <w:rFonts w:ascii="Arial" w:cs="Arial" w:eastAsia="Arial" w:hAnsi="Arial"/>
          <w:sz w:val="20"/>
          <w:szCs w:val="20"/>
          <w:color w:val="auto"/>
        </w:rPr>
        <w:t>”) on which each of the following conditions is satisfied or waived:</w:t>
      </w:r>
    </w:p>
    <w:p>
      <w:pPr>
        <w:spacing w:after="0" w:line="183"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9"/>
          <w:szCs w:val="19"/>
          <w:u w:val="single" w:color="auto"/>
          <w:color w:val="auto"/>
        </w:rPr>
        <w:t>Execution of Counterparts</w:t>
      </w:r>
      <w:r>
        <w:rPr>
          <w:rFonts w:ascii="Arial" w:cs="Arial" w:eastAsia="Arial" w:hAnsi="Arial"/>
          <w:sz w:val="19"/>
          <w:szCs w:val="19"/>
          <w:color w:val="auto"/>
        </w:rPr>
        <w:t>. Administrative Agent shall have received executed counterparts of this</w:t>
      </w:r>
      <w:r>
        <w:rPr>
          <w:rFonts w:ascii="Arial" w:cs="Arial" w:eastAsia="Arial" w:hAnsi="Arial"/>
          <w:sz w:val="18"/>
          <w:szCs w:val="18"/>
          <w:color w:val="auto"/>
        </w:rPr>
        <w:t xml:space="preserve"> </w:t>
      </w:r>
      <w:r>
        <w:rPr>
          <w:rFonts w:ascii="Arial" w:cs="Arial" w:eastAsia="Arial" w:hAnsi="Arial"/>
          <w:sz w:val="19"/>
          <w:szCs w:val="19"/>
          <w:color w:val="auto"/>
        </w:rPr>
        <w:t>Agreement from each Credit Party, Administrative Agent, Collateral Agent and Consenting Lender.</w:t>
      </w:r>
    </w:p>
    <w:p>
      <w:pPr>
        <w:sectPr>
          <w:pgSz w:w="11900" w:h="16838" w:orient="portrait"/>
          <w:cols w:equalWidth="0" w:num="1">
            <w:col w:w="11420"/>
          </w:cols>
          <w:pgMar w:left="240" w:top="582" w:right="239" w:bottom="1440" w:gutter="0" w:footer="0" w:header="0"/>
        </w:sectPr>
      </w:pPr>
    </w:p>
    <w:bookmarkStart w:id="36" w:name="page37"/>
    <w:bookmarkEnd w:id="36"/>
    <w:p>
      <w:pPr>
        <w:jc w:val="both"/>
        <w:ind w:firstLine="648"/>
        <w:spacing w:after="0" w:line="29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9"/>
          <w:szCs w:val="19"/>
          <w:u w:val="single" w:color="auto"/>
          <w:color w:val="auto"/>
        </w:rPr>
        <w:t>Costs and Expenses</w:t>
      </w:r>
      <w:r>
        <w:rPr>
          <w:rFonts w:ascii="Arial" w:cs="Arial" w:eastAsia="Arial" w:hAnsi="Arial"/>
          <w:sz w:val="19"/>
          <w:szCs w:val="19"/>
          <w:color w:val="auto"/>
        </w:rPr>
        <w:t>. To the extent invoiced on or prior to the Agreement Effective Date, all of the</w:t>
      </w:r>
      <w:r>
        <w:rPr>
          <w:rFonts w:ascii="Arial" w:cs="Arial" w:eastAsia="Arial" w:hAnsi="Arial"/>
          <w:sz w:val="18"/>
          <w:szCs w:val="18"/>
          <w:color w:val="auto"/>
        </w:rPr>
        <w:t xml:space="preserve"> </w:t>
      </w:r>
      <w:r>
        <w:rPr>
          <w:rFonts w:ascii="Arial" w:cs="Arial" w:eastAsia="Arial" w:hAnsi="Arial"/>
          <w:sz w:val="19"/>
          <w:szCs w:val="19"/>
          <w:color w:val="auto"/>
        </w:rPr>
        <w:t>reasonable and documented out-of-pocket costs and expenses (including the reasonable fees, expenses and disbursements of Cahill Gordon &amp; Reindel LLP) incurred by Administrative Agent in connection with the negotiation, preparation, execution and delivery of this Agreement shall have been paid.</w:t>
      </w:r>
    </w:p>
    <w:p>
      <w:pPr>
        <w:spacing w:after="0" w:line="189"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9"/>
          <w:szCs w:val="19"/>
          <w:u w:val="single" w:color="auto"/>
          <w:color w:val="auto"/>
        </w:rPr>
        <w:t>No Default or Event of Default; Representations and Warranties True</w:t>
      </w:r>
      <w:r>
        <w:rPr>
          <w:rFonts w:ascii="Arial" w:cs="Arial" w:eastAsia="Arial" w:hAnsi="Arial"/>
          <w:sz w:val="19"/>
          <w:szCs w:val="19"/>
          <w:color w:val="auto"/>
        </w:rPr>
        <w:t>. Both immediately prior to and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immediately after giving effect to this Agreement:</w:t>
      </w:r>
    </w:p>
    <w:p>
      <w:pPr>
        <w:spacing w:after="0" w:line="256" w:lineRule="exact"/>
        <w:rPr>
          <w:sz w:val="20"/>
          <w:szCs w:val="20"/>
          <w:color w:val="auto"/>
        </w:rPr>
      </w:pPr>
    </w:p>
    <w:p>
      <w:pPr>
        <w:ind w:left="1560" w:hanging="904"/>
        <w:spacing w:after="0"/>
        <w:tabs>
          <w:tab w:leader="none" w:pos="1560" w:val="left"/>
        </w:tabs>
        <w:numPr>
          <w:ilvl w:val="0"/>
          <w:numId w:val="21"/>
        </w:numPr>
        <w:rPr>
          <w:rFonts w:ascii="Arial" w:cs="Arial" w:eastAsia="Arial" w:hAnsi="Arial"/>
          <w:sz w:val="18"/>
          <w:szCs w:val="18"/>
          <w:color w:val="auto"/>
        </w:rPr>
      </w:pPr>
      <w:r>
        <w:rPr>
          <w:rFonts w:ascii="Arial" w:cs="Arial" w:eastAsia="Arial" w:hAnsi="Arial"/>
          <w:sz w:val="20"/>
          <w:szCs w:val="20"/>
          <w:color w:val="auto"/>
        </w:rPr>
        <w:t>no Default or Event of Default shall have occurred and be continuing; and</w:t>
      </w:r>
    </w:p>
    <w:p>
      <w:pPr>
        <w:spacing w:after="0" w:line="256" w:lineRule="exact"/>
        <w:rPr>
          <w:rFonts w:ascii="Arial" w:cs="Arial" w:eastAsia="Arial" w:hAnsi="Arial"/>
          <w:sz w:val="18"/>
          <w:szCs w:val="18"/>
          <w:color w:val="auto"/>
        </w:rPr>
      </w:pPr>
    </w:p>
    <w:p>
      <w:pPr>
        <w:jc w:val="both"/>
        <w:ind w:firstLine="656"/>
        <w:spacing w:after="0" w:line="273" w:lineRule="auto"/>
        <w:tabs>
          <w:tab w:leader="none" w:pos="1506" w:val="left"/>
        </w:tabs>
        <w:numPr>
          <w:ilvl w:val="0"/>
          <w:numId w:val="21"/>
        </w:numPr>
        <w:rPr>
          <w:rFonts w:ascii="Arial" w:cs="Arial" w:eastAsia="Arial" w:hAnsi="Arial"/>
          <w:sz w:val="18"/>
          <w:szCs w:val="18"/>
          <w:color w:val="auto"/>
        </w:rPr>
      </w:pPr>
      <w:r>
        <w:rPr>
          <w:rFonts w:ascii="Arial" w:cs="Arial" w:eastAsia="Arial" w:hAnsi="Arial"/>
          <w:sz w:val="20"/>
          <w:szCs w:val="20"/>
          <w:color w:val="auto"/>
        </w:rPr>
        <w:t xml:space="preserve">each of the representations and warranties made by the Credit Parties in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hereof shall be true and correct in all material respects on and as of the Agreement Effective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w:t>
      </w:r>
    </w:p>
    <w:p>
      <w:pPr>
        <w:spacing w:after="0" w:line="20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9"/>
          <w:szCs w:val="19"/>
          <w:u w:val="single" w:color="auto"/>
          <w:color w:val="auto"/>
        </w:rPr>
        <w:t>Payment of Fees to Consenting Lenders</w:t>
      </w:r>
      <w:r>
        <w:rPr>
          <w:rFonts w:ascii="Arial" w:cs="Arial" w:eastAsia="Arial" w:hAnsi="Arial"/>
          <w:sz w:val="19"/>
          <w:szCs w:val="19"/>
          <w:color w:val="auto"/>
        </w:rPr>
        <w:t>. Borrower shall have paid to Administrative Agent, for the account</w:t>
      </w:r>
      <w:r>
        <w:rPr>
          <w:rFonts w:ascii="Arial" w:cs="Arial" w:eastAsia="Arial" w:hAnsi="Arial"/>
          <w:sz w:val="18"/>
          <w:szCs w:val="18"/>
          <w:color w:val="auto"/>
        </w:rPr>
        <w:t xml:space="preserve"> </w:t>
      </w:r>
      <w:r>
        <w:rPr>
          <w:rFonts w:ascii="Arial" w:cs="Arial" w:eastAsia="Arial" w:hAnsi="Arial"/>
          <w:sz w:val="19"/>
          <w:szCs w:val="19"/>
          <w:color w:val="auto"/>
        </w:rPr>
        <w:t>of each Consenting Lender that has executed this Agreement prior to 5:00 p.m., New York time on June 17, 2016, a consent fee equal to 0.250% of the amount of such Lender’s Tranche C Term Facility Commitments as in effect immediately prior to the Agreement Effective Date (or, to the extent so reflected on the signature page to this Agreement delivered to Administrative Agent, such lesser amount of such Lender’s Tranche C Term Facility Commitments as reflected thereon).</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Notwithstanding anything contained in this Agreement to the contrary, from and after the Agreement Effective Date but prior to the expiration of the Term Facility Availability Period with respect to the Tranche C Term Facility Commitments, any Lender then holding a Tranche C Term Facility Commitment may execute and deliver a counterpart of this Agreement to Administrative Agent (it being understood and agreed, for the avoidance of doubt and without extending the foregoing additional period during which such Lender may so execute and deliver such counterpart, that the foregoing shall also occur during the Term Facility Availability Period with respect to the Tranche D Term Facility Commitments). Upon such delivery and after receipt of payment of fees in accordance with Section 4 above (assuming for purposes of such fee payment that such Lender delivered its counterpart to this Agreement prior to the time and date set forth in Section 4 above), such Lender shall be deemed a Consenting Lender for purposes of this Agreement with respect to such Lender’s Tranche C Term Facility Commitments as in effect at such time (or, to the extent so reflected on the signature page to this Agreement delivered to Administrative Agent, such lesser amount of such Lender’s Tranche C Term Facility Commitments as reflected thereon).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VALIDITY OF OBLIGATIONS AND LIENS</w:t>
      </w:r>
    </w:p>
    <w:p>
      <w:pPr>
        <w:spacing w:after="0" w:line="2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9"/>
          <w:szCs w:val="19"/>
          <w:u w:val="single" w:color="auto"/>
          <w:color w:val="auto"/>
        </w:rPr>
        <w:t>Validity of Obligations</w:t>
      </w:r>
      <w:r>
        <w:rPr>
          <w:rFonts w:ascii="Arial" w:cs="Arial" w:eastAsia="Arial" w:hAnsi="Arial"/>
          <w:sz w:val="19"/>
          <w:szCs w:val="19"/>
          <w:color w:val="auto"/>
        </w:rPr>
        <w:t>. Each Credit Party hereby ratifies and reaffirms the validity, enforceability and</w:t>
      </w:r>
      <w:r>
        <w:rPr>
          <w:rFonts w:ascii="Arial" w:cs="Arial" w:eastAsia="Arial" w:hAnsi="Arial"/>
          <w:sz w:val="18"/>
          <w:szCs w:val="18"/>
          <w:color w:val="auto"/>
        </w:rPr>
        <w:t xml:space="preserve"> </w:t>
      </w:r>
      <w:r>
        <w:rPr>
          <w:rFonts w:ascii="Arial" w:cs="Arial" w:eastAsia="Arial" w:hAnsi="Arial"/>
          <w:sz w:val="19"/>
          <w:szCs w:val="19"/>
          <w:color w:val="auto"/>
        </w:rPr>
        <w:t>binding nature of the Obligations both before and after giving effect to this Agreement and the Amended Credit Agreement (except as the enforceability thereof may be limited by bankruptcy, insolvency or similar laws affecting creditors’ rights generally and subject to general principles of equity).</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9"/>
          <w:szCs w:val="19"/>
          <w:u w:val="single" w:color="auto"/>
          <w:color w:val="auto"/>
        </w:rPr>
        <w:t>Validity of Liens and Credit Documents</w:t>
      </w:r>
      <w:r>
        <w:rPr>
          <w:rFonts w:ascii="Arial" w:cs="Arial" w:eastAsia="Arial" w:hAnsi="Arial"/>
          <w:sz w:val="19"/>
          <w:szCs w:val="19"/>
          <w:color w:val="auto"/>
        </w:rPr>
        <w:t>. Each Credit Party hereby ratifies and reaffirms the validity,</w:t>
      </w:r>
      <w:r>
        <w:rPr>
          <w:rFonts w:ascii="Arial" w:cs="Arial" w:eastAsia="Arial" w:hAnsi="Arial"/>
          <w:sz w:val="18"/>
          <w:szCs w:val="18"/>
          <w:color w:val="auto"/>
        </w:rPr>
        <w:t xml:space="preserve"> </w:t>
      </w:r>
      <w:r>
        <w:rPr>
          <w:rFonts w:ascii="Arial" w:cs="Arial" w:eastAsia="Arial" w:hAnsi="Arial"/>
          <w:sz w:val="19"/>
          <w:szCs w:val="19"/>
          <w:color w:val="auto"/>
        </w:rPr>
        <w:t>enforceability (except as the enforceability thereof may be limited by bankruptcy, insolvency or similar laws affecting creditors’ rights generally and subject to general principles of equity) and binding nature of the Credit Documents, and the validity, enforceability (except as the enforceability thereof may be limited by bankruptcy, insolvency or similar laws affecting creditors’ rights generally and subject to general principles of equity) and perfection of the Liens and security interests granted to Collateral Agent for the benefit of the Secured Parties to secure any of the Secured Obligations (as defined in the Security Agreement and including after giving effect to the Amended Credit Agreement) by each Credit Party pursuant to the Credit Documents to which any Credit Party is a party, and agrees</w:t>
      </w:r>
    </w:p>
    <w:p>
      <w:pPr>
        <w:sectPr>
          <w:pgSz w:w="11900" w:h="16838" w:orient="portrait"/>
          <w:cols w:equalWidth="0" w:num="1">
            <w:col w:w="11420"/>
          </w:cols>
          <w:pgMar w:left="240" w:top="595" w:right="239" w:bottom="1440" w:gutter="0" w:footer="0" w:header="0"/>
        </w:sectPr>
      </w:pPr>
    </w:p>
    <w:bookmarkStart w:id="37" w:name="page38"/>
    <w:bookmarkEnd w:id="37"/>
    <w:p>
      <w:pPr>
        <w:jc w:val="both"/>
        <w:spacing w:after="0" w:line="287" w:lineRule="auto"/>
        <w:rPr>
          <w:sz w:val="20"/>
          <w:szCs w:val="20"/>
          <w:color w:val="auto"/>
        </w:rPr>
      </w:pPr>
      <w:r>
        <w:rPr>
          <w:rFonts w:ascii="Arial" w:cs="Arial" w:eastAsia="Arial" w:hAnsi="Arial"/>
          <w:sz w:val="19"/>
          <w:szCs w:val="19"/>
          <w:color w:val="auto"/>
        </w:rPr>
        <w:t>that the Liens and security interests granted pursuant to the Credit Documents shall continue to secure the Obligations under the Amended Credit Agreement, and hereby confirms and agrees that notwithstanding the effectiveness of this Agreement and the Amended Credit Agreement, and except as expressly amended by this Agreement or pursuant to the Amended Credit Agreement, each such Credit Document is, and shall continue to be, in full force and effect and each is hereby ratified and confirmed in all respects, except that, on and after the effectiveness of this Agreement and the Amended Credit Agreement, each reference in the Credit Documents to the “Credit Agreement”, “thereunder”, “thereof” (and each reference in the Credit Agreement to this “Agreement”, “hereunder” or “hereof”) or words of like import shall mean and be a reference to the Amended Credit Agreement.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0" w:type="dxa"/>
            <w:vAlign w:val="bottom"/>
            <w:gridSpan w:val="2"/>
          </w:tcPr>
          <w:p>
            <w:pPr>
              <w:jc w:val="center"/>
              <w:ind w:right="3400"/>
              <w:spacing w:after="0"/>
              <w:rPr>
                <w:sz w:val="20"/>
                <w:szCs w:val="20"/>
                <w:color w:val="auto"/>
              </w:rPr>
            </w:pPr>
            <w:r>
              <w:rPr>
                <w:rFonts w:ascii="Arial" w:cs="Arial" w:eastAsia="Arial" w:hAnsi="Arial"/>
                <w:sz w:val="20"/>
                <w:szCs w:val="20"/>
                <w:b w:val="1"/>
                <w:bCs w:val="1"/>
                <w:color w:val="auto"/>
              </w:rPr>
              <w:t>ARTICLE V</w:t>
            </w:r>
          </w:p>
        </w:tc>
      </w:tr>
      <w:tr>
        <w:trPr>
          <w:trHeight w:val="446"/>
        </w:trPr>
        <w:tc>
          <w:tcPr>
            <w:tcW w:w="2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gridSpan w:val="2"/>
          </w:tcPr>
          <w:p>
            <w:pPr>
              <w:jc w:val="center"/>
              <w:ind w:right="3420"/>
              <w:spacing w:after="0"/>
              <w:rPr>
                <w:sz w:val="20"/>
                <w:szCs w:val="20"/>
                <w:color w:val="auto"/>
              </w:rPr>
            </w:pPr>
            <w:r>
              <w:rPr>
                <w:rFonts w:ascii="Arial" w:cs="Arial" w:eastAsia="Arial" w:hAnsi="Arial"/>
                <w:sz w:val="20"/>
                <w:szCs w:val="20"/>
                <w:b w:val="1"/>
                <w:bCs w:val="1"/>
                <w:color w:val="auto"/>
              </w:rPr>
              <w:t>MISCELLANEOUS</w:t>
            </w:r>
          </w:p>
        </w:tc>
      </w:tr>
      <w:tr>
        <w:trPr>
          <w:trHeight w:val="415"/>
        </w:trPr>
        <w:tc>
          <w:tcPr>
            <w:tcW w:w="2900" w:type="dxa"/>
            <w:vAlign w:val="bottom"/>
          </w:tcPr>
          <w:p>
            <w:pPr>
              <w:jc w:val="center"/>
              <w:ind w:right="547"/>
              <w:spacing w:after="0"/>
              <w:rPr>
                <w:sz w:val="20"/>
                <w:szCs w:val="20"/>
                <w:color w:val="auto"/>
              </w:rPr>
            </w:pPr>
            <w:r>
              <w:rPr>
                <w:rFonts w:ascii="Arial" w:cs="Arial" w:eastAsia="Arial" w:hAnsi="Arial"/>
                <w:sz w:val="18"/>
                <w:szCs w:val="18"/>
                <w:color w:val="auto"/>
                <w:w w:val="93"/>
              </w:rPr>
              <w:t>SECTION 1.</w:t>
            </w:r>
          </w:p>
        </w:tc>
        <w:tc>
          <w:tcPr>
            <w:tcW w:w="8520" w:type="dxa"/>
            <w:vAlign w:val="bottom"/>
            <w:gridSpan w:val="3"/>
          </w:tcPr>
          <w:p>
            <w:pPr>
              <w:spacing w:after="0"/>
              <w:rPr>
                <w:sz w:val="20"/>
                <w:szCs w:val="20"/>
                <w:color w:val="auto"/>
              </w:rPr>
            </w:pPr>
            <w:r>
              <w:rPr>
                <w:rFonts w:ascii="Arial" w:cs="Arial" w:eastAsia="Arial" w:hAnsi="Arial"/>
                <w:sz w:val="20"/>
                <w:szCs w:val="20"/>
                <w:color w:val="auto"/>
                <w:w w:val="90"/>
              </w:rPr>
              <w:t>Notice. For purposes of this Agreement, the notice address of each party hereto shall be as set forth in the</w:t>
            </w:r>
          </w:p>
        </w:tc>
      </w:tr>
      <w:tr>
        <w:trPr>
          <w:trHeight w:val="281"/>
        </w:trPr>
        <w:tc>
          <w:tcPr>
            <w:tcW w:w="2900" w:type="dxa"/>
            <w:vAlign w:val="bottom"/>
          </w:tcPr>
          <w:p>
            <w:pPr>
              <w:jc w:val="center"/>
              <w:ind w:right="607"/>
              <w:spacing w:after="0"/>
              <w:rPr>
                <w:sz w:val="20"/>
                <w:szCs w:val="20"/>
                <w:color w:val="auto"/>
              </w:rPr>
            </w:pPr>
            <w:r>
              <w:rPr>
                <w:rFonts w:ascii="Arial" w:cs="Arial" w:eastAsia="Arial" w:hAnsi="Arial"/>
                <w:sz w:val="20"/>
                <w:szCs w:val="20"/>
                <w:color w:val="auto"/>
                <w:w w:val="92"/>
              </w:rPr>
              <w:t>Existing Credit Agreement.</w:t>
            </w:r>
          </w:p>
        </w:tc>
        <w:tc>
          <w:tcPr>
            <w:tcW w:w="52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442"/>
        </w:trPr>
        <w:tc>
          <w:tcPr>
            <w:tcW w:w="2900" w:type="dxa"/>
            <w:vAlign w:val="bottom"/>
          </w:tcPr>
          <w:p>
            <w:pPr>
              <w:jc w:val="center"/>
              <w:ind w:right="547"/>
              <w:spacing w:after="0"/>
              <w:rPr>
                <w:sz w:val="20"/>
                <w:szCs w:val="20"/>
                <w:color w:val="auto"/>
              </w:rPr>
            </w:pPr>
            <w:r>
              <w:rPr>
                <w:rFonts w:ascii="Arial" w:cs="Arial" w:eastAsia="Arial" w:hAnsi="Arial"/>
                <w:sz w:val="18"/>
                <w:szCs w:val="18"/>
                <w:color w:val="auto"/>
                <w:w w:val="93"/>
              </w:rPr>
              <w:t>SECTION 2.</w:t>
            </w:r>
          </w:p>
        </w:tc>
        <w:tc>
          <w:tcPr>
            <w:tcW w:w="8520" w:type="dxa"/>
            <w:vAlign w:val="bottom"/>
            <w:gridSpan w:val="3"/>
          </w:tcPr>
          <w:p>
            <w:pPr>
              <w:spacing w:after="0"/>
              <w:rPr>
                <w:sz w:val="20"/>
                <w:szCs w:val="20"/>
                <w:color w:val="auto"/>
              </w:rPr>
            </w:pPr>
            <w:r>
              <w:rPr>
                <w:rFonts w:ascii="Arial" w:cs="Arial" w:eastAsia="Arial" w:hAnsi="Arial"/>
                <w:sz w:val="20"/>
                <w:szCs w:val="20"/>
                <w:color w:val="auto"/>
                <w:w w:val="92"/>
              </w:rPr>
              <w:t>Amendment, Modification and Waiver. This Agreement may not be amended, modified or waived except</w:t>
            </w:r>
          </w:p>
        </w:tc>
      </w:tr>
      <w:tr>
        <w:trPr>
          <w:trHeight w:val="20"/>
        </w:trPr>
        <w:tc>
          <w:tcPr>
            <w:tcW w:w="2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by an instrument or instruments in writing signed and delivered on behalf of Borrower and Administrative Agent (acting at the direction of such Lenders as may be required under Section 13.04 of the Existing Credit Agreement or, after giving effect to the amendments contemplated hereby, the Amended Credit Agreement).</w:t>
      </w:r>
    </w:p>
    <w:p>
      <w:pPr>
        <w:spacing w:after="0" w:line="200"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the Amended Credit Agreement and the other Credit Documents</w:t>
      </w:r>
      <w:r>
        <w:rPr>
          <w:rFonts w:ascii="Arial" w:cs="Arial" w:eastAsia="Arial" w:hAnsi="Arial"/>
          <w:sz w:val="18"/>
          <w:szCs w:val="18"/>
          <w:color w:val="auto"/>
        </w:rPr>
        <w:t xml:space="preserve"> </w:t>
      </w:r>
      <w:r>
        <w:rPr>
          <w:rFonts w:ascii="Arial" w:cs="Arial" w:eastAsia="Arial" w:hAnsi="Arial"/>
          <w:sz w:val="19"/>
          <w:szCs w:val="19"/>
          <w:color w:val="auto"/>
        </w:rPr>
        <w:t>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ANY CLAIMS, CONTROVERSIES, DISPUTES, OR</w:t>
      </w:r>
      <w:r>
        <w:rPr>
          <w:rFonts w:ascii="Arial" w:cs="Arial" w:eastAsia="Arial" w:hAnsi="Arial"/>
          <w:sz w:val="18"/>
          <w:szCs w:val="18"/>
          <w:color w:val="auto"/>
        </w:rPr>
        <w:t xml:space="preserve"> </w:t>
      </w:r>
      <w:r>
        <w:rPr>
          <w:rFonts w:ascii="Arial" w:cs="Arial" w:eastAsia="Arial" w:hAnsi="Arial"/>
          <w:sz w:val="19"/>
          <w:szCs w:val="19"/>
          <w:color w:val="auto"/>
        </w:rPr>
        <w:t>CAUSES OF ACTION (WHETHER ARISING UNDER CONTRACT LAW, TORT LAW OR OTHERWISE) BASED UPON OR RELATING TO THIS AGREEMENT, SHALL BE GOVERNED BY, AND CONSTRUED IN ACCORDANCE WITH, THE LAW OF THE STATE OF NEW YORK WITHOUT GIVING EFFECT TO ANY CHOICE OF LAW PRINCIPLES THAT WOULD APPLY THE LAWS OF ANOTHER JURISDICTION.</w:t>
      </w:r>
    </w:p>
    <w:p>
      <w:pPr>
        <w:spacing w:after="0" w:line="19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9"/>
          <w:szCs w:val="19"/>
          <w:u w:val="single" w:color="auto"/>
          <w:color w:val="auto"/>
        </w:rPr>
        <w:t>SERVICE OF PROCESS</w:t>
      </w:r>
      <w:r>
        <w:rPr>
          <w:rFonts w:ascii="Arial" w:cs="Arial" w:eastAsia="Arial" w:hAnsi="Arial"/>
          <w:sz w:val="19"/>
          <w:szCs w:val="19"/>
          <w:color w:val="auto"/>
        </w:rPr>
        <w:t>. EACH PARTY HERETO AGREES THAT SECTION 13.09(b) OF THE</w:t>
      </w:r>
      <w:r>
        <w:rPr>
          <w:rFonts w:ascii="Arial" w:cs="Arial" w:eastAsia="Arial" w:hAnsi="Arial"/>
          <w:sz w:val="18"/>
          <w:szCs w:val="18"/>
          <w:color w:val="auto"/>
        </w:rPr>
        <w:t xml:space="preserve"> </w:t>
      </w:r>
      <w:r>
        <w:rPr>
          <w:rFonts w:ascii="Arial" w:cs="Arial" w:eastAsia="Arial" w:hAnsi="Arial"/>
          <w:sz w:val="19"/>
          <w:szCs w:val="19"/>
          <w:color w:val="auto"/>
        </w:rPr>
        <w:t>EXISTING CREDIT AGREEMENT (OR, AFTER GIVING EFFECT TO THE AMENDMENTS CONTEMPLATED HEREBY, THE AMENDED CREDIT AGREEMENT) SHALL APPLY TO THIS AGREEMENT MUTATIS MUTANDIS.</w:t>
      </w:r>
    </w:p>
    <w:p>
      <w:pPr>
        <w:spacing w:after="0" w:line="1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9"/>
          <w:szCs w:val="19"/>
          <w:u w:val="single" w:color="auto"/>
          <w:color w:val="auto"/>
        </w:rPr>
        <w:t>Severability</w:t>
      </w:r>
      <w:r>
        <w:rPr>
          <w:rFonts w:ascii="Arial" w:cs="Arial" w:eastAsia="Arial" w:hAnsi="Arial"/>
          <w:sz w:val="19"/>
          <w:szCs w:val="19"/>
          <w:color w:val="auto"/>
        </w:rPr>
        <w:t>. Wherever possible, each provision of this Agreement shall be interpreted in such manner as to</w:t>
      </w:r>
      <w:r>
        <w:rPr>
          <w:rFonts w:ascii="Arial" w:cs="Arial" w:eastAsia="Arial" w:hAnsi="Arial"/>
          <w:sz w:val="18"/>
          <w:szCs w:val="18"/>
          <w:color w:val="auto"/>
        </w:rPr>
        <w:t xml:space="preserve"> </w:t>
      </w:r>
      <w:r>
        <w:rPr>
          <w:rFonts w:ascii="Arial" w:cs="Arial" w:eastAsia="Arial" w:hAnsi="Arial"/>
          <w:sz w:val="19"/>
          <w:szCs w:val="19"/>
          <w:color w:val="auto"/>
        </w:rPr>
        <w:t>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(and by different parties hereto on different</w:t>
      </w:r>
      <w:r>
        <w:rPr>
          <w:rFonts w:ascii="Arial" w:cs="Arial" w:eastAsia="Arial" w:hAnsi="Arial"/>
          <w:sz w:val="18"/>
          <w:szCs w:val="18"/>
          <w:color w:val="auto"/>
        </w:rPr>
        <w:t xml:space="preserve"> </w:t>
      </w:r>
      <w:r>
        <w:rPr>
          <w:rFonts w:ascii="Arial" w:cs="Arial" w:eastAsia="Arial" w:hAnsi="Arial"/>
          <w:sz w:val="19"/>
          <w:szCs w:val="19"/>
          <w:color w:val="auto"/>
        </w:rPr>
        <w:t>counterparts), each of which shall constitute an original, but all of which when taken together shall constitute a single contract. Delivery of an executed signature page to this Agreement by facsimile or other electronic transmission (including portable document format (“.pdf”) or similar format) shall be effective as delivery of a manually executed counterpart hereof.</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ind w:left="660"/>
              <w:spacing w:after="0"/>
              <w:rPr>
                <w:sz w:val="20"/>
                <w:szCs w:val="20"/>
                <w:color w:val="auto"/>
              </w:rPr>
            </w:pPr>
            <w:r>
              <w:rPr>
                <w:rFonts w:ascii="Arial" w:cs="Arial" w:eastAsia="Arial" w:hAnsi="Arial"/>
                <w:sz w:val="18"/>
                <w:szCs w:val="18"/>
                <w:color w:val="auto"/>
              </w:rPr>
              <w:t>SECTION 8.</w:t>
            </w:r>
          </w:p>
        </w:tc>
        <w:tc>
          <w:tcPr>
            <w:tcW w:w="9160" w:type="dxa"/>
            <w:vAlign w:val="bottom"/>
            <w:gridSpan w:val="3"/>
          </w:tcPr>
          <w:p>
            <w:pPr>
              <w:ind w:left="660"/>
              <w:spacing w:after="0"/>
              <w:rPr>
                <w:sz w:val="20"/>
                <w:szCs w:val="20"/>
                <w:color w:val="auto"/>
              </w:rPr>
            </w:pPr>
            <w:r>
              <w:rPr>
                <w:rFonts w:ascii="Arial" w:cs="Arial" w:eastAsia="Arial" w:hAnsi="Arial"/>
                <w:sz w:val="20"/>
                <w:szCs w:val="20"/>
                <w:color w:val="auto"/>
                <w:w w:val="92"/>
              </w:rPr>
              <w:t>Credit Document. This Agreement shall constitute a “Credit Document” as defined in the Existing Credit</w:t>
            </w:r>
          </w:p>
        </w:tc>
      </w:tr>
      <w:tr>
        <w:trPr>
          <w:trHeight w:val="281"/>
        </w:trPr>
        <w:tc>
          <w:tcPr>
            <w:tcW w:w="2240" w:type="dxa"/>
            <w:vAlign w:val="bottom"/>
          </w:tcPr>
          <w:p>
            <w:pPr>
              <w:spacing w:after="0"/>
              <w:rPr>
                <w:sz w:val="20"/>
                <w:szCs w:val="20"/>
                <w:color w:val="auto"/>
              </w:rPr>
            </w:pPr>
            <w:r>
              <w:rPr>
                <w:rFonts w:ascii="Arial" w:cs="Arial" w:eastAsia="Arial" w:hAnsi="Arial"/>
                <w:sz w:val="20"/>
                <w:szCs w:val="20"/>
                <w:color w:val="auto"/>
              </w:rPr>
              <w:t>Agreement.</w:t>
            </w:r>
          </w:p>
        </w:tc>
        <w:tc>
          <w:tcPr>
            <w:tcW w:w="6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120" w:type="dxa"/>
            <w:vAlign w:val="bottom"/>
          </w:tcPr>
          <w:p>
            <w:pPr>
              <w:spacing w:after="0"/>
              <w:rPr>
                <w:sz w:val="24"/>
                <w:szCs w:val="24"/>
                <w:color w:val="auto"/>
              </w:rPr>
            </w:pPr>
          </w:p>
        </w:tc>
      </w:tr>
    </w:tbl>
    <w:p>
      <w:pPr>
        <w:sectPr>
          <w:pgSz w:w="11900" w:h="16838" w:orient="portrait"/>
          <w:cols w:equalWidth="0" w:num="1">
            <w:col w:w="11420"/>
          </w:cols>
          <w:pgMar w:left="240" w:top="595" w:right="239" w:bottom="1440" w:gutter="0" w:footer="0" w:header="0"/>
        </w:sectPr>
      </w:pPr>
    </w:p>
    <w:bookmarkStart w:id="38" w:name="page39"/>
    <w:bookmarkEnd w:id="38"/>
    <w:p>
      <w:pPr>
        <w:jc w:val="both"/>
        <w:ind w:firstLine="648"/>
        <w:spacing w:after="0" w:line="307"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8"/>
          <w:szCs w:val="18"/>
          <w:u w:val="single" w:color="auto"/>
          <w:color w:val="auto"/>
        </w:rPr>
        <w:t>No Novation</w:t>
      </w:r>
      <w:r>
        <w:rPr>
          <w:rFonts w:ascii="Arial" w:cs="Arial" w:eastAsia="Arial" w:hAnsi="Arial"/>
          <w:sz w:val="18"/>
          <w:szCs w:val="18"/>
          <w:color w:val="auto"/>
        </w:rPr>
        <w:t>. This Agreement shall not extinguish the obligations for the payment of money outstanding</w:t>
      </w:r>
      <w:r>
        <w:rPr>
          <w:rFonts w:ascii="Arial" w:cs="Arial" w:eastAsia="Arial" w:hAnsi="Arial"/>
          <w:sz w:val="17"/>
          <w:szCs w:val="17"/>
          <w:color w:val="auto"/>
        </w:rPr>
        <w:t xml:space="preserve"> </w:t>
      </w:r>
      <w:r>
        <w:rPr>
          <w:rFonts w:ascii="Arial" w:cs="Arial" w:eastAsia="Arial" w:hAnsi="Arial"/>
          <w:sz w:val="18"/>
          <w:szCs w:val="18"/>
          <w:color w:val="auto"/>
        </w:rPr>
        <w:t>under the Existing Credit Agreement or discharge or release the priority of any Credit Document (as defined in the Existing Credit Agreement) or any other security therefor. Nothing herein contained shall be construed as a substitution or novation of the obligations outstanding under the Existing Credit Agreement or the instruments, documents and agreements securing the same, which shall remain in full force and effect. Nothing in this Agreement shall be construed as a release or other discharge of Borrower or any Credit Party from any of its obligations and liabilities under the Existing Credit Agreement or the other Credit Documents (as defined in the Existing Credit Agreement).</w:t>
      </w:r>
    </w:p>
    <w:p>
      <w:pPr>
        <w:spacing w:after="0" w:line="181"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9"/>
          <w:szCs w:val="19"/>
          <w:u w:val="single" w:color="auto"/>
          <w:color w:val="auto"/>
        </w:rPr>
        <w:t>Acknowledgements</w:t>
      </w:r>
      <w:r>
        <w:rPr>
          <w:rFonts w:ascii="Arial" w:cs="Arial" w:eastAsia="Arial" w:hAnsi="Arial"/>
          <w:sz w:val="19"/>
          <w:szCs w:val="19"/>
          <w:color w:val="auto"/>
        </w:rPr>
        <w:t>. The execution, delivery and effectiveness of this Amendment shall not, except as</w:t>
      </w:r>
      <w:r>
        <w:rPr>
          <w:rFonts w:ascii="Arial" w:cs="Arial" w:eastAsia="Arial" w:hAnsi="Arial"/>
          <w:sz w:val="18"/>
          <w:szCs w:val="18"/>
          <w:color w:val="auto"/>
        </w:rPr>
        <w:t xml:space="preserve"> </w:t>
      </w:r>
      <w:r>
        <w:rPr>
          <w:rFonts w:ascii="Arial" w:cs="Arial" w:eastAsia="Arial" w:hAnsi="Arial"/>
          <w:sz w:val="19"/>
          <w:szCs w:val="19"/>
          <w:color w:val="auto"/>
        </w:rPr>
        <w:t>expressly provided herein, operate as a waiver of any right, power or remedy of any Lender or the Agent under any of the Credit Documents, nor, except as expressly provided herein, constitute a waiver or amendment of any provision of any of the Credit Documents.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420"/>
          </w:cols>
          <w:pgMar w:left="240" w:top="595" w:right="239" w:bottom="1440" w:gutter="0" w:footer="0" w:header="0"/>
        </w:sectPr>
      </w:pPr>
    </w:p>
    <w:bookmarkStart w:id="39" w:name="page40"/>
    <w:bookmarkEnd w:id="39"/>
    <w:p>
      <w:pPr>
        <w:spacing w:after="0" w:line="14"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undersigned has caused its duly authorized officer to execute and deliver this Agreement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first written above.</w:t>
      </w:r>
    </w:p>
    <w:p>
      <w:pPr>
        <w:spacing w:after="0" w:line="164"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WYNN AMERICA, LLC,</w:t>
      </w:r>
    </w:p>
    <w:p>
      <w:pPr>
        <w:spacing w:after="0" w:line="22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spacing w:after="0" w:line="232"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 Nevada limited liability company,</w:t>
      </w:r>
    </w:p>
    <w:p>
      <w:pPr>
        <w:ind w:left="32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Nevada corporation,</w:t>
      </w:r>
    </w:p>
    <w:p>
      <w:pPr>
        <w:ind w:left="39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Cootey</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Stephen Cootey</w:t>
      </w:r>
    </w:p>
    <w:p>
      <w:pPr>
        <w:ind w:left="4540"/>
        <w:spacing w:after="0"/>
        <w:rPr>
          <w:sz w:val="20"/>
          <w:szCs w:val="20"/>
          <w:color w:val="auto"/>
        </w:rPr>
      </w:pPr>
      <w:r>
        <w:rPr>
          <w:rFonts w:ascii="Arial" w:cs="Arial" w:eastAsia="Arial" w:hAnsi="Arial"/>
          <w:sz w:val="20"/>
          <w:szCs w:val="20"/>
          <w:color w:val="auto"/>
        </w:rPr>
        <w:t>Title: CFO,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to Wynn Third Amendment]</w:t>
      </w:r>
    </w:p>
    <w:p>
      <w:pPr>
        <w:sectPr>
          <w:pgSz w:w="11900" w:h="16838" w:orient="portrait"/>
          <w:cols w:equalWidth="0" w:num="1">
            <w:col w:w="11420"/>
          </w:cols>
          <w:pgMar w:left="240" w:top="1440" w:right="239" w:bottom="1440" w:gutter="0" w:footer="0" w:header="0"/>
        </w:sectPr>
      </w:pPr>
    </w:p>
    <w:bookmarkStart w:id="40" w:name="page41"/>
    <w:bookmarkEnd w:id="40"/>
    <w:p>
      <w:pPr>
        <w:ind w:left="2700"/>
        <w:spacing w:after="0"/>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200" w:lineRule="exact"/>
        <w:rPr>
          <w:sz w:val="20"/>
          <w:szCs w:val="20"/>
          <w:color w:val="auto"/>
        </w:rPr>
      </w:pPr>
    </w:p>
    <w:p>
      <w:pPr>
        <w:spacing w:after="0" w:line="239"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auto"/>
        </w:rPr>
        <w:t>WYNN LAS VEGAS HOLDINGS, LLC,</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ind w:left="2040"/>
        <w:spacing w:after="0"/>
        <w:tabs>
          <w:tab w:leader="none" w:pos="2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America, LLC,</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ind w:left="20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 Nevada limited liability company,</w:t>
      </w:r>
    </w:p>
    <w:p>
      <w:pPr>
        <w:ind w:left="27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 Nevada corporation,</w:t>
      </w:r>
    </w:p>
    <w:p>
      <w:pPr>
        <w:ind w:left="33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16"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By: /</w:t>
      </w:r>
      <w:r>
        <w:rPr>
          <w:rFonts w:ascii="Arial" w:cs="Arial" w:eastAsia="Arial" w:hAnsi="Arial"/>
          <w:sz w:val="20"/>
          <w:szCs w:val="20"/>
          <w:u w:val="single" w:color="auto"/>
          <w:color w:val="auto"/>
        </w:rPr>
        <w:t>s/ Stephen Cootey</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Name: Stephen Cootey</w:t>
      </w:r>
    </w:p>
    <w:p>
      <w:pPr>
        <w:jc w:val="right"/>
        <w:ind w:right="2579"/>
        <w:spacing w:after="0"/>
        <w:rPr>
          <w:sz w:val="20"/>
          <w:szCs w:val="20"/>
          <w:color w:val="auto"/>
        </w:rPr>
      </w:pPr>
      <w:r>
        <w:rPr>
          <w:rFonts w:ascii="Arial" w:cs="Arial" w:eastAsia="Arial" w:hAnsi="Arial"/>
          <w:sz w:val="20"/>
          <w:szCs w:val="20"/>
          <w:color w:val="auto"/>
        </w:rPr>
        <w:t>Title: CFO, SVP and Treasurer</w:t>
      </w:r>
    </w:p>
    <w:p>
      <w:pPr>
        <w:spacing w:after="0" w:line="200" w:lineRule="exact"/>
        <w:rPr>
          <w:sz w:val="20"/>
          <w:szCs w:val="20"/>
          <w:color w:val="auto"/>
        </w:rPr>
      </w:pPr>
    </w:p>
    <w:p>
      <w:pPr>
        <w:spacing w:after="0" w:line="210"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auto"/>
        </w:rPr>
        <w:t>WYNN MA, LLC,</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ind w:left="2040"/>
        <w:spacing w:after="0"/>
        <w:tabs>
          <w:tab w:leader="none" w:pos="2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America, LLC,</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ind w:left="20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 Nevada limited liability company,</w:t>
      </w:r>
    </w:p>
    <w:p>
      <w:pPr>
        <w:ind w:left="27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 Nevada corporation,</w:t>
      </w:r>
    </w:p>
    <w:p>
      <w:pPr>
        <w:ind w:left="33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16"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Cootey</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Name: Stephen Cootey</w:t>
      </w:r>
    </w:p>
    <w:p>
      <w:pPr>
        <w:jc w:val="right"/>
        <w:ind w:right="2579"/>
        <w:spacing w:after="0"/>
        <w:rPr>
          <w:sz w:val="20"/>
          <w:szCs w:val="20"/>
          <w:color w:val="auto"/>
        </w:rPr>
      </w:pPr>
      <w:r>
        <w:rPr>
          <w:rFonts w:ascii="Arial" w:cs="Arial" w:eastAsia="Arial" w:hAnsi="Arial"/>
          <w:sz w:val="20"/>
          <w:szCs w:val="20"/>
          <w:color w:val="auto"/>
        </w:rPr>
        <w:t>Title: CFO,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Wynn Third Amendment]</w:t>
      </w:r>
    </w:p>
    <w:p>
      <w:pPr>
        <w:sectPr>
          <w:pgSz w:w="11900" w:h="16838" w:orient="portrait"/>
          <w:cols w:equalWidth="0" w:num="1">
            <w:col w:w="9019"/>
          </w:cols>
          <w:pgMar w:left="1440" w:top="582" w:right="1440" w:bottom="1440" w:gutter="0" w:footer="0" w:header="0"/>
        </w:sectPr>
      </w:pPr>
    </w:p>
    <w:bookmarkStart w:id="41" w:name="page42"/>
    <w:bookmarkEnd w:id="41"/>
    <w:p>
      <w:pPr>
        <w:ind w:left="2380"/>
        <w:spacing w:after="0"/>
        <w:rPr>
          <w:sz w:val="20"/>
          <w:szCs w:val="20"/>
          <w:color w:val="auto"/>
        </w:rPr>
      </w:pPr>
      <w:r>
        <w:rPr>
          <w:rFonts w:ascii="Arial" w:cs="Arial" w:eastAsia="Arial" w:hAnsi="Arial"/>
          <w:sz w:val="20"/>
          <w:szCs w:val="20"/>
          <w:b w:val="1"/>
          <w:bCs w:val="1"/>
          <w:color w:val="auto"/>
        </w:rPr>
        <w:t>EVERETT PROPERTY, LLC,</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a Massachusetts limited liability company</w:t>
      </w:r>
    </w:p>
    <w:p>
      <w:pPr>
        <w:spacing w:after="0" w:line="200" w:lineRule="exact"/>
        <w:rPr>
          <w:sz w:val="20"/>
          <w:szCs w:val="20"/>
          <w:color w:val="auto"/>
        </w:rPr>
      </w:pPr>
    </w:p>
    <w:p>
      <w:pPr>
        <w:ind w:left="2380"/>
        <w:spacing w:after="0"/>
        <w:rPr>
          <w:sz w:val="20"/>
          <w:szCs w:val="20"/>
          <w:color w:val="auto"/>
        </w:rPr>
      </w:pPr>
      <w:r>
        <w:rPr>
          <w:rFonts w:ascii="Arial" w:cs="Arial" w:eastAsia="Arial" w:hAnsi="Arial"/>
          <w:sz w:val="20"/>
          <w:szCs w:val="20"/>
          <w:color w:val="auto"/>
        </w:rPr>
        <w:t>By: Wynn America, LLC,</w:t>
      </w:r>
    </w:p>
    <w:p>
      <w:pPr>
        <w:spacing w:after="0" w:line="16"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a Nevada limited liability company,</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w:t>
      </w:r>
    </w:p>
    <w:p>
      <w:pPr>
        <w:spacing w:after="0" w:line="16"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 Nevada limited liability company,</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By: Wynn Resorts, Limited,</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a Nevada corporation,</w:t>
      </w:r>
    </w:p>
    <w:p>
      <w:pPr>
        <w:ind w:left="33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16"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Stephen Cootey</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Name: Stephen Cootey</w:t>
      </w:r>
    </w:p>
    <w:p>
      <w:pPr>
        <w:ind w:left="3740"/>
        <w:spacing w:after="0"/>
        <w:rPr>
          <w:sz w:val="20"/>
          <w:szCs w:val="20"/>
          <w:color w:val="auto"/>
        </w:rPr>
      </w:pPr>
      <w:r>
        <w:rPr>
          <w:rFonts w:ascii="Arial" w:cs="Arial" w:eastAsia="Arial" w:hAnsi="Arial"/>
          <w:sz w:val="19"/>
          <w:szCs w:val="19"/>
          <w:color w:val="auto"/>
        </w:rPr>
        <w:t>Title: CFO,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Wynn Third Amendment]</w:t>
      </w:r>
    </w:p>
    <w:p>
      <w:pPr>
        <w:sectPr>
          <w:pgSz w:w="11900" w:h="16838" w:orient="portrait"/>
          <w:cols w:equalWidth="0" w:num="1">
            <w:col w:w="9019"/>
          </w:cols>
          <w:pgMar w:left="1440" w:top="1008" w:right="1440" w:bottom="1440" w:gutter="0" w:footer="0" w:header="0"/>
        </w:sectPr>
      </w:pPr>
    </w:p>
    <w:bookmarkStart w:id="42" w:name="page43"/>
    <w:bookmarkEnd w:id="42"/>
    <w:p>
      <w:pPr>
        <w:spacing w:after="0"/>
        <w:rPr>
          <w:sz w:val="20"/>
          <w:szCs w:val="20"/>
          <w:color w:val="auto"/>
        </w:rPr>
      </w:pPr>
      <w:r>
        <w:rPr>
          <w:rFonts w:ascii="Arial" w:cs="Arial" w:eastAsia="Arial" w:hAnsi="Arial"/>
          <w:sz w:val="19"/>
          <w:szCs w:val="19"/>
          <w:b w:val="1"/>
          <w:bCs w:val="1"/>
          <w:color w:val="auto"/>
        </w:rPr>
        <w:t>DEUTSCHE BANK AG NEW YORK BRANCH</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as Administrative Agent and as Collateral Agent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Mary Kay Coyle</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Name: Mary Kay Coyle</w:t>
      </w: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Anca Trifan</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Name: Anca Trifan</w:t>
      </w: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10219"/>
          </w:cols>
          <w:pgMar w:left="240" w:top="576" w:right="1440"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SunTrust Bank</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Tranche C Term Facility Lender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Tesha Winslow</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Name: Tesha Winslow</w:t>
      </w: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2719"/>
        <w:spacing w:after="0"/>
        <w:rPr>
          <w:sz w:val="20"/>
          <w:szCs w:val="20"/>
          <w:color w:val="auto"/>
        </w:rPr>
      </w:pPr>
      <w:r>
        <w:rPr>
          <w:rFonts w:ascii="Arial" w:cs="Arial" w:eastAsia="Arial" w:hAnsi="Arial"/>
          <w:sz w:val="20"/>
          <w:szCs w:val="20"/>
          <w:color w:val="auto"/>
        </w:rPr>
        <w:t>[Signature Page to Wynn Third Amendment]</w:t>
      </w:r>
    </w:p>
    <w:p>
      <w:pPr>
        <w:sectPr>
          <w:pgSz w:w="11900" w:h="16838" w:orient="portrait"/>
          <w:cols w:equalWidth="0" w:num="1">
            <w:col w:w="10219"/>
          </w:cols>
          <w:pgMar w:left="240" w:top="1022" w:right="1440"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BNP Paribas,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Tranche C Term Facility Lender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Duane Helkowski</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Name: Duane Helkowski</w:t>
      </w: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Kwang Kyun Choi</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Name: Kwang Kyun Choi</w:t>
      </w: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2719"/>
        <w:spacing w:after="0"/>
        <w:rPr>
          <w:sz w:val="20"/>
          <w:szCs w:val="20"/>
          <w:color w:val="auto"/>
        </w:rPr>
      </w:pPr>
      <w:r>
        <w:rPr>
          <w:rFonts w:ascii="Arial" w:cs="Arial" w:eastAsia="Arial" w:hAnsi="Arial"/>
          <w:sz w:val="20"/>
          <w:szCs w:val="20"/>
          <w:color w:val="auto"/>
        </w:rPr>
        <w:t>[Signature Page to Wynn Third Amendment]</w:t>
      </w:r>
    </w:p>
    <w:p>
      <w:pPr>
        <w:sectPr>
          <w:pgSz w:w="11900" w:h="16838" w:orient="portrait"/>
          <w:cols w:equalWidth="0" w:num="1">
            <w:col w:w="10219"/>
          </w:cols>
          <w:pgMar w:left="240" w:top="1224" w:right="1440" w:bottom="1440" w:gutter="0" w:footer="0" w:header="0"/>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AMERICA, N.A.,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Tranche C Term Facility Lender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Brian D. Corum</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Name: Brian D. Corum</w:t>
      </w: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2719"/>
        <w:spacing w:after="0"/>
        <w:rPr>
          <w:sz w:val="20"/>
          <w:szCs w:val="20"/>
          <w:color w:val="auto"/>
        </w:rPr>
      </w:pPr>
      <w:r>
        <w:rPr>
          <w:rFonts w:ascii="Arial" w:cs="Arial" w:eastAsia="Arial" w:hAnsi="Arial"/>
          <w:sz w:val="20"/>
          <w:szCs w:val="20"/>
          <w:color w:val="auto"/>
        </w:rPr>
        <w:t>[Signature Page to Wynn Third Amendment]</w:t>
      </w:r>
    </w:p>
    <w:p>
      <w:pPr>
        <w:sectPr>
          <w:pgSz w:w="11900" w:h="16838" w:orient="portrait"/>
          <w:cols w:equalWidth="0" w:num="1">
            <w:col w:w="10219"/>
          </w:cols>
          <w:pgMar w:left="240" w:top="792" w:right="1440"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BANK OF NOVA SCOTIA,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Tranche C Term Facility Lender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Winston Lua</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Name: Winston Lua</w:t>
      </w: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FIFTH THIRD BANK,</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Tranche C Term Facility Lender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Knight Kieffer</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Name: Knight Kieffer</w:t>
      </w: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2719"/>
        <w:spacing w:after="0"/>
        <w:rPr>
          <w:sz w:val="20"/>
          <w:szCs w:val="20"/>
          <w:color w:val="auto"/>
        </w:rPr>
      </w:pPr>
      <w:r>
        <w:rPr>
          <w:rFonts w:ascii="Arial" w:cs="Arial" w:eastAsia="Arial" w:hAnsi="Arial"/>
          <w:sz w:val="20"/>
          <w:szCs w:val="20"/>
          <w:color w:val="auto"/>
        </w:rPr>
        <w:t>[Signature Page to Wynn Third Amendment]</w:t>
      </w:r>
    </w:p>
    <w:p>
      <w:pPr>
        <w:sectPr>
          <w:pgSz w:w="11900" w:h="16838" w:orient="portrait"/>
          <w:cols w:equalWidth="0" w:num="1">
            <w:col w:w="10219"/>
          </w:cols>
          <w:pgMar w:left="240" w:top="792" w:right="1440"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SUMITOMO MITSUI BANKING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Tranche C Term Facility Lender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Keith Connolly</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Name: Keith Connolly</w:t>
      </w: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2719"/>
        <w:spacing w:after="0"/>
        <w:rPr>
          <w:sz w:val="20"/>
          <w:szCs w:val="20"/>
          <w:color w:val="auto"/>
        </w:rPr>
      </w:pPr>
      <w:r>
        <w:rPr>
          <w:rFonts w:ascii="Arial" w:cs="Arial" w:eastAsia="Arial" w:hAnsi="Arial"/>
          <w:sz w:val="20"/>
          <w:szCs w:val="20"/>
          <w:color w:val="auto"/>
        </w:rPr>
        <w:t>[Signature Page to Wynn Third Amendment]</w:t>
      </w:r>
    </w:p>
    <w:p>
      <w:pPr>
        <w:sectPr>
          <w:pgSz w:w="11900" w:h="16838" w:orient="portrait"/>
          <w:cols w:equalWidth="0" w:num="1">
            <w:col w:w="10219"/>
          </w:cols>
          <w:pgMar w:left="240" w:top="792" w:right="1440"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China, Los Angeles Branch,</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Tranche C Term Facility Lender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Lixin Guo</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Name: Lixin Guo</w:t>
      </w: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Title: Senior Vice President &amp; Branch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2719"/>
        <w:spacing w:after="0"/>
        <w:rPr>
          <w:sz w:val="20"/>
          <w:szCs w:val="20"/>
          <w:color w:val="auto"/>
        </w:rPr>
      </w:pPr>
      <w:r>
        <w:rPr>
          <w:rFonts w:ascii="Arial" w:cs="Arial" w:eastAsia="Arial" w:hAnsi="Arial"/>
          <w:sz w:val="20"/>
          <w:szCs w:val="20"/>
          <w:color w:val="auto"/>
        </w:rPr>
        <w:t>[Signature Page to Wynn Third Amendment]</w:t>
      </w:r>
    </w:p>
    <w:p>
      <w:pPr>
        <w:sectPr>
          <w:pgSz w:w="11900" w:h="16838" w:orient="portrait"/>
          <w:cols w:equalWidth="0" w:num="1">
            <w:col w:w="10219"/>
          </w:cols>
          <w:pgMar w:left="240" w:top="1224" w:right="1440" w:bottom="1440"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Agricole Corporate and Investment Bank,</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Tranche C Term Facility Lender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Steven Jonassen</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Name: Steven Jonassen</w:t>
      </w: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Joseph A. Asciolla</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Name: Joseph A. Asciolla</w:t>
      </w: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3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$80,333,333.33 of principal amount of such Lender’s Tranche C Term Facility Commitments shall be designated as Tranche D Term Facility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[Signature Page to Wynn Third Amendment]</w:t>
      </w:r>
    </w:p>
    <w:p>
      <w:pPr>
        <w:sectPr>
          <w:pgSz w:w="11900" w:h="16838" w:orient="portrait"/>
          <w:cols w:equalWidth="0" w:num="1">
            <w:col w:w="11160"/>
          </w:cols>
          <w:pgMar w:left="240" w:top="1008" w:right="4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FOURTH AMENDMENT TO CREDIT AGREEMENT</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Fourth Amendment to Credit Agreement, dated as of July 1, 2016 (this “</w:t>
      </w:r>
      <w:r>
        <w:rPr>
          <w:rFonts w:ascii="Arial" w:cs="Arial" w:eastAsia="Arial" w:hAnsi="Arial"/>
          <w:sz w:val="20"/>
          <w:szCs w:val="20"/>
          <w:b w:val="1"/>
          <w:bCs w:val="1"/>
          <w:color w:val="auto"/>
        </w:rPr>
        <w:t>Agreement</w:t>
      </w:r>
      <w:r>
        <w:rPr>
          <w:rFonts w:ascii="Arial" w:cs="Arial" w:eastAsia="Arial" w:hAnsi="Arial"/>
          <w:sz w:val="20"/>
          <w:szCs w:val="20"/>
          <w:color w:val="auto"/>
        </w:rPr>
        <w:t>”), by and among Wynn America, LLC, a Nevada limited liability company (“</w:t>
      </w:r>
      <w:r>
        <w:rPr>
          <w:rFonts w:ascii="Arial" w:cs="Arial" w:eastAsia="Arial" w:hAnsi="Arial"/>
          <w:sz w:val="20"/>
          <w:szCs w:val="20"/>
          <w:b w:val="1"/>
          <w:bCs w:val="1"/>
          <w:color w:val="auto"/>
        </w:rPr>
        <w:t>Borrower</w:t>
      </w:r>
      <w:r>
        <w:rPr>
          <w:rFonts w:ascii="Arial" w:cs="Arial" w:eastAsia="Arial" w:hAnsi="Arial"/>
          <w:sz w:val="20"/>
          <w:szCs w:val="20"/>
          <w:color w:val="auto"/>
        </w:rPr>
        <w:t>”), the Guarantors (as defined in the Amended Credit Agreement referred to below) party hereto, Deutsche Bank AG New York Branch, as administrative agent (in such capacity, “</w:t>
      </w:r>
      <w:r>
        <w:rPr>
          <w:rFonts w:ascii="Arial" w:cs="Arial" w:eastAsia="Arial" w:hAnsi="Arial"/>
          <w:sz w:val="20"/>
          <w:szCs w:val="20"/>
          <w:b w:val="1"/>
          <w:bCs w:val="1"/>
          <w:color w:val="auto"/>
        </w:rPr>
        <w:t>Administrative Agent</w:t>
      </w:r>
      <w:r>
        <w:rPr>
          <w:rFonts w:ascii="Arial" w:cs="Arial" w:eastAsia="Arial" w:hAnsi="Arial"/>
          <w:sz w:val="20"/>
          <w:szCs w:val="20"/>
          <w:color w:val="auto"/>
        </w:rPr>
        <w:t>”) for (and on behalf of) the Lenders under the Existing Credit Agreement referred to below and, after giving effect hereto, the Amended Credit Agreement and as collateral agent (in such capacity, “</w:t>
      </w:r>
      <w:r>
        <w:rPr>
          <w:rFonts w:ascii="Arial" w:cs="Arial" w:eastAsia="Arial" w:hAnsi="Arial"/>
          <w:sz w:val="20"/>
          <w:szCs w:val="20"/>
          <w:b w:val="1"/>
          <w:bCs w:val="1"/>
          <w:color w:val="auto"/>
        </w:rPr>
        <w:t>Collateral Agent</w:t>
      </w:r>
      <w:r>
        <w:rPr>
          <w:rFonts w:ascii="Arial" w:cs="Arial" w:eastAsia="Arial" w:hAnsi="Arial"/>
          <w:sz w:val="20"/>
          <w:szCs w:val="20"/>
          <w:color w:val="auto"/>
        </w:rPr>
        <w:t>”) for the Secured Parties (as defined under the Existing Credit Agreement and, after giving effect hereto, the Amended Credit Agreement), the Required Lenders (as defined in the Existing Credit Agreement) and the Term Facility II Lenders (as defined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reference is hereby made to the Credit Agreement, dated as of November 20, 2014 (as amended by the First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to Credit Agreement, dated as of November 5, 2015, the Second Amendment to Credit Agreement, dated as of December 21, 2015, the Third Amendment to Credit Agreement, dated as of June 21, 2016 and as it may be further amended, restated, replaced, supplemented or otherwise modified and as in effect immediately prior to giving effect to the amendments contemplated by this Agreement, the “</w:t>
      </w:r>
      <w:r>
        <w:rPr>
          <w:rFonts w:ascii="Arial" w:cs="Arial" w:eastAsia="Arial" w:hAnsi="Arial"/>
          <w:sz w:val="19"/>
          <w:szCs w:val="19"/>
          <w:b w:val="1"/>
          <w:bCs w:val="1"/>
          <w:color w:val="auto"/>
        </w:rPr>
        <w:t>Existing Credit</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and the Existing Credit Agreement as modified by this Agreement, the “</w:t>
      </w:r>
      <w:r>
        <w:rPr>
          <w:rFonts w:ascii="Arial" w:cs="Arial" w:eastAsia="Arial" w:hAnsi="Arial"/>
          <w:sz w:val="19"/>
          <w:szCs w:val="19"/>
          <w:b w:val="1"/>
          <w:bCs w:val="1"/>
          <w:color w:val="auto"/>
        </w:rPr>
        <w:t>Amended Credit Agreement</w:t>
      </w:r>
      <w:r>
        <w:rPr>
          <w:rFonts w:ascii="Arial" w:cs="Arial" w:eastAsia="Arial" w:hAnsi="Arial"/>
          <w:sz w:val="19"/>
          <w:szCs w:val="19"/>
          <w:color w:val="auto"/>
        </w:rPr>
        <w:t>”; capitalized terms defined</w:t>
      </w:r>
      <w:r>
        <w:rPr>
          <w:rFonts w:ascii="Arial" w:cs="Arial" w:eastAsia="Arial" w:hAnsi="Arial"/>
          <w:sz w:val="19"/>
          <w:szCs w:val="19"/>
          <w:b w:val="1"/>
          <w:bCs w:val="1"/>
          <w:color w:val="auto"/>
        </w:rPr>
        <w:t xml:space="preserve"> </w:t>
      </w:r>
      <w:r>
        <w:rPr>
          <w:rFonts w:ascii="Arial" w:cs="Arial" w:eastAsia="Arial" w:hAnsi="Arial"/>
          <w:sz w:val="19"/>
          <w:szCs w:val="19"/>
          <w:color w:val="auto"/>
        </w:rPr>
        <w:t>in the Amended Credit Agreement and not otherwise defined herein being used herein as therein defined), among Borrower, the Guarantors party thereto, the Lenders party thereto from time to time, the L/C Lenders party thereto from time to time, Administrative Agent, Collateral Agent and the other parties thereto;</w:t>
      </w:r>
    </w:p>
    <w:p>
      <w:pPr>
        <w:spacing w:after="0" w:line="17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the terms hereof, Borrower will obtain $125,000,000 in Term Facility II Commitments (as defined below)</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from the Persons party hereto listed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hereto (the “</w:t>
      </w:r>
      <w:r>
        <w:rPr>
          <w:rFonts w:ascii="Arial" w:cs="Arial" w:eastAsia="Arial" w:hAnsi="Arial"/>
          <w:sz w:val="20"/>
          <w:szCs w:val="20"/>
          <w:b w:val="1"/>
          <w:bCs w:val="1"/>
          <w:color w:val="auto"/>
        </w:rPr>
        <w:t>Term Facility II Lenders</w:t>
      </w:r>
      <w:r>
        <w:rPr>
          <w:rFonts w:ascii="Arial" w:cs="Arial" w:eastAsia="Arial" w:hAnsi="Arial"/>
          <w:sz w:val="20"/>
          <w:szCs w:val="20"/>
          <w:color w:val="auto"/>
        </w:rPr>
        <w:t>”); and</w:t>
      </w:r>
    </w:p>
    <w:p>
      <w:pPr>
        <w:spacing w:after="0" w:line="38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furtherance thereof, Borrower, the Guarantors, the Required Lenders (as defined in the Existing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and Collateral Agent will make certain amendments to the Existing Credit Agreement, in each case, as set forth herein;</w:t>
      </w:r>
    </w:p>
    <w:p>
      <w:pPr>
        <w:spacing w:after="0" w:line="11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agreements, provisions and covenants herein contained and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are hereby acknowledged, the parties hereto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EXISTING CREDIT DOCUMENTS</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Consent of Required Lenders</w:t>
      </w:r>
      <w:r>
        <w:rPr>
          <w:rFonts w:ascii="Arial" w:cs="Arial" w:eastAsia="Arial" w:hAnsi="Arial"/>
          <w:sz w:val="19"/>
          <w:szCs w:val="19"/>
          <w:color w:val="auto"/>
        </w:rPr>
        <w:t>. Subject to the terms and conditions of this Agreement, each Lender that executes and delivers a signature page to this Agreement irrevocably agrees to the amendments to, and waivers and consents under, the Existing Credit Agreement and the other Credit Documents provided for herein with respect to all of such Lender’s Commitments and Loans as in effect immediately prior to the Agreement Effective Date. Such agreement shall be irrevocably binding on any</w:t>
      </w:r>
    </w:p>
    <w:p>
      <w:pPr>
        <w:sectPr>
          <w:pgSz w:w="11900" w:h="16838" w:orient="portrait"/>
          <w:cols w:equalWidth="0" w:num="1">
            <w:col w:w="11420"/>
          </w:cols>
          <w:pgMar w:left="240" w:top="621" w:right="239" w:bottom="1440" w:gutter="0" w:footer="0" w:header="0"/>
        </w:sectPr>
      </w:pPr>
    </w:p>
    <w:bookmarkStart w:id="51" w:name="page52"/>
    <w:bookmarkEnd w:id="51"/>
    <w:p>
      <w:pPr>
        <w:spacing w:after="0"/>
        <w:rPr>
          <w:sz w:val="20"/>
          <w:szCs w:val="20"/>
          <w:color w:val="auto"/>
        </w:rPr>
      </w:pPr>
      <w:r>
        <w:rPr>
          <w:rFonts w:ascii="Arial" w:cs="Arial" w:eastAsia="Arial" w:hAnsi="Arial"/>
          <w:sz w:val="20"/>
          <w:szCs w:val="20"/>
          <w:color w:val="auto"/>
        </w:rPr>
        <w:t>subsequent assignees, transferees, participants, successors and assigns with respect to such Commitments and Loans.</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Consent of Term Facility II Lenders</w:t>
      </w:r>
      <w:r>
        <w:rPr>
          <w:rFonts w:ascii="Arial" w:cs="Arial" w:eastAsia="Arial" w:hAnsi="Arial"/>
          <w:sz w:val="18"/>
          <w:szCs w:val="18"/>
          <w:color w:val="auto"/>
        </w:rPr>
        <w:t>. Subject to the terms and conditions of this Agreement, each Term Facility II Lender irrevocably agrees to the amendments to, and waivers and consents under, the Existing Credit Agreement and the other Credit Documents provided for herein with respect to all of such Person’s Term Facility II Commitments. Such agreement shall be irrevocably binding on any subsequent assignees, transferees, participants, successors and assigns with respect to such Term Facility II Commitments.</w:t>
      </w:r>
    </w:p>
    <w:p>
      <w:pPr>
        <w:spacing w:after="0" w:line="375"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xml:space="preserve">. The terms and provisions of the Existing Credit Agreement are hereby amended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such that all of the newly inserted and underscored provisions and any formatting changes reflected therein shall be deemed inserted or made, as applicable, and all of the stricken provisions shall be deemed to be deleted therefrom, immediately and automatically upon the Agreement Effective Date. Schedules and Exhibits to the Credit Agreement shall remain as in effect under the Existing Credit Agreement, except with respect to Exhibits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each of which shall replace the respective Exhibit to the Existing Credit Agreement in its entirety, immediately and automatically upon the Agreement Effective Date.</w:t>
      </w:r>
    </w:p>
    <w:p>
      <w:pPr>
        <w:spacing w:after="0" w:line="38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Amendments to Credit Documents</w:t>
      </w:r>
      <w:r>
        <w:rPr>
          <w:rFonts w:ascii="Arial" w:cs="Arial" w:eastAsia="Arial" w:hAnsi="Arial"/>
          <w:sz w:val="18"/>
          <w:szCs w:val="18"/>
          <w:color w:val="auto"/>
        </w:rPr>
        <w:t>. Each Lender, by executing this Agreement consents to, and authorizes Borrower, each Subsidiary Guarantor, Administrative Agent and Collateral Agent to enter into such amendments, restatements, amendment and restatements, supplements and modifications to the Security Documents and other Credit Documents as Administrative Agent deems reasonably necessary or desirable in connection with this Agreement and the transactions contemplated hereby.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 TO PROVIDE TERM FACILITY II COMMITMENTS</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Agreement to Provide Term Facility II Commitments</w:t>
      </w:r>
      <w:r>
        <w:rPr>
          <w:rFonts w:ascii="Arial" w:cs="Arial" w:eastAsia="Arial" w:hAnsi="Arial"/>
          <w:sz w:val="20"/>
          <w:szCs w:val="20"/>
          <w:color w:val="auto"/>
        </w:rPr>
        <w:t xml:space="preserve">. Each Term Facility II Lender that executes and delivers this Agreement agrees in connection therewith to provide its respective commitment to make loans as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attached hereto on the terms set forth in this Agreement and the Amended Credit Agreement (each such commitment, a “</w:t>
      </w:r>
      <w:r>
        <w:rPr>
          <w:rFonts w:ascii="Arial" w:cs="Arial" w:eastAsia="Arial" w:hAnsi="Arial"/>
          <w:sz w:val="20"/>
          <w:szCs w:val="20"/>
          <w:b w:val="1"/>
          <w:bCs w:val="1"/>
          <w:color w:val="auto"/>
        </w:rPr>
        <w:t>Term Facility II</w:t>
      </w:r>
      <w:r>
        <w:rPr>
          <w:rFonts w:ascii="Arial" w:cs="Arial" w:eastAsia="Arial" w:hAnsi="Arial"/>
          <w:sz w:val="20"/>
          <w:szCs w:val="20"/>
          <w:color w:val="auto"/>
        </w:rPr>
        <w:t xml:space="preserve"> </w:t>
      </w:r>
      <w:r>
        <w:rPr>
          <w:rFonts w:ascii="Arial" w:cs="Arial" w:eastAsia="Arial" w:hAnsi="Arial"/>
          <w:sz w:val="20"/>
          <w:szCs w:val="20"/>
          <w:b w:val="1"/>
          <w:bCs w:val="1"/>
          <w:color w:val="auto"/>
        </w:rPr>
        <w:t>Commitment</w:t>
      </w:r>
      <w:r>
        <w:rPr>
          <w:rFonts w:ascii="Arial" w:cs="Arial" w:eastAsia="Arial" w:hAnsi="Arial"/>
          <w:sz w:val="20"/>
          <w:szCs w:val="20"/>
          <w:color w:val="auto"/>
        </w:rPr>
        <w:t>” and any loans made thereunder, “</w:t>
      </w:r>
      <w:r>
        <w:rPr>
          <w:rFonts w:ascii="Arial" w:cs="Arial" w:eastAsia="Arial" w:hAnsi="Arial"/>
          <w:sz w:val="20"/>
          <w:szCs w:val="20"/>
          <w:b w:val="1"/>
          <w:bCs w:val="1"/>
          <w:color w:val="auto"/>
        </w:rPr>
        <w:t>Term Facility II Loans</w:t>
      </w:r>
      <w:r>
        <w:rPr>
          <w:rFonts w:ascii="Arial" w:cs="Arial" w:eastAsia="Arial" w:hAnsi="Arial"/>
          <w:sz w:val="20"/>
          <w:szCs w:val="20"/>
          <w:color w:val="auto"/>
        </w:rPr>
        <w:t>”), and its commitment to provide such Term Facility II Commitment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irrevocably binding as of the Agreement Effective Date.</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New Lenders</w:t>
      </w:r>
      <w:r>
        <w:rPr>
          <w:rFonts w:ascii="Arial" w:cs="Arial" w:eastAsia="Arial" w:hAnsi="Arial"/>
          <w:sz w:val="20"/>
          <w:szCs w:val="20"/>
          <w:color w:val="auto"/>
        </w:rPr>
        <w:t>. Each Term Facility II Lender acknowledges and agrees that (a) upon the occurrence of the Agreement Effective Date, it shall be bound under this Agreement and (b) upon the occurrence of the Agreement Effective Date with respect to the Term Facility II Commitments it shall be bound under the Amended Credit Agreement as a Term Facility II Lender (as defined in the Amended Credit Agreement) holding Term Facility II Commitments (as defined in the Amended Credit Agreement), and shall perform all the obligations of and shall have all rights of a Term Facility II Lender thereunder.</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Credit Agreement</w:t>
      </w:r>
      <w:r>
        <w:rPr>
          <w:rFonts w:ascii="Arial" w:cs="Arial" w:eastAsia="Arial" w:hAnsi="Arial"/>
          <w:sz w:val="20"/>
          <w:szCs w:val="20"/>
          <w:color w:val="auto"/>
        </w:rPr>
        <w:t>. By executing this Agreement each Term Facility II Lender (i) confirms that it has received a copy of the Existing Credit Agreement and the other Credit Documents, together with copies of the financial statements referred to therein and such other documents and information as it has deemed appropriate to make its own credit analysis and decision to enter into this Agreement; (ii) agrees that it will, independently and without reliance upon the Administrative Agent or any other Lender or Agent and based on such documents and information as it shall deem appropriate at the time, continue to make its own credit decisions in taking or not taking action under the Amended Credit Agreement; (iii)</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95" w:right="239" w:bottom="1440" w:gutter="0" w:footer="0" w:header="0"/>
        </w:sectPr>
      </w:pPr>
    </w:p>
    <w:bookmarkStart w:id="52" w:name="page53"/>
    <w:bookmarkEnd w:id="52"/>
    <w:p>
      <w:pPr>
        <w:jc w:val="both"/>
        <w:spacing w:after="0" w:line="273" w:lineRule="auto"/>
        <w:rPr>
          <w:sz w:val="20"/>
          <w:szCs w:val="20"/>
          <w:color w:val="auto"/>
        </w:rPr>
      </w:pPr>
      <w:r>
        <w:rPr>
          <w:rFonts w:ascii="Arial" w:cs="Arial" w:eastAsia="Arial" w:hAnsi="Arial"/>
          <w:sz w:val="20"/>
          <w:szCs w:val="20"/>
          <w:color w:val="auto"/>
        </w:rPr>
        <w:t>appoints and authorizes Administrative Agent and each other Agent to take such action as agent on its behalf and to exercise such powers under the Amended Credit Agreement and the other Credit Documents as are delegated to Administrative Agent or such other Agent, as the case may be, by the terms thereof, together with such powers as are reasonably incidental thereto; and (iv) agrees that it will perform in accordance with their terms all of the obligations which by the terms of the Amended Credit Agreement are required to be performed by it as a Term Facility II Lender thereunder.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 AND WARRANTIES</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To induce the Lenders party hereto to agree to this Agreement and the Term Facility II Lenders to provide the Term Facility II Commitments, the Credit Parties represent to Administrative Agent, the Lenders and the Term Facility II Lenders that, as of the Agreement Effective Date:</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Each Credit Party (a) is a corporation, partnership, limited liability company or other 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3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Action; Enforceability</w:t>
      </w:r>
      <w:r>
        <w:rPr>
          <w:rFonts w:ascii="Arial" w:cs="Arial" w:eastAsia="Arial" w:hAnsi="Arial"/>
          <w:sz w:val="20"/>
          <w:szCs w:val="20"/>
          <w:color w:val="auto"/>
        </w:rPr>
        <w:t>. Each Credit Party has all necessary corporate or other organizational power, authority and legal right to execute, deliver and perform its obligations under this Agreement and to consummate the transactions herein contemplated; the execution, delivery and performance by each Credit Party of this Agreement and the consummation of the transactions herein contemplated have been duly authorized by all necessary corporate, partnership or other organizational action on its part; and this Agreement has been duly and validly executed and delivered by each Credit Party and constitutes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u w:val="single" w:color="auto"/>
          <w:color w:val="auto"/>
        </w:rPr>
        <w:t>No Breach; No Default</w:t>
      </w:r>
      <w:r>
        <w:rPr>
          <w:rFonts w:ascii="Arial" w:cs="Arial" w:eastAsia="Arial" w:hAnsi="Arial"/>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jc w:val="both"/>
        <w:ind w:left="660" w:firstLine="645"/>
        <w:spacing w:after="0" w:line="286" w:lineRule="auto"/>
        <w:tabs>
          <w:tab w:leader="none" w:pos="2176" w:val="left"/>
        </w:tabs>
        <w:numPr>
          <w:ilvl w:val="0"/>
          <w:numId w:val="22"/>
        </w:numPr>
        <w:rPr>
          <w:rFonts w:ascii="Arial" w:cs="Arial" w:eastAsia="Arial" w:hAnsi="Arial"/>
          <w:sz w:val="19"/>
          <w:szCs w:val="19"/>
          <w:color w:val="auto"/>
        </w:rPr>
      </w:pPr>
      <w:r>
        <w:rPr>
          <w:rFonts w:ascii="Arial" w:cs="Arial" w:eastAsia="Arial" w:hAnsi="Arial"/>
          <w:sz w:val="19"/>
          <w:szCs w:val="19"/>
          <w:color w:val="auto"/>
        </w:rPr>
        <w:t>None of the execution, delivery and performance by any Credit Party of this Agreement nor the consummation of the transactions herein contemplated do or will (i) conflict with or result in a breach of, or require any consent (which has not been obtained and is in full force and effect) under (x) any Organizational Document of any Credit Party or (y) subject to Section 13.13 of the Existing Credit Agreement,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(i)(y), (i)(z), (ii) or (iii) which would not reasonably be expected to result in a Material Adverse Effect; 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95" w:right="239" w:bottom="1440" w:gutter="0" w:footer="0" w:header="0"/>
        </w:sectPr>
      </w:pPr>
    </w:p>
    <w:bookmarkStart w:id="53" w:name="page54"/>
    <w:bookmarkEnd w:id="53"/>
    <w:p>
      <w:pPr>
        <w:ind w:left="2180" w:hanging="875"/>
        <w:spacing w:after="0"/>
        <w:tabs>
          <w:tab w:leader="none" w:pos="21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TO THE AGREEMENT EFFECTIVE DATE</w:t>
      </w:r>
    </w:p>
    <w:p>
      <w:pPr>
        <w:spacing w:after="0" w:line="22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This Agreement and the Amended Credit Agreement, and the obligations of the Term Facility II Lenders to make the Term Facility II Loans, shall become effective on the date (the “</w:t>
      </w:r>
      <w:r>
        <w:rPr>
          <w:rFonts w:ascii="Arial" w:cs="Arial" w:eastAsia="Arial" w:hAnsi="Arial"/>
          <w:sz w:val="18"/>
          <w:szCs w:val="18"/>
          <w:b w:val="1"/>
          <w:bCs w:val="1"/>
          <w:color w:val="auto"/>
        </w:rPr>
        <w:t>Agreement Effective Date</w:t>
      </w:r>
      <w:r>
        <w:rPr>
          <w:rFonts w:ascii="Arial" w:cs="Arial" w:eastAsia="Arial" w:hAnsi="Arial"/>
          <w:sz w:val="18"/>
          <w:szCs w:val="18"/>
          <w:color w:val="auto"/>
        </w:rPr>
        <w:t>”) on which each of the following conditions is satisfied or waived:</w:t>
      </w:r>
    </w:p>
    <w:p>
      <w:pPr>
        <w:spacing w:after="0" w:line="36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Execution of Counterparts</w:t>
      </w:r>
      <w:r>
        <w:rPr>
          <w:rFonts w:ascii="Arial" w:cs="Arial" w:eastAsia="Arial" w:hAnsi="Arial"/>
          <w:sz w:val="20"/>
          <w:szCs w:val="20"/>
          <w:color w:val="auto"/>
        </w:rPr>
        <w:t>. Administrative Agent shall have received executed counterparts of this Agreement from each Credit Party, Administrative Agent, Collateral Agent, the Required Lenders (as defined in the Existing Credit Agreement) and each Term Facility II Lender.</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Costs and Expenses</w:t>
      </w:r>
      <w:r>
        <w:rPr>
          <w:rFonts w:ascii="Arial" w:cs="Arial" w:eastAsia="Arial" w:hAnsi="Arial"/>
          <w:sz w:val="20"/>
          <w:szCs w:val="20"/>
          <w:color w:val="auto"/>
        </w:rPr>
        <w:t>. To the extent invoiced at least three (3) Business Days prior to the Agreement Effective Date, all of the reasonable and documented out-of-pocket costs and expenses (including the reasonable fees, expenses and disbursements of Cahill Gordon &amp; Reindel LLP) incurred by Administrative Agent in connection with the negotiation, preparation, execution and delivery of this Agreement shall have been paid, including all reasonable and documented out-of-pocket fees, costs and expenses incurred in connection with the preparation, execution, filing and recordation of the Mortgage Amendments (as defined below) and the delivery of the title endorsements described below.</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No Default or Event of Default; Representations and Warranties True</w:t>
      </w:r>
      <w:r>
        <w:rPr>
          <w:rFonts w:ascii="Arial" w:cs="Arial" w:eastAsia="Arial" w:hAnsi="Arial"/>
          <w:sz w:val="20"/>
          <w:szCs w:val="20"/>
          <w:color w:val="auto"/>
        </w:rPr>
        <w:t>. Both immediately prior to and immediately after giving effect to this Agreement:</w:t>
      </w:r>
    </w:p>
    <w:p>
      <w:pPr>
        <w:spacing w:after="0" w:line="392" w:lineRule="exact"/>
        <w:rPr>
          <w:sz w:val="20"/>
          <w:szCs w:val="20"/>
          <w:color w:val="auto"/>
        </w:rPr>
      </w:pPr>
    </w:p>
    <w:p>
      <w:pPr>
        <w:ind w:left="2220" w:hanging="915"/>
        <w:spacing w:after="0"/>
        <w:tabs>
          <w:tab w:leader="none" w:pos="22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and</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jc w:val="both"/>
        <w:ind w:left="660" w:firstLine="645"/>
        <w:spacing w:after="0" w:line="310" w:lineRule="auto"/>
        <w:tabs>
          <w:tab w:leader="none" w:pos="21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made by the Credit Parties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hereof and in the other Credit Documents shall be true and correct in all material respects on and as of the Agreement Effective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w:t>
      </w:r>
    </w:p>
    <w:p>
      <w:pPr>
        <w:spacing w:after="0" w:line="37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Authorizations</w:t>
      </w:r>
      <w:r>
        <w:rPr>
          <w:rFonts w:ascii="Arial" w:cs="Arial" w:eastAsia="Arial" w:hAnsi="Arial"/>
          <w:sz w:val="18"/>
          <w:szCs w:val="18"/>
          <w:color w:val="auto"/>
        </w:rPr>
        <w:t>. All authorizations, approvals or consents of, and filings or registrations with, any Governmental Authority (including, without limitation, all Gaming Approvals) or any securities exchange necessary for the execution, delivery or performance by any Credit Party of this Agreement or for the legality, validity or enforceability hereof or for the consummation of this Agreement (including the Amended Credit Agreement) and the incurrence of the Term Facility II Commitments shall have been received.</w:t>
      </w:r>
    </w:p>
    <w:p>
      <w:pPr>
        <w:spacing w:after="0" w:line="3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Term Facility II Lender Commitment Fees</w:t>
      </w:r>
      <w:r>
        <w:rPr>
          <w:rFonts w:ascii="Arial" w:cs="Arial" w:eastAsia="Arial" w:hAnsi="Arial"/>
          <w:sz w:val="20"/>
          <w:szCs w:val="20"/>
          <w:color w:val="auto"/>
        </w:rPr>
        <w:t xml:space="preserve">. On the Agreement Effective Date, Borrower shall pay to the Administrative Agent, for the account of each Term Facility II Lender holding Term Facility II Commitments on the Agreement Effective Date, a non-refundable commitment fee equal to (x) the percentage set forth next to such Term Facility II Lender’s name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attached hereto multiplied by (y) such Term Facility II Lender’s Term Facility II Commitment on such date.</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Pro Forma Compliance</w:t>
      </w:r>
      <w:r>
        <w:rPr>
          <w:rFonts w:ascii="Arial" w:cs="Arial" w:eastAsia="Arial" w:hAnsi="Arial"/>
          <w:sz w:val="20"/>
          <w:szCs w:val="20"/>
          <w:color w:val="auto"/>
        </w:rPr>
        <w:t>. Immediately after giving effect to the incurrence of the Term Facility II Commitments, the Consolidated Senior Secured Net Leverage Ratio shall not exceed 2.50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95" w:right="239" w:bottom="1440" w:gutter="0" w:footer="0" w:header="0"/>
        </w:sectPr>
      </w:pPr>
    </w:p>
    <w:bookmarkStart w:id="54" w:name="page55"/>
    <w:bookmarkEnd w:id="54"/>
    <w:p>
      <w:pPr>
        <w:ind w:right="20"/>
        <w:spacing w:after="0" w:line="289" w:lineRule="auto"/>
        <w:rPr>
          <w:sz w:val="20"/>
          <w:szCs w:val="20"/>
          <w:color w:val="auto"/>
        </w:rPr>
      </w:pPr>
      <w:r>
        <w:rPr>
          <w:rFonts w:ascii="Arial" w:cs="Arial" w:eastAsia="Arial" w:hAnsi="Arial"/>
          <w:sz w:val="20"/>
          <w:szCs w:val="20"/>
          <w:color w:val="auto"/>
        </w:rPr>
        <w:t xml:space="preserve">to 1.00 on a Pro Forma Basis as of the most recent Calculation Date, </w:t>
      </w:r>
      <w:r>
        <w:rPr>
          <w:rFonts w:ascii="Arial" w:cs="Arial" w:eastAsia="Arial" w:hAnsi="Arial"/>
          <w:sz w:val="20"/>
          <w:szCs w:val="20"/>
          <w:u w:val="single" w:color="auto"/>
          <w:color w:val="auto"/>
        </w:rPr>
        <w:t>provided</w:t>
      </w:r>
      <w:r>
        <w:rPr>
          <w:rFonts w:ascii="Arial" w:cs="Arial" w:eastAsia="Arial" w:hAnsi="Arial"/>
          <w:sz w:val="20"/>
          <w:szCs w:val="20"/>
          <w:color w:val="auto"/>
        </w:rPr>
        <w:t>, that, for such purpose, all Term Facility II Commitments shall be treated as drawn on such date.</w:t>
      </w:r>
    </w:p>
    <w:p>
      <w:pPr>
        <w:spacing w:after="0" w:line="392" w:lineRule="exact"/>
        <w:rPr>
          <w:sz w:val="20"/>
          <w:szCs w:val="20"/>
          <w:color w:val="auto"/>
        </w:rPr>
      </w:pPr>
    </w:p>
    <w:p>
      <w:pPr>
        <w:ind w:right="20" w:firstLine="648"/>
        <w:spacing w:after="0" w:line="289"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Real Property</w:t>
      </w:r>
      <w:r>
        <w:rPr>
          <w:rFonts w:ascii="Arial" w:cs="Arial" w:eastAsia="Arial" w:hAnsi="Arial"/>
          <w:sz w:val="20"/>
          <w:szCs w:val="20"/>
          <w:color w:val="auto"/>
        </w:rPr>
        <w:t>. Collateral Agent shall have received the following items with respect to each Mortgaged Real Property:</w:t>
      </w:r>
    </w:p>
    <w:p>
      <w:pPr>
        <w:spacing w:after="0" w:line="386" w:lineRule="exact"/>
        <w:rPr>
          <w:sz w:val="20"/>
          <w:szCs w:val="20"/>
          <w:color w:val="auto"/>
        </w:rPr>
      </w:pPr>
    </w:p>
    <w:p>
      <w:pPr>
        <w:jc w:val="both"/>
        <w:ind w:left="660" w:firstLine="645"/>
        <w:spacing w:after="0" w:line="274" w:lineRule="auto"/>
        <w:tabs>
          <w:tab w:leader="none" w:pos="2176"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 amendment to each Mortgage encumbering Mortgaged Real Property (the “</w:t>
      </w:r>
      <w:r>
        <w:rPr>
          <w:rFonts w:ascii="Arial" w:cs="Arial" w:eastAsia="Arial" w:hAnsi="Arial"/>
          <w:sz w:val="20"/>
          <w:szCs w:val="20"/>
          <w:b w:val="1"/>
          <w:bCs w:val="1"/>
          <w:color w:val="auto"/>
        </w:rPr>
        <w:t>Mortgage Amendments</w:t>
      </w:r>
      <w:r>
        <w:rPr>
          <w:rFonts w:ascii="Arial" w:cs="Arial" w:eastAsia="Arial" w:hAnsi="Arial"/>
          <w:sz w:val="20"/>
          <w:szCs w:val="20"/>
          <w:color w:val="auto"/>
        </w:rPr>
        <w:t>”) each duly executed and delivered by an authorized officer of each Credit Party party thereto and in form suitable for filing and recording in all filing or recording offices that Administrative Agent may deem necessary or desirable unless Administrative Agent is satisfied in its reasonable discretion that Mortgage Amendments are not required in order to secure the applicable Credit Party’s obligations as modified hereby;</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jc w:val="both"/>
        <w:ind w:left="660" w:firstLine="645"/>
        <w:spacing w:after="0" w:line="274" w:lineRule="auto"/>
        <w:tabs>
          <w:tab w:leader="none" w:pos="2187"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 endorsement to each of the title policies provided to the Collateral Agent by the Credit Parties with respect to each Mortgage encumbering Mortgaged Real Property, which endorsement shall insure against loss or damage sustained by reasonable of the invalidity or unenforceability of the lien of the existing Mortgages as a result of the execution and recording of the applicable Mortgage Amendment;</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jc w:val="both"/>
        <w:ind w:left="660" w:firstLine="645"/>
        <w:spacing w:after="0" w:line="322" w:lineRule="auto"/>
        <w:tabs>
          <w:tab w:leader="none" w:pos="21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completed “life-of-loan” Federal Emergency Management Agency standard flood hazard determination (to the extent a Mortgaged Real Property is located in a Special Flood Hazard Area, together with a notice about Special Flood Hazard Area status and flood disaster assistance duly executed by the Borrower and the applicable Loan Party relating thereto); and</w:t>
      </w:r>
    </w:p>
    <w:p>
      <w:pPr>
        <w:spacing w:after="0" w:line="368" w:lineRule="exact"/>
        <w:rPr>
          <w:rFonts w:ascii="Arial" w:cs="Arial" w:eastAsia="Arial" w:hAnsi="Arial"/>
          <w:sz w:val="18"/>
          <w:szCs w:val="18"/>
          <w:color w:val="auto"/>
        </w:rPr>
      </w:pPr>
    </w:p>
    <w:p>
      <w:pPr>
        <w:ind w:left="660" w:right="20" w:firstLine="645"/>
        <w:spacing w:after="0" w:line="289" w:lineRule="auto"/>
        <w:tabs>
          <w:tab w:leader="none" w:pos="2187" w:val="left"/>
        </w:tabs>
        <w:numPr>
          <w:ilvl w:val="0"/>
          <w:numId w:val="25"/>
        </w:numPr>
        <w:rPr>
          <w:rFonts w:ascii="Arial" w:cs="Arial" w:eastAsia="Arial" w:hAnsi="Arial"/>
          <w:sz w:val="20"/>
          <w:szCs w:val="20"/>
          <w:color w:val="auto"/>
        </w:rPr>
      </w:pPr>
      <w:r>
        <w:rPr>
          <w:rFonts w:ascii="Arial" w:cs="Arial" w:eastAsia="Arial" w:hAnsi="Arial"/>
          <w:sz w:val="20"/>
          <w:szCs w:val="20"/>
          <w:color w:val="auto"/>
        </w:rPr>
        <w:t>evidence of payment by the Borrower of, mortgage recording taxes, fees, charges, costs and expenses required for the recording of each Mortgage Amendment and issuance of each title endorsement.</w:t>
      </w:r>
    </w:p>
    <w:p>
      <w:pPr>
        <w:spacing w:after="0" w:line="3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Notice of Effectiveness</w:t>
      </w:r>
      <w:r>
        <w:rPr>
          <w:rFonts w:ascii="Arial" w:cs="Arial" w:eastAsia="Arial" w:hAnsi="Arial"/>
          <w:sz w:val="20"/>
          <w:szCs w:val="20"/>
          <w:color w:val="auto"/>
        </w:rPr>
        <w:t xml:space="preserve">. Borrower shall have delivered written notice to Administrative Agent certifying that the condition described in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has been satisfied.</w:t>
      </w:r>
    </w:p>
    <w:p>
      <w:pPr>
        <w:spacing w:after="0" w:line="3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Opinions of Counsel</w:t>
      </w:r>
      <w:r>
        <w:rPr>
          <w:rFonts w:ascii="Arial" w:cs="Arial" w:eastAsia="Arial" w:hAnsi="Arial"/>
          <w:sz w:val="20"/>
          <w:szCs w:val="20"/>
          <w:color w:val="auto"/>
        </w:rPr>
        <w:t>. Administrative Agent shall have received an opinion of Latham &amp; Watkins LLP, special counsel to the Credit Parties, addressed to the Administrative Agent, the Collateral Agent and the Lenders, dated the Amendment Effective Date and covering such matters as the Administrative Agent shall reasonably request in a manner customary for transactions of this type.</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Term Facility II Notes</w:t>
      </w:r>
      <w:r>
        <w:rPr>
          <w:rFonts w:ascii="Arial" w:cs="Arial" w:eastAsia="Arial" w:hAnsi="Arial"/>
          <w:sz w:val="20"/>
          <w:szCs w:val="20"/>
          <w:color w:val="auto"/>
        </w:rPr>
        <w:t>. Administrative Agent shall have received copies of the Term Facility II Notes, duly completed and executed, for each Term Facility II Lender that requested a Term Facility II Note at least three (3) Business Days prior to the Amendment Effective 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VALIDITY OF OBLIGATIONS AND LIENS</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Validity of Obligations</w:t>
      </w:r>
      <w:r>
        <w:rPr>
          <w:rFonts w:ascii="Arial" w:cs="Arial" w:eastAsia="Arial" w:hAnsi="Arial"/>
          <w:sz w:val="19"/>
          <w:szCs w:val="19"/>
          <w:color w:val="auto"/>
        </w:rPr>
        <w:t>. Each Credit Party acknowledges and agrees that, both before and after giving effect to this Agreement and the Amended Credit Agreement, each Credit Party is, jointly and severally, indebted to the Lenders and the other Secured Parties for the Obligations, without defense, counterclaim or offset of any kind and each Credit Party hereby ratifies and reaffirms the validity, enforceability and binding nature of the Obligations both before and after giving effect to this Agreement</w:t>
      </w:r>
    </w:p>
    <w:p>
      <w:pPr>
        <w:sectPr>
          <w:pgSz w:w="11900" w:h="16838" w:orient="portrait"/>
          <w:cols w:equalWidth="0" w:num="1">
            <w:col w:w="11420"/>
          </w:cols>
          <w:pgMar w:left="240" w:top="595"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95" w:right="239" w:bottom="1440" w:gutter="0" w:footer="0" w:header="0"/>
          <w:type w:val="continuous"/>
        </w:sectPr>
      </w:pPr>
    </w:p>
    <w:bookmarkStart w:id="55" w:name="page56"/>
    <w:bookmarkEnd w:id="55"/>
    <w:p>
      <w:pPr>
        <w:jc w:val="both"/>
        <w:spacing w:after="0" w:line="289" w:lineRule="auto"/>
        <w:rPr>
          <w:sz w:val="20"/>
          <w:szCs w:val="20"/>
          <w:color w:val="auto"/>
        </w:rPr>
      </w:pPr>
      <w:r>
        <w:rPr>
          <w:rFonts w:ascii="Arial" w:cs="Arial" w:eastAsia="Arial" w:hAnsi="Arial"/>
          <w:sz w:val="20"/>
          <w:szCs w:val="20"/>
          <w:color w:val="auto"/>
        </w:rPr>
        <w:t>and the Amended Credit Agreement (except as the enforceability thereof may be limited by bankruptcy, insolvency or similar laws affecting creditors’ rights generally and subject to general principles of equity).</w:t>
      </w:r>
    </w:p>
    <w:p>
      <w:pPr>
        <w:spacing w:after="0" w:line="3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Validity of Liens and Credit Documents</w:t>
      </w:r>
      <w:r>
        <w:rPr>
          <w:rFonts w:ascii="Arial" w:cs="Arial" w:eastAsia="Arial" w:hAnsi="Arial"/>
          <w:sz w:val="19"/>
          <w:szCs w:val="19"/>
          <w:color w:val="auto"/>
        </w:rPr>
        <w:t>. Each Credit Party hereby ratifies and reaffirms the validity, enforceability (except as the enforceability thereof may be limited by bankruptcy, insolvency or similar laws affecting creditors’ rights generally and subject to general principles of equity) and binding nature of the Credit Documents, and the validity, enforceability (except as the enforceability thereof may be limited by bankruptcy, insolvency or similar laws affecting creditors’ rights generally and subject to general principles of equity) and perfection of the Liens and security interests granted to Collateral Agent for the benefit of the Secured Parties to secure any of the Secured Obligations (as defined in the Security Agreement and including after giving effect to the Amended Credit Agreement) by each Credit Party pursuant to the Credit Documents to which any Credit Party is a party, and agrees that the Liens and security interests granted pursuant to the Credit Documents shall continue to secure the Obligations under the Amended Credit Agreement, and hereby confirms and agrees that notwithstanding the effectiveness of this Agreement and the Amended Credit Agreement, and except as expressly amended by this Agreement or pursuant to the Amended Credit Agreement, each such Credit Document is, and shall continue to be, in full force and effect and each is hereby ratified and confirmed in all respects, except that, on and after the effectiveness of this Agreement and the Amended Credit Agreement, each reference in the Credit Documents to the “Credit Agreement”, “thereunder”, “thereof” (and each reference in the Credit Agreement to this “Agreement”, “hereunder” or “hereof”) or words of like import shall mean and be a reference to the Amended Credit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296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6"/>
          <w:szCs w:val="16"/>
          <w:u w:val="single" w:color="auto"/>
          <w:color w:val="auto"/>
        </w:rPr>
        <w:t>Notice</w:t>
      </w:r>
      <w:r>
        <w:rPr>
          <w:rFonts w:ascii="Arial" w:cs="Arial" w:eastAsia="Arial" w:hAnsi="Arial"/>
          <w:sz w:val="16"/>
          <w:szCs w:val="16"/>
          <w:color w:val="auto"/>
        </w:rPr>
        <w:t>. For purposes of this Agreement, the notice address of each party hereto shall be as set forth in the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Existing Credit Agreement and the initial notice address of each Term Facility II Lender shall be set forth below its signature hereto.</w:t>
      </w: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Amendment, Modification and Waiver</w:t>
      </w:r>
      <w:r>
        <w:rPr>
          <w:rFonts w:ascii="Arial" w:cs="Arial" w:eastAsia="Arial" w:hAnsi="Arial"/>
          <w:sz w:val="20"/>
          <w:szCs w:val="20"/>
          <w:color w:val="auto"/>
        </w:rPr>
        <w:t>. This Agreement may not be amended, modified or waived except by an instrument or instruments in writing signed and delivered on behalf of Borrower and Administrative Agent (acting at the direction of such Lenders as may be required under Section 13.04 of the Existing Credit Agreement or, after giving effect to the amendments contemplated hereby, the Amended Credit Agreement).</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the Amended Credit Agreement and the other Credit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3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ANY CLAIMS, CONTROVERSIES, DISPUTES, OR CAUSES OF ACTION (WHETHER ARISING UNDER CONTRACT LAW, TORT LAW OR OTHERWISE) BASED UPON OR RELATING TO THIS AGREEMENT, SHALL BE GOVERNED BY, AND CONSTRUED IN ACCORDANCE WITH, THE LAW OF THE STATE OF NEW YORK WITHOUT GIVING EFFECT TO ANY CHOICE OF LAW PRINCIPLES THAT WOULD APPLY THE LAWS OF ANOTHER JURISDICTION.</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SERVICE OF PROCESS</w:t>
      </w:r>
      <w:r>
        <w:rPr>
          <w:rFonts w:ascii="Arial" w:cs="Arial" w:eastAsia="Arial" w:hAnsi="Arial"/>
          <w:sz w:val="20"/>
          <w:szCs w:val="20"/>
          <w:color w:val="auto"/>
        </w:rPr>
        <w:t>. EACH PARTY HERETO AGREES THAT SECTION 13.09(b) OF THE EXISTING CREDIT AGREEMENT (OR, AFTER GIVING EFFECT TO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95" w:right="239" w:bottom="1440" w:gutter="0" w:footer="0" w:header="0"/>
        </w:sectPr>
      </w:pPr>
    </w:p>
    <w:bookmarkStart w:id="56" w:name="page57"/>
    <w:bookmarkEnd w:id="56"/>
    <w:p>
      <w:pPr>
        <w:jc w:val="both"/>
        <w:spacing w:after="0" w:line="289" w:lineRule="auto"/>
        <w:rPr>
          <w:sz w:val="20"/>
          <w:szCs w:val="20"/>
          <w:color w:val="auto"/>
        </w:rPr>
      </w:pPr>
      <w:r>
        <w:rPr>
          <w:rFonts w:ascii="Arial" w:cs="Arial" w:eastAsia="Arial" w:hAnsi="Arial"/>
          <w:sz w:val="20"/>
          <w:szCs w:val="20"/>
          <w:color w:val="auto"/>
        </w:rPr>
        <w:t>AMENDMENTS CONTEMPLATED HEREBY, THE AMENDED CREDIT AGREEMENT) SHALL APPLY TO THIS AGREEMENT MUTATIS MUTANDIS.</w:t>
      </w:r>
    </w:p>
    <w:p>
      <w:pPr>
        <w:spacing w:after="0" w:line="3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Agreement shall be interpreted in such manner as to 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(including portable document format (“.pdf”) or similar format) shall be effective as delivery of a manually executed counterpart hereof.</w:t>
      </w:r>
    </w:p>
    <w:p>
      <w:pPr>
        <w:spacing w:after="0" w:line="200" w:lineRule="exact"/>
        <w:rPr>
          <w:sz w:val="20"/>
          <w:szCs w:val="20"/>
          <w:color w:val="auto"/>
        </w:rPr>
      </w:pPr>
    </w:p>
    <w:p>
      <w:pPr>
        <w:spacing w:after="0" w:line="208"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Credit Document</w:t>
      </w:r>
      <w:r>
        <w:rPr>
          <w:rFonts w:ascii="Arial" w:cs="Arial" w:eastAsia="Arial" w:hAnsi="Arial"/>
          <w:sz w:val="20"/>
          <w:szCs w:val="20"/>
          <w:color w:val="auto"/>
        </w:rPr>
        <w:t>. This Agreement shall constitute a “Credit Document” as defined in the Existing Credit Agreement.</w:t>
      </w:r>
    </w:p>
    <w:p>
      <w:pPr>
        <w:spacing w:after="0" w:line="39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 Novation</w:t>
      </w:r>
      <w:r>
        <w:rPr>
          <w:rFonts w:ascii="Arial" w:cs="Arial" w:eastAsia="Arial" w:hAnsi="Arial"/>
          <w:sz w:val="18"/>
          <w:szCs w:val="18"/>
          <w:color w:val="auto"/>
        </w:rPr>
        <w:t>. This Agreement shall not extinguish the obligations for the payment of money outstanding under the Existing Credit Agreement or discharge or release the priority of any Credit Document (as defined in the Existing Credit Agreement) or any other security therefor. Nothing herein contained shall be construed as a substitution or novation of the obligations outstanding under the Existing Credit Agreement or the instruments, documents and agreements securing the same, which shall remain in full force and effect. Nothing in this Agreement shall be construed as a release or other discharge of Borrower or any Credit Party from any of its obligations and liabilities under the Existing Credit Agreement or the other Credit Documents (as defined in the Existing Credit Agreement).</w:t>
      </w:r>
    </w:p>
    <w:p>
      <w:pPr>
        <w:spacing w:after="0" w:line="38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Acknowledgment</w:t>
      </w:r>
      <w:r>
        <w:rPr>
          <w:rFonts w:ascii="Arial" w:cs="Arial" w:eastAsia="Arial" w:hAnsi="Arial"/>
          <w:sz w:val="19"/>
          <w:szCs w:val="19"/>
          <w:color w:val="auto"/>
        </w:rPr>
        <w:t>. The execution, delivery and effectiveness of this Amendment shall not, except as expressly provided herein, operate as a waiver of any right, power or remedy of any Lender or the Agent under any of the Credit Documents, nor, except as expressly provided herein, constitute a waiver or amendment of any provision of any of the Credit Documents.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95" w:right="239" w:bottom="1440" w:gutter="0" w:footer="0" w:header="0"/>
        </w:sectPr>
      </w:pPr>
    </w:p>
    <w:bookmarkStart w:id="57" w:name="page58"/>
    <w:bookmarkEnd w:id="57"/>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undersigned has caused its duly authorized officer to execute and deliver this Agreement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first written above.</w:t>
      </w:r>
    </w:p>
    <w:p>
      <w:pPr>
        <w:spacing w:after="0" w:line="164"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WYNN AMERICA, LLC,</w:t>
      </w:r>
    </w:p>
    <w:p>
      <w:pPr>
        <w:spacing w:after="0" w:line="222"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Nevada limited liability company,</w:t>
      </w:r>
    </w:p>
    <w:p>
      <w:pPr>
        <w:ind w:left="390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 Nevada corporation,</w:t>
      </w:r>
    </w:p>
    <w:p>
      <w:pPr>
        <w:ind w:left="454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Cootey</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Name: Stephen Cootey</w:t>
      </w:r>
    </w:p>
    <w:p>
      <w:pPr>
        <w:ind w:left="4940"/>
        <w:spacing w:after="0"/>
        <w:rPr>
          <w:sz w:val="20"/>
          <w:szCs w:val="20"/>
          <w:color w:val="auto"/>
        </w:rPr>
      </w:pPr>
      <w:r>
        <w:rPr>
          <w:rFonts w:ascii="Arial" w:cs="Arial" w:eastAsia="Arial" w:hAnsi="Arial"/>
          <w:sz w:val="20"/>
          <w:szCs w:val="20"/>
          <w:color w:val="auto"/>
        </w:rPr>
        <w:t>Title: CFO and Treasurer</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60" w:right="239" w:bottom="1440" w:gutter="0" w:footer="0" w:header="0"/>
        </w:sectPr>
      </w:pPr>
    </w:p>
    <w:bookmarkStart w:id="58" w:name="page59"/>
    <w:bookmarkEnd w:id="58"/>
    <w:p>
      <w:pPr>
        <w:ind w:left="2380"/>
        <w:spacing w:after="0"/>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200" w:lineRule="exact"/>
        <w:rPr>
          <w:sz w:val="20"/>
          <w:szCs w:val="20"/>
          <w:color w:val="auto"/>
        </w:rPr>
      </w:pPr>
    </w:p>
    <w:p>
      <w:pPr>
        <w:spacing w:after="0" w:line="25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WYNN LAS VEGAS HOLDINGS, LLC,</w:t>
      </w:r>
    </w:p>
    <w:p>
      <w:pPr>
        <w:spacing w:after="0" w:line="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 Nevada limited liability company</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America, LLC,</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 Nevada limited liability company,</w:t>
      </w:r>
    </w:p>
    <w:p>
      <w:pPr>
        <w:ind w:left="140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2040"/>
        <w:spacing w:after="0"/>
        <w:tabs>
          <w:tab w:leader="none" w:pos="2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ind w:left="204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 Nevada corporation,</w:t>
      </w:r>
    </w:p>
    <w:p>
      <w:pPr>
        <w:ind w:left="27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43"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-14605</wp:posOffset>
            </wp:positionV>
            <wp:extent cx="10750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75055" cy="8890"/>
                    </a:xfrm>
                    <a:prstGeom prst="rect">
                      <a:avLst/>
                    </a:prstGeom>
                    <a:noFill/>
                  </pic:spPr>
                </pic:pic>
              </a:graphicData>
            </a:graphic>
          </wp:anchor>
        </w:drawing>
      </w:r>
    </w:p>
    <w:p>
      <w:pPr>
        <w:ind w:left="3340"/>
        <w:spacing w:after="0"/>
        <w:rPr>
          <w:sz w:val="20"/>
          <w:szCs w:val="20"/>
          <w:color w:val="auto"/>
        </w:rPr>
      </w:pPr>
      <w:r>
        <w:rPr>
          <w:rFonts w:ascii="Arial" w:cs="Arial" w:eastAsia="Arial" w:hAnsi="Arial"/>
          <w:sz w:val="20"/>
          <w:szCs w:val="20"/>
          <w:color w:val="auto"/>
        </w:rPr>
        <w:t>Name: Stephen Cootey</w:t>
      </w:r>
    </w:p>
    <w:p>
      <w:pPr>
        <w:ind w:left="3340"/>
        <w:spacing w:after="0"/>
        <w:rPr>
          <w:sz w:val="20"/>
          <w:szCs w:val="20"/>
          <w:color w:val="auto"/>
        </w:rPr>
      </w:pPr>
      <w:r>
        <w:rPr>
          <w:rFonts w:ascii="Arial" w:cs="Arial" w:eastAsia="Arial" w:hAnsi="Arial"/>
          <w:sz w:val="20"/>
          <w:szCs w:val="20"/>
          <w:color w:val="auto"/>
        </w:rPr>
        <w:t>Title: CFO and Treasurer</w:t>
      </w:r>
    </w:p>
    <w:p>
      <w:pPr>
        <w:spacing w:after="0" w:line="200" w:lineRule="exact"/>
        <w:rPr>
          <w:sz w:val="20"/>
          <w:szCs w:val="20"/>
          <w:color w:val="auto"/>
        </w:rPr>
      </w:pPr>
    </w:p>
    <w:p>
      <w:pPr>
        <w:spacing w:after="0" w:line="23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WYNN MA, LLC,</w:t>
      </w:r>
    </w:p>
    <w:p>
      <w:pPr>
        <w:spacing w:after="0" w:line="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 Nevada limited liability company</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America, LLC,</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 Nevada limited liability company,</w:t>
      </w:r>
    </w:p>
    <w:p>
      <w:pPr>
        <w:ind w:left="140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2040"/>
        <w:spacing w:after="0"/>
        <w:tabs>
          <w:tab w:leader="none" w:pos="2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ind w:left="204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 Nevada corporation,</w:t>
      </w:r>
    </w:p>
    <w:p>
      <w:pPr>
        <w:ind w:left="27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43"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-7620</wp:posOffset>
            </wp:positionV>
            <wp:extent cx="10750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75055" cy="8890"/>
                    </a:xfrm>
                    <a:prstGeom prst="rect">
                      <a:avLst/>
                    </a:prstGeom>
                    <a:noFill/>
                  </pic:spPr>
                </pic:pic>
              </a:graphicData>
            </a:graphic>
          </wp:anchor>
        </w:drawing>
      </w:r>
    </w:p>
    <w:p>
      <w:pPr>
        <w:spacing w:after="0" w:line="7"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Name: Stephen Cootey</w:t>
      </w:r>
    </w:p>
    <w:p>
      <w:pPr>
        <w:spacing w:after="0" w:line="11" w:lineRule="exact"/>
        <w:rPr>
          <w:sz w:val="20"/>
          <w:szCs w:val="20"/>
          <w:color w:val="auto"/>
        </w:rPr>
      </w:pPr>
    </w:p>
    <w:p>
      <w:pPr>
        <w:jc w:val="right"/>
        <w:ind w:right="3039"/>
        <w:spacing w:after="0"/>
        <w:rPr>
          <w:sz w:val="20"/>
          <w:szCs w:val="20"/>
          <w:color w:val="auto"/>
        </w:rPr>
      </w:pPr>
      <w:r>
        <w:rPr>
          <w:rFonts w:ascii="Arial" w:cs="Arial" w:eastAsia="Arial" w:hAnsi="Arial"/>
          <w:sz w:val="20"/>
          <w:szCs w:val="20"/>
          <w:color w:val="auto"/>
        </w:rPr>
        <w:t>Title: CFO and Treasurer</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9019"/>
          </w:cols>
          <w:pgMar w:left="1440" w:top="595" w:right="1440" w:bottom="1440" w:gutter="0" w:footer="0" w:header="0"/>
        </w:sectPr>
      </w:pPr>
    </w:p>
    <w:bookmarkStart w:id="59" w:name="page60"/>
    <w:bookmarkEnd w:id="59"/>
    <w:p>
      <w:pPr>
        <w:ind w:left="760"/>
        <w:spacing w:after="0"/>
        <w:rPr>
          <w:sz w:val="20"/>
          <w:szCs w:val="20"/>
          <w:color w:val="auto"/>
        </w:rPr>
      </w:pPr>
      <w:r>
        <w:rPr>
          <w:rFonts w:ascii="Arial" w:cs="Arial" w:eastAsia="Arial" w:hAnsi="Arial"/>
          <w:sz w:val="20"/>
          <w:szCs w:val="20"/>
          <w:b w:val="1"/>
          <w:bCs w:val="1"/>
          <w:color w:val="auto"/>
        </w:rPr>
        <w:t>EVERETT PROPERTY, LLC,</w:t>
      </w:r>
    </w:p>
    <w:p>
      <w:pPr>
        <w:spacing w:after="0" w:line="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 Massachusetts limited liability company</w:t>
      </w:r>
    </w:p>
    <w:p>
      <w:pPr>
        <w:spacing w:after="0" w:line="213" w:lineRule="exact"/>
        <w:rPr>
          <w:sz w:val="20"/>
          <w:szCs w:val="20"/>
          <w:color w:val="auto"/>
        </w:rPr>
      </w:pPr>
    </w:p>
    <w:p>
      <w:pPr>
        <w:ind w:left="1400"/>
        <w:spacing w:after="0"/>
        <w:tabs>
          <w:tab w:leader="none" w:pos="1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America, LLC,</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a Nevada limited liability company,</w:t>
      </w:r>
    </w:p>
    <w:p>
      <w:pPr>
        <w:ind w:left="140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2040"/>
        <w:spacing w:after="0"/>
        <w:tabs>
          <w:tab w:leader="none" w:pos="2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ind w:left="204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 Nevada corporation,</w:t>
      </w:r>
    </w:p>
    <w:p>
      <w:pPr>
        <w:ind w:left="27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spacing w:after="0" w:line="243"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-7620</wp:posOffset>
            </wp:positionV>
            <wp:extent cx="10750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75055" cy="8890"/>
                    </a:xfrm>
                    <a:prstGeom prst="rect">
                      <a:avLst/>
                    </a:prstGeom>
                    <a:noFill/>
                  </pic:spPr>
                </pic:pic>
              </a:graphicData>
            </a:graphic>
          </wp:anchor>
        </w:drawing>
      </w:r>
    </w:p>
    <w:p>
      <w:pPr>
        <w:spacing w:after="0" w:line="7"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Name: Stephen Cootey</w:t>
      </w:r>
    </w:p>
    <w:p>
      <w:pPr>
        <w:spacing w:after="0" w:line="11" w:lineRule="exact"/>
        <w:rPr>
          <w:sz w:val="20"/>
          <w:szCs w:val="20"/>
          <w:color w:val="auto"/>
        </w:rPr>
      </w:pPr>
    </w:p>
    <w:p>
      <w:pPr>
        <w:jc w:val="right"/>
        <w:ind w:right="3039"/>
        <w:spacing w:after="0"/>
        <w:rPr>
          <w:sz w:val="20"/>
          <w:szCs w:val="20"/>
          <w:color w:val="auto"/>
        </w:rPr>
      </w:pPr>
      <w:r>
        <w:rPr>
          <w:rFonts w:ascii="Arial" w:cs="Arial" w:eastAsia="Arial" w:hAnsi="Arial"/>
          <w:sz w:val="20"/>
          <w:szCs w:val="20"/>
          <w:color w:val="auto"/>
        </w:rPr>
        <w:t>Title: CFO and Treasurer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9019"/>
          </w:cols>
          <w:pgMar w:left="1440" w:top="819" w:right="1440" w:bottom="1440" w:gutter="0" w:footer="0" w:header="0"/>
        </w:sectPr>
      </w:pPr>
    </w:p>
    <w:bookmarkStart w:id="60" w:name="page61"/>
    <w:bookmarkEnd w:id="60"/>
    <w:p>
      <w:pPr>
        <w:spacing w:after="0"/>
        <w:rPr>
          <w:sz w:val="20"/>
          <w:szCs w:val="20"/>
          <w:color w:val="auto"/>
        </w:rPr>
      </w:pPr>
      <w:r>
        <w:rPr>
          <w:rFonts w:ascii="Arial" w:cs="Arial" w:eastAsia="Arial" w:hAnsi="Arial"/>
          <w:sz w:val="20"/>
          <w:szCs w:val="20"/>
          <w:b w:val="1"/>
          <w:bCs w:val="1"/>
          <w:color w:val="auto"/>
        </w:rPr>
        <w:t>DEUTSCHE BANK AG NEW YORK BRANCH</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 and as Collateral Agent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120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Mary Kay Coyle</w:t>
      </w:r>
    </w:p>
    <w:p>
      <w:pPr>
        <w:ind w:left="4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 /s/ Peter Cucchiara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0750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7505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Peter Cucchiara</w:t>
      </w:r>
    </w:p>
    <w:p>
      <w:pPr>
        <w:ind w:left="4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2679"/>
        <w:spacing w:after="0"/>
        <w:rPr>
          <w:sz w:val="20"/>
          <w:szCs w:val="20"/>
          <w:color w:val="auto"/>
        </w:rPr>
      </w:pPr>
      <w:r>
        <w:rPr>
          <w:rFonts w:ascii="Arial" w:cs="Arial" w:eastAsia="Arial" w:hAnsi="Arial"/>
          <w:sz w:val="20"/>
          <w:szCs w:val="20"/>
          <w:color w:val="auto"/>
        </w:rPr>
        <w:t>[Signature Page to Wynn Fourth Amendment]</w:t>
      </w:r>
    </w:p>
    <w:p>
      <w:pPr>
        <w:sectPr>
          <w:pgSz w:w="11900" w:h="16838" w:orient="portrait"/>
          <w:cols w:equalWidth="0" w:num="1">
            <w:col w:w="10219"/>
          </w:cols>
          <w:pgMar w:left="240" w:top="616" w:right="1440" w:bottom="1440" w:gutter="0" w:footer="0" w:header="0"/>
        </w:sectPr>
      </w:pPr>
    </w:p>
    <w:bookmarkStart w:id="61" w:name="page62"/>
    <w:bookmarkEnd w:id="61"/>
    <w:p>
      <w:pPr>
        <w:spacing w:after="0"/>
        <w:rPr>
          <w:sz w:val="20"/>
          <w:szCs w:val="20"/>
          <w:color w:val="auto"/>
        </w:rPr>
      </w:pPr>
      <w:r>
        <w:rPr>
          <w:rFonts w:ascii="Arial" w:cs="Arial" w:eastAsia="Arial" w:hAnsi="Arial"/>
          <w:sz w:val="20"/>
          <w:szCs w:val="20"/>
          <w:b w:val="1"/>
          <w:bCs w:val="1"/>
          <w:color w:val="auto"/>
        </w:rPr>
        <w:t>GOLDMAN SACHS BANK USA,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Term Facility II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9239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2392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Ryan Durkin</w:t>
      </w:r>
    </w:p>
    <w:p>
      <w:pPr>
        <w:ind w:left="4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Address for Notices: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GOLDMAN SACHS BANK USA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200 West St</w:t>
      </w:r>
    </w:p>
    <w:p>
      <w:pPr>
        <w:spacing w:after="0"/>
        <w:rPr>
          <w:sz w:val="20"/>
          <w:szCs w:val="20"/>
          <w:color w:val="auto"/>
        </w:rPr>
      </w:pPr>
      <w:r>
        <w:rPr>
          <w:rFonts w:ascii="Arial" w:cs="Arial" w:eastAsia="Arial" w:hAnsi="Arial"/>
          <w:sz w:val="20"/>
          <w:szCs w:val="20"/>
          <w:color w:val="auto"/>
        </w:rPr>
        <w:t>New York, NY 10282</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Contact Person: Thierry Le Jouan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Facsimile No.: 917-977-3966</w:t>
      </w:r>
    </w:p>
    <w:p>
      <w:pPr>
        <w:spacing w:after="0"/>
        <w:rPr>
          <w:sz w:val="20"/>
          <w:szCs w:val="20"/>
          <w:color w:val="auto"/>
        </w:rPr>
      </w:pPr>
      <w:r>
        <w:rPr>
          <w:rFonts w:ascii="Arial" w:cs="Arial" w:eastAsia="Arial" w:hAnsi="Arial"/>
          <w:sz w:val="20"/>
          <w:szCs w:val="20"/>
          <w:color w:val="auto"/>
        </w:rPr>
        <w:t>Telephone No.: 212-902-1099</w:t>
      </w:r>
    </w:p>
    <w:p>
      <w:pPr>
        <w:spacing w:after="0"/>
        <w:rPr>
          <w:sz w:val="20"/>
          <w:szCs w:val="20"/>
          <w:color w:val="auto"/>
        </w:rPr>
      </w:pPr>
      <w:r>
        <w:rPr>
          <w:rFonts w:ascii="Arial" w:cs="Arial" w:eastAsia="Arial" w:hAnsi="Arial"/>
          <w:sz w:val="20"/>
          <w:szCs w:val="20"/>
          <w:color w:val="auto"/>
        </w:rPr>
        <w:t>Email: gs-sbd-admin-contacts@ny.email.gs.com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2679"/>
        <w:spacing w:after="0"/>
        <w:rPr>
          <w:sz w:val="20"/>
          <w:szCs w:val="20"/>
          <w:color w:val="auto"/>
        </w:rPr>
      </w:pPr>
      <w:r>
        <w:rPr>
          <w:rFonts w:ascii="Arial" w:cs="Arial" w:eastAsia="Arial" w:hAnsi="Arial"/>
          <w:sz w:val="20"/>
          <w:szCs w:val="20"/>
          <w:color w:val="auto"/>
        </w:rPr>
        <w:t>[Signature Page to Wynn Fourth Amendment]</w:t>
      </w:r>
    </w:p>
    <w:p>
      <w:pPr>
        <w:sectPr>
          <w:pgSz w:w="11900" w:h="16838" w:orient="portrait"/>
          <w:cols w:equalWidth="0" w:num="1">
            <w:col w:w="10219"/>
          </w:cols>
          <w:pgMar w:left="240" w:top="360" w:right="1440" w:bottom="1440" w:gutter="0" w:footer="0" w:header="0"/>
        </w:sectPr>
      </w:pPr>
    </w:p>
    <w:bookmarkStart w:id="62" w:name="page63"/>
    <w:bookmarkEnd w:id="62"/>
    <w:p>
      <w:pPr>
        <w:spacing w:after="0"/>
        <w:rPr>
          <w:sz w:val="20"/>
          <w:szCs w:val="20"/>
          <w:color w:val="auto"/>
        </w:rPr>
      </w:pPr>
      <w:r>
        <w:rPr>
          <w:rFonts w:ascii="Arial" w:cs="Arial" w:eastAsia="Arial" w:hAnsi="Arial"/>
          <w:sz w:val="20"/>
          <w:szCs w:val="20"/>
          <w:b w:val="1"/>
          <w:bCs w:val="1"/>
          <w:color w:val="auto"/>
        </w:rPr>
        <w:t>JPMORGAN CHASE BANK, N.A.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Term Facility II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Nadeige Dang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998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9822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Nadeige Dang</w:t>
      </w:r>
    </w:p>
    <w:p>
      <w:pPr>
        <w:ind w:left="4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Address for Notices: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Platina Block 3, 3rd Floor</w:t>
      </w:r>
    </w:p>
    <w:p>
      <w:pPr>
        <w:spacing w:after="0"/>
        <w:rPr>
          <w:sz w:val="20"/>
          <w:szCs w:val="20"/>
          <w:color w:val="auto"/>
        </w:rPr>
      </w:pPr>
      <w:r>
        <w:rPr>
          <w:rFonts w:ascii="Arial" w:cs="Arial" w:eastAsia="Arial" w:hAnsi="Arial"/>
          <w:sz w:val="20"/>
          <w:szCs w:val="20"/>
          <w:color w:val="auto"/>
        </w:rPr>
        <w:t>Sarjapura Outer Ring Road</w:t>
      </w:r>
    </w:p>
    <w:p>
      <w:pPr>
        <w:spacing w:after="0"/>
        <w:rPr>
          <w:sz w:val="20"/>
          <w:szCs w:val="20"/>
          <w:color w:val="auto"/>
        </w:rPr>
      </w:pPr>
      <w:r>
        <w:rPr>
          <w:rFonts w:ascii="Arial" w:cs="Arial" w:eastAsia="Arial" w:hAnsi="Arial"/>
          <w:sz w:val="20"/>
          <w:szCs w:val="20"/>
          <w:color w:val="auto"/>
        </w:rPr>
        <w:t>Bengaluru, 560 103 India</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Contact Person: Kavita Gopal</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Telephone No.: (+91-80) 6790 5438</w:t>
      </w:r>
    </w:p>
    <w:p>
      <w:pPr>
        <w:spacing w:after="0"/>
        <w:rPr>
          <w:sz w:val="20"/>
          <w:szCs w:val="20"/>
          <w:color w:val="auto"/>
        </w:rPr>
      </w:pPr>
      <w:r>
        <w:rPr>
          <w:rFonts w:ascii="Arial" w:cs="Arial" w:eastAsia="Arial" w:hAnsi="Arial"/>
          <w:sz w:val="20"/>
          <w:szCs w:val="20"/>
          <w:color w:val="auto"/>
        </w:rPr>
        <w:t>Email: kavita.x.gopal@jpmorgan.com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2679"/>
        <w:spacing w:after="0"/>
        <w:rPr>
          <w:sz w:val="20"/>
          <w:szCs w:val="20"/>
          <w:color w:val="auto"/>
        </w:rPr>
      </w:pPr>
      <w:r>
        <w:rPr>
          <w:rFonts w:ascii="Arial" w:cs="Arial" w:eastAsia="Arial" w:hAnsi="Arial"/>
          <w:sz w:val="20"/>
          <w:szCs w:val="20"/>
          <w:color w:val="auto"/>
        </w:rPr>
        <w:t>[Signature Page to Wynn Fourth Amendment]</w:t>
      </w:r>
    </w:p>
    <w:p>
      <w:pPr>
        <w:sectPr>
          <w:pgSz w:w="11900" w:h="16838" w:orient="portrait"/>
          <w:cols w:equalWidth="0" w:num="1">
            <w:col w:w="10219"/>
          </w:cols>
          <w:pgMar w:left="240" w:top="360" w:right="1440" w:bottom="1440" w:gutter="0" w:footer="0" w:header="0"/>
        </w:sectPr>
      </w:pPr>
    </w:p>
    <w:bookmarkStart w:id="63" w:name="page64"/>
    <w:bookmarkEnd w:id="63"/>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SunTrust Bank,</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Tesha Winslow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0471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4711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Tesha Winslow</w:t>
      </w:r>
    </w:p>
    <w:p>
      <w:pPr>
        <w:ind w:left="4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2679"/>
        <w:spacing w:after="0"/>
        <w:rPr>
          <w:sz w:val="20"/>
          <w:szCs w:val="20"/>
          <w:color w:val="auto"/>
        </w:rPr>
      </w:pPr>
      <w:r>
        <w:rPr>
          <w:rFonts w:ascii="Arial" w:cs="Arial" w:eastAsia="Arial" w:hAnsi="Arial"/>
          <w:sz w:val="20"/>
          <w:szCs w:val="20"/>
          <w:color w:val="auto"/>
        </w:rPr>
        <w:t>[Signature Page to Wynn Fourth Amendment]</w:t>
      </w:r>
    </w:p>
    <w:p>
      <w:pPr>
        <w:sectPr>
          <w:pgSz w:w="11900" w:h="16838" w:orient="portrait"/>
          <w:cols w:equalWidth="0" w:num="1">
            <w:col w:w="10219"/>
          </w:cols>
          <w:pgMar w:left="240" w:top="360" w:right="1440" w:bottom="1440" w:gutter="0" w:footer="0" w:header="0"/>
        </w:sectPr>
      </w:pPr>
    </w:p>
    <w:bookmarkStart w:id="64" w:name="page65"/>
    <w:bookmarkEnd w:id="64"/>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FIFTH THIRD BANK,</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Richard Arendale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1658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Richard Arendale</w:t>
      </w:r>
    </w:p>
    <w:p>
      <w:pPr>
        <w:ind w:left="4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2679"/>
        <w:spacing w:after="0"/>
        <w:rPr>
          <w:sz w:val="20"/>
          <w:szCs w:val="20"/>
          <w:color w:val="auto"/>
        </w:rPr>
      </w:pPr>
      <w:r>
        <w:rPr>
          <w:rFonts w:ascii="Arial" w:cs="Arial" w:eastAsia="Arial" w:hAnsi="Arial"/>
          <w:sz w:val="20"/>
          <w:szCs w:val="20"/>
          <w:color w:val="auto"/>
        </w:rPr>
        <w:t>[Signature Page to Wynn Fourth Amendment]</w:t>
      </w:r>
    </w:p>
    <w:p>
      <w:pPr>
        <w:sectPr>
          <w:pgSz w:w="11900" w:h="16838" w:orient="portrait"/>
          <w:cols w:equalWidth="0" w:num="1">
            <w:col w:w="10219"/>
          </w:cols>
          <w:pgMar w:left="240" w:top="1022" w:right="1440" w:bottom="1440" w:gutter="0" w:footer="0" w:header="0"/>
        </w:sectPr>
      </w:pPr>
    </w:p>
    <w:bookmarkStart w:id="65" w:name="page66"/>
    <w:bookmarkEnd w:id="65"/>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Bank of Nova Scotia,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Winston Lua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9232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2329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Winston Lua</w:t>
      </w:r>
    </w:p>
    <w:p>
      <w:pPr>
        <w:ind w:left="4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2679"/>
        <w:spacing w:after="0"/>
        <w:rPr>
          <w:sz w:val="20"/>
          <w:szCs w:val="20"/>
          <w:color w:val="auto"/>
        </w:rPr>
      </w:pPr>
      <w:r>
        <w:rPr>
          <w:rFonts w:ascii="Arial" w:cs="Arial" w:eastAsia="Arial" w:hAnsi="Arial"/>
          <w:sz w:val="20"/>
          <w:szCs w:val="20"/>
          <w:color w:val="auto"/>
        </w:rPr>
        <w:t>[Signature Page to Wynn Fourth Amendment]</w:t>
      </w:r>
    </w:p>
    <w:p>
      <w:pPr>
        <w:sectPr>
          <w:pgSz w:w="11900" w:h="16838" w:orient="portrait"/>
          <w:cols w:equalWidth="0" w:num="1">
            <w:col w:w="10219"/>
          </w:cols>
          <w:pgMar w:left="240" w:top="1022" w:right="1440" w:bottom="1440" w:gutter="0" w:footer="0" w:header="0"/>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Agricole Corporate and Investment Bank,</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Steven Jonassen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0960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9601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Steven Jonassen</w:t>
      </w:r>
    </w:p>
    <w:p>
      <w:pPr>
        <w:ind w:left="4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 /s/ Joseph A. Asciolla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217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174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Joseph A. Asciolla</w:t>
      </w:r>
    </w:p>
    <w:p>
      <w:pPr>
        <w:ind w:left="4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2679"/>
        <w:spacing w:after="0"/>
        <w:rPr>
          <w:sz w:val="20"/>
          <w:szCs w:val="20"/>
          <w:color w:val="auto"/>
        </w:rPr>
      </w:pPr>
      <w:r>
        <w:rPr>
          <w:rFonts w:ascii="Arial" w:cs="Arial" w:eastAsia="Arial" w:hAnsi="Arial"/>
          <w:sz w:val="20"/>
          <w:szCs w:val="20"/>
          <w:color w:val="auto"/>
        </w:rPr>
        <w:t>[Signature Page to Wynn Fourth Amendment]</w:t>
      </w:r>
    </w:p>
    <w:p>
      <w:pPr>
        <w:sectPr>
          <w:pgSz w:w="11900" w:h="16838" w:orient="portrait"/>
          <w:cols w:equalWidth="0" w:num="1">
            <w:col w:w="10219"/>
          </w:cols>
          <w:pgMar w:left="240" w:top="1022" w:right="1440" w:bottom="1440" w:gutter="0" w:footer="0" w:header="0"/>
        </w:sectPr>
      </w:pPr>
    </w:p>
    <w:bookmarkStart w:id="67" w:name="page68"/>
    <w:bookmarkEnd w:id="67"/>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BNP Paribas,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Duane Helkowski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1798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7983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Duane Helkowski</w:t>
      </w:r>
    </w:p>
    <w:p>
      <w:pPr>
        <w:ind w:left="4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 /s/ Kwang Kyun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2255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Kwang Kyun Choi</w:t>
      </w:r>
    </w:p>
    <w:p>
      <w:pPr>
        <w:ind w:left="42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2679"/>
        <w:spacing w:after="0"/>
        <w:rPr>
          <w:sz w:val="20"/>
          <w:szCs w:val="20"/>
          <w:color w:val="auto"/>
        </w:rPr>
      </w:pPr>
      <w:r>
        <w:rPr>
          <w:rFonts w:ascii="Arial" w:cs="Arial" w:eastAsia="Arial" w:hAnsi="Arial"/>
          <w:sz w:val="20"/>
          <w:szCs w:val="20"/>
          <w:color w:val="auto"/>
        </w:rPr>
        <w:t>[Signature Page to Wynn Fourth Amendment]</w:t>
      </w:r>
    </w:p>
    <w:p>
      <w:pPr>
        <w:sectPr>
          <w:pgSz w:w="11900" w:h="16838" w:orient="portrait"/>
          <w:cols w:equalWidth="0" w:num="1">
            <w:col w:w="10219"/>
          </w:cols>
          <w:pgMar w:left="240" w:top="1022" w:right="1440" w:bottom="1440" w:gutter="0" w:footer="0" w:header="0"/>
        </w:sectPr>
      </w:pPr>
    </w:p>
    <w:bookmarkStart w:id="68" w:name="page69"/>
    <w:bookmarkEnd w:id="68"/>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MORGAN STANLEY SENIOR FUNDING,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Emanuel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9213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2138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Emanuel Ma</w:t>
      </w:r>
    </w:p>
    <w:p>
      <w:pPr>
        <w:ind w:left="42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2679"/>
        <w:spacing w:after="0"/>
        <w:rPr>
          <w:sz w:val="20"/>
          <w:szCs w:val="20"/>
          <w:color w:val="auto"/>
        </w:rPr>
      </w:pPr>
      <w:r>
        <w:rPr>
          <w:rFonts w:ascii="Arial" w:cs="Arial" w:eastAsia="Arial" w:hAnsi="Arial"/>
          <w:sz w:val="20"/>
          <w:szCs w:val="20"/>
          <w:color w:val="auto"/>
        </w:rPr>
        <w:t>[Signature Page to Wynn Fourth Amendment]</w:t>
      </w:r>
    </w:p>
    <w:p>
      <w:pPr>
        <w:sectPr>
          <w:pgSz w:w="11900" w:h="16838" w:orient="portrait"/>
          <w:cols w:equalWidth="0" w:num="1">
            <w:col w:w="10219"/>
          </w:cols>
          <w:pgMar w:left="240" w:top="1022" w:right="1440" w:bottom="1440" w:gutter="0" w:footer="0" w:header="0"/>
        </w:sectPr>
      </w:pPr>
    </w:p>
    <w:bookmarkStart w:id="69" w:name="page70"/>
    <w:bookmarkEnd w:id="69"/>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Blue Cross of Idaho Health Service,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By: Seix Investment Advisors LLC, as Investment Manager</w:t>
      </w:r>
    </w:p>
    <w:p>
      <w:pPr>
        <w:spacing w:after="0" w:line="207" w:lineRule="exact"/>
        <w:rPr>
          <w:sz w:val="20"/>
          <w:szCs w:val="20"/>
          <w:color w:val="auto"/>
        </w:rPr>
      </w:pPr>
    </w:p>
    <w:p>
      <w:pPr>
        <w:ind w:right="4719"/>
        <w:spacing w:after="0" w:line="293" w:lineRule="auto"/>
        <w:rPr>
          <w:sz w:val="20"/>
          <w:szCs w:val="20"/>
          <w:color w:val="auto"/>
        </w:rPr>
      </w:pPr>
      <w:r>
        <w:rPr>
          <w:rFonts w:ascii="Arial" w:cs="Arial" w:eastAsia="Arial" w:hAnsi="Arial"/>
          <w:sz w:val="19"/>
          <w:szCs w:val="19"/>
          <w:b w:val="1"/>
          <w:bCs w:val="1"/>
          <w:color w:val="auto"/>
        </w:rPr>
        <w:t xml:space="preserve">City National Rochdale Funds Fixed Income Opportunities Fund </w:t>
      </w:r>
      <w:r>
        <w:rPr>
          <w:rFonts w:ascii="Arial" w:cs="Arial" w:eastAsia="Arial" w:hAnsi="Arial"/>
          <w:sz w:val="19"/>
          <w:szCs w:val="19"/>
          <w:color w:val="auto"/>
        </w:rPr>
        <w:t>By: Seix Investment Advisors LLC, as Subadviser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Mountain View CLO 2013-1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By: Seix Investment Advisors LLC, as Collateral Manager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Mountain View CLO 2014-1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By: Seix Investment Advisors LLC, as Collateral Manager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Mountain View CLO IX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By: Seix Investment Advisors LLC, as Collateral Manager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Mountain View CLO X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By: Seix Investment Advisors LLC, as Collateral Manager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RidgeWorth Funds – Seix Floating Rate High Income Fund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By: Seix Investment Advisors LLC, as Subadviser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Seix Multi-Sector Absolute Return Fund 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Seix Multi-Sector Absolute Return Fund GP LLC, in its capacity as sole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By: Seix Investment Advisors LLC, its sole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as Lenders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By: /s/ George Goudelias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1842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George Goudelias</w:t>
      </w:r>
    </w:p>
    <w:p>
      <w:pPr>
        <w:ind w:left="4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2679"/>
        <w:spacing w:after="0"/>
        <w:rPr>
          <w:sz w:val="20"/>
          <w:szCs w:val="20"/>
          <w:color w:val="auto"/>
        </w:rPr>
      </w:pPr>
      <w:r>
        <w:rPr>
          <w:rFonts w:ascii="Arial" w:cs="Arial" w:eastAsia="Arial" w:hAnsi="Arial"/>
          <w:sz w:val="20"/>
          <w:szCs w:val="20"/>
          <w:color w:val="auto"/>
        </w:rPr>
        <w:t>[Signature Page to Wynn Fourth Amendment]</w:t>
      </w:r>
    </w:p>
    <w:p>
      <w:pPr>
        <w:sectPr>
          <w:pgSz w:w="11900" w:h="16838" w:orient="portrait"/>
          <w:cols w:equalWidth="0" w:num="1">
            <w:col w:w="10219"/>
          </w:cols>
          <w:pgMar w:left="240" w:top="1021" w:right="1440" w:bottom="1440" w:gutter="0" w:footer="0" w:header="0"/>
        </w:sectPr>
      </w:pPr>
    </w:p>
    <w:bookmarkStart w:id="70" w:name="page71"/>
    <w:bookmarkEnd w:id="70"/>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AMERICA, N.A.,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0890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Brian D. Corum</w:t>
      </w:r>
    </w:p>
    <w:p>
      <w:pPr>
        <w:ind w:left="42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2679"/>
        <w:spacing w:after="0"/>
        <w:rPr>
          <w:sz w:val="20"/>
          <w:szCs w:val="20"/>
          <w:color w:val="auto"/>
        </w:rPr>
      </w:pPr>
      <w:r>
        <w:rPr>
          <w:rFonts w:ascii="Arial" w:cs="Arial" w:eastAsia="Arial" w:hAnsi="Arial"/>
          <w:sz w:val="20"/>
          <w:szCs w:val="20"/>
          <w:color w:val="auto"/>
        </w:rPr>
        <w:t>[Signature Page to Wynn Fourth Amendment]</w:t>
      </w:r>
    </w:p>
    <w:p>
      <w:pPr>
        <w:sectPr>
          <w:pgSz w:w="11900" w:h="16838" w:orient="portrait"/>
          <w:cols w:equalWidth="0" w:num="1">
            <w:col w:w="10219"/>
          </w:cols>
          <w:pgMar w:left="240" w:top="1022" w:right="1440" w:bottom="1440" w:gutter="0" w:footer="0" w:header="0"/>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SUMITOMO MITSUI BANKING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William G. Karl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0909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9093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William G. Karl</w:t>
      </w:r>
    </w:p>
    <w:p>
      <w:pPr>
        <w:ind w:left="420"/>
        <w:spacing w:after="0"/>
        <w:rPr>
          <w:sz w:val="20"/>
          <w:szCs w:val="20"/>
          <w:color w:val="auto"/>
        </w:rPr>
      </w:pPr>
      <w:r>
        <w:rPr>
          <w:rFonts w:ascii="Arial" w:cs="Arial" w:eastAsia="Arial" w:hAnsi="Arial"/>
          <w:sz w:val="20"/>
          <w:szCs w:val="20"/>
          <w:color w:val="auto"/>
        </w:rPr>
        <w:t>Title: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2679"/>
        <w:spacing w:after="0"/>
        <w:rPr>
          <w:sz w:val="20"/>
          <w:szCs w:val="20"/>
          <w:color w:val="auto"/>
        </w:rPr>
      </w:pPr>
      <w:r>
        <w:rPr>
          <w:rFonts w:ascii="Arial" w:cs="Arial" w:eastAsia="Arial" w:hAnsi="Arial"/>
          <w:sz w:val="20"/>
          <w:szCs w:val="20"/>
          <w:color w:val="auto"/>
        </w:rPr>
        <w:t>[Signature Page to Wynn Fourth Amendment]</w:t>
      </w:r>
    </w:p>
    <w:p>
      <w:pPr>
        <w:sectPr>
          <w:pgSz w:w="11900" w:h="16838" w:orient="portrait"/>
          <w:cols w:equalWidth="0" w:num="1">
            <w:col w:w="10219"/>
          </w:cols>
          <w:pgMar w:left="240" w:top="1022" w:right="1440" w:bottom="1440" w:gutter="0" w:footer="0" w:header="0"/>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UBS AG, STAMFORD BRANCH,</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Craig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9842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84250" cy="8890"/>
                    </a:xfrm>
                    <a:prstGeom prst="rect">
                      <a:avLst/>
                    </a:prstGeom>
                    <a:noFill/>
                  </pic:spPr>
                </pic:pic>
              </a:graphicData>
            </a:graphic>
          </wp:anchor>
        </w:drawing>
      </w:r>
    </w:p>
    <w:p>
      <w:pPr>
        <w:ind w:left="400"/>
        <w:spacing w:after="0"/>
        <w:rPr>
          <w:sz w:val="20"/>
          <w:szCs w:val="20"/>
          <w:color w:val="auto"/>
        </w:rPr>
      </w:pPr>
      <w:r>
        <w:rPr>
          <w:rFonts w:ascii="Arial" w:cs="Arial" w:eastAsia="Arial" w:hAnsi="Arial"/>
          <w:sz w:val="20"/>
          <w:szCs w:val="20"/>
          <w:color w:val="auto"/>
        </w:rPr>
        <w:t>Name: Craig Pearson</w:t>
      </w:r>
    </w:p>
    <w:p>
      <w:pPr>
        <w:ind w:left="400"/>
        <w:spacing w:after="0"/>
        <w:rPr>
          <w:sz w:val="20"/>
          <w:szCs w:val="20"/>
          <w:color w:val="auto"/>
        </w:rPr>
      </w:pPr>
      <w:r>
        <w:rPr>
          <w:rFonts w:ascii="Arial" w:cs="Arial" w:eastAsia="Arial" w:hAnsi="Arial"/>
          <w:sz w:val="20"/>
          <w:szCs w:val="20"/>
          <w:color w:val="auto"/>
        </w:rPr>
        <w:t>Title: Associate Director</w:t>
      </w:r>
    </w:p>
    <w:p>
      <w:pPr>
        <w:ind w:left="400"/>
        <w:spacing w:after="0"/>
        <w:rPr>
          <w:sz w:val="20"/>
          <w:szCs w:val="20"/>
          <w:color w:val="auto"/>
        </w:rPr>
      </w:pPr>
      <w:r>
        <w:rPr>
          <w:rFonts w:ascii="Arial" w:cs="Arial" w:eastAsia="Arial" w:hAnsi="Arial"/>
          <w:sz w:val="20"/>
          <w:szCs w:val="20"/>
          <w:color w:val="auto"/>
        </w:rPr>
        <w:t>Banking Product Services, US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/s/ Darlene 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9772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0"/>
          <w:szCs w:val="20"/>
          <w:color w:val="auto"/>
        </w:rPr>
        <w:t>Name: Darlene Arias</w:t>
      </w:r>
    </w:p>
    <w:p>
      <w:pPr>
        <w:ind w:left="42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2679"/>
        <w:spacing w:after="0"/>
        <w:rPr>
          <w:sz w:val="20"/>
          <w:szCs w:val="20"/>
          <w:color w:val="auto"/>
        </w:rPr>
      </w:pPr>
      <w:r>
        <w:rPr>
          <w:rFonts w:ascii="Arial" w:cs="Arial" w:eastAsia="Arial" w:hAnsi="Arial"/>
          <w:sz w:val="20"/>
          <w:szCs w:val="20"/>
          <w:color w:val="auto"/>
        </w:rPr>
        <w:t>[Signature Page to Wynn Fourth Amendment]</w:t>
      </w:r>
    </w:p>
    <w:p>
      <w:pPr>
        <w:sectPr>
          <w:pgSz w:w="11900" w:h="16838" w:orient="portrait"/>
          <w:cols w:equalWidth="0" w:num="1">
            <w:col w:w="10219"/>
          </w:cols>
          <w:pgMar w:left="240" w:top="1022" w:right="1440"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color w:val="auto"/>
        </w:rPr>
        <w:t>SCHEDULE A</w:t>
      </w: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TERM FACILITY II COMMITMENTS</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5920" w:type="dxa"/>
            <w:vAlign w:val="bottom"/>
            <w:tcBorders>
              <w:top w:val="single" w:sz="8" w:color="auto"/>
              <w:left w:val="single" w:sz="8" w:color="auto"/>
              <w:bottom w:val="single" w:sz="8" w:color="auto"/>
            </w:tcBorders>
          </w:tcPr>
          <w:p>
            <w:pPr>
              <w:spacing w:after="0"/>
              <w:rPr>
                <w:sz w:val="3"/>
                <w:szCs w:val="3"/>
                <w:color w:val="auto"/>
              </w:rPr>
            </w:pPr>
          </w:p>
        </w:tc>
        <w:tc>
          <w:tcPr>
            <w:tcW w:w="2500" w:type="dxa"/>
            <w:vAlign w:val="bottom"/>
            <w:tcBorders>
              <w:top w:val="single" w:sz="8" w:color="auto"/>
              <w:bottom w:val="single" w:sz="8" w:color="auto"/>
            </w:tcBorders>
          </w:tcPr>
          <w:p>
            <w:pPr>
              <w:spacing w:after="0"/>
              <w:rPr>
                <w:sz w:val="3"/>
                <w:szCs w:val="3"/>
                <w:color w:val="auto"/>
              </w:rPr>
            </w:pPr>
          </w:p>
        </w:tc>
        <w:tc>
          <w:tcPr>
            <w:tcW w:w="2500" w:type="dxa"/>
            <w:vAlign w:val="bottom"/>
            <w:tcBorders>
              <w:top w:val="single" w:sz="8" w:color="auto"/>
              <w:bottom w:val="single" w:sz="8" w:color="auto"/>
              <w:right w:val="single" w:sz="8" w:color="auto"/>
            </w:tcBorders>
          </w:tcPr>
          <w:p>
            <w:pPr>
              <w:spacing w:after="0"/>
              <w:rPr>
                <w:sz w:val="3"/>
                <w:szCs w:val="3"/>
                <w:color w:val="auto"/>
              </w:rPr>
            </w:pPr>
          </w:p>
        </w:tc>
      </w:tr>
      <w:tr>
        <w:trPr>
          <w:trHeight w:val="241"/>
        </w:trPr>
        <w:tc>
          <w:tcPr>
            <w:tcW w:w="5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Name of Term Facility II Lender</w:t>
            </w:r>
          </w:p>
        </w:tc>
        <w:tc>
          <w:tcPr>
            <w:tcW w:w="25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Amount</w:t>
            </w:r>
          </w:p>
        </w:tc>
        <w:tc>
          <w:tcPr>
            <w:tcW w:w="25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Commitment Fee</w:t>
            </w:r>
          </w:p>
        </w:tc>
      </w:tr>
      <w:tr>
        <w:trPr>
          <w:trHeight w:val="104"/>
        </w:trPr>
        <w:tc>
          <w:tcPr>
            <w:tcW w:w="592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r>
      <w:tr>
        <w:trPr>
          <w:trHeight w:val="254"/>
        </w:trPr>
        <w:tc>
          <w:tcPr>
            <w:tcW w:w="5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Goldman Sachs Bank USA</w:t>
            </w:r>
          </w:p>
        </w:tc>
        <w:tc>
          <w:tcPr>
            <w:tcW w:w="25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$75,000,000</w:t>
            </w:r>
          </w:p>
        </w:tc>
        <w:tc>
          <w:tcPr>
            <w:tcW w:w="25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1.35%</w:t>
            </w:r>
          </w:p>
        </w:tc>
      </w:tr>
      <w:tr>
        <w:trPr>
          <w:trHeight w:val="104"/>
        </w:trPr>
        <w:tc>
          <w:tcPr>
            <w:tcW w:w="592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r>
      <w:tr>
        <w:trPr>
          <w:trHeight w:val="254"/>
        </w:trPr>
        <w:tc>
          <w:tcPr>
            <w:tcW w:w="5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JPMorgan Chase Bank, N.A.</w:t>
            </w:r>
          </w:p>
        </w:tc>
        <w:tc>
          <w:tcPr>
            <w:tcW w:w="25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$50,000,000</w:t>
            </w:r>
          </w:p>
        </w:tc>
        <w:tc>
          <w:tcPr>
            <w:tcW w:w="25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1.25%</w:t>
            </w:r>
          </w:p>
        </w:tc>
      </w:tr>
      <w:tr>
        <w:trPr>
          <w:trHeight w:val="104"/>
        </w:trPr>
        <w:tc>
          <w:tcPr>
            <w:tcW w:w="592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r>
    </w:tbl>
    <w:p>
      <w:pPr>
        <w:sectPr>
          <w:pgSz w:w="11900" w:h="16838" w:orient="portrait"/>
          <w:cols w:equalWidth="0" w:num="1">
            <w:col w:w="11280"/>
          </w:cols>
          <w:pgMar w:left="340" w:top="360" w:right="279" w:bottom="1440" w:gutter="0" w:footer="0" w:header="0"/>
        </w:sectPr>
      </w:pPr>
    </w:p>
    <w:bookmarkStart w:id="74" w:name="page75"/>
    <w:bookmarkEnd w:id="74"/>
    <w:p>
      <w:pPr>
        <w:ind w:left="9180"/>
        <w:spacing w:after="0"/>
        <w:rPr>
          <w:sz w:val="20"/>
          <w:szCs w:val="20"/>
          <w:color w:val="auto"/>
        </w:rPr>
      </w:pPr>
      <w:r>
        <w:rPr>
          <w:rFonts w:ascii="Arial" w:cs="Arial" w:eastAsia="Arial" w:hAnsi="Arial"/>
          <w:sz w:val="20"/>
          <w:szCs w:val="20"/>
          <w:b w:val="1"/>
          <w:bCs w:val="1"/>
          <w:color w:val="auto"/>
        </w:rPr>
        <w:t>EXHIBIT A</w:t>
      </w:r>
    </w:p>
    <w:p>
      <w:pPr>
        <w:sectPr>
          <w:pgSz w:w="11900" w:h="16838" w:orient="portrait"/>
          <w:cols w:equalWidth="0" w:num="1">
            <w:col w:w="10220"/>
          </w:cols>
          <w:pgMar w:left="1440" w:top="806" w:right="239" w:bottom="1440" w:gutter="0" w:footer="0" w:header="0"/>
        </w:sectPr>
      </w:pPr>
    </w:p>
    <w:bookmarkStart w:id="75" w:name="page76"/>
    <w:bookmarkEnd w:id="75"/>
    <w:p>
      <w:pPr>
        <w:ind w:left="9200"/>
        <w:spacing w:after="0"/>
        <w:rPr>
          <w:sz w:val="20"/>
          <w:szCs w:val="20"/>
          <w:color w:val="auto"/>
        </w:rPr>
      </w:pPr>
      <w:r>
        <w:rPr>
          <w:rFonts w:ascii="Arial" w:cs="Arial" w:eastAsia="Arial" w:hAnsi="Arial"/>
          <w:sz w:val="20"/>
          <w:szCs w:val="20"/>
          <w:b w:val="1"/>
          <w:bCs w:val="1"/>
          <w:color w:val="auto"/>
        </w:rPr>
        <w:t>EXHIBIT B</w:t>
      </w:r>
    </w:p>
    <w:p>
      <w:pPr>
        <w:sectPr>
          <w:pgSz w:w="11900" w:h="16838" w:orient="portrait"/>
          <w:cols w:equalWidth="0" w:num="1">
            <w:col w:w="10220"/>
          </w:cols>
          <w:pgMar w:left="1440" w:top="1049" w:right="2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FF0000"/>
          <w:strike w:val="1"/>
        </w:rPr>
        <w:drawing>
          <wp:anchor simplePos="0" relativeHeight="251657728" behindDoc="1" locked="0" layoutInCell="0" allowOverlap="1">
            <wp:simplePos x="0" y="0"/>
            <wp:positionH relativeFrom="page">
              <wp:posOffset>144780</wp:posOffset>
            </wp:positionH>
            <wp:positionV relativeFrom="page">
              <wp:posOffset>573405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t>$1,250,000,000</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CREDIT AGREEMENT</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Dated as of November 20, 2014</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among</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WYNN AMERICA, LLC,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Borrower,</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THE SUBSIDIARIES OF BORROWER PARTY HERETO,</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Guarantors,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THE LENDERS PARTY HERETO,</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THE L/C LENDERS PARTY HERETO,</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DEUTSCHE BANK AG NEW YORK BRANCH,</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Administrative Agent,</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and</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DEUTSCHE BANK AG NEW YORK BRANCH,</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213995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DEUTSCHE BANK SECURITIES INC.</w:t>
      </w:r>
    </w:p>
    <w:p>
      <w:pPr>
        <w:spacing w:after="0" w:line="23" w:lineRule="exact"/>
        <w:rPr>
          <w:sz w:val="20"/>
          <w:szCs w:val="20"/>
          <w:color w:val="auto"/>
        </w:rPr>
      </w:pPr>
    </w:p>
    <w:p>
      <w:pPr>
        <w:jc w:val="center"/>
        <w:ind w:left="3480"/>
        <w:spacing w:after="0" w:line="246" w:lineRule="auto"/>
        <w:rPr>
          <w:sz w:val="20"/>
          <w:szCs w:val="20"/>
          <w:color w:val="auto"/>
        </w:rPr>
      </w:pPr>
      <w:r>
        <w:rPr>
          <w:rFonts w:ascii="Arial" w:cs="Arial" w:eastAsia="Arial" w:hAnsi="Arial"/>
          <w:sz w:val="16"/>
          <w:szCs w:val="16"/>
          <w:b w:val="1"/>
          <w:bCs w:val="1"/>
          <w:color w:val="auto"/>
        </w:rPr>
        <w:t>MERRILL LYNCH, PIERCE, FENNER &amp; SMITH INCORPORATED CREDIT AGRICOLE CORPORATE AND INVESTMENT BANK FIFTH THIRD BANK</w:t>
      </w:r>
    </w:p>
    <w:p>
      <w:pPr>
        <w:spacing w:after="0" w:line="1"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SUNTRUST ROBINSON HUMPHREY, INC.</w:t>
      </w:r>
    </w:p>
    <w:p>
      <w:pPr>
        <w:spacing w:after="0" w:line="5"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THE BANK OF NOVA SCOTIA</w:t>
      </w:r>
    </w:p>
    <w:p>
      <w:pPr>
        <w:spacing w:after="0" w:line="5"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BNP PARIBAS SECURITIES CORP.</w:t>
      </w:r>
    </w:p>
    <w:p>
      <w:pPr>
        <w:spacing w:after="0" w:line="5"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auto"/>
        </w:rPr>
        <w:t>SUMITOMO MITSUI BANKING CORPORATION</w:t>
      </w:r>
    </w:p>
    <w:p>
      <w:pPr>
        <w:spacing w:after="0" w:line="5"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and</w:t>
      </w:r>
    </w:p>
    <w:p>
      <w:pPr>
        <w:spacing w:after="0" w:line="8"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UBS SECURITIES LLC,</w:t>
      </w:r>
    </w:p>
    <w:p>
      <w:pPr>
        <w:spacing w:after="0" w:line="24"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as Joint Lead Arrangers and Joint Bookrunners,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MORGAN STANLEY SENIOR FUNDING,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BANK OF CHINA, LOS ANGELES BRANCH,</w:t>
      </w:r>
    </w:p>
    <w:p>
      <w:pPr>
        <w:spacing w:after="0" w:line="8"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as Arrangers,</w:t>
      </w:r>
    </w:p>
    <w:p>
      <w:pPr>
        <w:spacing w:after="0" w:line="19"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auto"/>
        </w:rPr>
        <w:t>MERRILL LYNCH, PIERCE, FENNER &amp; SMITH INCORPORATED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Documentation Agent,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w:t>
      </w:r>
    </w:p>
    <w:p>
      <w:pPr>
        <w:spacing w:after="0" w:line="194" w:lineRule="exact"/>
        <w:rPr>
          <w:sz w:val="20"/>
          <w:szCs w:val="20"/>
          <w:color w:val="auto"/>
        </w:rPr>
      </w:pPr>
    </w:p>
    <w:p>
      <w:pPr>
        <w:jc w:val="center"/>
        <w:ind w:left="3480"/>
        <w:spacing w:after="0" w:line="254" w:lineRule="auto"/>
        <w:rPr>
          <w:sz w:val="20"/>
          <w:szCs w:val="20"/>
          <w:color w:val="auto"/>
        </w:rPr>
      </w:pPr>
      <w:r>
        <w:rPr>
          <w:rFonts w:ascii="Arial" w:cs="Arial" w:eastAsia="Arial" w:hAnsi="Arial"/>
          <w:sz w:val="16"/>
          <w:szCs w:val="16"/>
          <w:b w:val="1"/>
          <w:bCs w:val="1"/>
          <w:color w:val="auto"/>
        </w:rPr>
        <w:t>MERRILL LYNCH, PIERCE, FENNER &amp; SMITH INCORPORATED CREDIT AGRICOLE CORPORATE AND INVESTMENT BANK FIFTH THIRD BANK</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SUNTRUST BANK</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and</w:t>
      </w:r>
    </w:p>
    <w:p>
      <w:pPr>
        <w:sectPr>
          <w:pgSz w:w="11900" w:h="16838" w:orient="portrait"/>
          <w:cols w:equalWidth="0" w:num="1">
            <w:col w:w="9019"/>
          </w:cols>
          <w:pgMar w:left="1440" w:top="1255" w:right="1440" w:bottom="1440" w:gutter="0" w:footer="0" w:header="0"/>
        </w:sectPr>
      </w:pPr>
    </w:p>
    <w:bookmarkStart w:id="77" w:name="page78"/>
    <w:bookmarkEnd w:id="77"/>
    <w:p>
      <w:pPr>
        <w:jc w:val="right"/>
        <w:ind w:right="3399"/>
        <w:spacing w:after="0"/>
        <w:rPr>
          <w:sz w:val="20"/>
          <w:szCs w:val="20"/>
          <w:color w:val="auto"/>
        </w:rPr>
      </w:pPr>
      <w:r>
        <w:rPr>
          <w:rFonts w:ascii="Arial" w:cs="Arial" w:eastAsia="Arial" w:hAnsi="Arial"/>
          <w:sz w:val="16"/>
          <w:szCs w:val="16"/>
          <w:b w:val="1"/>
          <w:bCs w:val="1"/>
          <w:color w:val="auto"/>
        </w:rPr>
        <w:t>THE BANK OF NOVA SCOTIA</w:t>
      </w:r>
    </w:p>
    <w:p>
      <w:pPr>
        <w:spacing w:after="0" w:line="26" w:lineRule="exact"/>
        <w:rPr>
          <w:sz w:val="20"/>
          <w:szCs w:val="20"/>
          <w:color w:val="auto"/>
        </w:rPr>
      </w:pPr>
    </w:p>
    <w:p>
      <w:pPr>
        <w:ind w:left="4960"/>
        <w:spacing w:after="0"/>
        <w:rPr>
          <w:sz w:val="20"/>
          <w:szCs w:val="20"/>
          <w:color w:val="auto"/>
        </w:rPr>
      </w:pPr>
      <w:r>
        <w:rPr>
          <w:rFonts w:ascii="Arial" w:cs="Arial" w:eastAsia="Arial" w:hAnsi="Arial"/>
          <w:sz w:val="16"/>
          <w:szCs w:val="16"/>
          <w:b w:val="1"/>
          <w:bCs w:val="1"/>
          <w:color w:val="auto"/>
        </w:rPr>
        <w:t>as Syndication Agents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LA\</w:t>
      </w:r>
      <w:r>
        <w:rPr>
          <w:rFonts w:ascii="Arial" w:cs="Arial" w:eastAsia="Arial" w:hAnsi="Arial"/>
          <w:sz w:val="14"/>
          <w:szCs w:val="14"/>
          <w:b w:val="1"/>
          <w:bCs w:val="1"/>
          <w:color w:val="FF0000"/>
          <w:strike w:val="1"/>
        </w:rPr>
        <w:t>4551558.2</w:t>
      </w:r>
      <w:r>
        <w:rPr>
          <w:rFonts w:ascii="Arial" w:cs="Arial" w:eastAsia="Arial" w:hAnsi="Arial"/>
          <w:sz w:val="14"/>
          <w:szCs w:val="14"/>
          <w:b w:val="1"/>
          <w:bCs w:val="1"/>
          <w:u w:val="single" w:color="auto"/>
          <w:color w:val="0000FF"/>
        </w:rPr>
        <w:t>4551558.8</w:t>
      </w:r>
    </w:p>
    <w:p>
      <w:pPr>
        <w:sectPr>
          <w:pgSz w:w="11900" w:h="16838" w:orient="portrait"/>
          <w:cols w:equalWidth="0" w:num="1">
            <w:col w:w="10219"/>
          </w:cols>
          <w:pgMar w:left="240" w:top="598" w:right="1440"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ACCOUNTING MATTERS AND RULES OF CONSTRUCTION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1.01.</w:t>
            </w:r>
          </w:p>
        </w:tc>
        <w:tc>
          <w:tcPr>
            <w:tcW w:w="2440" w:type="dxa"/>
            <w:vAlign w:val="bottom"/>
            <w:gridSpan w:val="35"/>
          </w:tcPr>
          <w:p>
            <w:pPr>
              <w:ind w:left="140"/>
              <w:spacing w:after="0"/>
              <w:rPr>
                <w:sz w:val="20"/>
                <w:szCs w:val="20"/>
                <w:color w:val="auto"/>
              </w:rPr>
            </w:pPr>
            <w:r>
              <w:rPr>
                <w:rFonts w:ascii="Arial" w:cs="Arial" w:eastAsia="Arial" w:hAnsi="Arial"/>
                <w:sz w:val="18"/>
                <w:szCs w:val="18"/>
                <w:color w:val="auto"/>
              </w:rPr>
              <w:t>Certain Defined Terms  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51</w:t>
            </w:r>
          </w:p>
        </w:tc>
        <w:tc>
          <w:tcPr>
            <w:tcW w:w="200" w:type="dxa"/>
            <w:vAlign w:val="bottom"/>
            <w:gridSpan w:val="4"/>
            <w:vMerge w:val="restart"/>
          </w:tcPr>
          <w:p>
            <w:pPr>
              <w:jc w:val="right"/>
              <w:ind w:right="20"/>
              <w:spacing w:after="0"/>
              <w:rPr>
                <w:sz w:val="20"/>
                <w:szCs w:val="20"/>
                <w:color w:val="auto"/>
              </w:rPr>
            </w:pPr>
            <w:r>
              <w:rPr>
                <w:rFonts w:ascii="Arial" w:cs="Arial" w:eastAsia="Arial" w:hAnsi="Arial"/>
                <w:sz w:val="18"/>
                <w:szCs w:val="18"/>
                <w:b w:val="1"/>
                <w:bCs w:val="1"/>
                <w:color w:val="0000FF"/>
                <w:w w:val="79"/>
              </w:rPr>
              <w:t>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line="190" w:lineRule="exact"/>
              <w:rPr>
                <w:sz w:val="20"/>
                <w:szCs w:val="20"/>
                <w:color w:val="auto"/>
              </w:rPr>
            </w:pPr>
            <w:r>
              <w:rPr>
                <w:rFonts w:ascii="Arial" w:cs="Arial" w:eastAsia="Arial" w:hAnsi="Arial"/>
                <w:sz w:val="18"/>
                <w:szCs w:val="18"/>
                <w:color w:val="auto"/>
              </w:rPr>
              <w:t>SECTION 1.02.</w:t>
            </w:r>
          </w:p>
        </w:tc>
        <w:tc>
          <w:tcPr>
            <w:tcW w:w="3120" w:type="dxa"/>
            <w:vAlign w:val="bottom"/>
            <w:gridSpan w:val="44"/>
          </w:tcPr>
          <w:p>
            <w:pPr>
              <w:ind w:left="140"/>
              <w:spacing w:after="0" w:line="190" w:lineRule="exact"/>
              <w:rPr>
                <w:sz w:val="20"/>
                <w:szCs w:val="20"/>
                <w:color w:val="auto"/>
              </w:rPr>
            </w:pPr>
            <w:r>
              <w:rPr>
                <w:rFonts w:ascii="Arial" w:cs="Arial" w:eastAsia="Arial" w:hAnsi="Arial"/>
                <w:sz w:val="18"/>
                <w:szCs w:val="18"/>
                <w:color w:val="auto"/>
                <w:w w:val="96"/>
              </w:rPr>
              <w:t>Accounting Terms and Determinations</w:t>
            </w:r>
          </w:p>
        </w:tc>
        <w:tc>
          <w:tcPr>
            <w:tcW w:w="180" w:type="dxa"/>
            <w:vAlign w:val="bottom"/>
            <w:gridSpan w:val="2"/>
            <w:vMerge w:val="continue"/>
          </w:tcPr>
          <w:p>
            <w:pPr>
              <w:spacing w:after="0"/>
              <w:rPr>
                <w:sz w:val="16"/>
                <w:szCs w:val="16"/>
                <w:color w:val="auto"/>
              </w:rPr>
            </w:pPr>
          </w:p>
        </w:tc>
        <w:tc>
          <w:tcPr>
            <w:tcW w:w="2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1.03.</w:t>
            </w:r>
          </w:p>
        </w:tc>
        <w:tc>
          <w:tcPr>
            <w:tcW w:w="2320" w:type="dxa"/>
            <w:vAlign w:val="bottom"/>
            <w:gridSpan w:val="32"/>
          </w:tcPr>
          <w:p>
            <w:pPr>
              <w:ind w:left="140"/>
              <w:spacing w:after="0" w:line="196" w:lineRule="exact"/>
              <w:rPr>
                <w:sz w:val="20"/>
                <w:szCs w:val="20"/>
                <w:color w:val="auto"/>
              </w:rPr>
            </w:pPr>
            <w:r>
              <w:rPr>
                <w:rFonts w:ascii="Arial" w:cs="Arial" w:eastAsia="Arial" w:hAnsi="Arial"/>
                <w:sz w:val="18"/>
                <w:szCs w:val="18"/>
                <w:color w:val="auto"/>
                <w:w w:val="95"/>
              </w:rPr>
              <w:t>Classes and Types of Loans</w:t>
            </w:r>
          </w:p>
        </w:tc>
        <w:tc>
          <w:tcPr>
            <w:tcW w:w="1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51</w:t>
            </w:r>
          </w:p>
        </w:tc>
        <w:tc>
          <w:tcPr>
            <w:tcW w:w="180" w:type="dxa"/>
            <w:vAlign w:val="bottom"/>
            <w:tcBorders>
              <w:bottom w:val="single" w:sz="8" w:color="0000FF"/>
            </w:tcBorders>
            <w:gridSpan w:val="4"/>
          </w:tcPr>
          <w:p>
            <w:pPr>
              <w:jc w:val="right"/>
              <w:spacing w:after="0" w:line="196" w:lineRule="exact"/>
              <w:rPr>
                <w:sz w:val="20"/>
                <w:szCs w:val="20"/>
                <w:color w:val="auto"/>
              </w:rPr>
            </w:pPr>
            <w:r>
              <w:rPr>
                <w:rFonts w:ascii="Arial" w:cs="Arial" w:eastAsia="Arial" w:hAnsi="Arial"/>
                <w:sz w:val="18"/>
                <w:szCs w:val="18"/>
                <w:b w:val="1"/>
                <w:bCs w:val="1"/>
                <w:color w:val="0000FF"/>
                <w:w w:val="79"/>
              </w:rPr>
              <w:t>53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1.04.</w:t>
            </w:r>
          </w:p>
        </w:tc>
        <w:tc>
          <w:tcPr>
            <w:tcW w:w="1680" w:type="dxa"/>
            <w:vAlign w:val="bottom"/>
            <w:gridSpan w:val="18"/>
          </w:tcPr>
          <w:p>
            <w:pPr>
              <w:ind w:left="140"/>
              <w:spacing w:after="0" w:line="196" w:lineRule="exact"/>
              <w:rPr>
                <w:sz w:val="20"/>
                <w:szCs w:val="20"/>
                <w:color w:val="auto"/>
              </w:rPr>
            </w:pPr>
            <w:r>
              <w:rPr>
                <w:rFonts w:ascii="Arial" w:cs="Arial" w:eastAsia="Arial" w:hAnsi="Arial"/>
                <w:sz w:val="18"/>
                <w:szCs w:val="18"/>
                <w:color w:val="auto"/>
                <w:w w:val="87"/>
              </w:rPr>
              <w:t>Rules of Construction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52</w:t>
            </w:r>
          </w:p>
        </w:tc>
        <w:tc>
          <w:tcPr>
            <w:tcW w:w="180" w:type="dxa"/>
            <w:vAlign w:val="bottom"/>
            <w:tcBorders>
              <w:bottom w:val="single" w:sz="8" w:color="0000FF"/>
            </w:tcBorders>
            <w:gridSpan w:val="4"/>
          </w:tcPr>
          <w:p>
            <w:pPr>
              <w:jc w:val="right"/>
              <w:spacing w:after="0" w:line="196" w:lineRule="exact"/>
              <w:rPr>
                <w:sz w:val="20"/>
                <w:szCs w:val="20"/>
                <w:color w:val="auto"/>
              </w:rPr>
            </w:pPr>
            <w:r>
              <w:rPr>
                <w:rFonts w:ascii="Arial" w:cs="Arial" w:eastAsia="Arial" w:hAnsi="Arial"/>
                <w:sz w:val="18"/>
                <w:szCs w:val="18"/>
                <w:b w:val="1"/>
                <w:bCs w:val="1"/>
                <w:color w:val="0000FF"/>
                <w:w w:val="79"/>
              </w:rPr>
              <w:t>54</w:t>
            </w:r>
          </w:p>
        </w:tc>
        <w:tc>
          <w:tcPr>
            <w:tcW w:w="20" w:type="dxa"/>
            <w:vAlign w:val="bottom"/>
            <w:tcBorders>
              <w:bottom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FF0000"/>
                <w:strike w:val="1"/>
                <w:w w:val="89"/>
              </w:rPr>
              <w:t>52</w:t>
            </w:r>
          </w:p>
        </w:tc>
        <w:tc>
          <w:tcPr>
            <w:tcW w:w="200" w:type="dxa"/>
            <w:vAlign w:val="bottom"/>
            <w:gridSpan w:val="4"/>
            <w:vMerge w:val="restart"/>
          </w:tcPr>
          <w:p>
            <w:pPr>
              <w:jc w:val="right"/>
              <w:ind w:right="20"/>
              <w:spacing w:after="0"/>
              <w:rPr>
                <w:sz w:val="20"/>
                <w:szCs w:val="20"/>
                <w:color w:val="auto"/>
              </w:rPr>
            </w:pPr>
            <w:r>
              <w:rPr>
                <w:rFonts w:ascii="Arial" w:cs="Arial" w:eastAsia="Arial" w:hAnsi="Arial"/>
                <w:sz w:val="18"/>
                <w:szCs w:val="18"/>
                <w:b w:val="1"/>
                <w:bCs w:val="1"/>
                <w:color w:val="0000FF"/>
                <w:w w:val="79"/>
              </w:rPr>
              <w:t>54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1.05.</w:t>
            </w:r>
          </w:p>
        </w:tc>
        <w:tc>
          <w:tcPr>
            <w:tcW w:w="3120" w:type="dxa"/>
            <w:vAlign w:val="bottom"/>
            <w:gridSpan w:val="44"/>
          </w:tcPr>
          <w:p>
            <w:pPr>
              <w:ind w:left="140"/>
              <w:spacing w:after="0" w:line="196" w:lineRule="exact"/>
              <w:rPr>
                <w:sz w:val="20"/>
                <w:szCs w:val="20"/>
                <w:color w:val="auto"/>
              </w:rPr>
            </w:pPr>
            <w:r>
              <w:rPr>
                <w:rFonts w:ascii="Arial" w:cs="Arial" w:eastAsia="Arial" w:hAnsi="Arial"/>
                <w:sz w:val="18"/>
                <w:szCs w:val="18"/>
                <w:color w:val="auto"/>
                <w:w w:val="94"/>
              </w:rPr>
              <w:t>Exchange Rates; Currency Equivalents</w:t>
            </w:r>
          </w:p>
        </w:tc>
        <w:tc>
          <w:tcPr>
            <w:tcW w:w="200" w:type="dxa"/>
            <w:vAlign w:val="bottom"/>
            <w:gridSpan w:val="3"/>
            <w:vMerge w:val="continue"/>
          </w:tcPr>
          <w:p>
            <w:pPr>
              <w:spacing w:after="0"/>
              <w:rPr>
                <w:sz w:val="17"/>
                <w:szCs w:val="17"/>
                <w:color w:val="auto"/>
              </w:rPr>
            </w:pPr>
          </w:p>
        </w:tc>
        <w:tc>
          <w:tcPr>
            <w:tcW w:w="20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1.06.</w:t>
            </w:r>
          </w:p>
        </w:tc>
        <w:tc>
          <w:tcPr>
            <w:tcW w:w="2020" w:type="dxa"/>
            <w:vAlign w:val="bottom"/>
            <w:gridSpan w:val="25"/>
          </w:tcPr>
          <w:p>
            <w:pPr>
              <w:ind w:left="140"/>
              <w:spacing w:after="0" w:line="196" w:lineRule="exact"/>
              <w:rPr>
                <w:sz w:val="20"/>
                <w:szCs w:val="20"/>
                <w:color w:val="auto"/>
              </w:rPr>
            </w:pPr>
            <w:r>
              <w:rPr>
                <w:rFonts w:ascii="Arial" w:cs="Arial" w:eastAsia="Arial" w:hAnsi="Arial"/>
                <w:sz w:val="18"/>
                <w:szCs w:val="18"/>
                <w:color w:val="auto"/>
                <w:w w:val="98"/>
              </w:rPr>
              <w:t>Pro Forma Calculations</w:t>
            </w:r>
          </w:p>
        </w:tc>
        <w:tc>
          <w:tcPr>
            <w:tcW w:w="1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53</w:t>
            </w:r>
          </w:p>
        </w:tc>
        <w:tc>
          <w:tcPr>
            <w:tcW w:w="200" w:type="dxa"/>
            <w:vAlign w:val="bottom"/>
            <w:tcBorders>
              <w:bottom w:val="single" w:sz="8" w:color="0000FF"/>
            </w:tcBorders>
            <w:gridSpan w:val="5"/>
          </w:tcPr>
          <w:p>
            <w:pPr>
              <w:jc w:val="right"/>
              <w:spacing w:after="0" w:line="196" w:lineRule="exact"/>
              <w:rPr>
                <w:sz w:val="20"/>
                <w:szCs w:val="20"/>
                <w:color w:val="auto"/>
              </w:rPr>
            </w:pPr>
            <w:r>
              <w:rPr>
                <w:rFonts w:ascii="Arial" w:cs="Arial" w:eastAsia="Arial" w:hAnsi="Arial"/>
                <w:sz w:val="18"/>
                <w:szCs w:val="18"/>
                <w:b w:val="1"/>
                <w:bCs w:val="1"/>
                <w:color w:val="0000FF"/>
                <w:w w:val="79"/>
              </w:rPr>
              <w:t>55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1.07.</w:t>
            </w:r>
          </w:p>
        </w:tc>
        <w:tc>
          <w:tcPr>
            <w:tcW w:w="2020" w:type="dxa"/>
            <w:vAlign w:val="bottom"/>
            <w:gridSpan w:val="25"/>
          </w:tcPr>
          <w:p>
            <w:pPr>
              <w:ind w:left="140"/>
              <w:spacing w:after="0" w:line="196" w:lineRule="exact"/>
              <w:rPr>
                <w:sz w:val="20"/>
                <w:szCs w:val="20"/>
                <w:color w:val="auto"/>
              </w:rPr>
            </w:pPr>
            <w:r>
              <w:rPr>
                <w:rFonts w:ascii="Arial" w:cs="Arial" w:eastAsia="Arial" w:hAnsi="Arial"/>
                <w:sz w:val="18"/>
                <w:szCs w:val="18"/>
                <w:color w:val="auto"/>
                <w:w w:val="95"/>
              </w:rPr>
              <w:t>Letter of Credit Amounts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FF0000"/>
                <w:strike w:val="1"/>
                <w:w w:val="99"/>
              </w:rPr>
              <w:t>54</w:t>
            </w:r>
          </w:p>
        </w:tc>
        <w:tc>
          <w:tcPr>
            <w:tcW w:w="200" w:type="dxa"/>
            <w:vAlign w:val="bottom"/>
            <w:tcBorders>
              <w:bottom w:val="single" w:sz="8" w:color="0000FF"/>
            </w:tcBorders>
            <w:gridSpan w:val="5"/>
          </w:tcPr>
          <w:p>
            <w:pPr>
              <w:jc w:val="right"/>
              <w:spacing w:after="0" w:line="196" w:lineRule="exact"/>
              <w:rPr>
                <w:sz w:val="20"/>
                <w:szCs w:val="20"/>
                <w:color w:val="auto"/>
              </w:rPr>
            </w:pPr>
            <w:r>
              <w:rPr>
                <w:rFonts w:ascii="Arial" w:cs="Arial" w:eastAsia="Arial" w:hAnsi="Arial"/>
                <w:sz w:val="18"/>
                <w:szCs w:val="18"/>
                <w:b w:val="1"/>
                <w:bCs w:val="1"/>
                <w:color w:val="0000FF"/>
                <w:w w:val="79"/>
              </w:rPr>
              <w:t>56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gridSpan w:val="6"/>
            <w:vMerge w:val="restart"/>
          </w:tcPr>
          <w:p>
            <w:pPr>
              <w:jc w:val="center"/>
              <w:ind w:right="1980"/>
              <w:spacing w:after="0"/>
              <w:rPr>
                <w:sz w:val="20"/>
                <w:szCs w:val="20"/>
                <w:color w:val="auto"/>
              </w:rPr>
            </w:pPr>
            <w:r>
              <w:rPr>
                <w:rFonts w:ascii="Arial" w:cs="Arial" w:eastAsia="Arial" w:hAnsi="Arial"/>
                <w:sz w:val="18"/>
                <w:szCs w:val="18"/>
                <w:color w:val="auto"/>
                <w:w w:val="99"/>
              </w:rPr>
              <w:t>ARTICLE II.</w:t>
            </w:r>
          </w:p>
        </w:tc>
        <w:tc>
          <w:tcPr>
            <w:tcW w:w="0" w:type="dxa"/>
            <w:vAlign w:val="bottom"/>
          </w:tcPr>
          <w:p>
            <w:pPr>
              <w:spacing w:after="0"/>
              <w:rPr>
                <w:sz w:val="1"/>
                <w:szCs w:val="1"/>
                <w:color w:val="auto"/>
              </w:rPr>
            </w:pPr>
          </w:p>
        </w:tc>
      </w:tr>
      <w:tr>
        <w:trPr>
          <w:trHeight w:val="453"/>
        </w:trPr>
        <w:tc>
          <w:tcPr>
            <w:tcW w:w="5200" w:type="dxa"/>
            <w:vAlign w:val="bottom"/>
            <w:gridSpan w:val="56"/>
          </w:tcPr>
          <w:p>
            <w:pPr>
              <w:spacing w:after="0"/>
              <w:rPr>
                <w:sz w:val="24"/>
                <w:szCs w:val="24"/>
                <w:color w:val="auto"/>
              </w:rPr>
            </w:pPr>
          </w:p>
        </w:tc>
        <w:tc>
          <w:tcPr>
            <w:tcW w:w="298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gridSpan w:val="62"/>
          </w:tcPr>
          <w:p>
            <w:pPr>
              <w:spacing w:after="0"/>
              <w:rPr>
                <w:sz w:val="20"/>
                <w:szCs w:val="20"/>
                <w:color w:val="auto"/>
              </w:rPr>
            </w:pPr>
            <w:r>
              <w:rPr>
                <w:rFonts w:ascii="Arial" w:cs="Arial" w:eastAsia="Arial" w:hAnsi="Arial"/>
                <w:sz w:val="18"/>
                <w:szCs w:val="18"/>
                <w:color w:val="auto"/>
              </w:rPr>
              <w:t>CREDITS</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SECTION 2.01.</w:t>
            </w:r>
          </w:p>
        </w:tc>
        <w:tc>
          <w:tcPr>
            <w:tcW w:w="640" w:type="dxa"/>
            <w:vAlign w:val="bottom"/>
          </w:tcPr>
          <w:p>
            <w:pPr>
              <w:ind w:left="140"/>
              <w:spacing w:after="0"/>
              <w:rPr>
                <w:sz w:val="20"/>
                <w:szCs w:val="20"/>
                <w:color w:val="auto"/>
              </w:rPr>
            </w:pPr>
            <w:r>
              <w:rPr>
                <w:rFonts w:ascii="Arial" w:cs="Arial" w:eastAsia="Arial" w:hAnsi="Arial"/>
                <w:sz w:val="18"/>
                <w:szCs w:val="18"/>
                <w:color w:val="auto"/>
                <w:w w:val="97"/>
              </w:rPr>
              <w:t>Loans</w:t>
            </w:r>
          </w:p>
        </w:tc>
        <w:tc>
          <w:tcPr>
            <w:tcW w:w="30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rPr>
              <w:t>54</w:t>
            </w: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b w:val="1"/>
                <w:bCs w:val="1"/>
                <w:color w:val="0000FF"/>
                <w:w w:val="79"/>
              </w:rPr>
              <w:t>56</w:t>
            </w:r>
          </w:p>
        </w:tc>
        <w:tc>
          <w:tcPr>
            <w:tcW w:w="40" w:type="dxa"/>
            <w:vAlign w:val="bottom"/>
          </w:tcPr>
          <w:p>
            <w:pPr>
              <w:spacing w:after="0"/>
              <w:rPr>
                <w:sz w:val="24"/>
                <w:szCs w:val="24"/>
                <w:color w:val="auto"/>
              </w:rPr>
            </w:pPr>
          </w:p>
        </w:tc>
        <w:tc>
          <w:tcPr>
            <w:tcW w:w="22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FF0000"/>
                <w:strike w:val="1"/>
                <w:w w:val="79"/>
              </w:rPr>
              <w:t>55</w:t>
            </w:r>
          </w:p>
        </w:tc>
        <w:tc>
          <w:tcPr>
            <w:tcW w:w="240" w:type="dxa"/>
            <w:vAlign w:val="bottom"/>
            <w:gridSpan w:val="3"/>
            <w:vMerge w:val="restart"/>
          </w:tcPr>
          <w:p>
            <w:pPr>
              <w:jc w:val="right"/>
              <w:ind w:right="22"/>
              <w:spacing w:after="0"/>
              <w:rPr>
                <w:sz w:val="20"/>
                <w:szCs w:val="20"/>
                <w:color w:val="auto"/>
              </w:rPr>
            </w:pPr>
            <w:r>
              <w:rPr>
                <w:rFonts w:ascii="Arial" w:cs="Arial" w:eastAsia="Arial" w:hAnsi="Arial"/>
                <w:sz w:val="15"/>
                <w:szCs w:val="15"/>
                <w:b w:val="1"/>
                <w:bCs w:val="1"/>
                <w:color w:val="0000FF"/>
                <w:w w:val="71"/>
              </w:rPr>
              <w:t>57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2.02.</w:t>
            </w:r>
          </w:p>
        </w:tc>
        <w:tc>
          <w:tcPr>
            <w:tcW w:w="1000" w:type="dxa"/>
            <w:vAlign w:val="bottom"/>
            <w:gridSpan w:val="5"/>
          </w:tcPr>
          <w:p>
            <w:pPr>
              <w:ind w:left="140"/>
              <w:spacing w:after="0" w:line="196" w:lineRule="exact"/>
              <w:rPr>
                <w:sz w:val="20"/>
                <w:szCs w:val="20"/>
                <w:color w:val="auto"/>
              </w:rPr>
            </w:pPr>
            <w:r>
              <w:rPr>
                <w:rFonts w:ascii="Arial" w:cs="Arial" w:eastAsia="Arial" w:hAnsi="Arial"/>
                <w:sz w:val="18"/>
                <w:szCs w:val="18"/>
                <w:color w:val="auto"/>
                <w:w w:val="93"/>
              </w:rPr>
              <w:t>Borrowings</w:t>
            </w:r>
          </w:p>
        </w:tc>
        <w:tc>
          <w:tcPr>
            <w:tcW w:w="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20" w:type="dxa"/>
            <w:vAlign w:val="bottom"/>
            <w:gridSpan w:val="5"/>
            <w:vMerge w:val="continue"/>
          </w:tcPr>
          <w:p>
            <w:pPr>
              <w:spacing w:after="0"/>
              <w:rPr>
                <w:sz w:val="17"/>
                <w:szCs w:val="17"/>
                <w:color w:val="auto"/>
              </w:rPr>
            </w:pPr>
          </w:p>
        </w:tc>
        <w:tc>
          <w:tcPr>
            <w:tcW w:w="2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Borders>
              <w:right w:val="single" w:sz="8" w:color="0000FF"/>
            </w:tcBorders>
            <w:gridSpan w:val="14"/>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360" w:type="dxa"/>
            <w:vAlign w:val="bottom"/>
            <w:gridSpan w:val="4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2.03.</w:t>
            </w:r>
          </w:p>
        </w:tc>
        <w:tc>
          <w:tcPr>
            <w:tcW w:w="1320" w:type="dxa"/>
            <w:vAlign w:val="bottom"/>
            <w:gridSpan w:val="12"/>
          </w:tcPr>
          <w:p>
            <w:pPr>
              <w:ind w:left="140"/>
              <w:spacing w:after="0" w:line="196" w:lineRule="exact"/>
              <w:rPr>
                <w:sz w:val="20"/>
                <w:szCs w:val="20"/>
                <w:color w:val="auto"/>
              </w:rPr>
            </w:pPr>
            <w:r>
              <w:rPr>
                <w:rFonts w:ascii="Arial" w:cs="Arial" w:eastAsia="Arial" w:hAnsi="Arial"/>
                <w:sz w:val="18"/>
                <w:szCs w:val="18"/>
                <w:color w:val="auto"/>
                <w:w w:val="90"/>
              </w:rPr>
              <w:t>Letters of Credit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3"/>
          </w:tcPr>
          <w:p>
            <w:pPr>
              <w:spacing w:after="0"/>
              <w:rPr>
                <w:sz w:val="20"/>
                <w:szCs w:val="20"/>
                <w:color w:val="auto"/>
              </w:rPr>
            </w:pPr>
            <w:r>
              <w:rPr>
                <w:rFonts w:ascii="Arial" w:cs="Arial" w:eastAsia="Arial" w:hAnsi="Arial"/>
                <w:sz w:val="15"/>
                <w:szCs w:val="15"/>
                <w:b w:val="1"/>
                <w:bCs w:val="1"/>
                <w:color w:val="FF0000"/>
                <w:strike w:val="1"/>
                <w:w w:val="71"/>
              </w:rPr>
              <w:t>55</w:t>
            </w:r>
          </w:p>
        </w:tc>
        <w:tc>
          <w:tcPr>
            <w:tcW w:w="220" w:type="dxa"/>
            <w:vAlign w:val="bottom"/>
            <w:gridSpan w:val="4"/>
          </w:tcPr>
          <w:p>
            <w:pPr>
              <w:jc w:val="right"/>
              <w:ind w:right="40"/>
              <w:spacing w:after="0" w:line="196" w:lineRule="exact"/>
              <w:rPr>
                <w:sz w:val="20"/>
                <w:szCs w:val="20"/>
                <w:color w:val="auto"/>
              </w:rPr>
            </w:pPr>
            <w:r>
              <w:rPr>
                <w:rFonts w:ascii="Arial" w:cs="Arial" w:eastAsia="Arial" w:hAnsi="Arial"/>
                <w:sz w:val="18"/>
                <w:szCs w:val="18"/>
                <w:b w:val="1"/>
                <w:bCs w:val="1"/>
                <w:color w:val="0000FF"/>
                <w:w w:val="79"/>
              </w:rPr>
              <w:t>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62</w:t>
            </w:r>
          </w:p>
        </w:tc>
        <w:tc>
          <w:tcPr>
            <w:tcW w:w="2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0000FF"/>
                <w:w w:val="79"/>
              </w:rPr>
              <w:t>64</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2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2.04.</w:t>
            </w:r>
          </w:p>
        </w:tc>
        <w:tc>
          <w:tcPr>
            <w:tcW w:w="3540" w:type="dxa"/>
            <w:vAlign w:val="bottom"/>
            <w:gridSpan w:val="52"/>
          </w:tcPr>
          <w:p>
            <w:pPr>
              <w:ind w:left="140"/>
              <w:spacing w:after="0" w:line="196" w:lineRule="exact"/>
              <w:rPr>
                <w:sz w:val="20"/>
                <w:szCs w:val="20"/>
                <w:color w:val="auto"/>
              </w:rPr>
            </w:pPr>
            <w:r>
              <w:rPr>
                <w:rFonts w:ascii="Arial" w:cs="Arial" w:eastAsia="Arial" w:hAnsi="Arial"/>
                <w:sz w:val="18"/>
                <w:szCs w:val="18"/>
                <w:color w:val="auto"/>
                <w:w w:val="95"/>
              </w:rPr>
              <w:t>Termination and Reductions of Commitment</w:t>
            </w:r>
          </w:p>
        </w:tc>
        <w:tc>
          <w:tcPr>
            <w:tcW w:w="180" w:type="dxa"/>
            <w:vAlign w:val="bottom"/>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2.05.</w:t>
            </w:r>
          </w:p>
        </w:tc>
        <w:tc>
          <w:tcPr>
            <w:tcW w:w="640" w:type="dxa"/>
            <w:vAlign w:val="bottom"/>
          </w:tcPr>
          <w:p>
            <w:pPr>
              <w:ind w:left="140"/>
              <w:spacing w:after="0" w:line="196" w:lineRule="exact"/>
              <w:rPr>
                <w:sz w:val="20"/>
                <w:szCs w:val="20"/>
                <w:color w:val="auto"/>
              </w:rPr>
            </w:pPr>
            <w:r>
              <w:rPr>
                <w:rFonts w:ascii="Arial" w:cs="Arial" w:eastAsia="Arial" w:hAnsi="Arial"/>
                <w:sz w:val="18"/>
                <w:szCs w:val="18"/>
                <w:color w:val="auto"/>
              </w:rPr>
              <w:t>Fees</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63</w:t>
            </w:r>
          </w:p>
        </w:tc>
        <w:tc>
          <w:tcPr>
            <w:tcW w:w="180" w:type="dxa"/>
            <w:vAlign w:val="bottom"/>
            <w:tcBorders>
              <w:bottom w:val="single" w:sz="8" w:color="0000FF"/>
            </w:tcBorders>
            <w:gridSpan w:val="3"/>
          </w:tcPr>
          <w:p>
            <w:pPr>
              <w:jc w:val="right"/>
              <w:spacing w:after="0" w:line="196" w:lineRule="exact"/>
              <w:rPr>
                <w:sz w:val="20"/>
                <w:szCs w:val="20"/>
                <w:color w:val="auto"/>
              </w:rPr>
            </w:pPr>
            <w:r>
              <w:rPr>
                <w:rFonts w:ascii="Arial" w:cs="Arial" w:eastAsia="Arial" w:hAnsi="Arial"/>
                <w:sz w:val="18"/>
                <w:szCs w:val="18"/>
                <w:b w:val="1"/>
                <w:bCs w:val="1"/>
                <w:color w:val="0000FF"/>
                <w:w w:val="79"/>
              </w:rPr>
              <w:t>65</w:t>
            </w:r>
          </w:p>
        </w:tc>
        <w:tc>
          <w:tcPr>
            <w:tcW w:w="520" w:type="dxa"/>
            <w:vAlign w:val="bottom"/>
            <w:gridSpan w:val="10"/>
          </w:tcPr>
          <w:p>
            <w:pPr>
              <w:spacing w:after="0"/>
              <w:rPr>
                <w:sz w:val="17"/>
                <w:szCs w:val="17"/>
                <w:color w:val="auto"/>
              </w:rPr>
            </w:pPr>
          </w:p>
        </w:tc>
        <w:tc>
          <w:tcPr>
            <w:tcW w:w="160" w:type="dxa"/>
            <w:vAlign w:val="bottom"/>
            <w:gridSpan w:val="3"/>
            <w:vMerge w:val="restart"/>
          </w:tcPr>
          <w:p>
            <w:pPr>
              <w:jc w:val="right"/>
              <w:spacing w:after="0"/>
              <w:rPr>
                <w:sz w:val="20"/>
                <w:szCs w:val="20"/>
                <w:color w:val="auto"/>
              </w:rPr>
            </w:pPr>
            <w:r>
              <w:rPr>
                <w:rFonts w:ascii="Arial" w:cs="Arial" w:eastAsia="Arial" w:hAnsi="Arial"/>
                <w:sz w:val="17"/>
                <w:szCs w:val="17"/>
                <w:b w:val="1"/>
                <w:bCs w:val="1"/>
                <w:color w:val="FF0000"/>
                <w:strike w:val="1"/>
                <w:w w:val="73"/>
              </w:rPr>
              <w:t>63</w:t>
            </w:r>
          </w:p>
        </w:tc>
        <w:tc>
          <w:tcPr>
            <w:tcW w:w="1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0000FF"/>
                <w:w w:val="79"/>
              </w:rPr>
              <w:t>66</w:t>
            </w:r>
          </w:p>
        </w:tc>
        <w:tc>
          <w:tcPr>
            <w:tcW w:w="1860" w:type="dxa"/>
            <w:vAlign w:val="bottom"/>
            <w:gridSpan w:val="32"/>
          </w:tcPr>
          <w:p>
            <w:pPr>
              <w:spacing w:after="0"/>
              <w:rPr>
                <w:sz w:val="17"/>
                <w:szCs w:val="17"/>
                <w:color w:val="auto"/>
              </w:rPr>
            </w:pPr>
          </w:p>
        </w:tc>
        <w:tc>
          <w:tcPr>
            <w:tcW w:w="180" w:type="dxa"/>
            <w:vAlign w:val="bottom"/>
            <w:tcBorders>
              <w:top w:val="single" w:sz="8" w:color="0000FF"/>
            </w:tcBorders>
            <w:gridSpan w:val="2"/>
          </w:tcPr>
          <w:p>
            <w:pPr>
              <w:spacing w:after="0"/>
              <w:rPr>
                <w:sz w:val="17"/>
                <w:szCs w:val="17"/>
                <w:color w:val="auto"/>
              </w:rPr>
            </w:pPr>
          </w:p>
        </w:tc>
        <w:tc>
          <w:tcPr>
            <w:tcW w:w="29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2.06.</w:t>
            </w:r>
          </w:p>
        </w:tc>
        <w:tc>
          <w:tcPr>
            <w:tcW w:w="1320" w:type="dxa"/>
            <w:vAlign w:val="bottom"/>
            <w:gridSpan w:val="12"/>
          </w:tcPr>
          <w:p>
            <w:pPr>
              <w:ind w:left="140"/>
              <w:spacing w:after="0" w:line="196" w:lineRule="exact"/>
              <w:rPr>
                <w:sz w:val="20"/>
                <w:szCs w:val="20"/>
                <w:color w:val="auto"/>
              </w:rPr>
            </w:pPr>
            <w:r>
              <w:rPr>
                <w:rFonts w:ascii="Arial" w:cs="Arial" w:eastAsia="Arial" w:hAnsi="Arial"/>
                <w:sz w:val="18"/>
                <w:szCs w:val="18"/>
                <w:color w:val="auto"/>
                <w:w w:val="92"/>
              </w:rPr>
              <w:t>Lending Offices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3"/>
            <w:vMerge w:val="continue"/>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FF0000"/>
                <w:strike w:val="1"/>
                <w:w w:val="79"/>
              </w:rPr>
              <w:t>64</w:t>
            </w:r>
          </w:p>
        </w:tc>
        <w:tc>
          <w:tcPr>
            <w:tcW w:w="38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0000FF"/>
                <w:w w:val="79"/>
              </w:rPr>
              <w:t>66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3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2.07.</w:t>
            </w:r>
          </w:p>
        </w:tc>
        <w:tc>
          <w:tcPr>
            <w:tcW w:w="2440" w:type="dxa"/>
            <w:vAlign w:val="bottom"/>
            <w:gridSpan w:val="35"/>
          </w:tcPr>
          <w:p>
            <w:pPr>
              <w:ind w:left="140"/>
              <w:spacing w:after="0" w:line="196" w:lineRule="exact"/>
              <w:rPr>
                <w:sz w:val="20"/>
                <w:szCs w:val="20"/>
                <w:color w:val="auto"/>
              </w:rPr>
            </w:pPr>
            <w:r>
              <w:rPr>
                <w:rFonts w:ascii="Arial" w:cs="Arial" w:eastAsia="Arial" w:hAnsi="Arial"/>
                <w:sz w:val="18"/>
                <w:szCs w:val="18"/>
                <w:color w:val="auto"/>
                <w:w w:val="92"/>
              </w:rPr>
              <w:t>Several Obligations of Lenders</w:t>
            </w:r>
          </w:p>
        </w:tc>
        <w:tc>
          <w:tcPr>
            <w:tcW w:w="120" w:type="dxa"/>
            <w:vAlign w:val="bottom"/>
            <w:gridSpan w:val="3"/>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38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2.08.</w:t>
            </w:r>
          </w:p>
        </w:tc>
        <w:tc>
          <w:tcPr>
            <w:tcW w:w="1320" w:type="dxa"/>
            <w:vAlign w:val="bottom"/>
            <w:gridSpan w:val="12"/>
          </w:tcPr>
          <w:p>
            <w:pPr>
              <w:ind w:left="140"/>
              <w:spacing w:after="0" w:line="196" w:lineRule="exact"/>
              <w:rPr>
                <w:sz w:val="20"/>
                <w:szCs w:val="20"/>
                <w:color w:val="auto"/>
              </w:rPr>
            </w:pPr>
            <w:r>
              <w:rPr>
                <w:rFonts w:ascii="Arial" w:cs="Arial" w:eastAsia="Arial" w:hAnsi="Arial"/>
                <w:sz w:val="18"/>
                <w:szCs w:val="18"/>
                <w:color w:val="auto"/>
                <w:w w:val="93"/>
              </w:rPr>
              <w:t>Notes; Register</w:t>
            </w:r>
          </w:p>
        </w:tc>
        <w:tc>
          <w:tcPr>
            <w:tcW w:w="60" w:type="dxa"/>
            <w:vAlign w:val="bottom"/>
          </w:tcPr>
          <w:p>
            <w:pPr>
              <w:spacing w:after="0"/>
              <w:rPr>
                <w:sz w:val="17"/>
                <w:szCs w:val="17"/>
                <w:color w:val="auto"/>
              </w:rPr>
            </w:pPr>
          </w:p>
        </w:tc>
        <w:tc>
          <w:tcPr>
            <w:tcW w:w="2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FF0000"/>
                <w:strike w:val="1"/>
              </w:rPr>
              <w:t>64</w:t>
            </w:r>
          </w:p>
        </w:tc>
        <w:tc>
          <w:tcPr>
            <w:tcW w:w="18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b w:val="1"/>
                <w:bCs w:val="1"/>
                <w:color w:val="0000FF"/>
                <w:w w:val="79"/>
              </w:rPr>
              <w:t>66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64</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79"/>
              </w:rPr>
              <w:t>67</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2.09.</w:t>
            </w:r>
          </w:p>
        </w:tc>
        <w:tc>
          <w:tcPr>
            <w:tcW w:w="5100" w:type="dxa"/>
            <w:vAlign w:val="bottom"/>
            <w:gridSpan w:val="58"/>
          </w:tcPr>
          <w:p>
            <w:pPr>
              <w:ind w:left="140"/>
              <w:spacing w:after="0" w:line="196" w:lineRule="exact"/>
              <w:rPr>
                <w:sz w:val="20"/>
                <w:szCs w:val="20"/>
                <w:color w:val="auto"/>
              </w:rPr>
            </w:pPr>
            <w:r>
              <w:rPr>
                <w:rFonts w:ascii="Arial" w:cs="Arial" w:eastAsia="Arial" w:hAnsi="Arial"/>
                <w:sz w:val="18"/>
                <w:szCs w:val="18"/>
                <w:color w:val="auto"/>
                <w:w w:val="93"/>
              </w:rPr>
              <w:t>Optional Prepayments and Conversions or Continuations of Loans</w:t>
            </w:r>
          </w:p>
        </w:tc>
        <w:tc>
          <w:tcPr>
            <w:tcW w:w="180" w:type="dxa"/>
            <w:vAlign w:val="bottom"/>
            <w:vMerge w:val="continue"/>
          </w:tcPr>
          <w:p>
            <w:pPr>
              <w:spacing w:after="0"/>
              <w:rPr>
                <w:sz w:val="17"/>
                <w:szCs w:val="17"/>
                <w:color w:val="auto"/>
              </w:rPr>
            </w:pPr>
          </w:p>
        </w:tc>
        <w:tc>
          <w:tcPr>
            <w:tcW w:w="180" w:type="dxa"/>
            <w:vAlign w:val="bottom"/>
            <w:tcBorders>
              <w:bottom w:val="single" w:sz="8" w:color="0000FF"/>
            </w:tcBorders>
            <w:vMerge w:val="continue"/>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2.10.</w:t>
            </w:r>
          </w:p>
        </w:tc>
        <w:tc>
          <w:tcPr>
            <w:tcW w:w="2020" w:type="dxa"/>
            <w:vAlign w:val="bottom"/>
            <w:gridSpan w:val="25"/>
          </w:tcPr>
          <w:p>
            <w:pPr>
              <w:ind w:left="140"/>
              <w:spacing w:after="0" w:line="196" w:lineRule="exact"/>
              <w:rPr>
                <w:sz w:val="20"/>
                <w:szCs w:val="20"/>
                <w:color w:val="auto"/>
              </w:rPr>
            </w:pPr>
            <w:r>
              <w:rPr>
                <w:rFonts w:ascii="Arial" w:cs="Arial" w:eastAsia="Arial" w:hAnsi="Arial"/>
                <w:sz w:val="18"/>
                <w:szCs w:val="18"/>
                <w:color w:val="auto"/>
                <w:w w:val="94"/>
              </w:rPr>
              <w:t>Mandatory Prepayments</w:t>
            </w:r>
          </w:p>
        </w:tc>
        <w:tc>
          <w:tcPr>
            <w:tcW w:w="60" w:type="dxa"/>
            <w:vAlign w:val="bottom"/>
          </w:tcPr>
          <w:p>
            <w:pPr>
              <w:spacing w:after="0"/>
              <w:rPr>
                <w:sz w:val="17"/>
                <w:szCs w:val="17"/>
                <w:color w:val="auto"/>
              </w:rPr>
            </w:pPr>
          </w:p>
        </w:tc>
        <w:tc>
          <w:tcPr>
            <w:tcW w:w="1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65</w:t>
            </w:r>
          </w:p>
        </w:tc>
        <w:tc>
          <w:tcPr>
            <w:tcW w:w="20" w:type="dxa"/>
            <w:vAlign w:val="bottom"/>
            <w:tcBorders>
              <w:bottom w:val="single" w:sz="8" w:color="0000FF"/>
            </w:tcBorders>
          </w:tcPr>
          <w:p>
            <w:pPr>
              <w:spacing w:after="0"/>
              <w:rPr>
                <w:sz w:val="17"/>
                <w:szCs w:val="17"/>
                <w:color w:val="auto"/>
              </w:rPr>
            </w:pPr>
          </w:p>
        </w:tc>
        <w:tc>
          <w:tcPr>
            <w:tcW w:w="160" w:type="dxa"/>
            <w:vAlign w:val="bottom"/>
            <w:tcBorders>
              <w:bottom w:val="single" w:sz="8" w:color="0000FF"/>
            </w:tcBorders>
            <w:gridSpan w:val="4"/>
          </w:tcPr>
          <w:p>
            <w:pPr>
              <w:jc w:val="right"/>
              <w:spacing w:after="0"/>
              <w:rPr>
                <w:sz w:val="20"/>
                <w:szCs w:val="20"/>
                <w:color w:val="auto"/>
              </w:rPr>
            </w:pPr>
            <w:r>
              <w:rPr>
                <w:rFonts w:ascii="Arial" w:cs="Arial" w:eastAsia="Arial" w:hAnsi="Arial"/>
                <w:sz w:val="17"/>
                <w:szCs w:val="17"/>
                <w:b w:val="1"/>
                <w:bCs w:val="1"/>
                <w:color w:val="0000FF"/>
                <w:w w:val="73"/>
              </w:rPr>
              <w:t>68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2.11.</w:t>
            </w:r>
          </w:p>
        </w:tc>
        <w:tc>
          <w:tcPr>
            <w:tcW w:w="2020" w:type="dxa"/>
            <w:vAlign w:val="bottom"/>
            <w:gridSpan w:val="25"/>
          </w:tcPr>
          <w:p>
            <w:pPr>
              <w:ind w:left="140"/>
              <w:spacing w:after="0" w:line="196" w:lineRule="exact"/>
              <w:rPr>
                <w:sz w:val="20"/>
                <w:szCs w:val="20"/>
                <w:color w:val="auto"/>
              </w:rPr>
            </w:pPr>
            <w:r>
              <w:rPr>
                <w:rFonts w:ascii="Arial" w:cs="Arial" w:eastAsia="Arial" w:hAnsi="Arial"/>
                <w:sz w:val="18"/>
                <w:szCs w:val="18"/>
                <w:color w:val="auto"/>
                <w:w w:val="94"/>
              </w:rPr>
              <w:t>Replacement of Lenders</w:t>
            </w:r>
          </w:p>
        </w:tc>
        <w:tc>
          <w:tcPr>
            <w:tcW w:w="24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FF0000"/>
                <w:strike w:val="1"/>
              </w:rPr>
              <w:t>69</w:t>
            </w:r>
          </w:p>
        </w:tc>
        <w:tc>
          <w:tcPr>
            <w:tcW w:w="180" w:type="dxa"/>
            <w:vAlign w:val="bottom"/>
            <w:tcBorders>
              <w:bottom w:val="single" w:sz="8" w:color="0000FF"/>
            </w:tcBorders>
            <w:gridSpan w:val="5"/>
          </w:tcPr>
          <w:p>
            <w:pPr>
              <w:jc w:val="right"/>
              <w:spacing w:after="0" w:line="196" w:lineRule="exact"/>
              <w:rPr>
                <w:sz w:val="20"/>
                <w:szCs w:val="20"/>
                <w:color w:val="auto"/>
              </w:rPr>
            </w:pPr>
            <w:r>
              <w:rPr>
                <w:rFonts w:ascii="Arial" w:cs="Arial" w:eastAsia="Arial" w:hAnsi="Arial"/>
                <w:sz w:val="18"/>
                <w:szCs w:val="18"/>
                <w:b w:val="1"/>
                <w:bCs w:val="1"/>
                <w:color w:val="0000FF"/>
                <w:w w:val="79"/>
              </w:rPr>
              <w:t>72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2.12.</w:t>
            </w:r>
          </w:p>
        </w:tc>
        <w:tc>
          <w:tcPr>
            <w:tcW w:w="1000" w:type="dxa"/>
            <w:vAlign w:val="bottom"/>
            <w:gridSpan w:val="5"/>
          </w:tcPr>
          <w:p>
            <w:pPr>
              <w:ind w:left="140"/>
              <w:spacing w:after="0" w:line="196" w:lineRule="exact"/>
              <w:rPr>
                <w:sz w:val="20"/>
                <w:szCs w:val="20"/>
                <w:color w:val="auto"/>
              </w:rPr>
            </w:pPr>
            <w:r>
              <w:rPr>
                <w:rFonts w:ascii="Arial" w:cs="Arial" w:eastAsia="Arial" w:hAnsi="Arial"/>
                <w:sz w:val="18"/>
                <w:szCs w:val="18"/>
                <w:color w:val="auto"/>
                <w:w w:val="96"/>
              </w:rPr>
              <w:t>[Reserved]</w:t>
            </w:r>
          </w:p>
        </w:tc>
        <w:tc>
          <w:tcPr>
            <w:tcW w:w="40" w:type="dxa"/>
            <w:vAlign w:val="bottom"/>
          </w:tcPr>
          <w:p>
            <w:pPr>
              <w:spacing w:after="0"/>
              <w:rPr>
                <w:sz w:val="17"/>
                <w:szCs w:val="17"/>
                <w:color w:val="auto"/>
              </w:rPr>
            </w:pPr>
          </w:p>
        </w:tc>
        <w:tc>
          <w:tcPr>
            <w:tcW w:w="24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FF0000"/>
                <w:strike w:val="1"/>
              </w:rPr>
              <w:t>70</w:t>
            </w:r>
          </w:p>
        </w:tc>
        <w:tc>
          <w:tcPr>
            <w:tcW w:w="180" w:type="dxa"/>
            <w:vAlign w:val="bottom"/>
            <w:tcBorders>
              <w:bottom w:val="single" w:sz="8" w:color="0000FF"/>
            </w:tcBorders>
            <w:gridSpan w:val="3"/>
          </w:tcPr>
          <w:p>
            <w:pPr>
              <w:jc w:val="right"/>
              <w:spacing w:after="0" w:line="196" w:lineRule="exact"/>
              <w:rPr>
                <w:sz w:val="20"/>
                <w:szCs w:val="20"/>
                <w:color w:val="auto"/>
              </w:rPr>
            </w:pPr>
            <w:r>
              <w:rPr>
                <w:rFonts w:ascii="Arial" w:cs="Arial" w:eastAsia="Arial" w:hAnsi="Arial"/>
                <w:sz w:val="18"/>
                <w:szCs w:val="18"/>
                <w:b w:val="1"/>
                <w:bCs w:val="1"/>
                <w:color w:val="0000FF"/>
                <w:w w:val="79"/>
              </w:rPr>
              <w:t>73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FF0000"/>
                <w:strike w:val="1"/>
                <w:w w:val="79"/>
              </w:rPr>
              <w:t>70</w:t>
            </w:r>
          </w:p>
        </w:tc>
        <w:tc>
          <w:tcPr>
            <w:tcW w:w="1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0000FF"/>
                <w:w w:val="79"/>
              </w:rPr>
              <w:t>73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2.13.</w:t>
            </w:r>
          </w:p>
        </w:tc>
        <w:tc>
          <w:tcPr>
            <w:tcW w:w="3120" w:type="dxa"/>
            <w:vAlign w:val="bottom"/>
            <w:gridSpan w:val="44"/>
          </w:tcPr>
          <w:p>
            <w:pPr>
              <w:ind w:left="140"/>
              <w:spacing w:after="0" w:line="196" w:lineRule="exact"/>
              <w:rPr>
                <w:sz w:val="20"/>
                <w:szCs w:val="20"/>
                <w:color w:val="auto"/>
              </w:rPr>
            </w:pPr>
            <w:r>
              <w:rPr>
                <w:rFonts w:ascii="Arial" w:cs="Arial" w:eastAsia="Arial" w:hAnsi="Arial"/>
                <w:sz w:val="18"/>
                <w:szCs w:val="18"/>
                <w:color w:val="auto"/>
                <w:w w:val="94"/>
              </w:rPr>
              <w:t>Extensions of Loans and Commitments</w:t>
            </w:r>
          </w:p>
        </w:tc>
        <w:tc>
          <w:tcPr>
            <w:tcW w:w="4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tcBorders>
              <w:bottom w:val="single" w:sz="8" w:color="0000FF"/>
            </w:tcBorders>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2.14.</w:t>
            </w:r>
          </w:p>
        </w:tc>
        <w:tc>
          <w:tcPr>
            <w:tcW w:w="2440" w:type="dxa"/>
            <w:vAlign w:val="bottom"/>
            <w:gridSpan w:val="35"/>
          </w:tcPr>
          <w:p>
            <w:pPr>
              <w:ind w:left="140"/>
              <w:spacing w:after="0" w:line="196" w:lineRule="exact"/>
              <w:rPr>
                <w:sz w:val="20"/>
                <w:szCs w:val="20"/>
                <w:color w:val="auto"/>
              </w:rPr>
            </w:pPr>
            <w:r>
              <w:rPr>
                <w:rFonts w:ascii="Arial" w:cs="Arial" w:eastAsia="Arial" w:hAnsi="Arial"/>
                <w:sz w:val="18"/>
                <w:szCs w:val="18"/>
                <w:color w:val="auto"/>
                <w:w w:val="99"/>
              </w:rPr>
              <w:t>Defaulting Lender Provisions</w:t>
            </w:r>
          </w:p>
        </w:tc>
        <w:tc>
          <w:tcPr>
            <w:tcW w:w="1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72</w:t>
            </w:r>
          </w:p>
        </w:tc>
        <w:tc>
          <w:tcPr>
            <w:tcW w:w="30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0000FF"/>
                <w:w w:val="79"/>
              </w:rPr>
              <w:t>75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2.15.</w:t>
            </w:r>
          </w:p>
        </w:tc>
        <w:tc>
          <w:tcPr>
            <w:tcW w:w="2020" w:type="dxa"/>
            <w:vAlign w:val="bottom"/>
            <w:gridSpan w:val="25"/>
          </w:tcPr>
          <w:p>
            <w:pPr>
              <w:ind w:left="140"/>
              <w:spacing w:after="0" w:line="196" w:lineRule="exact"/>
              <w:rPr>
                <w:sz w:val="20"/>
                <w:szCs w:val="20"/>
                <w:color w:val="auto"/>
              </w:rPr>
            </w:pPr>
            <w:r>
              <w:rPr>
                <w:rFonts w:ascii="Arial" w:cs="Arial" w:eastAsia="Arial" w:hAnsi="Arial"/>
                <w:sz w:val="18"/>
                <w:szCs w:val="18"/>
                <w:color w:val="auto"/>
                <w:w w:val="90"/>
              </w:rPr>
              <w:t>Refinancing Amendments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74</w:t>
            </w:r>
          </w:p>
        </w:tc>
        <w:tc>
          <w:tcPr>
            <w:tcW w:w="24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0000FF"/>
                <w:w w:val="79"/>
              </w:rPr>
              <w:t>76</w:t>
            </w: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2.16.</w:t>
            </w:r>
          </w:p>
        </w:tc>
        <w:tc>
          <w:tcPr>
            <w:tcW w:w="1320" w:type="dxa"/>
            <w:vAlign w:val="bottom"/>
            <w:gridSpan w:val="12"/>
          </w:tcPr>
          <w:p>
            <w:pPr>
              <w:ind w:left="140"/>
              <w:spacing w:after="0" w:line="196" w:lineRule="exact"/>
              <w:rPr>
                <w:sz w:val="20"/>
                <w:szCs w:val="20"/>
                <w:color w:val="auto"/>
              </w:rPr>
            </w:pPr>
            <w:r>
              <w:rPr>
                <w:rFonts w:ascii="Arial" w:cs="Arial" w:eastAsia="Arial" w:hAnsi="Arial"/>
                <w:sz w:val="18"/>
                <w:szCs w:val="18"/>
                <w:color w:val="auto"/>
                <w:w w:val="90"/>
              </w:rPr>
              <w:t>Cash Collateral.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FF0000"/>
                <w:strike w:val="1"/>
                <w:w w:val="89"/>
              </w:rPr>
              <w:t>76</w:t>
            </w:r>
          </w:p>
        </w:tc>
        <w:tc>
          <w:tcPr>
            <w:tcW w:w="180" w:type="dxa"/>
            <w:vAlign w:val="bottom"/>
            <w:gridSpan w:val="3"/>
          </w:tcPr>
          <w:p>
            <w:pPr>
              <w:jc w:val="right"/>
              <w:spacing w:after="0"/>
              <w:rPr>
                <w:sz w:val="20"/>
                <w:szCs w:val="20"/>
                <w:color w:val="auto"/>
              </w:rPr>
            </w:pPr>
            <w:r>
              <w:rPr>
                <w:rFonts w:ascii="Arial" w:cs="Arial" w:eastAsia="Arial" w:hAnsi="Arial"/>
                <w:sz w:val="17"/>
                <w:szCs w:val="17"/>
                <w:b w:val="1"/>
                <w:bCs w:val="1"/>
                <w:color w:val="0000FF"/>
                <w:w w:val="73"/>
              </w:rPr>
              <w:t>78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20" w:type="dxa"/>
            <w:vAlign w:val="bottom"/>
            <w:gridSpan w:val="7"/>
            <w:vMerge w:val="restart"/>
          </w:tcPr>
          <w:p>
            <w:pPr>
              <w:jc w:val="center"/>
              <w:ind w:right="1860"/>
              <w:spacing w:after="0"/>
              <w:rPr>
                <w:sz w:val="20"/>
                <w:szCs w:val="20"/>
                <w:color w:val="auto"/>
              </w:rPr>
            </w:pPr>
            <w:r>
              <w:rPr>
                <w:rFonts w:ascii="Arial" w:cs="Arial" w:eastAsia="Arial" w:hAnsi="Arial"/>
                <w:sz w:val="18"/>
                <w:szCs w:val="18"/>
                <w:color w:val="auto"/>
              </w:rPr>
              <w:t>ARTICLE III.</w:t>
            </w:r>
          </w:p>
        </w:tc>
        <w:tc>
          <w:tcPr>
            <w:tcW w:w="0" w:type="dxa"/>
            <w:vAlign w:val="bottom"/>
          </w:tcPr>
          <w:p>
            <w:pPr>
              <w:spacing w:after="0"/>
              <w:rPr>
                <w:sz w:val="1"/>
                <w:szCs w:val="1"/>
                <w:color w:val="auto"/>
              </w:rPr>
            </w:pPr>
          </w:p>
        </w:tc>
      </w:tr>
      <w:tr>
        <w:trPr>
          <w:trHeight w:val="453"/>
        </w:trPr>
        <w:tc>
          <w:tcPr>
            <w:tcW w:w="2980" w:type="dxa"/>
            <w:vAlign w:val="bottom"/>
            <w:gridSpan w:val="19"/>
          </w:tcPr>
          <w:p>
            <w:pPr>
              <w:spacing w:after="0"/>
              <w:rPr>
                <w:sz w:val="24"/>
                <w:szCs w:val="24"/>
                <w:color w:val="auto"/>
              </w:rPr>
            </w:pPr>
          </w:p>
        </w:tc>
        <w:tc>
          <w:tcPr>
            <w:tcW w:w="180" w:type="dxa"/>
            <w:vAlign w:val="bottom"/>
            <w:tcBorders>
              <w:top w:val="single" w:sz="8" w:color="0000FF"/>
            </w:tcBorders>
            <w:gridSpan w:val="3"/>
          </w:tcPr>
          <w:p>
            <w:pPr>
              <w:spacing w:after="0"/>
              <w:rPr>
                <w:sz w:val="24"/>
                <w:szCs w:val="24"/>
                <w:color w:val="auto"/>
              </w:rPr>
            </w:pPr>
          </w:p>
        </w:tc>
        <w:tc>
          <w:tcPr>
            <w:tcW w:w="1900" w:type="dxa"/>
            <w:vAlign w:val="bottom"/>
            <w:gridSpan w:val="33"/>
          </w:tcPr>
          <w:p>
            <w:pPr>
              <w:spacing w:after="0"/>
              <w:rPr>
                <w:sz w:val="24"/>
                <w:szCs w:val="24"/>
                <w:color w:val="auto"/>
              </w:rPr>
            </w:pPr>
          </w:p>
        </w:tc>
        <w:tc>
          <w:tcPr>
            <w:tcW w:w="3120" w:type="dxa"/>
            <w:vAlign w:val="bottom"/>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60" w:type="dxa"/>
            <w:vAlign w:val="bottom"/>
            <w:gridSpan w:val="22"/>
          </w:tcPr>
          <w:p>
            <w:pPr>
              <w:jc w:val="center"/>
              <w:ind w:right="680"/>
              <w:spacing w:after="0"/>
              <w:rPr>
                <w:sz w:val="20"/>
                <w:szCs w:val="20"/>
                <w:color w:val="auto"/>
              </w:rPr>
            </w:pPr>
            <w:r>
              <w:rPr>
                <w:rFonts w:ascii="Arial" w:cs="Arial" w:eastAsia="Arial" w:hAnsi="Arial"/>
                <w:sz w:val="18"/>
                <w:szCs w:val="18"/>
                <w:color w:val="auto"/>
                <w:w w:val="95"/>
              </w:rPr>
              <w:t>PAYMENTS OF PRINCIPAL AND INTEREST</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SECTION 3.01.</w:t>
            </w:r>
          </w:p>
        </w:tc>
        <w:tc>
          <w:tcPr>
            <w:tcW w:w="1680" w:type="dxa"/>
            <w:vAlign w:val="bottom"/>
            <w:gridSpan w:val="18"/>
          </w:tcPr>
          <w:p>
            <w:pPr>
              <w:ind w:left="140"/>
              <w:spacing w:after="0"/>
              <w:rPr>
                <w:sz w:val="20"/>
                <w:szCs w:val="20"/>
                <w:color w:val="auto"/>
              </w:rPr>
            </w:pPr>
            <w:r>
              <w:rPr>
                <w:rFonts w:ascii="Arial" w:cs="Arial" w:eastAsia="Arial" w:hAnsi="Arial"/>
                <w:sz w:val="18"/>
                <w:szCs w:val="18"/>
                <w:color w:val="auto"/>
                <w:w w:val="90"/>
              </w:rPr>
              <w:t>Repayment of Loans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79"/>
              </w:rPr>
              <w:t>77</w:t>
            </w:r>
          </w:p>
        </w:tc>
        <w:tc>
          <w:tcPr>
            <w:tcW w:w="200" w:type="dxa"/>
            <w:vAlign w:val="bottom"/>
            <w:gridSpan w:val="5"/>
          </w:tcPr>
          <w:p>
            <w:pPr>
              <w:jc w:val="right"/>
              <w:ind w:right="20"/>
              <w:spacing w:after="0"/>
              <w:rPr>
                <w:sz w:val="20"/>
                <w:szCs w:val="20"/>
                <w:color w:val="auto"/>
              </w:rPr>
            </w:pPr>
            <w:r>
              <w:rPr>
                <w:rFonts w:ascii="Arial" w:cs="Arial" w:eastAsia="Arial" w:hAnsi="Arial"/>
                <w:sz w:val="18"/>
                <w:szCs w:val="18"/>
                <w:b w:val="1"/>
                <w:bCs w:val="1"/>
                <w:color w:val="0000FF"/>
                <w:w w:val="79"/>
              </w:rPr>
              <w:t>79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3.02.</w:t>
            </w:r>
          </w:p>
        </w:tc>
        <w:tc>
          <w:tcPr>
            <w:tcW w:w="86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Interest</w:t>
            </w:r>
          </w:p>
        </w:tc>
        <w:tc>
          <w:tcPr>
            <w:tcW w:w="1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77</w:t>
            </w:r>
          </w:p>
        </w:tc>
        <w:tc>
          <w:tcPr>
            <w:tcW w:w="240" w:type="dxa"/>
            <w:vAlign w:val="bottom"/>
            <w:gridSpan w:val="5"/>
          </w:tcPr>
          <w:p>
            <w:pPr>
              <w:jc w:val="right"/>
              <w:ind w:right="60"/>
              <w:spacing w:after="0" w:line="196" w:lineRule="exact"/>
              <w:rPr>
                <w:sz w:val="20"/>
                <w:szCs w:val="20"/>
                <w:color w:val="auto"/>
              </w:rPr>
            </w:pPr>
            <w:r>
              <w:rPr>
                <w:rFonts w:ascii="Arial" w:cs="Arial" w:eastAsia="Arial" w:hAnsi="Arial"/>
                <w:sz w:val="18"/>
                <w:szCs w:val="18"/>
                <w:b w:val="1"/>
                <w:bCs w:val="1"/>
                <w:color w:val="0000FF"/>
                <w:w w:val="79"/>
              </w:rPr>
              <w:t>80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120" w:type="dxa"/>
            <w:vAlign w:val="bottom"/>
            <w:gridSpan w:val="7"/>
            <w:vMerge w:val="restart"/>
          </w:tcPr>
          <w:p>
            <w:pPr>
              <w:jc w:val="center"/>
              <w:ind w:right="1860"/>
              <w:spacing w:after="0"/>
              <w:rPr>
                <w:sz w:val="20"/>
                <w:szCs w:val="20"/>
                <w:color w:val="auto"/>
              </w:rPr>
            </w:pPr>
            <w:r>
              <w:rPr>
                <w:rFonts w:ascii="Arial" w:cs="Arial" w:eastAsia="Arial" w:hAnsi="Arial"/>
                <w:sz w:val="18"/>
                <w:szCs w:val="18"/>
                <w:color w:val="auto"/>
                <w:w w:val="98"/>
              </w:rPr>
              <w:t>ARTICLE IV.</w:t>
            </w:r>
          </w:p>
        </w:tc>
        <w:tc>
          <w:tcPr>
            <w:tcW w:w="0" w:type="dxa"/>
            <w:vAlign w:val="bottom"/>
          </w:tcPr>
          <w:p>
            <w:pPr>
              <w:spacing w:after="0"/>
              <w:rPr>
                <w:sz w:val="1"/>
                <w:szCs w:val="1"/>
                <w:color w:val="auto"/>
              </w:rPr>
            </w:pPr>
          </w:p>
        </w:tc>
      </w:tr>
      <w:tr>
        <w:trPr>
          <w:trHeight w:val="453"/>
        </w:trPr>
        <w:tc>
          <w:tcPr>
            <w:tcW w:w="2340" w:type="dxa"/>
            <w:vAlign w:val="bottom"/>
            <w:gridSpan w:val="7"/>
          </w:tcPr>
          <w:p>
            <w:pPr>
              <w:spacing w:after="0"/>
              <w:rPr>
                <w:sz w:val="24"/>
                <w:szCs w:val="24"/>
                <w:color w:val="auto"/>
              </w:rPr>
            </w:pPr>
          </w:p>
        </w:tc>
        <w:tc>
          <w:tcPr>
            <w:tcW w:w="180" w:type="dxa"/>
            <w:vAlign w:val="bottom"/>
            <w:tcBorders>
              <w:top w:val="single" w:sz="8" w:color="0000FF"/>
            </w:tcBorders>
            <w:gridSpan w:val="4"/>
          </w:tcPr>
          <w:p>
            <w:pPr>
              <w:spacing w:after="0"/>
              <w:rPr>
                <w:sz w:val="24"/>
                <w:szCs w:val="24"/>
                <w:color w:val="auto"/>
              </w:rPr>
            </w:pPr>
          </w:p>
        </w:tc>
        <w:tc>
          <w:tcPr>
            <w:tcW w:w="2540" w:type="dxa"/>
            <w:vAlign w:val="bottom"/>
            <w:gridSpan w:val="44"/>
          </w:tcPr>
          <w:p>
            <w:pPr>
              <w:spacing w:after="0"/>
              <w:rPr>
                <w:sz w:val="24"/>
                <w:szCs w:val="24"/>
                <w:color w:val="auto"/>
              </w:rPr>
            </w:pPr>
          </w:p>
        </w:tc>
        <w:tc>
          <w:tcPr>
            <w:tcW w:w="3120" w:type="dxa"/>
            <w:vAlign w:val="bottom"/>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38"/>
          </w:tcPr>
          <w:p>
            <w:pPr>
              <w:jc w:val="center"/>
              <w:spacing w:after="0"/>
              <w:rPr>
                <w:sz w:val="20"/>
                <w:szCs w:val="20"/>
                <w:color w:val="auto"/>
              </w:rPr>
            </w:pPr>
            <w:r>
              <w:rPr>
                <w:rFonts w:ascii="Arial" w:cs="Arial" w:eastAsia="Arial" w:hAnsi="Arial"/>
                <w:sz w:val="18"/>
                <w:szCs w:val="18"/>
                <w:color w:val="auto"/>
                <w:w w:val="94"/>
              </w:rPr>
              <w:t>PAYMENTS; PRO RATA TREATMENT; COMPUTATIONS; ETC.</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SECTION 4.01.</w:t>
            </w:r>
          </w:p>
        </w:tc>
        <w:tc>
          <w:tcPr>
            <w:tcW w:w="1000" w:type="dxa"/>
            <w:vAlign w:val="bottom"/>
            <w:gridSpan w:val="5"/>
          </w:tcPr>
          <w:p>
            <w:pPr>
              <w:ind w:left="140"/>
              <w:spacing w:after="0"/>
              <w:rPr>
                <w:sz w:val="20"/>
                <w:szCs w:val="20"/>
                <w:color w:val="auto"/>
              </w:rPr>
            </w:pPr>
            <w:r>
              <w:rPr>
                <w:rFonts w:ascii="Arial" w:cs="Arial" w:eastAsia="Arial" w:hAnsi="Arial"/>
                <w:sz w:val="18"/>
                <w:szCs w:val="18"/>
                <w:color w:val="auto"/>
              </w:rPr>
              <w:t>Payments</w:t>
            </w:r>
          </w:p>
        </w:tc>
        <w:tc>
          <w:tcPr>
            <w:tcW w:w="20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89"/>
              </w:rPr>
              <w:t>78</w:t>
            </w: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b w:val="1"/>
                <w:bCs w:val="1"/>
                <w:color w:val="0000FF"/>
                <w:w w:val="79"/>
              </w:rPr>
              <w:t>80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FF0000"/>
                <w:strike w:val="1"/>
                <w:w w:val="99"/>
              </w:rPr>
              <w:t>78</w:t>
            </w:r>
          </w:p>
        </w:tc>
        <w:tc>
          <w:tcPr>
            <w:tcW w:w="1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0000FF"/>
                <w:w w:val="79"/>
              </w:rPr>
              <w:t>81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4.02.</w:t>
            </w:r>
          </w:p>
        </w:tc>
        <w:tc>
          <w:tcPr>
            <w:tcW w:w="1680" w:type="dxa"/>
            <w:vAlign w:val="bottom"/>
            <w:gridSpan w:val="18"/>
          </w:tcPr>
          <w:p>
            <w:pPr>
              <w:ind w:left="140"/>
              <w:spacing w:after="0" w:line="196" w:lineRule="exact"/>
              <w:rPr>
                <w:sz w:val="20"/>
                <w:szCs w:val="20"/>
                <w:color w:val="auto"/>
              </w:rPr>
            </w:pPr>
            <w:r>
              <w:rPr>
                <w:rFonts w:ascii="Arial" w:cs="Arial" w:eastAsia="Arial" w:hAnsi="Arial"/>
                <w:sz w:val="18"/>
                <w:szCs w:val="18"/>
                <w:color w:val="auto"/>
                <w:w w:val="94"/>
              </w:rPr>
              <w:t>Pro Rata Treatment</w:t>
            </w:r>
          </w:p>
        </w:tc>
        <w:tc>
          <w:tcPr>
            <w:tcW w:w="220" w:type="dxa"/>
            <w:vAlign w:val="bottom"/>
            <w:gridSpan w:val="4"/>
            <w:vMerge w:val="continue"/>
          </w:tcPr>
          <w:p>
            <w:pPr>
              <w:spacing w:after="0"/>
              <w:rPr>
                <w:sz w:val="17"/>
                <w:szCs w:val="17"/>
                <w:color w:val="auto"/>
              </w:rPr>
            </w:pPr>
          </w:p>
        </w:tc>
        <w:tc>
          <w:tcPr>
            <w:tcW w:w="180" w:type="dxa"/>
            <w:vAlign w:val="bottom"/>
            <w:tcBorders>
              <w:bottom w:val="single" w:sz="8" w:color="0000FF"/>
            </w:tcBorders>
            <w:gridSpan w:val="4"/>
            <w:vMerge w:val="continue"/>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4.03.</w:t>
            </w:r>
          </w:p>
        </w:tc>
        <w:tc>
          <w:tcPr>
            <w:tcW w:w="1320" w:type="dxa"/>
            <w:vAlign w:val="bottom"/>
            <w:gridSpan w:val="12"/>
          </w:tcPr>
          <w:p>
            <w:pPr>
              <w:ind w:left="140"/>
              <w:spacing w:after="0" w:line="196" w:lineRule="exact"/>
              <w:rPr>
                <w:sz w:val="20"/>
                <w:szCs w:val="20"/>
                <w:color w:val="auto"/>
              </w:rPr>
            </w:pPr>
            <w:r>
              <w:rPr>
                <w:rFonts w:ascii="Arial" w:cs="Arial" w:eastAsia="Arial" w:hAnsi="Arial"/>
                <w:sz w:val="18"/>
                <w:szCs w:val="18"/>
                <w:color w:val="auto"/>
              </w:rPr>
              <w:t>Computations</w:t>
            </w:r>
          </w:p>
        </w:tc>
        <w:tc>
          <w:tcPr>
            <w:tcW w:w="2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79</w:t>
            </w:r>
          </w:p>
        </w:tc>
        <w:tc>
          <w:tcPr>
            <w:tcW w:w="160" w:type="dxa"/>
            <w:vAlign w:val="bottom"/>
            <w:gridSpan w:val="3"/>
          </w:tcPr>
          <w:p>
            <w:pPr>
              <w:spacing w:after="0"/>
              <w:rPr>
                <w:sz w:val="20"/>
                <w:szCs w:val="20"/>
                <w:color w:val="auto"/>
              </w:rPr>
            </w:pPr>
            <w:r>
              <w:rPr>
                <w:rFonts w:ascii="Arial" w:cs="Arial" w:eastAsia="Arial" w:hAnsi="Arial"/>
                <w:sz w:val="15"/>
                <w:szCs w:val="15"/>
                <w:b w:val="1"/>
                <w:bCs w:val="1"/>
                <w:color w:val="0000FF"/>
                <w:w w:val="71"/>
              </w:rPr>
              <w:t>81</w:t>
            </w:r>
          </w:p>
        </w:tc>
        <w:tc>
          <w:tcPr>
            <w:tcW w:w="24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FF0000"/>
                <w:strike w:val="1"/>
              </w:rPr>
              <w:t>79</w:t>
            </w:r>
          </w:p>
        </w:tc>
        <w:tc>
          <w:tcPr>
            <w:tcW w:w="1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0000FF"/>
                <w:w w:val="79"/>
              </w:rPr>
              <w:t>81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5"/>
            <w:vMerge w:val="continue"/>
          </w:tcPr>
          <w:p>
            <w:pPr>
              <w:spacing w:after="0" w:line="20" w:lineRule="exact"/>
              <w:rPr>
                <w:sz w:val="1"/>
                <w:szCs w:val="1"/>
                <w:color w:val="auto"/>
              </w:rPr>
            </w:pPr>
          </w:p>
        </w:tc>
        <w:tc>
          <w:tcPr>
            <w:tcW w:w="18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4.04.</w:t>
            </w:r>
          </w:p>
        </w:tc>
        <w:tc>
          <w:tcPr>
            <w:tcW w:w="1680" w:type="dxa"/>
            <w:vAlign w:val="bottom"/>
            <w:gridSpan w:val="18"/>
          </w:tcPr>
          <w:p>
            <w:pPr>
              <w:ind w:left="140"/>
              <w:spacing w:after="0" w:line="196" w:lineRule="exact"/>
              <w:rPr>
                <w:sz w:val="20"/>
                <w:szCs w:val="20"/>
                <w:color w:val="auto"/>
              </w:rPr>
            </w:pPr>
            <w:r>
              <w:rPr>
                <w:rFonts w:ascii="Arial" w:cs="Arial" w:eastAsia="Arial" w:hAnsi="Arial"/>
                <w:sz w:val="18"/>
                <w:szCs w:val="18"/>
                <w:color w:val="auto"/>
              </w:rPr>
              <w:t>Minimum Amounts</w:t>
            </w:r>
          </w:p>
        </w:tc>
        <w:tc>
          <w:tcPr>
            <w:tcW w:w="240" w:type="dxa"/>
            <w:vAlign w:val="bottom"/>
            <w:gridSpan w:val="5"/>
            <w:vMerge w:val="continue"/>
          </w:tcPr>
          <w:p>
            <w:pPr>
              <w:spacing w:after="0"/>
              <w:rPr>
                <w:sz w:val="17"/>
                <w:szCs w:val="17"/>
                <w:color w:val="auto"/>
              </w:rPr>
            </w:pPr>
          </w:p>
        </w:tc>
        <w:tc>
          <w:tcPr>
            <w:tcW w:w="180" w:type="dxa"/>
            <w:vAlign w:val="bottom"/>
            <w:tcBorders>
              <w:bottom w:val="single" w:sz="8" w:color="0000FF"/>
            </w:tcBorders>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4.05.</w:t>
            </w:r>
          </w:p>
        </w:tc>
        <w:tc>
          <w:tcPr>
            <w:tcW w:w="1320" w:type="dxa"/>
            <w:vAlign w:val="bottom"/>
            <w:gridSpan w:val="12"/>
          </w:tcPr>
          <w:p>
            <w:pPr>
              <w:ind w:left="140"/>
              <w:spacing w:after="0" w:line="196" w:lineRule="exact"/>
              <w:rPr>
                <w:sz w:val="20"/>
                <w:szCs w:val="20"/>
                <w:color w:val="auto"/>
              </w:rPr>
            </w:pPr>
            <w:r>
              <w:rPr>
                <w:rFonts w:ascii="Arial" w:cs="Arial" w:eastAsia="Arial" w:hAnsi="Arial"/>
                <w:sz w:val="18"/>
                <w:szCs w:val="18"/>
                <w:color w:val="auto"/>
                <w:w w:val="94"/>
              </w:rPr>
              <w:t>Certain Notices</w:t>
            </w:r>
          </w:p>
        </w:tc>
        <w:tc>
          <w:tcPr>
            <w:tcW w:w="60" w:type="dxa"/>
            <w:vAlign w:val="bottom"/>
          </w:tcPr>
          <w:p>
            <w:pPr>
              <w:spacing w:after="0"/>
              <w:rPr>
                <w:sz w:val="17"/>
                <w:szCs w:val="17"/>
                <w:color w:val="auto"/>
              </w:rPr>
            </w:pPr>
          </w:p>
        </w:tc>
        <w:tc>
          <w:tcPr>
            <w:tcW w:w="26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FF0000"/>
                <w:strike w:val="1"/>
              </w:rPr>
              <w:t>79</w:t>
            </w:r>
          </w:p>
        </w:tc>
        <w:tc>
          <w:tcPr>
            <w:tcW w:w="180" w:type="dxa"/>
            <w:vAlign w:val="bottom"/>
            <w:gridSpan w:val="3"/>
          </w:tcPr>
          <w:p>
            <w:pPr>
              <w:spacing w:after="0" w:line="196" w:lineRule="exact"/>
              <w:rPr>
                <w:sz w:val="20"/>
                <w:szCs w:val="20"/>
                <w:color w:val="auto"/>
              </w:rPr>
            </w:pPr>
            <w:r>
              <w:rPr>
                <w:rFonts w:ascii="Arial" w:cs="Arial" w:eastAsia="Arial" w:hAnsi="Arial"/>
                <w:sz w:val="18"/>
                <w:szCs w:val="18"/>
                <w:b w:val="1"/>
                <w:bCs w:val="1"/>
                <w:color w:val="0000FF"/>
                <w:w w:val="79"/>
              </w:rPr>
              <w:t>82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80</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79"/>
              </w:rPr>
              <w:t>82</w:t>
            </w:r>
          </w:p>
        </w:tc>
        <w:tc>
          <w:tcPr>
            <w:tcW w:w="2760" w:type="dxa"/>
            <w:vAlign w:val="bottom"/>
            <w:gridSpan w:val="4"/>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60" w:type="dxa"/>
            <w:vAlign w:val="bottom"/>
            <w:gridSpan w:val="32"/>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4.06.</w:t>
            </w:r>
          </w:p>
        </w:tc>
        <w:tc>
          <w:tcPr>
            <w:tcW w:w="3760" w:type="dxa"/>
            <w:vAlign w:val="bottom"/>
            <w:gridSpan w:val="54"/>
          </w:tcPr>
          <w:p>
            <w:pPr>
              <w:ind w:left="140"/>
              <w:spacing w:after="0" w:line="196" w:lineRule="exact"/>
              <w:rPr>
                <w:sz w:val="20"/>
                <w:szCs w:val="20"/>
                <w:color w:val="auto"/>
              </w:rPr>
            </w:pPr>
            <w:r>
              <w:rPr>
                <w:rFonts w:ascii="Arial" w:cs="Arial" w:eastAsia="Arial" w:hAnsi="Arial"/>
                <w:sz w:val="18"/>
                <w:szCs w:val="18"/>
                <w:color w:val="auto"/>
                <w:w w:val="97"/>
              </w:rPr>
              <w:t>Non-Receipt of Funds by Administrative Agent</w:t>
            </w:r>
          </w:p>
        </w:tc>
        <w:tc>
          <w:tcPr>
            <w:tcW w:w="180" w:type="dxa"/>
            <w:vAlign w:val="bottom"/>
            <w:gridSpan w:val="2"/>
            <w:vMerge w:val="continue"/>
          </w:tcPr>
          <w:p>
            <w:pPr>
              <w:spacing w:after="0"/>
              <w:rPr>
                <w:sz w:val="17"/>
                <w:szCs w:val="17"/>
                <w:color w:val="auto"/>
              </w:rPr>
            </w:pPr>
          </w:p>
        </w:tc>
        <w:tc>
          <w:tcPr>
            <w:tcW w:w="180" w:type="dxa"/>
            <w:vAlign w:val="bottom"/>
            <w:tcBorders>
              <w:bottom w:val="single" w:sz="8" w:color="0000FF"/>
            </w:tcBorders>
            <w:vMerge w:val="continue"/>
          </w:tcPr>
          <w:p>
            <w:pPr>
              <w:spacing w:after="0"/>
              <w:rPr>
                <w:sz w:val="17"/>
                <w:szCs w:val="17"/>
                <w:color w:val="auto"/>
              </w:rPr>
            </w:pPr>
          </w:p>
        </w:tc>
        <w:tc>
          <w:tcPr>
            <w:tcW w:w="27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58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300" w:type="dxa"/>
            <w:vAlign w:val="bottom"/>
            <w:vMerge w:val="restart"/>
          </w:tcPr>
          <w:p>
            <w:pPr>
              <w:spacing w:after="0"/>
              <w:rPr>
                <w:sz w:val="20"/>
                <w:szCs w:val="20"/>
                <w:color w:val="auto"/>
              </w:rPr>
            </w:pPr>
            <w:r>
              <w:rPr>
                <w:rFonts w:ascii="Arial" w:cs="Arial" w:eastAsia="Arial" w:hAnsi="Arial"/>
                <w:sz w:val="18"/>
                <w:szCs w:val="18"/>
                <w:color w:val="auto"/>
              </w:rPr>
              <w:t>SECTION 4.07.</w:t>
            </w:r>
          </w:p>
        </w:tc>
        <w:tc>
          <w:tcPr>
            <w:tcW w:w="3320" w:type="dxa"/>
            <w:vAlign w:val="bottom"/>
            <w:gridSpan w:val="47"/>
            <w:vMerge w:val="restart"/>
          </w:tcPr>
          <w:p>
            <w:pPr>
              <w:ind w:left="140"/>
              <w:spacing w:after="0"/>
              <w:rPr>
                <w:sz w:val="20"/>
                <w:szCs w:val="20"/>
                <w:color w:val="auto"/>
              </w:rPr>
            </w:pPr>
            <w:r>
              <w:rPr>
                <w:rFonts w:ascii="Arial" w:cs="Arial" w:eastAsia="Arial" w:hAnsi="Arial"/>
                <w:sz w:val="18"/>
                <w:szCs w:val="18"/>
                <w:color w:val="auto"/>
                <w:w w:val="96"/>
              </w:rPr>
              <w:t>Right of Setoff, Sharing of Payments; Etc</w:t>
            </w:r>
          </w:p>
        </w:tc>
        <w:tc>
          <w:tcPr>
            <w:tcW w:w="1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FF0000"/>
                <w:strike w:val="1"/>
                <w:w w:val="79"/>
              </w:rPr>
              <w:t>81</w:t>
            </w:r>
          </w:p>
        </w:tc>
        <w:tc>
          <w:tcPr>
            <w:tcW w:w="260" w:type="dxa"/>
            <w:vAlign w:val="bottom"/>
            <w:gridSpan w:val="5"/>
            <w:vMerge w:val="restart"/>
          </w:tcPr>
          <w:p>
            <w:pPr>
              <w:jc w:val="right"/>
              <w:ind w:right="80"/>
              <w:spacing w:after="0"/>
              <w:rPr>
                <w:sz w:val="20"/>
                <w:szCs w:val="20"/>
                <w:color w:val="auto"/>
              </w:rPr>
            </w:pPr>
            <w:r>
              <w:rPr>
                <w:rFonts w:ascii="Arial" w:cs="Arial" w:eastAsia="Arial" w:hAnsi="Arial"/>
                <w:sz w:val="18"/>
                <w:szCs w:val="18"/>
                <w:b w:val="1"/>
                <w:bCs w:val="1"/>
                <w:color w:val="0000FF"/>
                <w:w w:val="79"/>
              </w:rPr>
              <w:t>83</w:t>
            </w: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20" w:type="dxa"/>
            <w:vAlign w:val="bottom"/>
            <w:gridSpan w:val="5"/>
            <w:vMerge w:val="restart"/>
          </w:tcPr>
          <w:p>
            <w:pPr>
              <w:jc w:val="center"/>
              <w:ind w:right="1120"/>
              <w:spacing w:after="0"/>
              <w:rPr>
                <w:sz w:val="20"/>
                <w:szCs w:val="20"/>
                <w:color w:val="auto"/>
              </w:rPr>
            </w:pPr>
            <w:r>
              <w:rPr>
                <w:rFonts w:ascii="Arial" w:cs="Arial" w:eastAsia="Arial" w:hAnsi="Arial"/>
                <w:sz w:val="18"/>
                <w:szCs w:val="18"/>
                <w:color w:val="auto"/>
                <w:w w:val="95"/>
              </w:rPr>
              <w:t>ARTICLE V.</w:t>
            </w:r>
          </w:p>
        </w:tc>
        <w:tc>
          <w:tcPr>
            <w:tcW w:w="0" w:type="dxa"/>
            <w:vAlign w:val="bottom"/>
          </w:tcPr>
          <w:p>
            <w:pPr>
              <w:spacing w:after="0" w:line="20" w:lineRule="exact"/>
              <w:rPr>
                <w:sz w:val="1"/>
                <w:szCs w:val="1"/>
                <w:color w:val="auto"/>
              </w:rPr>
            </w:pPr>
          </w:p>
        </w:tc>
      </w:tr>
      <w:tr>
        <w:trPr>
          <w:trHeight w:val="174"/>
        </w:trPr>
        <w:tc>
          <w:tcPr>
            <w:tcW w:w="1300" w:type="dxa"/>
            <w:vAlign w:val="bottom"/>
            <w:vMerge w:val="continue"/>
          </w:tcPr>
          <w:p>
            <w:pPr>
              <w:spacing w:after="0"/>
              <w:rPr>
                <w:sz w:val="15"/>
                <w:szCs w:val="15"/>
                <w:color w:val="auto"/>
              </w:rPr>
            </w:pPr>
          </w:p>
        </w:tc>
        <w:tc>
          <w:tcPr>
            <w:tcW w:w="3320" w:type="dxa"/>
            <w:vAlign w:val="bottom"/>
            <w:gridSpan w:val="47"/>
            <w:vMerge w:val="continue"/>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260" w:type="dxa"/>
            <w:vAlign w:val="bottom"/>
            <w:gridSpan w:val="5"/>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800" w:type="dxa"/>
            <w:vAlign w:val="bottom"/>
            <w:gridSpan w:val="51"/>
          </w:tcPr>
          <w:p>
            <w:pPr>
              <w:spacing w:after="0"/>
              <w:rPr>
                <w:sz w:val="24"/>
                <w:szCs w:val="24"/>
                <w:color w:val="auto"/>
              </w:rPr>
            </w:pPr>
          </w:p>
        </w:tc>
        <w:tc>
          <w:tcPr>
            <w:tcW w:w="180" w:type="dxa"/>
            <w:vAlign w:val="bottom"/>
            <w:tcBorders>
              <w:top w:val="single" w:sz="8" w:color="0000FF"/>
            </w:tcBorders>
            <w:gridSpan w:val="4"/>
          </w:tcPr>
          <w:p>
            <w:pPr>
              <w:spacing w:after="0"/>
              <w:rPr>
                <w:sz w:val="24"/>
                <w:szCs w:val="24"/>
                <w:color w:val="auto"/>
              </w:rPr>
            </w:pPr>
          </w:p>
        </w:tc>
        <w:tc>
          <w:tcPr>
            <w:tcW w:w="160" w:type="dxa"/>
            <w:vAlign w:val="bottom"/>
            <w:gridSpan w:val="3"/>
          </w:tcPr>
          <w:p>
            <w:pPr>
              <w:spacing w:after="0"/>
              <w:rPr>
                <w:sz w:val="24"/>
                <w:szCs w:val="24"/>
                <w:color w:val="auto"/>
              </w:rPr>
            </w:pPr>
          </w:p>
        </w:tc>
        <w:tc>
          <w:tcPr>
            <w:tcW w:w="222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15"/>
          </w:tcPr>
          <w:p>
            <w:pPr>
              <w:jc w:val="center"/>
              <w:ind w:right="560"/>
              <w:spacing w:after="0"/>
              <w:rPr>
                <w:sz w:val="20"/>
                <w:szCs w:val="20"/>
                <w:color w:val="auto"/>
              </w:rPr>
            </w:pPr>
            <w:r>
              <w:rPr>
                <w:rFonts w:ascii="Arial" w:cs="Arial" w:eastAsia="Arial" w:hAnsi="Arial"/>
                <w:sz w:val="18"/>
                <w:szCs w:val="18"/>
                <w:color w:val="auto"/>
                <w:w w:val="96"/>
              </w:rPr>
              <w:t>YIELD PROTECTION, ETC.</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SECTION 5.01.</w:t>
            </w:r>
          </w:p>
        </w:tc>
        <w:tc>
          <w:tcPr>
            <w:tcW w:w="1560" w:type="dxa"/>
            <w:vAlign w:val="bottom"/>
            <w:gridSpan w:val="16"/>
          </w:tcPr>
          <w:p>
            <w:pPr>
              <w:ind w:left="140"/>
              <w:spacing w:after="0"/>
              <w:rPr>
                <w:sz w:val="20"/>
                <w:szCs w:val="20"/>
                <w:color w:val="auto"/>
              </w:rPr>
            </w:pPr>
            <w:r>
              <w:rPr>
                <w:rFonts w:ascii="Arial" w:cs="Arial" w:eastAsia="Arial" w:hAnsi="Arial"/>
                <w:sz w:val="18"/>
                <w:szCs w:val="18"/>
                <w:color w:val="auto"/>
              </w:rPr>
              <w:t>Additional Costs</w:t>
            </w:r>
          </w:p>
        </w:tc>
        <w:tc>
          <w:tcPr>
            <w:tcW w:w="140" w:type="dxa"/>
            <w:vAlign w:val="bottom"/>
            <w:gridSpan w:val="4"/>
          </w:tcPr>
          <w:p>
            <w:pPr>
              <w:jc w:val="right"/>
              <w:spacing w:after="0"/>
              <w:rPr>
                <w:sz w:val="20"/>
                <w:szCs w:val="20"/>
                <w:color w:val="auto"/>
              </w:rPr>
            </w:pPr>
            <w:r>
              <w:rPr>
                <w:rFonts w:ascii="Arial" w:cs="Arial" w:eastAsia="Arial" w:hAnsi="Arial"/>
                <w:sz w:val="17"/>
                <w:szCs w:val="17"/>
                <w:b w:val="1"/>
                <w:bCs w:val="1"/>
                <w:color w:val="FF0000"/>
                <w:strike w:val="1"/>
                <w:w w:val="73"/>
              </w:rPr>
              <w:t>82</w:t>
            </w:r>
          </w:p>
        </w:tc>
        <w:tc>
          <w:tcPr>
            <w:tcW w:w="200" w:type="dxa"/>
            <w:vAlign w:val="bottom"/>
            <w:gridSpan w:val="3"/>
          </w:tcPr>
          <w:p>
            <w:pPr>
              <w:jc w:val="right"/>
              <w:spacing w:after="0"/>
              <w:rPr>
                <w:sz w:val="20"/>
                <w:szCs w:val="20"/>
                <w:color w:val="auto"/>
              </w:rPr>
            </w:pPr>
            <w:r>
              <w:rPr>
                <w:rFonts w:ascii="Arial" w:cs="Arial" w:eastAsia="Arial" w:hAnsi="Arial"/>
                <w:sz w:val="18"/>
                <w:szCs w:val="18"/>
                <w:b w:val="1"/>
                <w:bCs w:val="1"/>
                <w:color w:val="0000FF"/>
                <w:w w:val="89"/>
              </w:rPr>
              <w:t>84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79"/>
              </w:rPr>
              <w:t>83</w:t>
            </w:r>
          </w:p>
        </w:tc>
        <w:tc>
          <w:tcPr>
            <w:tcW w:w="200" w:type="dxa"/>
            <w:vAlign w:val="bottom"/>
            <w:gridSpan w:val="2"/>
            <w:vMerge w:val="restart"/>
          </w:tcPr>
          <w:p>
            <w:pPr>
              <w:spacing w:after="0"/>
              <w:rPr>
                <w:sz w:val="20"/>
                <w:szCs w:val="20"/>
                <w:color w:val="auto"/>
              </w:rPr>
            </w:pPr>
            <w:r>
              <w:rPr>
                <w:rFonts w:ascii="Arial" w:cs="Arial" w:eastAsia="Arial" w:hAnsi="Arial"/>
                <w:sz w:val="18"/>
                <w:szCs w:val="18"/>
                <w:b w:val="1"/>
                <w:bCs w:val="1"/>
                <w:color w:val="0000FF"/>
                <w:w w:val="89"/>
              </w:rPr>
              <w:t>85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0" w:type="dxa"/>
            <w:vAlign w:val="bottom"/>
            <w:gridSpan w:val="21"/>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20" w:type="dxa"/>
            <w:vAlign w:val="bottom"/>
            <w:gridSpan w:val="20"/>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7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5.02.</w:t>
            </w:r>
          </w:p>
        </w:tc>
        <w:tc>
          <w:tcPr>
            <w:tcW w:w="2920" w:type="dxa"/>
            <w:vAlign w:val="bottom"/>
            <w:gridSpan w:val="43"/>
          </w:tcPr>
          <w:p>
            <w:pPr>
              <w:ind w:left="140"/>
              <w:spacing w:after="0" w:line="196" w:lineRule="exact"/>
              <w:rPr>
                <w:sz w:val="20"/>
                <w:szCs w:val="20"/>
                <w:color w:val="auto"/>
              </w:rPr>
            </w:pPr>
            <w:r>
              <w:rPr>
                <w:rFonts w:ascii="Arial" w:cs="Arial" w:eastAsia="Arial" w:hAnsi="Arial"/>
                <w:sz w:val="18"/>
                <w:szCs w:val="18"/>
                <w:color w:val="auto"/>
                <w:w w:val="97"/>
              </w:rPr>
              <w:t>Inability To Determine Interest Rate</w:t>
            </w:r>
          </w:p>
        </w:tc>
        <w:tc>
          <w:tcPr>
            <w:tcW w:w="180" w:type="dxa"/>
            <w:vAlign w:val="bottom"/>
            <w:vMerge w:val="continue"/>
          </w:tcPr>
          <w:p>
            <w:pPr>
              <w:spacing w:after="0"/>
              <w:rPr>
                <w:sz w:val="17"/>
                <w:szCs w:val="17"/>
                <w:color w:val="auto"/>
              </w:rPr>
            </w:pPr>
          </w:p>
        </w:tc>
        <w:tc>
          <w:tcPr>
            <w:tcW w:w="200" w:type="dxa"/>
            <w:vAlign w:val="bottom"/>
            <w:tcBorders>
              <w:bottom w:val="single" w:sz="8" w:color="0000FF"/>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5.03.</w:t>
            </w:r>
          </w:p>
        </w:tc>
        <w:tc>
          <w:tcPr>
            <w:tcW w:w="96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Illegality</w:t>
            </w:r>
          </w:p>
        </w:tc>
        <w:tc>
          <w:tcPr>
            <w:tcW w:w="200" w:type="dxa"/>
            <w:vAlign w:val="bottom"/>
            <w:gridSpan w:val="3"/>
          </w:tcPr>
          <w:p>
            <w:pPr>
              <w:spacing w:after="0" w:line="196" w:lineRule="exact"/>
              <w:rPr>
                <w:sz w:val="20"/>
                <w:szCs w:val="20"/>
                <w:color w:val="auto"/>
              </w:rPr>
            </w:pPr>
            <w:r>
              <w:rPr>
                <w:rFonts w:ascii="Arial" w:cs="Arial" w:eastAsia="Arial" w:hAnsi="Arial"/>
                <w:sz w:val="18"/>
                <w:szCs w:val="18"/>
                <w:b w:val="1"/>
                <w:bCs w:val="1"/>
                <w:color w:val="FF0000"/>
                <w:strike w:val="1"/>
                <w:w w:val="79"/>
              </w:rPr>
              <w:t>83</w:t>
            </w:r>
          </w:p>
        </w:tc>
        <w:tc>
          <w:tcPr>
            <w:tcW w:w="180" w:type="dxa"/>
            <w:vAlign w:val="bottom"/>
            <w:gridSpan w:val="3"/>
          </w:tcPr>
          <w:p>
            <w:pPr>
              <w:jc w:val="right"/>
              <w:spacing w:after="0"/>
              <w:rPr>
                <w:sz w:val="20"/>
                <w:szCs w:val="20"/>
                <w:color w:val="auto"/>
              </w:rPr>
            </w:pPr>
            <w:r>
              <w:rPr>
                <w:rFonts w:ascii="Arial" w:cs="Arial" w:eastAsia="Arial" w:hAnsi="Arial"/>
                <w:sz w:val="17"/>
                <w:szCs w:val="17"/>
                <w:b w:val="1"/>
                <w:bCs w:val="1"/>
                <w:color w:val="0000FF"/>
                <w:w w:val="73"/>
              </w:rPr>
              <w:t>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b w:val="1"/>
                <w:bCs w:val="1"/>
                <w:color w:val="FF0000"/>
                <w:strike w:val="1"/>
                <w:w w:val="74"/>
              </w:rPr>
              <w:t>83</w:t>
            </w:r>
          </w:p>
        </w:tc>
        <w:tc>
          <w:tcPr>
            <w:tcW w:w="160" w:type="dxa"/>
            <w:vAlign w:val="bottom"/>
            <w:gridSpan w:val="3"/>
            <w:vMerge w:val="restart"/>
          </w:tcPr>
          <w:p>
            <w:pPr>
              <w:jc w:val="right"/>
              <w:spacing w:after="0"/>
              <w:rPr>
                <w:sz w:val="20"/>
                <w:szCs w:val="20"/>
                <w:color w:val="auto"/>
              </w:rPr>
            </w:pPr>
            <w:r>
              <w:rPr>
                <w:rFonts w:ascii="Arial" w:cs="Arial" w:eastAsia="Arial" w:hAnsi="Arial"/>
                <w:sz w:val="17"/>
                <w:szCs w:val="17"/>
                <w:b w:val="1"/>
                <w:bCs w:val="1"/>
                <w:color w:val="0000FF"/>
                <w:w w:val="73"/>
              </w:rPr>
              <w:t>86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Borders>
              <w:right w:val="single" w:sz="8" w:color="0000FF"/>
            </w:tcBorders>
            <w:gridSpan w:val="7"/>
          </w:tcPr>
          <w:p>
            <w:pPr>
              <w:spacing w:after="0" w:line="20" w:lineRule="exact"/>
              <w:rPr>
                <w:sz w:val="1"/>
                <w:szCs w:val="1"/>
                <w:color w:val="auto"/>
              </w:rPr>
            </w:pPr>
          </w:p>
        </w:tc>
        <w:tc>
          <w:tcPr>
            <w:tcW w:w="1300" w:type="dxa"/>
            <w:vAlign w:val="bottom"/>
            <w:tcBorders>
              <w:left w:val="single" w:sz="8" w:color="0000FF"/>
            </w:tcBorders>
            <w:gridSpan w:val="31"/>
            <w:shd w:val="clear" w:color="auto" w:fill="0000FF"/>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330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5.04.</w:t>
            </w:r>
          </w:p>
        </w:tc>
        <w:tc>
          <w:tcPr>
            <w:tcW w:w="2320" w:type="dxa"/>
            <w:vAlign w:val="bottom"/>
            <w:gridSpan w:val="34"/>
          </w:tcPr>
          <w:p>
            <w:pPr>
              <w:ind w:left="140"/>
              <w:spacing w:after="0" w:line="196" w:lineRule="exact"/>
              <w:rPr>
                <w:sz w:val="20"/>
                <w:szCs w:val="20"/>
                <w:color w:val="auto"/>
              </w:rPr>
            </w:pPr>
            <w:r>
              <w:rPr>
                <w:rFonts w:ascii="Arial" w:cs="Arial" w:eastAsia="Arial" w:hAnsi="Arial"/>
                <w:sz w:val="18"/>
                <w:szCs w:val="18"/>
                <w:color w:val="auto"/>
                <w:w w:val="95"/>
              </w:rPr>
              <w:t>Treatment of Affected Loans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60" w:type="dxa"/>
            <w:vAlign w:val="bottom"/>
            <w:tcBorders>
              <w:bottom w:val="single" w:sz="8" w:color="0000FF"/>
            </w:tcBorders>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5.05.</w:t>
            </w:r>
          </w:p>
        </w:tc>
        <w:tc>
          <w:tcPr>
            <w:tcW w:w="1320" w:type="dxa"/>
            <w:vAlign w:val="bottom"/>
            <w:gridSpan w:val="8"/>
          </w:tcPr>
          <w:p>
            <w:pPr>
              <w:ind w:left="140"/>
              <w:spacing w:after="0" w:line="196" w:lineRule="exact"/>
              <w:rPr>
                <w:sz w:val="20"/>
                <w:szCs w:val="20"/>
                <w:color w:val="auto"/>
              </w:rPr>
            </w:pPr>
            <w:r>
              <w:rPr>
                <w:rFonts w:ascii="Arial" w:cs="Arial" w:eastAsia="Arial" w:hAnsi="Arial"/>
                <w:sz w:val="18"/>
                <w:szCs w:val="18"/>
                <w:color w:val="auto"/>
                <w:w w:val="99"/>
              </w:rPr>
              <w:t>Compensation</w:t>
            </w:r>
          </w:p>
        </w:tc>
        <w:tc>
          <w:tcPr>
            <w:tcW w:w="20" w:type="dxa"/>
            <w:vAlign w:val="bottom"/>
          </w:tcPr>
          <w:p>
            <w:pPr>
              <w:spacing w:after="0"/>
              <w:rPr>
                <w:sz w:val="17"/>
                <w:szCs w:val="17"/>
                <w:color w:val="auto"/>
              </w:rPr>
            </w:pPr>
          </w:p>
        </w:tc>
        <w:tc>
          <w:tcPr>
            <w:tcW w:w="220" w:type="dxa"/>
            <w:vAlign w:val="bottom"/>
            <w:gridSpan w:val="7"/>
          </w:tcPr>
          <w:p>
            <w:pPr>
              <w:jc w:val="right"/>
              <w:spacing w:after="0" w:line="196" w:lineRule="exact"/>
              <w:rPr>
                <w:sz w:val="20"/>
                <w:szCs w:val="20"/>
                <w:color w:val="auto"/>
              </w:rPr>
            </w:pPr>
            <w:r>
              <w:rPr>
                <w:rFonts w:ascii="Arial" w:cs="Arial" w:eastAsia="Arial" w:hAnsi="Arial"/>
                <w:sz w:val="18"/>
                <w:szCs w:val="18"/>
                <w:b w:val="1"/>
                <w:bCs w:val="1"/>
                <w:color w:val="FF0000"/>
                <w:strike w:val="1"/>
                <w:w w:val="89"/>
              </w:rPr>
              <w:t>84</w:t>
            </w:r>
          </w:p>
        </w:tc>
        <w:tc>
          <w:tcPr>
            <w:tcW w:w="140" w:type="dxa"/>
            <w:vAlign w:val="bottom"/>
            <w:tcBorders>
              <w:bottom w:val="single" w:sz="8" w:color="0000FF"/>
            </w:tcBorders>
            <w:gridSpan w:val="4"/>
          </w:tcPr>
          <w:p>
            <w:pPr>
              <w:jc w:val="right"/>
              <w:spacing w:after="0"/>
              <w:rPr>
                <w:sz w:val="20"/>
                <w:szCs w:val="20"/>
                <w:color w:val="auto"/>
              </w:rPr>
            </w:pPr>
            <w:r>
              <w:rPr>
                <w:rFonts w:ascii="Arial" w:cs="Arial" w:eastAsia="Arial" w:hAnsi="Arial"/>
                <w:sz w:val="17"/>
                <w:szCs w:val="17"/>
                <w:b w:val="1"/>
                <w:bCs w:val="1"/>
                <w:color w:val="0000FF"/>
                <w:w w:val="73"/>
              </w:rPr>
              <w:t>86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5.06.</w:t>
            </w:r>
          </w:p>
        </w:tc>
        <w:tc>
          <w:tcPr>
            <w:tcW w:w="1320" w:type="dxa"/>
            <w:vAlign w:val="bottom"/>
            <w:gridSpan w:val="8"/>
          </w:tcPr>
          <w:p>
            <w:pPr>
              <w:ind w:left="140"/>
              <w:spacing w:after="0" w:line="196" w:lineRule="exact"/>
              <w:rPr>
                <w:sz w:val="20"/>
                <w:szCs w:val="20"/>
                <w:color w:val="auto"/>
              </w:rPr>
            </w:pPr>
            <w:r>
              <w:rPr>
                <w:rFonts w:ascii="Arial" w:cs="Arial" w:eastAsia="Arial" w:hAnsi="Arial"/>
                <w:sz w:val="18"/>
                <w:szCs w:val="18"/>
                <w:color w:val="auto"/>
              </w:rPr>
              <w:t>Net Payments</w:t>
            </w:r>
          </w:p>
        </w:tc>
        <w:tc>
          <w:tcPr>
            <w:tcW w:w="180" w:type="dxa"/>
            <w:vAlign w:val="bottom"/>
            <w:gridSpan w:val="7"/>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84</w:t>
            </w:r>
          </w:p>
        </w:tc>
        <w:tc>
          <w:tcPr>
            <w:tcW w:w="180" w:type="dxa"/>
            <w:vAlign w:val="bottom"/>
            <w:tcBorders>
              <w:bottom w:val="single" w:sz="8" w:color="0000FF"/>
            </w:tcBorders>
            <w:gridSpan w:val="4"/>
          </w:tcPr>
          <w:p>
            <w:pPr>
              <w:jc w:val="right"/>
              <w:spacing w:after="0" w:line="196" w:lineRule="exact"/>
              <w:rPr>
                <w:sz w:val="20"/>
                <w:szCs w:val="20"/>
                <w:color w:val="auto"/>
              </w:rPr>
            </w:pPr>
            <w:r>
              <w:rPr>
                <w:rFonts w:ascii="Arial" w:cs="Arial" w:eastAsia="Arial" w:hAnsi="Arial"/>
                <w:sz w:val="18"/>
                <w:szCs w:val="18"/>
                <w:b w:val="1"/>
                <w:bCs w:val="1"/>
                <w:color w:val="0000FF"/>
                <w:w w:val="79"/>
              </w:rPr>
              <w:t>87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gridSpan w:val="5"/>
            <w:vMerge w:val="restart"/>
          </w:tcPr>
          <w:p>
            <w:pPr>
              <w:jc w:val="center"/>
              <w:ind w:right="1120"/>
              <w:spacing w:after="0"/>
              <w:rPr>
                <w:sz w:val="20"/>
                <w:szCs w:val="20"/>
                <w:color w:val="auto"/>
              </w:rPr>
            </w:pPr>
            <w:r>
              <w:rPr>
                <w:rFonts w:ascii="Arial" w:cs="Arial" w:eastAsia="Arial" w:hAnsi="Arial"/>
                <w:sz w:val="18"/>
                <w:szCs w:val="18"/>
                <w:color w:val="auto"/>
                <w:w w:val="98"/>
              </w:rPr>
              <w:t>ARTICLE VI.</w:t>
            </w:r>
          </w:p>
        </w:tc>
        <w:tc>
          <w:tcPr>
            <w:tcW w:w="0" w:type="dxa"/>
            <w:vAlign w:val="bottom"/>
          </w:tcPr>
          <w:p>
            <w:pPr>
              <w:spacing w:after="0"/>
              <w:rPr>
                <w:sz w:val="1"/>
                <w:szCs w:val="1"/>
                <w:color w:val="auto"/>
              </w:rPr>
            </w:pPr>
          </w:p>
        </w:tc>
      </w:tr>
      <w:tr>
        <w:trPr>
          <w:trHeight w:val="453"/>
        </w:trPr>
        <w:tc>
          <w:tcPr>
            <w:tcW w:w="5140" w:type="dxa"/>
            <w:vAlign w:val="bottom"/>
            <w:gridSpan w:val="58"/>
          </w:tcPr>
          <w:p>
            <w:pPr>
              <w:spacing w:after="0"/>
              <w:rPr>
                <w:sz w:val="24"/>
                <w:szCs w:val="24"/>
                <w:color w:val="auto"/>
              </w:rPr>
            </w:pPr>
          </w:p>
        </w:tc>
        <w:tc>
          <w:tcPr>
            <w:tcW w:w="222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63"/>
          </w:tcPr>
          <w:p>
            <w:pPr>
              <w:spacing w:after="0"/>
              <w:rPr>
                <w:sz w:val="20"/>
                <w:szCs w:val="20"/>
                <w:color w:val="auto"/>
              </w:rPr>
            </w:pPr>
            <w:r>
              <w:rPr>
                <w:rFonts w:ascii="Arial" w:cs="Arial" w:eastAsia="Arial" w:hAnsi="Arial"/>
                <w:sz w:val="18"/>
                <w:szCs w:val="18"/>
                <w:color w:val="auto"/>
              </w:rPr>
              <w:t>GUARANTEES</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SECTION 6.01.</w:t>
            </w:r>
          </w:p>
        </w:tc>
        <w:tc>
          <w:tcPr>
            <w:tcW w:w="1320" w:type="dxa"/>
            <w:vAlign w:val="bottom"/>
            <w:gridSpan w:val="8"/>
          </w:tcPr>
          <w:p>
            <w:pPr>
              <w:ind w:left="140"/>
              <w:spacing w:after="0"/>
              <w:rPr>
                <w:sz w:val="20"/>
                <w:szCs w:val="20"/>
                <w:color w:val="auto"/>
              </w:rPr>
            </w:pPr>
            <w:r>
              <w:rPr>
                <w:rFonts w:ascii="Arial" w:cs="Arial" w:eastAsia="Arial" w:hAnsi="Arial"/>
                <w:sz w:val="18"/>
                <w:szCs w:val="18"/>
                <w:color w:val="auto"/>
                <w:w w:val="89"/>
              </w:rPr>
              <w:t>The Guarantees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79"/>
              </w:rPr>
              <w:t>87</w:t>
            </w: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b w:val="1"/>
                <w:bCs w:val="1"/>
                <w:color w:val="0000FF"/>
                <w:w w:val="79"/>
              </w:rPr>
              <w:t>89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6"/>
            <w:vMerge w:val="restart"/>
          </w:tcPr>
          <w:p>
            <w:pPr>
              <w:jc w:val="right"/>
              <w:ind w:right="40"/>
              <w:spacing w:after="0"/>
              <w:rPr>
                <w:sz w:val="20"/>
                <w:szCs w:val="20"/>
                <w:color w:val="auto"/>
              </w:rPr>
            </w:pPr>
            <w:r>
              <w:rPr>
                <w:rFonts w:ascii="Arial" w:cs="Arial" w:eastAsia="Arial" w:hAnsi="Arial"/>
                <w:sz w:val="18"/>
                <w:szCs w:val="18"/>
                <w:b w:val="1"/>
                <w:bCs w:val="1"/>
                <w:color w:val="FF0000"/>
                <w:strike w:val="1"/>
                <w:w w:val="79"/>
              </w:rPr>
              <w:t>87</w:t>
            </w:r>
          </w:p>
        </w:tc>
        <w:tc>
          <w:tcPr>
            <w:tcW w:w="1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0000FF"/>
                <w:w w:val="71"/>
              </w:rPr>
              <w:t>90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6.02.</w:t>
            </w:r>
          </w:p>
        </w:tc>
        <w:tc>
          <w:tcPr>
            <w:tcW w:w="2060" w:type="dxa"/>
            <w:vAlign w:val="bottom"/>
            <w:gridSpan w:val="26"/>
          </w:tcPr>
          <w:p>
            <w:pPr>
              <w:ind w:left="140"/>
              <w:spacing w:after="0" w:line="196" w:lineRule="exact"/>
              <w:rPr>
                <w:sz w:val="20"/>
                <w:szCs w:val="20"/>
                <w:color w:val="auto"/>
              </w:rPr>
            </w:pPr>
            <w:r>
              <w:rPr>
                <w:rFonts w:ascii="Arial" w:cs="Arial" w:eastAsia="Arial" w:hAnsi="Arial"/>
                <w:sz w:val="18"/>
                <w:szCs w:val="18"/>
                <w:color w:val="auto"/>
                <w:w w:val="93"/>
              </w:rPr>
              <w:t>Obligations Unconditional</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6"/>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Arial" w:cs="Arial" w:eastAsia="Arial" w:hAnsi="Arial"/>
                <w:sz w:val="18"/>
                <w:szCs w:val="18"/>
                <w:color w:val="auto"/>
              </w:rPr>
              <w:t>SECTION 6.03.</w:t>
            </w:r>
          </w:p>
        </w:tc>
        <w:tc>
          <w:tcPr>
            <w:tcW w:w="1320" w:type="dxa"/>
            <w:vAlign w:val="bottom"/>
            <w:gridSpan w:val="8"/>
            <w:vMerge w:val="restart"/>
          </w:tcPr>
          <w:p>
            <w:pPr>
              <w:ind w:left="140"/>
              <w:spacing w:after="0"/>
              <w:rPr>
                <w:sz w:val="20"/>
                <w:szCs w:val="20"/>
                <w:color w:val="auto"/>
              </w:rPr>
            </w:pPr>
            <w:r>
              <w:rPr>
                <w:rFonts w:ascii="Arial" w:cs="Arial" w:eastAsia="Arial" w:hAnsi="Arial"/>
                <w:sz w:val="18"/>
                <w:szCs w:val="18"/>
                <w:color w:val="auto"/>
                <w:w w:val="99"/>
              </w:rPr>
              <w:t>Reinstatement</w:t>
            </w:r>
          </w:p>
        </w:tc>
        <w:tc>
          <w:tcPr>
            <w:tcW w:w="20" w:type="dxa"/>
            <w:vAlign w:val="bottom"/>
          </w:tcPr>
          <w:p>
            <w:pPr>
              <w:spacing w:after="0" w:line="20" w:lineRule="exact"/>
              <w:rPr>
                <w:sz w:val="1"/>
                <w:szCs w:val="1"/>
                <w:color w:val="auto"/>
              </w:rPr>
            </w:pPr>
          </w:p>
        </w:tc>
        <w:tc>
          <w:tcPr>
            <w:tcW w:w="220" w:type="dxa"/>
            <w:vAlign w:val="bottom"/>
            <w:gridSpan w:val="7"/>
            <w:vMerge w:val="restart"/>
          </w:tcPr>
          <w:p>
            <w:pPr>
              <w:jc w:val="right"/>
              <w:spacing w:after="0"/>
              <w:rPr>
                <w:sz w:val="20"/>
                <w:szCs w:val="20"/>
                <w:color w:val="auto"/>
              </w:rPr>
            </w:pPr>
            <w:r>
              <w:rPr>
                <w:rFonts w:ascii="Arial" w:cs="Arial" w:eastAsia="Arial" w:hAnsi="Arial"/>
                <w:sz w:val="18"/>
                <w:szCs w:val="18"/>
                <w:b w:val="1"/>
                <w:bCs w:val="1"/>
                <w:color w:val="FF0000"/>
                <w:strike w:val="1"/>
                <w:w w:val="79"/>
              </w:rPr>
              <w:t>89</w:t>
            </w:r>
          </w:p>
        </w:tc>
        <w:tc>
          <w:tcPr>
            <w:tcW w:w="140" w:type="dxa"/>
            <w:vAlign w:val="bottom"/>
            <w:gridSpan w:val="4"/>
            <w:vMerge w:val="restart"/>
          </w:tcPr>
          <w:p>
            <w:pPr>
              <w:jc w:val="right"/>
              <w:spacing w:after="0"/>
              <w:rPr>
                <w:sz w:val="20"/>
                <w:szCs w:val="20"/>
                <w:color w:val="auto"/>
              </w:rPr>
            </w:pPr>
            <w:r>
              <w:rPr>
                <w:rFonts w:ascii="Arial" w:cs="Arial" w:eastAsia="Arial" w:hAnsi="Arial"/>
                <w:sz w:val="15"/>
                <w:szCs w:val="15"/>
                <w:b w:val="1"/>
                <w:bCs w:val="1"/>
                <w:color w:val="0000FF"/>
                <w:w w:val="71"/>
              </w:rPr>
              <w:t>91</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vMerge w:val="continue"/>
          </w:tcPr>
          <w:p>
            <w:pPr>
              <w:spacing w:after="0"/>
              <w:rPr>
                <w:sz w:val="17"/>
                <w:szCs w:val="17"/>
                <w:color w:val="auto"/>
              </w:rPr>
            </w:pPr>
          </w:p>
        </w:tc>
        <w:tc>
          <w:tcPr>
            <w:tcW w:w="1320" w:type="dxa"/>
            <w:vAlign w:val="bottom"/>
            <w:gridSpan w:val="8"/>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7"/>
            <w:vMerge w:val="continue"/>
          </w:tcPr>
          <w:p>
            <w:pPr>
              <w:spacing w:after="0"/>
              <w:rPr>
                <w:sz w:val="17"/>
                <w:szCs w:val="17"/>
                <w:color w:val="auto"/>
              </w:rPr>
            </w:pPr>
          </w:p>
        </w:tc>
        <w:tc>
          <w:tcPr>
            <w:tcW w:w="14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FF0000"/>
                <w:strike w:val="1"/>
                <w:w w:val="79"/>
              </w:rPr>
              <w:t>89</w:t>
            </w:r>
          </w:p>
        </w:tc>
        <w:tc>
          <w:tcPr>
            <w:tcW w:w="300" w:type="dxa"/>
            <w:vAlign w:val="bottom"/>
            <w:gridSpan w:val="4"/>
            <w:vMerge w:val="restart"/>
          </w:tcPr>
          <w:p>
            <w:pPr>
              <w:jc w:val="right"/>
              <w:ind w:right="80"/>
              <w:spacing w:after="0"/>
              <w:rPr>
                <w:sz w:val="20"/>
                <w:szCs w:val="20"/>
                <w:color w:val="auto"/>
              </w:rPr>
            </w:pPr>
            <w:r>
              <w:rPr>
                <w:rFonts w:ascii="Arial" w:cs="Arial" w:eastAsia="Arial" w:hAnsi="Arial"/>
                <w:sz w:val="18"/>
                <w:szCs w:val="18"/>
                <w:b w:val="1"/>
                <w:bCs w:val="1"/>
                <w:color w:val="0000FF"/>
                <w:w w:val="99"/>
              </w:rPr>
              <w:t>91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6.04.</w:t>
            </w:r>
          </w:p>
        </w:tc>
        <w:tc>
          <w:tcPr>
            <w:tcW w:w="2320" w:type="dxa"/>
            <w:vAlign w:val="bottom"/>
            <w:gridSpan w:val="34"/>
          </w:tcPr>
          <w:p>
            <w:pPr>
              <w:ind w:left="140"/>
              <w:spacing w:after="0" w:line="196" w:lineRule="exact"/>
              <w:rPr>
                <w:sz w:val="20"/>
                <w:szCs w:val="20"/>
                <w:color w:val="auto"/>
              </w:rPr>
            </w:pPr>
            <w:r>
              <w:rPr>
                <w:rFonts w:ascii="Arial" w:cs="Arial" w:eastAsia="Arial" w:hAnsi="Arial"/>
                <w:sz w:val="18"/>
                <w:szCs w:val="18"/>
                <w:color w:val="auto"/>
                <w:w w:val="99"/>
              </w:rPr>
              <w:t>Subrogation; Subordination</w:t>
            </w:r>
          </w:p>
        </w:tc>
        <w:tc>
          <w:tcPr>
            <w:tcW w:w="140" w:type="dxa"/>
            <w:vAlign w:val="bottom"/>
            <w:gridSpan w:val="3"/>
            <w:vMerge w:val="continue"/>
          </w:tcPr>
          <w:p>
            <w:pPr>
              <w:spacing w:after="0"/>
              <w:rPr>
                <w:sz w:val="17"/>
                <w:szCs w:val="17"/>
                <w:color w:val="auto"/>
              </w:rPr>
            </w:pPr>
          </w:p>
        </w:tc>
        <w:tc>
          <w:tcPr>
            <w:tcW w:w="30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6.05.</w:t>
            </w:r>
          </w:p>
        </w:tc>
        <w:tc>
          <w:tcPr>
            <w:tcW w:w="960" w:type="dxa"/>
            <w:vAlign w:val="bottom"/>
            <w:gridSpan w:val="3"/>
          </w:tcPr>
          <w:p>
            <w:pPr>
              <w:ind w:left="140"/>
              <w:spacing w:after="0" w:line="196" w:lineRule="exact"/>
              <w:rPr>
                <w:sz w:val="20"/>
                <w:szCs w:val="20"/>
                <w:color w:val="auto"/>
              </w:rPr>
            </w:pPr>
            <w:r>
              <w:rPr>
                <w:rFonts w:ascii="Arial" w:cs="Arial" w:eastAsia="Arial" w:hAnsi="Arial"/>
                <w:sz w:val="18"/>
                <w:szCs w:val="18"/>
                <w:color w:val="auto"/>
                <w:w w:val="98"/>
              </w:rPr>
              <w:t>Remedies</w:t>
            </w:r>
          </w:p>
        </w:tc>
        <w:tc>
          <w:tcPr>
            <w:tcW w:w="60" w:type="dxa"/>
            <w:vAlign w:val="bottom"/>
          </w:tcPr>
          <w:p>
            <w:pPr>
              <w:spacing w:after="0"/>
              <w:rPr>
                <w:sz w:val="17"/>
                <w:szCs w:val="17"/>
                <w:color w:val="auto"/>
              </w:rPr>
            </w:pPr>
          </w:p>
        </w:tc>
        <w:tc>
          <w:tcPr>
            <w:tcW w:w="1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89</w:t>
            </w:r>
          </w:p>
        </w:tc>
        <w:tc>
          <w:tcPr>
            <w:tcW w:w="220" w:type="dxa"/>
            <w:vAlign w:val="bottom"/>
            <w:tcBorders>
              <w:bottom w:val="single" w:sz="8" w:color="0000FF"/>
            </w:tcBorders>
            <w:gridSpan w:val="5"/>
          </w:tcPr>
          <w:p>
            <w:pPr>
              <w:jc w:val="right"/>
              <w:spacing w:after="0" w:line="196" w:lineRule="exact"/>
              <w:rPr>
                <w:sz w:val="20"/>
                <w:szCs w:val="20"/>
                <w:color w:val="auto"/>
              </w:rPr>
            </w:pPr>
            <w:r>
              <w:rPr>
                <w:rFonts w:ascii="Arial" w:cs="Arial" w:eastAsia="Arial" w:hAnsi="Arial"/>
                <w:sz w:val="18"/>
                <w:szCs w:val="18"/>
                <w:b w:val="1"/>
                <w:bCs w:val="1"/>
                <w:color w:val="0000FF"/>
                <w:w w:val="99"/>
              </w:rPr>
              <w:t>92</w:t>
            </w:r>
          </w:p>
        </w:tc>
        <w:tc>
          <w:tcPr>
            <w:tcW w:w="20" w:type="dxa"/>
            <w:vAlign w:val="bottom"/>
            <w:tcBorders>
              <w:bottom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FF0000"/>
                <w:strike w:val="1"/>
                <w:w w:val="89"/>
              </w:rPr>
              <w:t>89</w:t>
            </w:r>
          </w:p>
        </w:tc>
        <w:tc>
          <w:tcPr>
            <w:tcW w:w="180" w:type="dxa"/>
            <w:vAlign w:val="bottom"/>
            <w:gridSpan w:val="6"/>
            <w:vMerge w:val="restart"/>
          </w:tcPr>
          <w:p>
            <w:pPr>
              <w:jc w:val="right"/>
              <w:spacing w:after="0"/>
              <w:rPr>
                <w:sz w:val="20"/>
                <w:szCs w:val="20"/>
                <w:color w:val="auto"/>
              </w:rPr>
            </w:pPr>
            <w:r>
              <w:rPr>
                <w:rFonts w:ascii="Arial" w:cs="Arial" w:eastAsia="Arial" w:hAnsi="Arial"/>
                <w:sz w:val="18"/>
                <w:szCs w:val="18"/>
                <w:b w:val="1"/>
                <w:bCs w:val="1"/>
                <w:color w:val="0000FF"/>
                <w:w w:val="79"/>
              </w:rPr>
              <w:t>92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6.06.</w:t>
            </w:r>
          </w:p>
        </w:tc>
        <w:tc>
          <w:tcPr>
            <w:tcW w:w="1900" w:type="dxa"/>
            <w:vAlign w:val="bottom"/>
            <w:gridSpan w:val="23"/>
          </w:tcPr>
          <w:p>
            <w:pPr>
              <w:ind w:left="140"/>
              <w:spacing w:after="0" w:line="196" w:lineRule="exact"/>
              <w:rPr>
                <w:sz w:val="20"/>
                <w:szCs w:val="20"/>
                <w:color w:val="auto"/>
              </w:rPr>
            </w:pPr>
            <w:r>
              <w:rPr>
                <w:rFonts w:ascii="Arial" w:cs="Arial" w:eastAsia="Arial" w:hAnsi="Arial"/>
                <w:sz w:val="18"/>
                <w:szCs w:val="18"/>
                <w:color w:val="auto"/>
                <w:w w:val="97"/>
              </w:rPr>
              <w:t>Continuing Guarantee</w:t>
            </w:r>
          </w:p>
        </w:tc>
        <w:tc>
          <w:tcPr>
            <w:tcW w:w="200" w:type="dxa"/>
            <w:vAlign w:val="bottom"/>
            <w:gridSpan w:val="4"/>
            <w:vMerge w:val="continue"/>
          </w:tcPr>
          <w:p>
            <w:pPr>
              <w:spacing w:after="0"/>
              <w:rPr>
                <w:sz w:val="17"/>
                <w:szCs w:val="17"/>
                <w:color w:val="auto"/>
              </w:rPr>
            </w:pPr>
          </w:p>
        </w:tc>
        <w:tc>
          <w:tcPr>
            <w:tcW w:w="180" w:type="dxa"/>
            <w:vAlign w:val="bottom"/>
            <w:tcBorders>
              <w:bottom w:val="single" w:sz="8" w:color="0000FF"/>
            </w:tcBorders>
            <w:gridSpan w:val="6"/>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FF0000"/>
                <w:strike w:val="1"/>
                <w:w w:val="79"/>
              </w:rPr>
              <w:t>89</w:t>
            </w:r>
          </w:p>
        </w:tc>
        <w:tc>
          <w:tcPr>
            <w:tcW w:w="580" w:type="dxa"/>
            <w:vAlign w:val="bottom"/>
            <w:gridSpan w:val="4"/>
            <w:vMerge w:val="restart"/>
          </w:tcPr>
          <w:p>
            <w:pPr>
              <w:jc w:val="right"/>
              <w:ind w:right="400"/>
              <w:spacing w:after="0"/>
              <w:rPr>
                <w:sz w:val="20"/>
                <w:szCs w:val="20"/>
                <w:color w:val="auto"/>
              </w:rPr>
            </w:pPr>
            <w:r>
              <w:rPr>
                <w:rFonts w:ascii="Arial" w:cs="Arial" w:eastAsia="Arial" w:hAnsi="Arial"/>
                <w:sz w:val="18"/>
                <w:szCs w:val="18"/>
                <w:b w:val="1"/>
                <w:bCs w:val="1"/>
                <w:color w:val="0000FF"/>
                <w:w w:val="79"/>
              </w:rPr>
              <w:t>92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6.07.</w:t>
            </w:r>
          </w:p>
        </w:tc>
        <w:tc>
          <w:tcPr>
            <w:tcW w:w="3580" w:type="dxa"/>
            <w:vAlign w:val="bottom"/>
            <w:gridSpan w:val="51"/>
          </w:tcPr>
          <w:p>
            <w:pPr>
              <w:ind w:left="140"/>
              <w:spacing w:after="0" w:line="196" w:lineRule="exact"/>
              <w:rPr>
                <w:sz w:val="20"/>
                <w:szCs w:val="20"/>
                <w:color w:val="auto"/>
              </w:rPr>
            </w:pPr>
            <w:r>
              <w:rPr>
                <w:rFonts w:ascii="Arial" w:cs="Arial" w:eastAsia="Arial" w:hAnsi="Arial"/>
                <w:sz w:val="18"/>
                <w:szCs w:val="18"/>
                <w:color w:val="auto"/>
                <w:w w:val="96"/>
              </w:rPr>
              <w:t>General Limitation on Guarantee Obligations</w:t>
            </w:r>
          </w:p>
        </w:tc>
        <w:tc>
          <w:tcPr>
            <w:tcW w:w="180" w:type="dxa"/>
            <w:vAlign w:val="bottom"/>
            <w:gridSpan w:val="4"/>
            <w:vMerge w:val="continue"/>
          </w:tcPr>
          <w:p>
            <w:pPr>
              <w:spacing w:after="0"/>
              <w:rPr>
                <w:sz w:val="17"/>
                <w:szCs w:val="17"/>
                <w:color w:val="auto"/>
              </w:rPr>
            </w:pPr>
          </w:p>
        </w:tc>
        <w:tc>
          <w:tcPr>
            <w:tcW w:w="58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6.08.</w:t>
            </w:r>
          </w:p>
        </w:tc>
        <w:tc>
          <w:tcPr>
            <w:tcW w:w="1900" w:type="dxa"/>
            <w:vAlign w:val="bottom"/>
            <w:gridSpan w:val="23"/>
          </w:tcPr>
          <w:p>
            <w:pPr>
              <w:ind w:left="140"/>
              <w:spacing w:after="0" w:line="196" w:lineRule="exact"/>
              <w:rPr>
                <w:sz w:val="20"/>
                <w:szCs w:val="20"/>
                <w:color w:val="auto"/>
              </w:rPr>
            </w:pPr>
            <w:r>
              <w:rPr>
                <w:rFonts w:ascii="Arial" w:cs="Arial" w:eastAsia="Arial" w:hAnsi="Arial"/>
                <w:sz w:val="18"/>
                <w:szCs w:val="18"/>
                <w:color w:val="auto"/>
                <w:w w:val="94"/>
              </w:rPr>
              <w:t>Release of Guarantors</w:t>
            </w:r>
          </w:p>
        </w:tc>
        <w:tc>
          <w:tcPr>
            <w:tcW w:w="2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FF0000"/>
                <w:strike w:val="1"/>
                <w:w w:val="89"/>
              </w:rPr>
              <w:t>90</w:t>
            </w:r>
          </w:p>
        </w:tc>
        <w:tc>
          <w:tcPr>
            <w:tcW w:w="180" w:type="dxa"/>
            <w:vAlign w:val="bottom"/>
            <w:tcBorders>
              <w:bottom w:val="single" w:sz="8" w:color="0000FF"/>
            </w:tcBorders>
            <w:gridSpan w:val="6"/>
          </w:tcPr>
          <w:p>
            <w:pPr>
              <w:jc w:val="right"/>
              <w:spacing w:after="0" w:line="196" w:lineRule="exact"/>
              <w:rPr>
                <w:sz w:val="20"/>
                <w:szCs w:val="20"/>
                <w:color w:val="auto"/>
              </w:rPr>
            </w:pPr>
            <w:r>
              <w:rPr>
                <w:rFonts w:ascii="Arial" w:cs="Arial" w:eastAsia="Arial" w:hAnsi="Arial"/>
                <w:sz w:val="18"/>
                <w:szCs w:val="18"/>
                <w:b w:val="1"/>
                <w:bCs w:val="1"/>
                <w:color w:val="0000FF"/>
                <w:w w:val="79"/>
              </w:rPr>
              <w:t>92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6.09.</w:t>
            </w:r>
          </w:p>
        </w:tc>
        <w:tc>
          <w:tcPr>
            <w:tcW w:w="96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Keepwell</w:t>
            </w: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b w:val="1"/>
                <w:bCs w:val="1"/>
                <w:color w:val="FF0000"/>
                <w:strike w:val="1"/>
                <w:w w:val="73"/>
              </w:rPr>
              <w:t>90</w:t>
            </w:r>
          </w:p>
        </w:tc>
        <w:tc>
          <w:tcPr>
            <w:tcW w:w="200" w:type="dxa"/>
            <w:vAlign w:val="bottom"/>
            <w:tcBorders>
              <w:bottom w:val="single" w:sz="8" w:color="0000FF"/>
            </w:tcBorders>
            <w:gridSpan w:val="4"/>
          </w:tcPr>
          <w:p>
            <w:pPr>
              <w:jc w:val="right"/>
              <w:spacing w:after="0" w:line="196" w:lineRule="exact"/>
              <w:rPr>
                <w:sz w:val="20"/>
                <w:szCs w:val="20"/>
                <w:color w:val="auto"/>
              </w:rPr>
            </w:pPr>
            <w:r>
              <w:rPr>
                <w:rFonts w:ascii="Arial" w:cs="Arial" w:eastAsia="Arial" w:hAnsi="Arial"/>
                <w:sz w:val="18"/>
                <w:szCs w:val="18"/>
                <w:b w:val="1"/>
                <w:bCs w:val="1"/>
                <w:color w:val="0000FF"/>
                <w:w w:val="89"/>
              </w:rPr>
              <w:t>92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3"/>
            <w:vMerge w:val="restart"/>
          </w:tcPr>
          <w:p>
            <w:pPr>
              <w:jc w:val="right"/>
              <w:spacing w:after="0"/>
              <w:rPr>
                <w:sz w:val="20"/>
                <w:szCs w:val="20"/>
                <w:color w:val="auto"/>
              </w:rPr>
            </w:pPr>
            <w:r>
              <w:rPr>
                <w:rFonts w:ascii="Arial" w:cs="Arial" w:eastAsia="Arial" w:hAnsi="Arial"/>
                <w:sz w:val="17"/>
                <w:szCs w:val="17"/>
                <w:b w:val="1"/>
                <w:bCs w:val="1"/>
                <w:color w:val="FF0000"/>
                <w:strike w:val="1"/>
                <w:w w:val="73"/>
              </w:rPr>
              <w:t>90</w:t>
            </w:r>
          </w:p>
        </w:tc>
        <w:tc>
          <w:tcPr>
            <w:tcW w:w="200" w:type="dxa"/>
            <w:vAlign w:val="bottom"/>
            <w:gridSpan w:val="6"/>
            <w:vMerge w:val="restart"/>
          </w:tcPr>
          <w:p>
            <w:pPr>
              <w:jc w:val="right"/>
              <w:spacing w:after="0"/>
              <w:rPr>
                <w:sz w:val="20"/>
                <w:szCs w:val="20"/>
                <w:color w:val="auto"/>
              </w:rPr>
            </w:pPr>
            <w:r>
              <w:rPr>
                <w:rFonts w:ascii="Arial" w:cs="Arial" w:eastAsia="Arial" w:hAnsi="Arial"/>
                <w:sz w:val="18"/>
                <w:szCs w:val="18"/>
                <w:b w:val="1"/>
                <w:bCs w:val="1"/>
                <w:color w:val="0000FF"/>
                <w:w w:val="79"/>
              </w:rPr>
              <w:t>93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6.10.</w:t>
            </w:r>
          </w:p>
        </w:tc>
        <w:tc>
          <w:tcPr>
            <w:tcW w:w="1900" w:type="dxa"/>
            <w:vAlign w:val="bottom"/>
            <w:gridSpan w:val="23"/>
          </w:tcPr>
          <w:p>
            <w:pPr>
              <w:ind w:left="140"/>
              <w:spacing w:after="0" w:line="196" w:lineRule="exact"/>
              <w:rPr>
                <w:sz w:val="20"/>
                <w:szCs w:val="20"/>
                <w:color w:val="auto"/>
              </w:rPr>
            </w:pPr>
            <w:r>
              <w:rPr>
                <w:rFonts w:ascii="Arial" w:cs="Arial" w:eastAsia="Arial" w:hAnsi="Arial"/>
                <w:sz w:val="18"/>
                <w:szCs w:val="18"/>
                <w:color w:val="auto"/>
              </w:rPr>
              <w:t>Right of Contribution</w:t>
            </w:r>
          </w:p>
        </w:tc>
        <w:tc>
          <w:tcPr>
            <w:tcW w:w="160" w:type="dxa"/>
            <w:vAlign w:val="bottom"/>
            <w:gridSpan w:val="3"/>
            <w:vMerge w:val="continue"/>
          </w:tcPr>
          <w:p>
            <w:pPr>
              <w:spacing w:after="0"/>
              <w:rPr>
                <w:sz w:val="17"/>
                <w:szCs w:val="17"/>
                <w:color w:val="auto"/>
              </w:rPr>
            </w:pPr>
          </w:p>
        </w:tc>
        <w:tc>
          <w:tcPr>
            <w:tcW w:w="200" w:type="dxa"/>
            <w:vAlign w:val="bottom"/>
            <w:tcBorders>
              <w:bottom w:val="single" w:sz="8" w:color="0000FF"/>
            </w:tcBorders>
            <w:gridSpan w:val="6"/>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gridSpan w:val="5"/>
            <w:vMerge w:val="restart"/>
          </w:tcPr>
          <w:p>
            <w:pPr>
              <w:jc w:val="center"/>
              <w:ind w:right="1120"/>
              <w:spacing w:after="0"/>
              <w:rPr>
                <w:sz w:val="20"/>
                <w:szCs w:val="20"/>
                <w:color w:val="auto"/>
              </w:rPr>
            </w:pPr>
            <w:r>
              <w:rPr>
                <w:rFonts w:ascii="Arial" w:cs="Arial" w:eastAsia="Arial" w:hAnsi="Arial"/>
                <w:sz w:val="18"/>
                <w:szCs w:val="18"/>
                <w:color w:val="auto"/>
              </w:rPr>
              <w:t>ARTICLE VII.</w:t>
            </w:r>
          </w:p>
        </w:tc>
        <w:tc>
          <w:tcPr>
            <w:tcW w:w="0" w:type="dxa"/>
            <w:vAlign w:val="bottom"/>
          </w:tcPr>
          <w:p>
            <w:pPr>
              <w:spacing w:after="0"/>
              <w:rPr>
                <w:sz w:val="1"/>
                <w:szCs w:val="1"/>
                <w:color w:val="auto"/>
              </w:rPr>
            </w:pPr>
          </w:p>
        </w:tc>
      </w:tr>
      <w:tr>
        <w:trPr>
          <w:trHeight w:val="453"/>
        </w:trPr>
        <w:tc>
          <w:tcPr>
            <w:tcW w:w="5140" w:type="dxa"/>
            <w:vAlign w:val="bottom"/>
            <w:gridSpan w:val="58"/>
          </w:tcPr>
          <w:p>
            <w:pPr>
              <w:spacing w:after="0"/>
              <w:rPr>
                <w:sz w:val="24"/>
                <w:szCs w:val="24"/>
                <w:color w:val="auto"/>
              </w:rPr>
            </w:pPr>
          </w:p>
        </w:tc>
        <w:tc>
          <w:tcPr>
            <w:tcW w:w="222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15"/>
          </w:tcPr>
          <w:p>
            <w:pPr>
              <w:jc w:val="center"/>
              <w:ind w:right="560"/>
              <w:spacing w:after="0"/>
              <w:rPr>
                <w:sz w:val="20"/>
                <w:szCs w:val="20"/>
                <w:color w:val="auto"/>
              </w:rPr>
            </w:pPr>
            <w:r>
              <w:rPr>
                <w:rFonts w:ascii="Arial" w:cs="Arial" w:eastAsia="Arial" w:hAnsi="Arial"/>
                <w:sz w:val="18"/>
                <w:szCs w:val="18"/>
                <w:color w:val="auto"/>
                <w:w w:val="95"/>
              </w:rPr>
              <w:t>CONDITIONS PRECEDENT</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SECTION 7.01.</w:t>
            </w:r>
          </w:p>
        </w:tc>
        <w:tc>
          <w:tcPr>
            <w:tcW w:w="3300" w:type="dxa"/>
            <w:vAlign w:val="bottom"/>
            <w:gridSpan w:val="46"/>
          </w:tcPr>
          <w:p>
            <w:pPr>
              <w:ind w:left="140"/>
              <w:spacing w:after="0"/>
              <w:rPr>
                <w:sz w:val="20"/>
                <w:szCs w:val="20"/>
                <w:color w:val="auto"/>
              </w:rPr>
            </w:pPr>
            <w:r>
              <w:rPr>
                <w:rFonts w:ascii="Arial" w:cs="Arial" w:eastAsia="Arial" w:hAnsi="Arial"/>
                <w:sz w:val="18"/>
                <w:szCs w:val="18"/>
                <w:color w:val="auto"/>
                <w:w w:val="98"/>
              </w:rPr>
              <w:t>Conditions to Initial Extensions of Credit</w:t>
            </w:r>
          </w:p>
        </w:tc>
        <w:tc>
          <w:tcPr>
            <w:tcW w:w="18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79"/>
              </w:rPr>
              <w:t>91</w:t>
            </w:r>
          </w:p>
        </w:tc>
        <w:tc>
          <w:tcPr>
            <w:tcW w:w="18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b w:val="1"/>
                <w:bCs w:val="1"/>
                <w:color w:val="0000FF"/>
                <w:w w:val="79"/>
              </w:rPr>
              <w:t>93</w:t>
            </w:r>
          </w:p>
        </w:tc>
        <w:tc>
          <w:tcPr>
            <w:tcW w:w="1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7.02.</w:t>
            </w:r>
          </w:p>
        </w:tc>
        <w:tc>
          <w:tcPr>
            <w:tcW w:w="2920" w:type="dxa"/>
            <w:vAlign w:val="bottom"/>
            <w:gridSpan w:val="43"/>
          </w:tcPr>
          <w:p>
            <w:pPr>
              <w:ind w:left="140"/>
              <w:spacing w:after="0" w:line="196" w:lineRule="exact"/>
              <w:rPr>
                <w:sz w:val="20"/>
                <w:szCs w:val="20"/>
                <w:color w:val="auto"/>
              </w:rPr>
            </w:pPr>
            <w:r>
              <w:rPr>
                <w:rFonts w:ascii="Arial" w:cs="Arial" w:eastAsia="Arial" w:hAnsi="Arial"/>
                <w:sz w:val="18"/>
                <w:szCs w:val="18"/>
                <w:color w:val="auto"/>
                <w:w w:val="93"/>
              </w:rPr>
              <w:t>Conditions to All Extensions of Credit</w:t>
            </w:r>
          </w:p>
        </w:tc>
        <w:tc>
          <w:tcPr>
            <w:tcW w:w="360" w:type="dxa"/>
            <w:vAlign w:val="bottom"/>
            <w:gridSpan w:val="2"/>
          </w:tcPr>
          <w:p>
            <w:pPr>
              <w:ind w:left="180"/>
              <w:spacing w:after="0" w:line="196" w:lineRule="exact"/>
              <w:rPr>
                <w:sz w:val="20"/>
                <w:szCs w:val="20"/>
                <w:color w:val="auto"/>
              </w:rPr>
            </w:pPr>
            <w:r>
              <w:rPr>
                <w:rFonts w:ascii="Arial" w:cs="Arial" w:eastAsia="Arial" w:hAnsi="Arial"/>
                <w:sz w:val="18"/>
                <w:szCs w:val="18"/>
                <w:b w:val="1"/>
                <w:bCs w:val="1"/>
                <w:color w:val="FF0000"/>
                <w:strike w:val="1"/>
                <w:w w:val="79"/>
              </w:rPr>
              <w:t>92</w:t>
            </w:r>
          </w:p>
        </w:tc>
        <w:tc>
          <w:tcPr>
            <w:tcW w:w="2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0000FF"/>
                <w:w w:val="79"/>
              </w:rPr>
              <w:t>95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40" w:type="dxa"/>
            <w:vAlign w:val="bottom"/>
            <w:gridSpan w:val="6"/>
            <w:vMerge w:val="restart"/>
          </w:tcPr>
          <w:p>
            <w:pPr>
              <w:jc w:val="center"/>
              <w:ind w:right="1100"/>
              <w:spacing w:after="0"/>
              <w:rPr>
                <w:sz w:val="20"/>
                <w:szCs w:val="20"/>
                <w:color w:val="auto"/>
              </w:rPr>
            </w:pPr>
            <w:r>
              <w:rPr>
                <w:rFonts w:ascii="Arial" w:cs="Arial" w:eastAsia="Arial" w:hAnsi="Arial"/>
                <w:sz w:val="18"/>
                <w:szCs w:val="18"/>
                <w:color w:val="auto"/>
              </w:rPr>
              <w:t>ARTICLE VIII.</w:t>
            </w:r>
          </w:p>
        </w:tc>
        <w:tc>
          <w:tcPr>
            <w:tcW w:w="0" w:type="dxa"/>
            <w:vAlign w:val="bottom"/>
          </w:tcPr>
          <w:p>
            <w:pPr>
              <w:spacing w:after="0"/>
              <w:rPr>
                <w:sz w:val="1"/>
                <w:szCs w:val="1"/>
                <w:color w:val="auto"/>
              </w:rPr>
            </w:pPr>
          </w:p>
        </w:tc>
      </w:tr>
      <w:tr>
        <w:trPr>
          <w:trHeight w:val="453"/>
        </w:trPr>
        <w:tc>
          <w:tcPr>
            <w:tcW w:w="4580" w:type="dxa"/>
            <w:vAlign w:val="bottom"/>
            <w:gridSpan w:val="46"/>
          </w:tcPr>
          <w:p>
            <w:pPr>
              <w:spacing w:after="0"/>
              <w:rPr>
                <w:sz w:val="24"/>
                <w:szCs w:val="24"/>
                <w:color w:val="auto"/>
              </w:rPr>
            </w:pPr>
          </w:p>
        </w:tc>
        <w:tc>
          <w:tcPr>
            <w:tcW w:w="180" w:type="dxa"/>
            <w:vAlign w:val="bottom"/>
            <w:tcBorders>
              <w:top w:val="single" w:sz="8" w:color="0000FF"/>
            </w:tcBorders>
            <w:gridSpan w:val="3"/>
          </w:tcPr>
          <w:p>
            <w:pPr>
              <w:spacing w:after="0"/>
              <w:rPr>
                <w:sz w:val="24"/>
                <w:szCs w:val="24"/>
                <w:color w:val="auto"/>
              </w:rPr>
            </w:pPr>
          </w:p>
        </w:tc>
        <w:tc>
          <w:tcPr>
            <w:tcW w:w="360" w:type="dxa"/>
            <w:vAlign w:val="bottom"/>
            <w:gridSpan w:val="8"/>
          </w:tcPr>
          <w:p>
            <w:pPr>
              <w:spacing w:after="0"/>
              <w:rPr>
                <w:sz w:val="24"/>
                <w:szCs w:val="24"/>
                <w:color w:val="auto"/>
              </w:rPr>
            </w:pPr>
          </w:p>
        </w:tc>
        <w:tc>
          <w:tcPr>
            <w:tcW w:w="224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gridSpan w:val="21"/>
          </w:tcPr>
          <w:p>
            <w:pPr>
              <w:jc w:val="center"/>
              <w:spacing w:after="0"/>
              <w:rPr>
                <w:sz w:val="20"/>
                <w:szCs w:val="20"/>
                <w:color w:val="auto"/>
              </w:rPr>
            </w:pPr>
            <w:r>
              <w:rPr>
                <w:rFonts w:ascii="Arial" w:cs="Arial" w:eastAsia="Arial" w:hAnsi="Arial"/>
                <w:sz w:val="18"/>
                <w:szCs w:val="18"/>
                <w:color w:val="auto"/>
                <w:w w:val="95"/>
              </w:rPr>
              <w:t>REPRESENTATIONS AND WARRANTIES</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SECTION 8.01.</w:t>
            </w:r>
          </w:p>
        </w:tc>
        <w:tc>
          <w:tcPr>
            <w:tcW w:w="3320" w:type="dxa"/>
            <w:vAlign w:val="bottom"/>
            <w:gridSpan w:val="47"/>
          </w:tcPr>
          <w:p>
            <w:pPr>
              <w:ind w:left="140"/>
              <w:spacing w:after="0"/>
              <w:rPr>
                <w:sz w:val="20"/>
                <w:szCs w:val="20"/>
                <w:color w:val="auto"/>
              </w:rPr>
            </w:pPr>
            <w:r>
              <w:rPr>
                <w:rFonts w:ascii="Arial" w:cs="Arial" w:eastAsia="Arial" w:hAnsi="Arial"/>
                <w:sz w:val="18"/>
                <w:szCs w:val="18"/>
                <w:color w:val="auto"/>
                <w:w w:val="92"/>
              </w:rPr>
              <w:t>Corporate Existence; Compliance with Law</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4"/>
          </w:tcPr>
          <w:p>
            <w:pPr>
              <w:jc w:val="right"/>
              <w:spacing w:after="0"/>
              <w:rPr>
                <w:sz w:val="20"/>
                <w:szCs w:val="20"/>
                <w:color w:val="auto"/>
              </w:rPr>
            </w:pPr>
            <w:r>
              <w:rPr>
                <w:rFonts w:ascii="Arial" w:cs="Arial" w:eastAsia="Arial" w:hAnsi="Arial"/>
                <w:sz w:val="18"/>
                <w:szCs w:val="18"/>
                <w:b w:val="1"/>
                <w:bCs w:val="1"/>
                <w:color w:val="FF0000"/>
                <w:strike w:val="1"/>
                <w:w w:val="79"/>
              </w:rPr>
              <w:t>93</w:t>
            </w:r>
          </w:p>
        </w:tc>
        <w:tc>
          <w:tcPr>
            <w:tcW w:w="280" w:type="dxa"/>
            <w:vAlign w:val="bottom"/>
            <w:gridSpan w:val="5"/>
          </w:tcPr>
          <w:p>
            <w:pPr>
              <w:jc w:val="right"/>
              <w:ind w:right="10"/>
              <w:spacing w:after="0"/>
              <w:rPr>
                <w:sz w:val="20"/>
                <w:szCs w:val="20"/>
                <w:color w:val="auto"/>
              </w:rPr>
            </w:pPr>
            <w:r>
              <w:rPr>
                <w:rFonts w:ascii="Arial" w:cs="Arial" w:eastAsia="Arial" w:hAnsi="Arial"/>
                <w:sz w:val="18"/>
                <w:szCs w:val="18"/>
                <w:b w:val="1"/>
                <w:bCs w:val="1"/>
                <w:color w:val="0000FF"/>
                <w:w w:val="79"/>
              </w:rPr>
              <w:t>96</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8.02.</w:t>
            </w:r>
          </w:p>
        </w:tc>
        <w:tc>
          <w:tcPr>
            <w:tcW w:w="1900" w:type="dxa"/>
            <w:vAlign w:val="bottom"/>
            <w:gridSpan w:val="23"/>
          </w:tcPr>
          <w:p>
            <w:pPr>
              <w:ind w:left="140"/>
              <w:spacing w:after="0" w:line="196" w:lineRule="exact"/>
              <w:rPr>
                <w:sz w:val="20"/>
                <w:szCs w:val="20"/>
                <w:color w:val="auto"/>
              </w:rPr>
            </w:pPr>
            <w:r>
              <w:rPr>
                <w:rFonts w:ascii="Arial" w:cs="Arial" w:eastAsia="Arial" w:hAnsi="Arial"/>
                <w:sz w:val="18"/>
                <w:szCs w:val="18"/>
                <w:color w:val="auto"/>
                <w:w w:val="92"/>
              </w:rPr>
              <w:t>Material Adverse Effect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94</w:t>
            </w:r>
          </w:p>
        </w:tc>
        <w:tc>
          <w:tcPr>
            <w:tcW w:w="220" w:type="dxa"/>
            <w:vAlign w:val="bottom"/>
            <w:tcBorders>
              <w:bottom w:val="single" w:sz="8" w:color="0000FF"/>
            </w:tcBorders>
            <w:gridSpan w:val="6"/>
          </w:tcPr>
          <w:p>
            <w:pPr>
              <w:jc w:val="right"/>
              <w:ind w:right="40"/>
              <w:spacing w:after="0" w:line="196" w:lineRule="exact"/>
              <w:rPr>
                <w:sz w:val="20"/>
                <w:szCs w:val="20"/>
                <w:color w:val="auto"/>
              </w:rPr>
            </w:pPr>
            <w:r>
              <w:rPr>
                <w:rFonts w:ascii="Arial" w:cs="Arial" w:eastAsia="Arial" w:hAnsi="Arial"/>
                <w:sz w:val="18"/>
                <w:szCs w:val="18"/>
                <w:b w:val="1"/>
                <w:bCs w:val="1"/>
                <w:color w:val="0000FF"/>
                <w:w w:val="79"/>
              </w:rPr>
              <w:t>96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8.03.</w:t>
            </w:r>
          </w:p>
        </w:tc>
        <w:tc>
          <w:tcPr>
            <w:tcW w:w="96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Litigation</w:t>
            </w:r>
          </w:p>
        </w:tc>
        <w:tc>
          <w:tcPr>
            <w:tcW w:w="60" w:type="dxa"/>
            <w:vAlign w:val="bottom"/>
          </w:tcPr>
          <w:p>
            <w:pPr>
              <w:spacing w:after="0"/>
              <w:rPr>
                <w:sz w:val="17"/>
                <w:szCs w:val="17"/>
                <w:color w:val="auto"/>
              </w:rPr>
            </w:pPr>
          </w:p>
        </w:tc>
        <w:tc>
          <w:tcPr>
            <w:tcW w:w="1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94</w:t>
            </w:r>
          </w:p>
        </w:tc>
        <w:tc>
          <w:tcPr>
            <w:tcW w:w="240" w:type="dxa"/>
            <w:vAlign w:val="bottom"/>
            <w:tcBorders>
              <w:bottom w:val="single" w:sz="8" w:color="0000FF"/>
            </w:tcBorders>
            <w:gridSpan w:val="6"/>
          </w:tcPr>
          <w:p>
            <w:pPr>
              <w:jc w:val="right"/>
              <w:spacing w:after="0" w:line="196" w:lineRule="exact"/>
              <w:rPr>
                <w:sz w:val="20"/>
                <w:szCs w:val="20"/>
                <w:color w:val="auto"/>
              </w:rPr>
            </w:pPr>
            <w:r>
              <w:rPr>
                <w:rFonts w:ascii="Arial" w:cs="Arial" w:eastAsia="Arial" w:hAnsi="Arial"/>
                <w:sz w:val="18"/>
                <w:szCs w:val="18"/>
                <w:b w:val="1"/>
                <w:bCs w:val="1"/>
                <w:color w:val="0000FF"/>
                <w:w w:val="99"/>
              </w:rPr>
              <w:t>96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FF0000"/>
                <w:strike w:val="1"/>
                <w:w w:val="79"/>
              </w:rPr>
              <w:t>94</w:t>
            </w:r>
          </w:p>
        </w:tc>
        <w:tc>
          <w:tcPr>
            <w:tcW w:w="180" w:type="dxa"/>
            <w:vAlign w:val="bottom"/>
            <w:gridSpan w:val="7"/>
            <w:vMerge w:val="restart"/>
          </w:tcPr>
          <w:p>
            <w:pPr>
              <w:jc w:val="right"/>
              <w:spacing w:after="0"/>
              <w:rPr>
                <w:sz w:val="20"/>
                <w:szCs w:val="20"/>
                <w:color w:val="auto"/>
              </w:rPr>
            </w:pPr>
            <w:r>
              <w:rPr>
                <w:rFonts w:ascii="Arial" w:cs="Arial" w:eastAsia="Arial" w:hAnsi="Arial"/>
                <w:sz w:val="18"/>
                <w:szCs w:val="18"/>
                <w:b w:val="1"/>
                <w:bCs w:val="1"/>
                <w:color w:val="0000FF"/>
                <w:w w:val="79"/>
              </w:rPr>
              <w:t>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8.04.</w:t>
            </w:r>
          </w:p>
        </w:tc>
        <w:tc>
          <w:tcPr>
            <w:tcW w:w="1900" w:type="dxa"/>
            <w:vAlign w:val="bottom"/>
            <w:gridSpan w:val="23"/>
          </w:tcPr>
          <w:p>
            <w:pPr>
              <w:ind w:left="140"/>
              <w:spacing w:after="0" w:line="196" w:lineRule="exact"/>
              <w:rPr>
                <w:sz w:val="20"/>
                <w:szCs w:val="20"/>
                <w:color w:val="auto"/>
              </w:rPr>
            </w:pPr>
            <w:r>
              <w:rPr>
                <w:rFonts w:ascii="Arial" w:cs="Arial" w:eastAsia="Arial" w:hAnsi="Arial"/>
                <w:sz w:val="18"/>
                <w:szCs w:val="18"/>
                <w:color w:val="auto"/>
                <w:w w:val="95"/>
              </w:rPr>
              <w:t>No Breach; No Default</w:t>
            </w:r>
          </w:p>
        </w:tc>
        <w:tc>
          <w:tcPr>
            <w:tcW w:w="100" w:type="dxa"/>
            <w:vAlign w:val="bottom"/>
          </w:tcPr>
          <w:p>
            <w:pPr>
              <w:spacing w:after="0"/>
              <w:rPr>
                <w:sz w:val="17"/>
                <w:szCs w:val="17"/>
                <w:color w:val="auto"/>
              </w:rPr>
            </w:pPr>
          </w:p>
        </w:tc>
        <w:tc>
          <w:tcPr>
            <w:tcW w:w="180" w:type="dxa"/>
            <w:vAlign w:val="bottom"/>
            <w:gridSpan w:val="5"/>
            <w:vMerge w:val="continue"/>
          </w:tcPr>
          <w:p>
            <w:pPr>
              <w:spacing w:after="0"/>
              <w:rPr>
                <w:sz w:val="17"/>
                <w:szCs w:val="17"/>
                <w:color w:val="auto"/>
              </w:rPr>
            </w:pPr>
          </w:p>
        </w:tc>
        <w:tc>
          <w:tcPr>
            <w:tcW w:w="180" w:type="dxa"/>
            <w:vAlign w:val="bottom"/>
            <w:tcBorders>
              <w:bottom w:val="single" w:sz="8" w:color="0000FF"/>
            </w:tcBorders>
            <w:gridSpan w:val="7"/>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8.05.</w:t>
            </w:r>
          </w:p>
        </w:tc>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Action</w:t>
            </w:r>
          </w:p>
        </w:tc>
        <w:tc>
          <w:tcPr>
            <w:tcW w:w="2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FF0000"/>
                <w:strike w:val="1"/>
              </w:rPr>
              <w:t>94</w:t>
            </w:r>
          </w:p>
        </w:tc>
        <w:tc>
          <w:tcPr>
            <w:tcW w:w="5040" w:type="dxa"/>
            <w:vAlign w:val="bottom"/>
            <w:gridSpan w:val="58"/>
          </w:tcPr>
          <w:p>
            <w:pPr>
              <w:spacing w:after="0"/>
              <w:rPr>
                <w:sz w:val="20"/>
                <w:szCs w:val="20"/>
                <w:color w:val="auto"/>
              </w:rPr>
            </w:pPr>
            <w:r>
              <w:rPr>
                <w:rFonts w:ascii="Arial" w:cs="Arial" w:eastAsia="Arial" w:hAnsi="Arial"/>
                <w:sz w:val="12"/>
                <w:szCs w:val="12"/>
                <w:b w:val="1"/>
                <w:bCs w:val="1"/>
                <w:color w:val="0000FF"/>
                <w:w w:val="74"/>
              </w:rPr>
              <w:t>97</w:t>
            </w:r>
          </w:p>
        </w:tc>
        <w:tc>
          <w:tcPr>
            <w:tcW w:w="0" w:type="dxa"/>
            <w:vAlign w:val="bottom"/>
          </w:tcPr>
          <w:p>
            <w:pPr>
              <w:spacing w:after="0"/>
              <w:rPr>
                <w:sz w:val="1"/>
                <w:szCs w:val="1"/>
                <w:color w:val="auto"/>
              </w:rPr>
            </w:pPr>
          </w:p>
        </w:tc>
      </w:tr>
      <w:tr>
        <w:trPr>
          <w:trHeight w:val="20"/>
        </w:trPr>
        <w:tc>
          <w:tcPr>
            <w:tcW w:w="2320" w:type="dxa"/>
            <w:vAlign w:val="bottom"/>
            <w:tcBorders>
              <w:right w:val="single" w:sz="8" w:color="0000FF"/>
            </w:tcBorders>
            <w:gridSpan w:val="5"/>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900" w:type="dxa"/>
            <w:vAlign w:val="bottom"/>
            <w:gridSpan w:val="5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8.06.</w:t>
            </w:r>
          </w:p>
        </w:tc>
        <w:tc>
          <w:tcPr>
            <w:tcW w:w="960" w:type="dxa"/>
            <w:vAlign w:val="bottom"/>
            <w:gridSpan w:val="3"/>
          </w:tcPr>
          <w:p>
            <w:pPr>
              <w:ind w:left="140"/>
              <w:spacing w:after="0" w:line="196" w:lineRule="exact"/>
              <w:rPr>
                <w:sz w:val="20"/>
                <w:szCs w:val="20"/>
                <w:color w:val="auto"/>
              </w:rPr>
            </w:pPr>
            <w:r>
              <w:rPr>
                <w:rFonts w:ascii="Arial" w:cs="Arial" w:eastAsia="Arial" w:hAnsi="Arial"/>
                <w:sz w:val="18"/>
                <w:szCs w:val="18"/>
                <w:color w:val="auto"/>
                <w:w w:val="99"/>
              </w:rPr>
              <w:t>Approvals</w:t>
            </w:r>
          </w:p>
        </w:tc>
        <w:tc>
          <w:tcPr>
            <w:tcW w:w="60" w:type="dxa"/>
            <w:vAlign w:val="bottom"/>
          </w:tcPr>
          <w:p>
            <w:pPr>
              <w:spacing w:after="0"/>
              <w:rPr>
                <w:sz w:val="17"/>
                <w:szCs w:val="17"/>
                <w:color w:val="auto"/>
              </w:rPr>
            </w:pPr>
          </w:p>
        </w:tc>
        <w:tc>
          <w:tcPr>
            <w:tcW w:w="2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FF0000"/>
                <w:strike w:val="1"/>
                <w:w w:val="99"/>
              </w:rPr>
              <w:t>94</w:t>
            </w:r>
          </w:p>
        </w:tc>
        <w:tc>
          <w:tcPr>
            <w:tcW w:w="220" w:type="dxa"/>
            <w:vAlign w:val="bottom"/>
            <w:gridSpan w:val="7"/>
          </w:tcPr>
          <w:p>
            <w:pPr>
              <w:jc w:val="right"/>
              <w:ind w:right="40"/>
              <w:spacing w:after="0" w:line="196" w:lineRule="exact"/>
              <w:rPr>
                <w:sz w:val="20"/>
                <w:szCs w:val="20"/>
                <w:color w:val="auto"/>
              </w:rPr>
            </w:pPr>
            <w:r>
              <w:rPr>
                <w:rFonts w:ascii="Arial" w:cs="Arial" w:eastAsia="Arial" w:hAnsi="Arial"/>
                <w:sz w:val="18"/>
                <w:szCs w:val="18"/>
                <w:b w:val="1"/>
                <w:bCs w:val="1"/>
                <w:color w:val="0000FF"/>
                <w:w w:val="79"/>
              </w:rPr>
              <w:t>97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FF0000"/>
                <w:strike w:val="1"/>
                <w:w w:val="79"/>
              </w:rPr>
              <w:t>95</w:t>
            </w:r>
          </w:p>
        </w:tc>
        <w:tc>
          <w:tcPr>
            <w:tcW w:w="1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0000FF"/>
                <w:w w:val="79"/>
              </w:rPr>
              <w:t>97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4"/>
            <w:vMerge w:val="continue"/>
          </w:tcPr>
          <w:p>
            <w:pPr>
              <w:spacing w:after="0" w:line="20" w:lineRule="exact"/>
              <w:rPr>
                <w:sz w:val="1"/>
                <w:szCs w:val="1"/>
                <w:color w:val="auto"/>
              </w:rPr>
            </w:pPr>
          </w:p>
        </w:tc>
        <w:tc>
          <w:tcPr>
            <w:tcW w:w="18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8.07.</w:t>
            </w:r>
          </w:p>
        </w:tc>
        <w:tc>
          <w:tcPr>
            <w:tcW w:w="3320" w:type="dxa"/>
            <w:vAlign w:val="bottom"/>
            <w:gridSpan w:val="47"/>
          </w:tcPr>
          <w:p>
            <w:pPr>
              <w:ind w:left="140"/>
              <w:spacing w:after="0" w:line="196" w:lineRule="exact"/>
              <w:rPr>
                <w:sz w:val="20"/>
                <w:szCs w:val="20"/>
                <w:color w:val="auto"/>
              </w:rPr>
            </w:pPr>
            <w:r>
              <w:rPr>
                <w:rFonts w:ascii="Arial" w:cs="Arial" w:eastAsia="Arial" w:hAnsi="Arial"/>
                <w:sz w:val="18"/>
                <w:szCs w:val="18"/>
                <w:color w:val="auto"/>
                <w:w w:val="92"/>
              </w:rPr>
              <w:t>ERISA and Employee Benefit Plan Matters</w:t>
            </w:r>
          </w:p>
        </w:tc>
        <w:tc>
          <w:tcPr>
            <w:tcW w:w="140" w:type="dxa"/>
            <w:vAlign w:val="bottom"/>
          </w:tcPr>
          <w:p>
            <w:pPr>
              <w:spacing w:after="0"/>
              <w:rPr>
                <w:sz w:val="17"/>
                <w:szCs w:val="17"/>
                <w:color w:val="auto"/>
              </w:rPr>
            </w:pPr>
          </w:p>
        </w:tc>
        <w:tc>
          <w:tcPr>
            <w:tcW w:w="180" w:type="dxa"/>
            <w:vAlign w:val="bottom"/>
            <w:gridSpan w:val="4"/>
            <w:vMerge w:val="continue"/>
          </w:tcPr>
          <w:p>
            <w:pPr>
              <w:spacing w:after="0"/>
              <w:rPr>
                <w:sz w:val="17"/>
                <w:szCs w:val="17"/>
                <w:color w:val="auto"/>
              </w:rPr>
            </w:pPr>
          </w:p>
        </w:tc>
        <w:tc>
          <w:tcPr>
            <w:tcW w:w="180" w:type="dxa"/>
            <w:vAlign w:val="bottom"/>
            <w:tcBorders>
              <w:bottom w:val="single" w:sz="8" w:color="0000FF"/>
            </w:tcBorders>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8.08.</w:t>
            </w:r>
          </w:p>
        </w:tc>
        <w:tc>
          <w:tcPr>
            <w:tcW w:w="740" w:type="dxa"/>
            <w:vAlign w:val="bottom"/>
          </w:tcPr>
          <w:p>
            <w:pPr>
              <w:ind w:left="140"/>
              <w:spacing w:after="0" w:line="196" w:lineRule="exact"/>
              <w:rPr>
                <w:sz w:val="20"/>
                <w:szCs w:val="20"/>
                <w:color w:val="auto"/>
              </w:rPr>
            </w:pPr>
            <w:r>
              <w:rPr>
                <w:rFonts w:ascii="Arial" w:cs="Arial" w:eastAsia="Arial" w:hAnsi="Arial"/>
                <w:sz w:val="18"/>
                <w:szCs w:val="18"/>
                <w:color w:val="auto"/>
              </w:rPr>
              <w:t>Taxes</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95</w:t>
            </w:r>
          </w:p>
        </w:tc>
        <w:tc>
          <w:tcPr>
            <w:tcW w:w="180" w:type="dxa"/>
            <w:vAlign w:val="bottom"/>
            <w:tcBorders>
              <w:bottom w:val="single" w:sz="8" w:color="0000FF"/>
            </w:tcBorders>
            <w:gridSpan w:val="3"/>
          </w:tcPr>
          <w:p>
            <w:pPr>
              <w:jc w:val="right"/>
              <w:spacing w:after="0" w:line="196" w:lineRule="exact"/>
              <w:rPr>
                <w:sz w:val="20"/>
                <w:szCs w:val="20"/>
                <w:color w:val="auto"/>
              </w:rPr>
            </w:pPr>
            <w:r>
              <w:rPr>
                <w:rFonts w:ascii="Arial" w:cs="Arial" w:eastAsia="Arial" w:hAnsi="Arial"/>
                <w:sz w:val="18"/>
                <w:szCs w:val="18"/>
                <w:b w:val="1"/>
                <w:bCs w:val="1"/>
                <w:color w:val="0000FF"/>
                <w:w w:val="79"/>
              </w:rPr>
              <w:t>97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7"/>
            <w:vMerge w:val="restart"/>
          </w:tcPr>
          <w:p>
            <w:pPr>
              <w:jc w:val="right"/>
              <w:spacing w:after="0"/>
              <w:rPr>
                <w:sz w:val="20"/>
                <w:szCs w:val="20"/>
                <w:color w:val="auto"/>
              </w:rPr>
            </w:pPr>
            <w:r>
              <w:rPr>
                <w:rFonts w:ascii="Arial" w:cs="Arial" w:eastAsia="Arial" w:hAnsi="Arial"/>
                <w:sz w:val="18"/>
                <w:szCs w:val="18"/>
                <w:b w:val="1"/>
                <w:bCs w:val="1"/>
                <w:color w:val="FF0000"/>
                <w:strike w:val="1"/>
                <w:w w:val="79"/>
              </w:rPr>
              <w:t>95</w:t>
            </w:r>
          </w:p>
        </w:tc>
        <w:tc>
          <w:tcPr>
            <w:tcW w:w="260" w:type="dxa"/>
            <w:vAlign w:val="bottom"/>
            <w:gridSpan w:val="3"/>
            <w:vMerge w:val="restart"/>
          </w:tcPr>
          <w:p>
            <w:pPr>
              <w:jc w:val="right"/>
              <w:ind w:right="1"/>
              <w:spacing w:after="0"/>
              <w:rPr>
                <w:sz w:val="20"/>
                <w:szCs w:val="20"/>
                <w:color w:val="auto"/>
              </w:rPr>
            </w:pPr>
            <w:r>
              <w:rPr>
                <w:rFonts w:ascii="Arial" w:cs="Arial" w:eastAsia="Arial" w:hAnsi="Arial"/>
                <w:sz w:val="18"/>
                <w:szCs w:val="18"/>
                <w:b w:val="1"/>
                <w:bCs w:val="1"/>
                <w:color w:val="0000FF"/>
                <w:w w:val="79"/>
              </w:rPr>
              <w:t>98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8.09.</w:t>
            </w:r>
          </w:p>
        </w:tc>
        <w:tc>
          <w:tcPr>
            <w:tcW w:w="2060" w:type="dxa"/>
            <w:vAlign w:val="bottom"/>
            <w:gridSpan w:val="26"/>
          </w:tcPr>
          <w:p>
            <w:pPr>
              <w:ind w:left="140"/>
              <w:spacing w:after="0" w:line="196" w:lineRule="exact"/>
              <w:rPr>
                <w:sz w:val="20"/>
                <w:szCs w:val="20"/>
                <w:color w:val="auto"/>
              </w:rPr>
            </w:pPr>
            <w:r>
              <w:rPr>
                <w:rFonts w:ascii="Arial" w:cs="Arial" w:eastAsia="Arial" w:hAnsi="Arial"/>
                <w:sz w:val="18"/>
                <w:szCs w:val="18"/>
                <w:color w:val="auto"/>
                <w:w w:val="94"/>
              </w:rPr>
              <w:t>Investment Company Act</w:t>
            </w:r>
          </w:p>
        </w:tc>
        <w:tc>
          <w:tcPr>
            <w:tcW w:w="100" w:type="dxa"/>
            <w:vAlign w:val="bottom"/>
            <w:gridSpan w:val="2"/>
          </w:tcPr>
          <w:p>
            <w:pPr>
              <w:spacing w:after="0"/>
              <w:rPr>
                <w:sz w:val="17"/>
                <w:szCs w:val="17"/>
                <w:color w:val="auto"/>
              </w:rPr>
            </w:pPr>
          </w:p>
        </w:tc>
        <w:tc>
          <w:tcPr>
            <w:tcW w:w="180" w:type="dxa"/>
            <w:vAlign w:val="bottom"/>
            <w:gridSpan w:val="7"/>
            <w:vMerge w:val="continue"/>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8.10.</w:t>
            </w:r>
          </w:p>
        </w:tc>
        <w:tc>
          <w:tcPr>
            <w:tcW w:w="1900" w:type="dxa"/>
            <w:vAlign w:val="bottom"/>
            <w:gridSpan w:val="23"/>
          </w:tcPr>
          <w:p>
            <w:pPr>
              <w:ind w:left="140"/>
              <w:spacing w:after="0" w:line="196" w:lineRule="exact"/>
              <w:rPr>
                <w:sz w:val="20"/>
                <w:szCs w:val="20"/>
                <w:color w:val="auto"/>
              </w:rPr>
            </w:pPr>
            <w:r>
              <w:rPr>
                <w:rFonts w:ascii="Arial" w:cs="Arial" w:eastAsia="Arial" w:hAnsi="Arial"/>
                <w:sz w:val="18"/>
                <w:szCs w:val="18"/>
                <w:color w:val="auto"/>
                <w:w w:val="95"/>
              </w:rPr>
              <w:t>Environmental Matters</w:t>
            </w:r>
          </w:p>
        </w:tc>
        <w:tc>
          <w:tcPr>
            <w:tcW w:w="2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FF0000"/>
                <w:strike w:val="1"/>
              </w:rPr>
              <w:t>95</w:t>
            </w:r>
          </w:p>
        </w:tc>
        <w:tc>
          <w:tcPr>
            <w:tcW w:w="180" w:type="dxa"/>
            <w:vAlign w:val="bottom"/>
            <w:tcBorders>
              <w:bottom w:val="single" w:sz="8" w:color="0000FF"/>
            </w:tcBorders>
            <w:gridSpan w:val="7"/>
          </w:tcPr>
          <w:p>
            <w:pPr>
              <w:jc w:val="right"/>
              <w:spacing w:after="0" w:line="196" w:lineRule="exact"/>
              <w:rPr>
                <w:sz w:val="20"/>
                <w:szCs w:val="20"/>
                <w:color w:val="auto"/>
              </w:rPr>
            </w:pPr>
            <w:r>
              <w:rPr>
                <w:rFonts w:ascii="Arial" w:cs="Arial" w:eastAsia="Arial" w:hAnsi="Arial"/>
                <w:sz w:val="18"/>
                <w:szCs w:val="18"/>
                <w:b w:val="1"/>
                <w:bCs w:val="1"/>
                <w:color w:val="0000FF"/>
                <w:w w:val="79"/>
              </w:rPr>
              <w:t>98</w:t>
            </w: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8.11.</w:t>
            </w:r>
          </w:p>
        </w:tc>
        <w:tc>
          <w:tcPr>
            <w:tcW w:w="1320" w:type="dxa"/>
            <w:vAlign w:val="bottom"/>
            <w:gridSpan w:val="8"/>
          </w:tcPr>
          <w:p>
            <w:pPr>
              <w:ind w:left="140"/>
              <w:spacing w:after="0" w:line="196" w:lineRule="exact"/>
              <w:rPr>
                <w:sz w:val="20"/>
                <w:szCs w:val="20"/>
                <w:color w:val="auto"/>
              </w:rPr>
            </w:pPr>
            <w:r>
              <w:rPr>
                <w:rFonts w:ascii="Arial" w:cs="Arial" w:eastAsia="Arial" w:hAnsi="Arial"/>
                <w:sz w:val="18"/>
                <w:szCs w:val="18"/>
                <w:color w:val="auto"/>
                <w:w w:val="87"/>
              </w:rPr>
              <w:t>Use of Proceeds</w:t>
            </w: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3"/>
          </w:tcPr>
          <w:p>
            <w:pPr>
              <w:spacing w:after="0"/>
              <w:rPr>
                <w:sz w:val="17"/>
                <w:szCs w:val="17"/>
                <w:color w:val="auto"/>
              </w:rPr>
            </w:pPr>
          </w:p>
        </w:tc>
        <w:tc>
          <w:tcPr>
            <w:tcW w:w="2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FF0000"/>
                <w:strike w:val="1"/>
                <w:w w:val="89"/>
              </w:rPr>
              <w:t>96</w:t>
            </w:r>
          </w:p>
        </w:tc>
        <w:tc>
          <w:tcPr>
            <w:tcW w:w="180" w:type="dxa"/>
            <w:vAlign w:val="bottom"/>
            <w:tcBorders>
              <w:bottom w:val="single" w:sz="8" w:color="0000FF"/>
            </w:tcBorders>
            <w:gridSpan w:val="4"/>
          </w:tcPr>
          <w:p>
            <w:pPr>
              <w:jc w:val="right"/>
              <w:spacing w:after="0" w:line="196" w:lineRule="exact"/>
              <w:rPr>
                <w:sz w:val="20"/>
                <w:szCs w:val="20"/>
                <w:color w:val="auto"/>
              </w:rPr>
            </w:pPr>
            <w:r>
              <w:rPr>
                <w:rFonts w:ascii="Arial" w:cs="Arial" w:eastAsia="Arial" w:hAnsi="Arial"/>
                <w:sz w:val="18"/>
                <w:szCs w:val="18"/>
                <w:b w:val="1"/>
                <w:bCs w:val="1"/>
                <w:color w:val="0000FF"/>
                <w:w w:val="79"/>
              </w:rPr>
              <w:t>98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8.12.</w:t>
            </w:r>
          </w:p>
        </w:tc>
        <w:tc>
          <w:tcPr>
            <w:tcW w:w="1160" w:type="dxa"/>
            <w:vAlign w:val="bottom"/>
            <w:gridSpan w:val="6"/>
          </w:tcPr>
          <w:p>
            <w:pPr>
              <w:ind w:left="140"/>
              <w:spacing w:after="0" w:line="196" w:lineRule="exact"/>
              <w:rPr>
                <w:sz w:val="20"/>
                <w:szCs w:val="20"/>
                <w:color w:val="auto"/>
              </w:rPr>
            </w:pPr>
            <w:r>
              <w:rPr>
                <w:rFonts w:ascii="Arial" w:cs="Arial" w:eastAsia="Arial" w:hAnsi="Arial"/>
                <w:sz w:val="18"/>
                <w:szCs w:val="18"/>
                <w:color w:val="auto"/>
                <w:w w:val="99"/>
              </w:rPr>
              <w:t>Subsidiaries</w:t>
            </w:r>
          </w:p>
        </w:tc>
        <w:tc>
          <w:tcPr>
            <w:tcW w:w="22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FF0000"/>
                <w:strike w:val="1"/>
                <w:w w:val="99"/>
              </w:rPr>
              <w:t>96</w:t>
            </w:r>
          </w:p>
        </w:tc>
        <w:tc>
          <w:tcPr>
            <w:tcW w:w="180" w:type="dxa"/>
            <w:vAlign w:val="bottom"/>
            <w:tcBorders>
              <w:bottom w:val="single" w:sz="8" w:color="0000FF"/>
            </w:tcBorders>
            <w:gridSpan w:val="5"/>
          </w:tcPr>
          <w:p>
            <w:pPr>
              <w:jc w:val="right"/>
              <w:spacing w:after="0" w:line="196" w:lineRule="exact"/>
              <w:rPr>
                <w:sz w:val="20"/>
                <w:szCs w:val="20"/>
                <w:color w:val="auto"/>
              </w:rPr>
            </w:pPr>
            <w:r>
              <w:rPr>
                <w:rFonts w:ascii="Arial" w:cs="Arial" w:eastAsia="Arial" w:hAnsi="Arial"/>
                <w:sz w:val="18"/>
                <w:szCs w:val="18"/>
                <w:b w:val="1"/>
                <w:bCs w:val="1"/>
                <w:color w:val="0000FF"/>
                <w:w w:val="79"/>
              </w:rPr>
              <w:t>98</w:t>
            </w:r>
          </w:p>
        </w:tc>
        <w:tc>
          <w:tcPr>
            <w:tcW w:w="8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1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96</w:t>
            </w:r>
          </w:p>
        </w:tc>
        <w:tc>
          <w:tcPr>
            <w:tcW w:w="280" w:type="dxa"/>
            <w:vAlign w:val="bottom"/>
            <w:gridSpan w:val="4"/>
            <w:vMerge w:val="restart"/>
          </w:tcPr>
          <w:p>
            <w:pPr>
              <w:jc w:val="right"/>
              <w:ind w:right="100"/>
              <w:spacing w:after="0"/>
              <w:rPr>
                <w:sz w:val="20"/>
                <w:szCs w:val="20"/>
                <w:color w:val="auto"/>
              </w:rPr>
            </w:pPr>
            <w:r>
              <w:rPr>
                <w:rFonts w:ascii="Arial" w:cs="Arial" w:eastAsia="Arial" w:hAnsi="Arial"/>
                <w:sz w:val="18"/>
                <w:szCs w:val="18"/>
                <w:b w:val="1"/>
                <w:bCs w:val="1"/>
                <w:color w:val="0000FF"/>
                <w:w w:val="79"/>
              </w:rPr>
              <w:t>99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8.13.</w:t>
            </w:r>
          </w:p>
        </w:tc>
        <w:tc>
          <w:tcPr>
            <w:tcW w:w="2320" w:type="dxa"/>
            <w:vAlign w:val="bottom"/>
            <w:gridSpan w:val="34"/>
          </w:tcPr>
          <w:p>
            <w:pPr>
              <w:ind w:left="140"/>
              <w:spacing w:after="0" w:line="196" w:lineRule="exact"/>
              <w:rPr>
                <w:sz w:val="20"/>
                <w:szCs w:val="20"/>
                <w:color w:val="auto"/>
              </w:rPr>
            </w:pPr>
            <w:r>
              <w:rPr>
                <w:rFonts w:ascii="Arial" w:cs="Arial" w:eastAsia="Arial" w:hAnsi="Arial"/>
                <w:sz w:val="18"/>
                <w:szCs w:val="18"/>
                <w:color w:val="auto"/>
                <w:w w:val="93"/>
              </w:rPr>
              <w:t>Ownership of Property; Liens</w:t>
            </w:r>
          </w:p>
        </w:tc>
        <w:tc>
          <w:tcPr>
            <w:tcW w:w="140" w:type="dxa"/>
            <w:vAlign w:val="bottom"/>
            <w:gridSpan w:val="3"/>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28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vMerge w:val="restart"/>
          </w:tcPr>
          <w:p>
            <w:pPr>
              <w:jc w:val="center"/>
              <w:spacing w:after="0"/>
              <w:rPr>
                <w:sz w:val="20"/>
                <w:szCs w:val="20"/>
                <w:color w:val="auto"/>
              </w:rPr>
            </w:pPr>
            <w:r>
              <w:rPr>
                <w:rFonts w:ascii="Arial" w:cs="Arial" w:eastAsia="Arial" w:hAnsi="Arial"/>
                <w:sz w:val="18"/>
                <w:szCs w:val="18"/>
                <w:b w:val="1"/>
                <w:bCs w:val="1"/>
                <w:color w:val="FF0000"/>
                <w:strike w:val="1"/>
                <w:w w:val="89"/>
              </w:rPr>
              <w:t>96</w:t>
            </w:r>
          </w:p>
        </w:tc>
        <w:tc>
          <w:tcPr>
            <w:tcW w:w="1540" w:type="dxa"/>
            <w:vAlign w:val="bottom"/>
            <w:gridSpan w:val="2"/>
            <w:vMerge w:val="restart"/>
          </w:tcPr>
          <w:p>
            <w:pPr>
              <w:jc w:val="right"/>
              <w:ind w:right="1360"/>
              <w:spacing w:after="0"/>
              <w:rPr>
                <w:sz w:val="20"/>
                <w:szCs w:val="20"/>
                <w:color w:val="auto"/>
              </w:rPr>
            </w:pPr>
            <w:r>
              <w:rPr>
                <w:rFonts w:ascii="Arial" w:cs="Arial" w:eastAsia="Arial" w:hAnsi="Arial"/>
                <w:sz w:val="18"/>
                <w:szCs w:val="18"/>
                <w:b w:val="1"/>
                <w:bCs w:val="1"/>
                <w:color w:val="0000FF"/>
                <w:w w:val="79"/>
              </w:rPr>
              <w:t>99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520" w:type="dxa"/>
            <w:vAlign w:val="bottom"/>
            <w:gridSpan w:val="17"/>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8.14.</w:t>
            </w:r>
          </w:p>
        </w:tc>
        <w:tc>
          <w:tcPr>
            <w:tcW w:w="4340" w:type="dxa"/>
            <w:vAlign w:val="bottom"/>
            <w:gridSpan w:val="59"/>
          </w:tcPr>
          <w:p>
            <w:pPr>
              <w:ind w:left="140"/>
              <w:spacing w:after="0" w:line="196" w:lineRule="exact"/>
              <w:rPr>
                <w:sz w:val="20"/>
                <w:szCs w:val="20"/>
                <w:color w:val="auto"/>
              </w:rPr>
            </w:pPr>
            <w:r>
              <w:rPr>
                <w:rFonts w:ascii="Arial" w:cs="Arial" w:eastAsia="Arial" w:hAnsi="Arial"/>
                <w:sz w:val="18"/>
                <w:szCs w:val="18"/>
                <w:color w:val="auto"/>
                <w:w w:val="93"/>
              </w:rPr>
              <w:t>Security Interest; Absence of Financing Statements; Etc</w:t>
            </w:r>
          </w:p>
        </w:tc>
        <w:tc>
          <w:tcPr>
            <w:tcW w:w="180" w:type="dxa"/>
            <w:vAlign w:val="bottom"/>
            <w:vMerge w:val="continue"/>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Arial" w:cs="Arial" w:eastAsia="Arial" w:hAnsi="Arial"/>
                <w:sz w:val="18"/>
                <w:szCs w:val="18"/>
                <w:color w:val="auto"/>
              </w:rPr>
              <w:t>SECTION 8.15.</w:t>
            </w:r>
          </w:p>
        </w:tc>
        <w:tc>
          <w:tcPr>
            <w:tcW w:w="1840" w:type="dxa"/>
            <w:vAlign w:val="bottom"/>
            <w:gridSpan w:val="22"/>
          </w:tcPr>
          <w:p>
            <w:pPr>
              <w:ind w:left="140"/>
              <w:spacing w:after="0" w:line="196" w:lineRule="exact"/>
              <w:rPr>
                <w:sz w:val="20"/>
                <w:szCs w:val="20"/>
                <w:color w:val="auto"/>
              </w:rPr>
            </w:pPr>
            <w:r>
              <w:rPr>
                <w:rFonts w:ascii="Arial" w:cs="Arial" w:eastAsia="Arial" w:hAnsi="Arial"/>
                <w:sz w:val="18"/>
                <w:szCs w:val="18"/>
                <w:color w:val="auto"/>
                <w:w w:val="97"/>
              </w:rPr>
              <w:t>Licenses and Permits</w:t>
            </w:r>
          </w:p>
        </w:tc>
        <w:tc>
          <w:tcPr>
            <w:tcW w:w="1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97</w:t>
            </w:r>
          </w:p>
        </w:tc>
        <w:tc>
          <w:tcPr>
            <w:tcW w:w="180" w:type="dxa"/>
            <w:vAlign w:val="bottom"/>
            <w:tcBorders>
              <w:bottom w:val="single" w:sz="8" w:color="0000FF"/>
            </w:tcBorders>
            <w:gridSpan w:val="5"/>
          </w:tcPr>
          <w:p>
            <w:pPr>
              <w:jc w:val="right"/>
              <w:spacing w:after="0" w:line="196" w:lineRule="exact"/>
              <w:rPr>
                <w:sz w:val="20"/>
                <w:szCs w:val="20"/>
                <w:color w:val="auto"/>
              </w:rPr>
            </w:pPr>
            <w:r>
              <w:rPr>
                <w:rFonts w:ascii="Arial" w:cs="Arial" w:eastAsia="Arial" w:hAnsi="Arial"/>
                <w:sz w:val="18"/>
                <w:szCs w:val="18"/>
                <w:b w:val="1"/>
                <w:bCs w:val="1"/>
                <w:color w:val="0000FF"/>
                <w:w w:val="79"/>
              </w:rPr>
              <w:t>99</w:t>
            </w:r>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360" w:type="dxa"/>
            <w:vAlign w:val="bottom"/>
            <w:vMerge w:val="restart"/>
          </w:tcPr>
          <w:p>
            <w:pPr>
              <w:spacing w:after="0"/>
              <w:rPr>
                <w:sz w:val="20"/>
                <w:szCs w:val="20"/>
                <w:color w:val="auto"/>
              </w:rPr>
            </w:pPr>
            <w:r>
              <w:rPr>
                <w:rFonts w:ascii="Arial" w:cs="Arial" w:eastAsia="Arial" w:hAnsi="Arial"/>
                <w:sz w:val="18"/>
                <w:szCs w:val="18"/>
                <w:color w:val="auto"/>
              </w:rPr>
              <w:t>SECTION 8.16.</w:t>
            </w:r>
          </w:p>
        </w:tc>
        <w:tc>
          <w:tcPr>
            <w:tcW w:w="920" w:type="dxa"/>
            <w:vAlign w:val="bottom"/>
            <w:gridSpan w:val="2"/>
            <w:vMerge w:val="restart"/>
          </w:tcPr>
          <w:p>
            <w:pPr>
              <w:ind w:left="80"/>
              <w:spacing w:after="0"/>
              <w:rPr>
                <w:sz w:val="20"/>
                <w:szCs w:val="20"/>
                <w:color w:val="auto"/>
              </w:rPr>
            </w:pPr>
            <w:r>
              <w:rPr>
                <w:rFonts w:ascii="Arial" w:cs="Arial" w:eastAsia="Arial" w:hAnsi="Arial"/>
                <w:sz w:val="18"/>
                <w:szCs w:val="18"/>
                <w:color w:val="auto"/>
                <w:w w:val="97"/>
              </w:rPr>
              <w:t>Disclosure</w:t>
            </w:r>
          </w:p>
        </w:tc>
        <w:tc>
          <w:tcPr>
            <w:tcW w:w="20" w:type="dxa"/>
            <w:vAlign w:val="bottom"/>
            <w:vMerge w:val="restart"/>
          </w:tcPr>
          <w:p>
            <w:pPr>
              <w:spacing w:after="0"/>
              <w:rPr>
                <w:sz w:val="2"/>
                <w:szCs w:val="2"/>
                <w:color w:val="auto"/>
              </w:rPr>
            </w:pPr>
          </w:p>
        </w:tc>
        <w:tc>
          <w:tcPr>
            <w:tcW w:w="26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FF0000"/>
                <w:strike w:val="1"/>
              </w:rPr>
              <w:t>97</w:t>
            </w:r>
          </w:p>
        </w:tc>
        <w:tc>
          <w:tcPr>
            <w:tcW w:w="200" w:type="dxa"/>
            <w:vAlign w:val="bottom"/>
            <w:gridSpan w:val="5"/>
            <w:vMerge w:val="restart"/>
          </w:tcPr>
          <w:p>
            <w:pPr>
              <w:jc w:val="right"/>
              <w:ind w:right="20"/>
              <w:spacing w:after="0"/>
              <w:rPr>
                <w:sz w:val="20"/>
                <w:szCs w:val="20"/>
                <w:color w:val="auto"/>
              </w:rPr>
            </w:pPr>
            <w:r>
              <w:rPr>
                <w:rFonts w:ascii="Arial" w:cs="Arial" w:eastAsia="Arial" w:hAnsi="Arial"/>
                <w:sz w:val="18"/>
                <w:szCs w:val="18"/>
                <w:b w:val="1"/>
                <w:bCs w:val="1"/>
                <w:color w:val="0000FF"/>
                <w:w w:val="79"/>
              </w:rPr>
              <w:t>99</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820" w:type="dxa"/>
            <w:vAlign w:val="bottom"/>
            <w:gridSpan w:val="5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136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gridSpan w:val="5"/>
            <w:vMerge w:val="continue"/>
          </w:tcPr>
          <w:p>
            <w:pPr>
              <w:spacing w:after="0"/>
              <w:rPr>
                <w:sz w:val="15"/>
                <w:szCs w:val="15"/>
                <w:color w:val="auto"/>
              </w:rPr>
            </w:pPr>
          </w:p>
        </w:tc>
        <w:tc>
          <w:tcPr>
            <w:tcW w:w="200" w:type="dxa"/>
            <w:vAlign w:val="bottom"/>
            <w:tcBorders>
              <w:bottom w:val="single" w:sz="8" w:color="0000FF"/>
            </w:tcBorders>
            <w:gridSpan w:val="5"/>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820" w:type="dxa"/>
            <w:vAlign w:val="bottom"/>
            <w:gridSpan w:val="5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8.17.</w:t>
            </w:r>
          </w:p>
        </w:tc>
        <w:tc>
          <w:tcPr>
            <w:tcW w:w="92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Solvency</w:t>
            </w:r>
          </w:p>
        </w:tc>
        <w:tc>
          <w:tcPr>
            <w:tcW w:w="1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97</w:t>
            </w:r>
          </w:p>
        </w:tc>
        <w:tc>
          <w:tcPr>
            <w:tcW w:w="280" w:type="dxa"/>
            <w:vAlign w:val="bottom"/>
            <w:tcBorders>
              <w:bottom w:val="single" w:sz="8" w:color="0000FF"/>
            </w:tcBorders>
            <w:gridSpan w:val="7"/>
          </w:tcPr>
          <w:p>
            <w:pPr>
              <w:jc w:val="right"/>
              <w:spacing w:after="0" w:line="196" w:lineRule="exact"/>
              <w:rPr>
                <w:sz w:val="20"/>
                <w:szCs w:val="20"/>
                <w:color w:val="auto"/>
              </w:rPr>
            </w:pPr>
            <w:r>
              <w:rPr>
                <w:rFonts w:ascii="Arial" w:cs="Arial" w:eastAsia="Arial" w:hAnsi="Arial"/>
                <w:sz w:val="18"/>
                <w:szCs w:val="18"/>
                <w:b w:val="1"/>
                <w:bCs w:val="1"/>
                <w:color w:val="0000FF"/>
                <w:w w:val="86"/>
              </w:rPr>
              <w:t>100</w:t>
            </w:r>
          </w:p>
        </w:tc>
        <w:tc>
          <w:tcPr>
            <w:tcW w:w="360" w:type="dxa"/>
            <w:vAlign w:val="bottom"/>
            <w:gridSpan w:val="10"/>
          </w:tcPr>
          <w:p>
            <w:pPr>
              <w:spacing w:after="0"/>
              <w:rPr>
                <w:sz w:val="17"/>
                <w:szCs w:val="17"/>
                <w:color w:val="auto"/>
              </w:rPr>
            </w:pPr>
          </w:p>
        </w:tc>
        <w:tc>
          <w:tcPr>
            <w:tcW w:w="180" w:type="dxa"/>
            <w:vAlign w:val="bottom"/>
            <w:gridSpan w:val="3"/>
            <w:vMerge w:val="restart"/>
          </w:tcPr>
          <w:p>
            <w:pPr>
              <w:spacing w:after="0"/>
              <w:rPr>
                <w:sz w:val="20"/>
                <w:szCs w:val="20"/>
                <w:color w:val="auto"/>
              </w:rPr>
            </w:pPr>
            <w:r>
              <w:rPr>
                <w:rFonts w:ascii="Arial" w:cs="Arial" w:eastAsia="Arial" w:hAnsi="Arial"/>
                <w:sz w:val="18"/>
                <w:szCs w:val="18"/>
                <w:b w:val="1"/>
                <w:bCs w:val="1"/>
                <w:color w:val="FF0000"/>
                <w:strike w:val="1"/>
                <w:w w:val="79"/>
              </w:rPr>
              <w:t>97</w:t>
            </w:r>
          </w:p>
        </w:tc>
        <w:tc>
          <w:tcPr>
            <w:tcW w:w="320" w:type="dxa"/>
            <w:vAlign w:val="bottom"/>
            <w:gridSpan w:val="7"/>
            <w:vMerge w:val="restart"/>
          </w:tcPr>
          <w:p>
            <w:pPr>
              <w:jc w:val="right"/>
              <w:ind w:right="60"/>
              <w:spacing w:after="0"/>
              <w:rPr>
                <w:sz w:val="20"/>
                <w:szCs w:val="20"/>
                <w:color w:val="auto"/>
              </w:rPr>
            </w:pPr>
            <w:r>
              <w:rPr>
                <w:rFonts w:ascii="Arial" w:cs="Arial" w:eastAsia="Arial" w:hAnsi="Arial"/>
                <w:sz w:val="18"/>
                <w:szCs w:val="18"/>
                <w:b w:val="1"/>
                <w:bCs w:val="1"/>
                <w:color w:val="0000FF"/>
                <w:w w:val="79"/>
              </w:rPr>
              <w:t>100</w:t>
            </w:r>
          </w:p>
        </w:tc>
        <w:tc>
          <w:tcPr>
            <w:tcW w:w="3280" w:type="dxa"/>
            <w:vAlign w:val="bottom"/>
            <w:gridSpan w:val="4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8.18.</w:t>
            </w:r>
          </w:p>
        </w:tc>
        <w:tc>
          <w:tcPr>
            <w:tcW w:w="1700" w:type="dxa"/>
            <w:vAlign w:val="bottom"/>
            <w:gridSpan w:val="20"/>
          </w:tcPr>
          <w:p>
            <w:pPr>
              <w:ind w:left="80"/>
              <w:spacing w:after="0" w:line="196" w:lineRule="exact"/>
              <w:rPr>
                <w:sz w:val="20"/>
                <w:szCs w:val="20"/>
                <w:color w:val="auto"/>
              </w:rPr>
            </w:pPr>
            <w:r>
              <w:rPr>
                <w:rFonts w:ascii="Arial" w:cs="Arial" w:eastAsia="Arial" w:hAnsi="Arial"/>
                <w:sz w:val="18"/>
                <w:szCs w:val="18"/>
                <w:color w:val="auto"/>
              </w:rPr>
              <w:t>Intellectual Property</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320" w:type="dxa"/>
            <w:vAlign w:val="bottom"/>
            <w:gridSpan w:val="7"/>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8.19.</w:t>
            </w:r>
          </w:p>
        </w:tc>
        <w:tc>
          <w:tcPr>
            <w:tcW w:w="1220" w:type="dxa"/>
            <w:vAlign w:val="bottom"/>
            <w:gridSpan w:val="9"/>
          </w:tcPr>
          <w:p>
            <w:pPr>
              <w:ind w:left="80"/>
              <w:spacing w:after="0" w:line="196" w:lineRule="exact"/>
              <w:rPr>
                <w:sz w:val="20"/>
                <w:szCs w:val="20"/>
                <w:color w:val="auto"/>
              </w:rPr>
            </w:pPr>
            <w:r>
              <w:rPr>
                <w:rFonts w:ascii="Arial" w:cs="Arial" w:eastAsia="Arial" w:hAnsi="Arial"/>
                <w:sz w:val="18"/>
                <w:szCs w:val="18"/>
                <w:color w:val="auto"/>
              </w:rPr>
              <w:t>Regulation H</w:t>
            </w:r>
          </w:p>
        </w:tc>
        <w:tc>
          <w:tcPr>
            <w:tcW w:w="180" w:type="dxa"/>
            <w:vAlign w:val="bottom"/>
            <w:gridSpan w:val="4"/>
          </w:tcPr>
          <w:p>
            <w:pPr>
              <w:spacing w:after="0" w:line="196" w:lineRule="exact"/>
              <w:rPr>
                <w:sz w:val="20"/>
                <w:szCs w:val="20"/>
                <w:color w:val="auto"/>
              </w:rPr>
            </w:pPr>
            <w:r>
              <w:rPr>
                <w:rFonts w:ascii="Arial" w:cs="Arial" w:eastAsia="Arial" w:hAnsi="Arial"/>
                <w:sz w:val="18"/>
                <w:szCs w:val="18"/>
                <w:b w:val="1"/>
                <w:bCs w:val="1"/>
                <w:color w:val="FF0000"/>
                <w:strike w:val="1"/>
                <w:w w:val="79"/>
              </w:rPr>
              <w:t>98</w:t>
            </w:r>
          </w:p>
        </w:tc>
        <w:tc>
          <w:tcPr>
            <w:tcW w:w="280" w:type="dxa"/>
            <w:vAlign w:val="bottom"/>
            <w:tcBorders>
              <w:bottom w:val="single" w:sz="8" w:color="0000FF"/>
            </w:tcBorders>
            <w:gridSpan w:val="6"/>
          </w:tcPr>
          <w:p>
            <w:pPr>
              <w:jc w:val="right"/>
              <w:spacing w:after="0" w:line="196" w:lineRule="exact"/>
              <w:rPr>
                <w:sz w:val="20"/>
                <w:szCs w:val="20"/>
                <w:color w:val="auto"/>
              </w:rPr>
            </w:pPr>
            <w:r>
              <w:rPr>
                <w:rFonts w:ascii="Arial" w:cs="Arial" w:eastAsia="Arial" w:hAnsi="Arial"/>
                <w:sz w:val="18"/>
                <w:szCs w:val="18"/>
                <w:b w:val="1"/>
                <w:bCs w:val="1"/>
                <w:color w:val="0000FF"/>
                <w:w w:val="86"/>
              </w:rPr>
              <w:t>100</w:t>
            </w:r>
          </w:p>
        </w:tc>
        <w:tc>
          <w:tcPr>
            <w:tcW w:w="240" w:type="dxa"/>
            <w:vAlign w:val="bottom"/>
            <w:gridSpan w:val="6"/>
          </w:tcPr>
          <w:p>
            <w:pPr>
              <w:spacing w:after="0"/>
              <w:rPr>
                <w:sz w:val="17"/>
                <w:szCs w:val="17"/>
                <w:color w:val="auto"/>
              </w:rPr>
            </w:pPr>
          </w:p>
        </w:tc>
        <w:tc>
          <w:tcPr>
            <w:tcW w:w="260" w:type="dxa"/>
            <w:vAlign w:val="bottom"/>
            <w:tcBorders>
              <w:top w:val="single" w:sz="8" w:color="0000FF"/>
            </w:tcBorders>
            <w:gridSpan w:val="6"/>
          </w:tcPr>
          <w:p>
            <w:pPr>
              <w:spacing w:after="0"/>
              <w:rPr>
                <w:sz w:val="17"/>
                <w:szCs w:val="17"/>
                <w:color w:val="auto"/>
              </w:rPr>
            </w:pPr>
          </w:p>
        </w:tc>
        <w:tc>
          <w:tcPr>
            <w:tcW w:w="3340" w:type="dxa"/>
            <w:vAlign w:val="bottom"/>
            <w:gridSpan w:val="4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8.20.</w:t>
            </w:r>
          </w:p>
        </w:tc>
        <w:tc>
          <w:tcPr>
            <w:tcW w:w="940" w:type="dxa"/>
            <w:vAlign w:val="bottom"/>
            <w:gridSpan w:val="3"/>
          </w:tcPr>
          <w:p>
            <w:pPr>
              <w:ind w:left="80"/>
              <w:spacing w:after="0" w:line="196" w:lineRule="exact"/>
              <w:rPr>
                <w:sz w:val="20"/>
                <w:szCs w:val="20"/>
                <w:color w:val="auto"/>
              </w:rPr>
            </w:pPr>
            <w:r>
              <w:rPr>
                <w:rFonts w:ascii="Arial" w:cs="Arial" w:eastAsia="Arial" w:hAnsi="Arial"/>
                <w:sz w:val="18"/>
                <w:szCs w:val="18"/>
                <w:color w:val="auto"/>
              </w:rPr>
              <w:t>Insurance</w:t>
            </w:r>
          </w:p>
        </w:tc>
        <w:tc>
          <w:tcPr>
            <w:tcW w:w="2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FF0000"/>
                <w:strike w:val="1"/>
                <w:w w:val="89"/>
              </w:rPr>
              <w:t>98</w:t>
            </w:r>
          </w:p>
        </w:tc>
        <w:tc>
          <w:tcPr>
            <w:tcW w:w="280" w:type="dxa"/>
            <w:vAlign w:val="bottom"/>
            <w:tcBorders>
              <w:bottom w:val="single" w:sz="8" w:color="0000FF"/>
            </w:tcBorders>
            <w:gridSpan w:val="8"/>
          </w:tcPr>
          <w:p>
            <w:pPr>
              <w:jc w:val="right"/>
              <w:spacing w:after="0" w:line="196" w:lineRule="exact"/>
              <w:rPr>
                <w:sz w:val="20"/>
                <w:szCs w:val="20"/>
                <w:color w:val="auto"/>
              </w:rPr>
            </w:pPr>
            <w:r>
              <w:rPr>
                <w:rFonts w:ascii="Arial" w:cs="Arial" w:eastAsia="Arial" w:hAnsi="Arial"/>
                <w:sz w:val="18"/>
                <w:szCs w:val="18"/>
                <w:b w:val="1"/>
                <w:bCs w:val="1"/>
                <w:color w:val="0000FF"/>
                <w:w w:val="79"/>
              </w:rPr>
              <w:t>100</w:t>
            </w:r>
          </w:p>
        </w:tc>
        <w:tc>
          <w:tcPr>
            <w:tcW w:w="4100" w:type="dxa"/>
            <w:vAlign w:val="bottom"/>
            <w:gridSpan w:val="6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8.21.</w:t>
            </w:r>
          </w:p>
        </w:tc>
        <w:tc>
          <w:tcPr>
            <w:tcW w:w="1060" w:type="dxa"/>
            <w:vAlign w:val="bottom"/>
            <w:gridSpan w:val="4"/>
          </w:tcPr>
          <w:p>
            <w:pPr>
              <w:ind w:left="80"/>
              <w:spacing w:after="0" w:line="196" w:lineRule="exact"/>
              <w:rPr>
                <w:sz w:val="20"/>
                <w:szCs w:val="20"/>
                <w:color w:val="auto"/>
              </w:rPr>
            </w:pPr>
            <w:r>
              <w:rPr>
                <w:rFonts w:ascii="Arial" w:cs="Arial" w:eastAsia="Arial" w:hAnsi="Arial"/>
                <w:sz w:val="18"/>
                <w:szCs w:val="18"/>
                <w:color w:val="auto"/>
                <w:w w:val="88"/>
              </w:rPr>
              <w:t>Real Estate</w:t>
            </w:r>
          </w:p>
        </w:tc>
        <w:tc>
          <w:tcPr>
            <w:tcW w:w="20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FF0000"/>
                <w:strike w:val="1"/>
                <w:w w:val="89"/>
              </w:rPr>
              <w:t>98</w:t>
            </w:r>
          </w:p>
        </w:tc>
        <w:tc>
          <w:tcPr>
            <w:tcW w:w="260" w:type="dxa"/>
            <w:vAlign w:val="bottom"/>
            <w:tcBorders>
              <w:bottom w:val="single" w:sz="8" w:color="0000FF"/>
            </w:tcBorders>
            <w:gridSpan w:val="8"/>
          </w:tcPr>
          <w:p>
            <w:pPr>
              <w:jc w:val="right"/>
              <w:spacing w:after="0" w:line="196" w:lineRule="exact"/>
              <w:rPr>
                <w:sz w:val="20"/>
                <w:szCs w:val="20"/>
                <w:color w:val="auto"/>
              </w:rPr>
            </w:pPr>
            <w:r>
              <w:rPr>
                <w:rFonts w:ascii="Arial" w:cs="Arial" w:eastAsia="Arial" w:hAnsi="Arial"/>
                <w:sz w:val="18"/>
                <w:szCs w:val="18"/>
                <w:b w:val="1"/>
                <w:bCs w:val="1"/>
                <w:color w:val="0000FF"/>
                <w:w w:val="79"/>
              </w:rPr>
              <w:t>100</w:t>
            </w:r>
          </w:p>
        </w:tc>
        <w:tc>
          <w:tcPr>
            <w:tcW w:w="180" w:type="dxa"/>
            <w:vAlign w:val="bottom"/>
            <w:gridSpan w:val="2"/>
          </w:tcPr>
          <w:p>
            <w:pPr>
              <w:spacing w:after="0"/>
              <w:rPr>
                <w:sz w:val="17"/>
                <w:szCs w:val="17"/>
                <w:color w:val="auto"/>
              </w:rPr>
            </w:pPr>
          </w:p>
        </w:tc>
        <w:tc>
          <w:tcPr>
            <w:tcW w:w="20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FF0000"/>
                <w:strike w:val="1"/>
                <w:w w:val="79"/>
              </w:rPr>
              <w:t>98</w:t>
            </w:r>
          </w:p>
        </w:tc>
        <w:tc>
          <w:tcPr>
            <w:tcW w:w="280" w:type="dxa"/>
            <w:vAlign w:val="bottom"/>
            <w:gridSpan w:val="7"/>
            <w:vMerge w:val="restart"/>
          </w:tcPr>
          <w:p>
            <w:pPr>
              <w:jc w:val="right"/>
              <w:spacing w:after="0"/>
              <w:rPr>
                <w:sz w:val="20"/>
                <w:szCs w:val="20"/>
                <w:color w:val="auto"/>
              </w:rPr>
            </w:pPr>
            <w:r>
              <w:rPr>
                <w:rFonts w:ascii="Arial" w:cs="Arial" w:eastAsia="Arial" w:hAnsi="Arial"/>
                <w:sz w:val="18"/>
                <w:szCs w:val="18"/>
                <w:b w:val="1"/>
                <w:bCs w:val="1"/>
                <w:color w:val="0000FF"/>
                <w:w w:val="79"/>
              </w:rPr>
              <w:t>101</w:t>
            </w:r>
          </w:p>
        </w:tc>
        <w:tc>
          <w:tcPr>
            <w:tcW w:w="3340" w:type="dxa"/>
            <w:vAlign w:val="bottom"/>
            <w:gridSpan w:val="4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8.22.</w:t>
            </w:r>
          </w:p>
        </w:tc>
        <w:tc>
          <w:tcPr>
            <w:tcW w:w="1700" w:type="dxa"/>
            <w:vAlign w:val="bottom"/>
            <w:gridSpan w:val="20"/>
          </w:tcPr>
          <w:p>
            <w:pPr>
              <w:ind w:left="80"/>
              <w:spacing w:after="0" w:line="196" w:lineRule="exact"/>
              <w:rPr>
                <w:sz w:val="20"/>
                <w:szCs w:val="20"/>
                <w:color w:val="auto"/>
              </w:rPr>
            </w:pPr>
            <w:r>
              <w:rPr>
                <w:rFonts w:ascii="Arial" w:cs="Arial" w:eastAsia="Arial" w:hAnsi="Arial"/>
                <w:sz w:val="18"/>
                <w:szCs w:val="18"/>
                <w:color w:val="auto"/>
              </w:rPr>
              <w:t>Anti-Terrorism Law</w:t>
            </w:r>
          </w:p>
        </w:tc>
        <w:tc>
          <w:tcPr>
            <w:tcW w:w="200" w:type="dxa"/>
            <w:vAlign w:val="bottom"/>
            <w:gridSpan w:val="4"/>
            <w:vMerge w:val="continue"/>
          </w:tcPr>
          <w:p>
            <w:pPr>
              <w:spacing w:after="0"/>
              <w:rPr>
                <w:sz w:val="17"/>
                <w:szCs w:val="17"/>
                <w:color w:val="auto"/>
              </w:rPr>
            </w:pPr>
          </w:p>
        </w:tc>
        <w:tc>
          <w:tcPr>
            <w:tcW w:w="280" w:type="dxa"/>
            <w:vAlign w:val="bottom"/>
            <w:gridSpan w:val="7"/>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Borders>
              <w:right w:val="single" w:sz="8" w:color="0000FF"/>
            </w:tcBorders>
            <w:gridSpan w:val="31"/>
          </w:tcPr>
          <w:p>
            <w:pPr>
              <w:spacing w:after="0" w:line="20" w:lineRule="exact"/>
              <w:rPr>
                <w:sz w:val="1"/>
                <w:szCs w:val="1"/>
                <w:color w:val="auto"/>
              </w:rPr>
            </w:pPr>
          </w:p>
        </w:tc>
        <w:tc>
          <w:tcPr>
            <w:tcW w:w="3360" w:type="dxa"/>
            <w:vAlign w:val="bottom"/>
            <w:gridSpan w:val="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8.23.</w:t>
            </w:r>
          </w:p>
        </w:tc>
        <w:tc>
          <w:tcPr>
            <w:tcW w:w="2460" w:type="dxa"/>
            <w:vAlign w:val="bottom"/>
            <w:gridSpan w:val="36"/>
          </w:tcPr>
          <w:p>
            <w:pPr>
              <w:ind w:left="80"/>
              <w:spacing w:after="0" w:line="196" w:lineRule="exact"/>
              <w:rPr>
                <w:sz w:val="20"/>
                <w:szCs w:val="20"/>
                <w:color w:val="auto"/>
              </w:rPr>
            </w:pPr>
            <w:r>
              <w:rPr>
                <w:rFonts w:ascii="Arial" w:cs="Arial" w:eastAsia="Arial" w:hAnsi="Arial"/>
                <w:sz w:val="18"/>
                <w:szCs w:val="18"/>
                <w:color w:val="auto"/>
              </w:rPr>
              <w:t>Anti-Corruption Laws/Bribery</w:t>
            </w:r>
          </w:p>
        </w:tc>
        <w:tc>
          <w:tcPr>
            <w:tcW w:w="18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99</w:t>
            </w:r>
          </w:p>
        </w:tc>
        <w:tc>
          <w:tcPr>
            <w:tcW w:w="280" w:type="dxa"/>
            <w:vAlign w:val="bottom"/>
            <w:tcBorders>
              <w:bottom w:val="single" w:sz="8" w:color="0000FF"/>
            </w:tcBorders>
            <w:gridSpan w:val="6"/>
          </w:tcPr>
          <w:p>
            <w:pPr>
              <w:jc w:val="right"/>
              <w:spacing w:after="0" w:line="196" w:lineRule="exact"/>
              <w:rPr>
                <w:sz w:val="20"/>
                <w:szCs w:val="20"/>
                <w:color w:val="auto"/>
              </w:rPr>
            </w:pPr>
            <w:r>
              <w:rPr>
                <w:rFonts w:ascii="Arial" w:cs="Arial" w:eastAsia="Arial" w:hAnsi="Arial"/>
                <w:sz w:val="18"/>
                <w:szCs w:val="18"/>
                <w:b w:val="1"/>
                <w:bCs w:val="1"/>
                <w:color w:val="0000FF"/>
                <w:w w:val="86"/>
              </w:rPr>
              <w:t>101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8.24.</w:t>
            </w:r>
          </w:p>
        </w:tc>
        <w:tc>
          <w:tcPr>
            <w:tcW w:w="1180" w:type="dxa"/>
            <w:vAlign w:val="bottom"/>
            <w:gridSpan w:val="7"/>
          </w:tcPr>
          <w:p>
            <w:pPr>
              <w:ind w:left="80"/>
              <w:spacing w:after="0" w:line="196" w:lineRule="exact"/>
              <w:rPr>
                <w:sz w:val="20"/>
                <w:szCs w:val="20"/>
                <w:color w:val="auto"/>
              </w:rPr>
            </w:pPr>
            <w:r>
              <w:rPr>
                <w:rFonts w:ascii="Arial" w:cs="Arial" w:eastAsia="Arial" w:hAnsi="Arial"/>
                <w:sz w:val="18"/>
                <w:szCs w:val="18"/>
                <w:color w:val="auto"/>
                <w:w w:val="97"/>
              </w:rPr>
              <w:t>Labor Matters</w:t>
            </w: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FF0000"/>
                <w:strike w:val="1"/>
                <w:w w:val="89"/>
              </w:rPr>
              <w:t>99</w:t>
            </w:r>
          </w:p>
        </w:tc>
        <w:tc>
          <w:tcPr>
            <w:tcW w:w="340" w:type="dxa"/>
            <w:vAlign w:val="bottom"/>
            <w:gridSpan w:val="7"/>
          </w:tcPr>
          <w:p>
            <w:pPr>
              <w:spacing w:after="0" w:line="196" w:lineRule="exact"/>
              <w:rPr>
                <w:sz w:val="20"/>
                <w:szCs w:val="20"/>
                <w:color w:val="auto"/>
              </w:rPr>
            </w:pPr>
            <w:r>
              <w:rPr>
                <w:rFonts w:ascii="Arial" w:cs="Arial" w:eastAsia="Arial" w:hAnsi="Arial"/>
                <w:sz w:val="18"/>
                <w:szCs w:val="18"/>
                <w:b w:val="1"/>
                <w:bCs w:val="1"/>
                <w:color w:val="0000FF"/>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gridSpan w:val="15"/>
            <w:vMerge w:val="restart"/>
          </w:tcPr>
          <w:p>
            <w:pPr>
              <w:jc w:val="center"/>
              <w:ind w:right="640"/>
              <w:spacing w:after="0"/>
              <w:rPr>
                <w:sz w:val="20"/>
                <w:szCs w:val="20"/>
                <w:color w:val="auto"/>
              </w:rPr>
            </w:pPr>
            <w:r>
              <w:rPr>
                <w:rFonts w:ascii="Arial" w:cs="Arial" w:eastAsia="Arial" w:hAnsi="Arial"/>
                <w:sz w:val="18"/>
                <w:szCs w:val="18"/>
                <w:color w:val="auto"/>
                <w:w w:val="98"/>
              </w:rPr>
              <w:t>ARTICLE IX.</w:t>
            </w:r>
          </w:p>
        </w:tc>
        <w:tc>
          <w:tcPr>
            <w:tcW w:w="0" w:type="dxa"/>
            <w:vAlign w:val="bottom"/>
          </w:tcPr>
          <w:p>
            <w:pPr>
              <w:spacing w:after="0"/>
              <w:rPr>
                <w:sz w:val="1"/>
                <w:szCs w:val="1"/>
                <w:color w:val="auto"/>
              </w:rPr>
            </w:pPr>
          </w:p>
        </w:tc>
      </w:tr>
      <w:tr>
        <w:trPr>
          <w:trHeight w:val="453"/>
        </w:trPr>
        <w:tc>
          <w:tcPr>
            <w:tcW w:w="2820" w:type="dxa"/>
            <w:vAlign w:val="bottom"/>
            <w:gridSpan w:val="17"/>
          </w:tcPr>
          <w:p>
            <w:pPr>
              <w:spacing w:after="0"/>
              <w:rPr>
                <w:sz w:val="24"/>
                <w:szCs w:val="24"/>
                <w:color w:val="auto"/>
              </w:rPr>
            </w:pPr>
          </w:p>
        </w:tc>
        <w:tc>
          <w:tcPr>
            <w:tcW w:w="280" w:type="dxa"/>
            <w:vAlign w:val="bottom"/>
            <w:tcBorders>
              <w:top w:val="single" w:sz="8" w:color="0000FF"/>
            </w:tcBorders>
            <w:gridSpan w:val="6"/>
          </w:tcPr>
          <w:p>
            <w:pPr>
              <w:spacing w:after="0"/>
              <w:rPr>
                <w:sz w:val="24"/>
                <w:szCs w:val="24"/>
                <w:color w:val="auto"/>
              </w:rPr>
            </w:pPr>
          </w:p>
        </w:tc>
        <w:tc>
          <w:tcPr>
            <w:tcW w:w="2040" w:type="dxa"/>
            <w:vAlign w:val="bottom"/>
            <w:gridSpan w:val="41"/>
          </w:tcPr>
          <w:p>
            <w:pPr>
              <w:spacing w:after="0"/>
              <w:rPr>
                <w:sz w:val="24"/>
                <w:szCs w:val="24"/>
                <w:color w:val="auto"/>
              </w:rPr>
            </w:pPr>
          </w:p>
        </w:tc>
        <w:tc>
          <w:tcPr>
            <w:tcW w:w="1740" w:type="dxa"/>
            <w:vAlign w:val="bottom"/>
            <w:gridSpan w:val="1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25"/>
          </w:tcPr>
          <w:p>
            <w:pPr>
              <w:jc w:val="center"/>
              <w:spacing w:after="0"/>
              <w:rPr>
                <w:sz w:val="20"/>
                <w:szCs w:val="20"/>
                <w:color w:val="auto"/>
              </w:rPr>
            </w:pPr>
            <w:r>
              <w:rPr>
                <w:rFonts w:ascii="Arial" w:cs="Arial" w:eastAsia="Arial" w:hAnsi="Arial"/>
                <w:sz w:val="18"/>
                <w:szCs w:val="18"/>
                <w:color w:val="auto"/>
                <w:w w:val="98"/>
              </w:rPr>
              <w:t>AFFIRMATIVE COVENANTS</w:t>
            </w: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0"/>
                <w:szCs w:val="20"/>
                <w:color w:val="auto"/>
              </w:rPr>
            </w:pPr>
            <w:r>
              <w:rPr>
                <w:rFonts w:ascii="Arial" w:cs="Arial" w:eastAsia="Arial" w:hAnsi="Arial"/>
                <w:sz w:val="18"/>
                <w:szCs w:val="18"/>
                <w:color w:val="auto"/>
              </w:rPr>
              <w:t>SECTION 9.01.</w:t>
            </w:r>
          </w:p>
        </w:tc>
        <w:tc>
          <w:tcPr>
            <w:tcW w:w="2460" w:type="dxa"/>
            <w:vAlign w:val="bottom"/>
            <w:gridSpan w:val="36"/>
          </w:tcPr>
          <w:p>
            <w:pPr>
              <w:ind w:left="80"/>
              <w:spacing w:after="0"/>
              <w:rPr>
                <w:sz w:val="20"/>
                <w:szCs w:val="20"/>
                <w:color w:val="auto"/>
              </w:rPr>
            </w:pPr>
            <w:r>
              <w:rPr>
                <w:rFonts w:ascii="Arial" w:cs="Arial" w:eastAsia="Arial" w:hAnsi="Arial"/>
                <w:sz w:val="18"/>
                <w:szCs w:val="18"/>
                <w:color w:val="auto"/>
                <w:w w:val="95"/>
              </w:rPr>
              <w:t>Existence; Business Properties</w:t>
            </w:r>
          </w:p>
        </w:tc>
        <w:tc>
          <w:tcPr>
            <w:tcW w:w="200" w:type="dxa"/>
            <w:vAlign w:val="bottom"/>
            <w:gridSpan w:val="7"/>
          </w:tcPr>
          <w:p>
            <w:pPr>
              <w:jc w:val="right"/>
              <w:spacing w:after="0"/>
              <w:rPr>
                <w:sz w:val="20"/>
                <w:szCs w:val="20"/>
                <w:color w:val="auto"/>
              </w:rPr>
            </w:pPr>
            <w:r>
              <w:rPr>
                <w:rFonts w:ascii="Arial" w:cs="Arial" w:eastAsia="Arial" w:hAnsi="Arial"/>
                <w:sz w:val="18"/>
                <w:szCs w:val="18"/>
                <w:b w:val="1"/>
                <w:bCs w:val="1"/>
                <w:color w:val="FF0000"/>
                <w:strike w:val="1"/>
                <w:w w:val="79"/>
              </w:rPr>
              <w:t>99</w:t>
            </w:r>
          </w:p>
        </w:tc>
        <w:tc>
          <w:tcPr>
            <w:tcW w:w="280" w:type="dxa"/>
            <w:vAlign w:val="bottom"/>
            <w:gridSpan w:val="6"/>
          </w:tcPr>
          <w:p>
            <w:pPr>
              <w:jc w:val="right"/>
              <w:ind w:right="20"/>
              <w:spacing w:after="0"/>
              <w:rPr>
                <w:sz w:val="20"/>
                <w:szCs w:val="20"/>
                <w:color w:val="auto"/>
              </w:rPr>
            </w:pPr>
            <w:r>
              <w:rPr>
                <w:rFonts w:ascii="Arial" w:cs="Arial" w:eastAsia="Arial" w:hAnsi="Arial"/>
                <w:sz w:val="18"/>
                <w:szCs w:val="18"/>
                <w:b w:val="1"/>
                <w:bCs w:val="1"/>
                <w:color w:val="0000FF"/>
                <w:w w:val="79"/>
              </w:rPr>
              <w:t>102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9.02.</w:t>
            </w:r>
          </w:p>
        </w:tc>
        <w:tc>
          <w:tcPr>
            <w:tcW w:w="940" w:type="dxa"/>
            <w:vAlign w:val="bottom"/>
            <w:gridSpan w:val="3"/>
          </w:tcPr>
          <w:p>
            <w:pPr>
              <w:ind w:left="80"/>
              <w:spacing w:after="0" w:line="196" w:lineRule="exact"/>
              <w:rPr>
                <w:sz w:val="20"/>
                <w:szCs w:val="20"/>
                <w:color w:val="auto"/>
              </w:rPr>
            </w:pPr>
            <w:r>
              <w:rPr>
                <w:rFonts w:ascii="Arial" w:cs="Arial" w:eastAsia="Arial" w:hAnsi="Arial"/>
                <w:sz w:val="18"/>
                <w:szCs w:val="18"/>
                <w:color w:val="auto"/>
              </w:rPr>
              <w:t>Insurance</w:t>
            </w:r>
          </w:p>
        </w:tc>
        <w:tc>
          <w:tcPr>
            <w:tcW w:w="28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100</w:t>
            </w:r>
          </w:p>
        </w:tc>
        <w:tc>
          <w:tcPr>
            <w:tcW w:w="1440" w:type="dxa"/>
            <w:vAlign w:val="bottom"/>
            <w:gridSpan w:val="34"/>
          </w:tcPr>
          <w:p>
            <w:pPr>
              <w:spacing w:after="0" w:line="196" w:lineRule="exact"/>
              <w:rPr>
                <w:sz w:val="20"/>
                <w:szCs w:val="20"/>
                <w:color w:val="auto"/>
              </w:rPr>
            </w:pPr>
            <w:r>
              <w:rPr>
                <w:rFonts w:ascii="Arial" w:cs="Arial" w:eastAsia="Arial" w:hAnsi="Arial"/>
                <w:sz w:val="18"/>
                <w:szCs w:val="18"/>
                <w:b w:val="1"/>
                <w:bCs w:val="1"/>
                <w:color w:val="0000FF"/>
                <w:w w:val="93"/>
              </w:rPr>
              <w:t>102</w:t>
            </w:r>
          </w:p>
        </w:tc>
        <w:tc>
          <w:tcPr>
            <w:tcW w:w="260" w:type="dxa"/>
            <w:vAlign w:val="bottom"/>
            <w:tcBorders>
              <w:top w:val="single" w:sz="8" w:color="0000FF"/>
            </w:tcBorders>
            <w:gridSpan w:val="5"/>
          </w:tcPr>
          <w:p>
            <w:pPr>
              <w:spacing w:after="0"/>
              <w:rPr>
                <w:sz w:val="17"/>
                <w:szCs w:val="17"/>
                <w:color w:val="auto"/>
              </w:rPr>
            </w:pPr>
          </w:p>
        </w:tc>
        <w:tc>
          <w:tcPr>
            <w:tcW w:w="260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9.03.</w:t>
            </w:r>
          </w:p>
        </w:tc>
        <w:tc>
          <w:tcPr>
            <w:tcW w:w="660" w:type="dxa"/>
            <w:vAlign w:val="bottom"/>
          </w:tcPr>
          <w:p>
            <w:pPr>
              <w:ind w:left="80"/>
              <w:spacing w:after="0" w:line="196" w:lineRule="exact"/>
              <w:rPr>
                <w:sz w:val="20"/>
                <w:szCs w:val="20"/>
                <w:color w:val="auto"/>
              </w:rPr>
            </w:pPr>
            <w:r>
              <w:rPr>
                <w:rFonts w:ascii="Arial" w:cs="Arial" w:eastAsia="Arial" w:hAnsi="Arial"/>
                <w:sz w:val="18"/>
                <w:szCs w:val="18"/>
                <w:color w:val="auto"/>
              </w:rPr>
              <w:t>Taxes</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100</w:t>
            </w:r>
          </w:p>
        </w:tc>
        <w:tc>
          <w:tcPr>
            <w:tcW w:w="280" w:type="dxa"/>
            <w:vAlign w:val="bottom"/>
            <w:tcBorders>
              <w:bottom w:val="single" w:sz="8" w:color="0000FF"/>
            </w:tcBorders>
            <w:gridSpan w:val="6"/>
          </w:tcPr>
          <w:p>
            <w:pPr>
              <w:jc w:val="right"/>
              <w:spacing w:after="0" w:line="196" w:lineRule="exact"/>
              <w:rPr>
                <w:sz w:val="20"/>
                <w:szCs w:val="20"/>
                <w:color w:val="auto"/>
              </w:rPr>
            </w:pPr>
            <w:r>
              <w:rPr>
                <w:rFonts w:ascii="Arial" w:cs="Arial" w:eastAsia="Arial" w:hAnsi="Arial"/>
                <w:sz w:val="18"/>
                <w:szCs w:val="18"/>
                <w:b w:val="1"/>
                <w:bCs w:val="1"/>
                <w:color w:val="0000FF"/>
                <w:w w:val="86"/>
              </w:rPr>
              <w:t>102</w:t>
            </w:r>
          </w:p>
        </w:tc>
        <w:tc>
          <w:tcPr>
            <w:tcW w:w="280" w:type="dxa"/>
            <w:vAlign w:val="bottom"/>
            <w:tcBorders>
              <w:top w:val="single" w:sz="8" w:color="0000FF"/>
            </w:tcBorders>
            <w:gridSpan w:val="8"/>
          </w:tcPr>
          <w:p>
            <w:pPr>
              <w:spacing w:after="0"/>
              <w:rPr>
                <w:sz w:val="17"/>
                <w:szCs w:val="17"/>
                <w:color w:val="auto"/>
              </w:rPr>
            </w:pPr>
          </w:p>
        </w:tc>
        <w:tc>
          <w:tcPr>
            <w:tcW w:w="660" w:type="dxa"/>
            <w:vAlign w:val="bottom"/>
            <w:gridSpan w:val="13"/>
          </w:tcPr>
          <w:p>
            <w:pPr>
              <w:spacing w:after="0"/>
              <w:rPr>
                <w:sz w:val="17"/>
                <w:szCs w:val="17"/>
                <w:color w:val="auto"/>
              </w:rPr>
            </w:pPr>
          </w:p>
        </w:tc>
        <w:tc>
          <w:tcPr>
            <w:tcW w:w="200" w:type="dxa"/>
            <w:vAlign w:val="bottom"/>
            <w:gridSpan w:val="4"/>
            <w:vMerge w:val="restart"/>
          </w:tcPr>
          <w:p>
            <w:pPr>
              <w:spacing w:after="0"/>
              <w:rPr>
                <w:sz w:val="20"/>
                <w:szCs w:val="20"/>
                <w:color w:val="auto"/>
              </w:rPr>
            </w:pPr>
            <w:r>
              <w:rPr>
                <w:rFonts w:ascii="Arial" w:cs="Arial" w:eastAsia="Arial" w:hAnsi="Arial"/>
                <w:sz w:val="15"/>
                <w:szCs w:val="15"/>
                <w:b w:val="1"/>
                <w:bCs w:val="1"/>
                <w:color w:val="FF0000"/>
                <w:strike w:val="1"/>
                <w:w w:val="71"/>
              </w:rPr>
              <w:t>100</w:t>
            </w:r>
          </w:p>
        </w:tc>
        <w:tc>
          <w:tcPr>
            <w:tcW w:w="280" w:type="dxa"/>
            <w:vAlign w:val="bottom"/>
            <w:gridSpan w:val="8"/>
            <w:vMerge w:val="restart"/>
          </w:tcPr>
          <w:p>
            <w:pPr>
              <w:jc w:val="right"/>
              <w:spacing w:after="0"/>
              <w:rPr>
                <w:sz w:val="20"/>
                <w:szCs w:val="20"/>
                <w:color w:val="auto"/>
              </w:rPr>
            </w:pPr>
            <w:r>
              <w:rPr>
                <w:rFonts w:ascii="Arial" w:cs="Arial" w:eastAsia="Arial" w:hAnsi="Arial"/>
                <w:sz w:val="18"/>
                <w:szCs w:val="18"/>
                <w:b w:val="1"/>
                <w:bCs w:val="1"/>
                <w:color w:val="0000FF"/>
                <w:w w:val="86"/>
              </w:rPr>
              <w:t>103</w:t>
            </w:r>
          </w:p>
        </w:tc>
        <w:tc>
          <w:tcPr>
            <w:tcW w:w="288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9.04.</w:t>
            </w:r>
          </w:p>
        </w:tc>
        <w:tc>
          <w:tcPr>
            <w:tcW w:w="1940" w:type="dxa"/>
            <w:vAlign w:val="bottom"/>
            <w:gridSpan w:val="26"/>
          </w:tcPr>
          <w:p>
            <w:pPr>
              <w:ind w:left="80"/>
              <w:spacing w:after="0" w:line="196" w:lineRule="exact"/>
              <w:rPr>
                <w:sz w:val="20"/>
                <w:szCs w:val="20"/>
                <w:color w:val="auto"/>
              </w:rPr>
            </w:pPr>
            <w:r>
              <w:rPr>
                <w:rFonts w:ascii="Arial" w:cs="Arial" w:eastAsia="Arial" w:hAnsi="Arial"/>
                <w:sz w:val="18"/>
                <w:szCs w:val="18"/>
                <w:color w:val="auto"/>
                <w:w w:val="90"/>
              </w:rPr>
              <w:t>Financial Statements, Etc</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4"/>
            <w:vMerge w:val="continue"/>
          </w:tcPr>
          <w:p>
            <w:pPr>
              <w:spacing w:after="0"/>
              <w:rPr>
                <w:sz w:val="17"/>
                <w:szCs w:val="17"/>
                <w:color w:val="auto"/>
              </w:rPr>
            </w:pPr>
          </w:p>
        </w:tc>
        <w:tc>
          <w:tcPr>
            <w:tcW w:w="280" w:type="dxa"/>
            <w:vAlign w:val="bottom"/>
            <w:tcBorders>
              <w:bottom w:val="single" w:sz="8" w:color="0000FF"/>
            </w:tcBorders>
            <w:gridSpan w:val="8"/>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FF0000"/>
                <w:strike w:val="1"/>
                <w:w w:val="86"/>
              </w:rPr>
              <w:t>103</w:t>
            </w:r>
          </w:p>
        </w:tc>
        <w:tc>
          <w:tcPr>
            <w:tcW w:w="740" w:type="dxa"/>
            <w:vAlign w:val="bottom"/>
            <w:gridSpan w:val="4"/>
            <w:vMerge w:val="restart"/>
          </w:tcPr>
          <w:p>
            <w:pPr>
              <w:jc w:val="right"/>
              <w:ind w:right="480"/>
              <w:spacing w:after="0"/>
              <w:rPr>
                <w:sz w:val="20"/>
                <w:szCs w:val="20"/>
                <w:color w:val="auto"/>
              </w:rPr>
            </w:pPr>
            <w:r>
              <w:rPr>
                <w:rFonts w:ascii="Arial" w:cs="Arial" w:eastAsia="Arial" w:hAnsi="Arial"/>
                <w:sz w:val="18"/>
                <w:szCs w:val="18"/>
                <w:b w:val="1"/>
                <w:bCs w:val="1"/>
                <w:color w:val="0000FF"/>
                <w:w w:val="79"/>
              </w:rPr>
              <w:t>105</w:t>
            </w: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9.05.</w:t>
            </w:r>
          </w:p>
        </w:tc>
        <w:tc>
          <w:tcPr>
            <w:tcW w:w="4380" w:type="dxa"/>
            <w:vAlign w:val="bottom"/>
            <w:gridSpan w:val="69"/>
          </w:tcPr>
          <w:p>
            <w:pPr>
              <w:ind w:left="80"/>
              <w:spacing w:after="0" w:line="196" w:lineRule="exact"/>
              <w:rPr>
                <w:sz w:val="20"/>
                <w:szCs w:val="20"/>
                <w:color w:val="auto"/>
              </w:rPr>
            </w:pPr>
            <w:r>
              <w:rPr>
                <w:rFonts w:ascii="Arial" w:cs="Arial" w:eastAsia="Arial" w:hAnsi="Arial"/>
                <w:sz w:val="18"/>
                <w:szCs w:val="18"/>
                <w:color w:val="auto"/>
                <w:w w:val="91"/>
              </w:rPr>
              <w:t>Maintaining Records; Access to Properties and Inspections</w:t>
            </w:r>
          </w:p>
        </w:tc>
        <w:tc>
          <w:tcPr>
            <w:tcW w:w="120" w:type="dxa"/>
            <w:vAlign w:val="bottom"/>
          </w:tcPr>
          <w:p>
            <w:pPr>
              <w:spacing w:after="0"/>
              <w:rPr>
                <w:sz w:val="17"/>
                <w:szCs w:val="17"/>
                <w:color w:val="auto"/>
              </w:rPr>
            </w:pPr>
          </w:p>
        </w:tc>
        <w:tc>
          <w:tcPr>
            <w:tcW w:w="280" w:type="dxa"/>
            <w:vAlign w:val="bottom"/>
            <w:gridSpan w:val="4"/>
            <w:vMerge w:val="continue"/>
          </w:tcPr>
          <w:p>
            <w:pPr>
              <w:spacing w:after="0"/>
              <w:rPr>
                <w:sz w:val="17"/>
                <w:szCs w:val="17"/>
                <w:color w:val="auto"/>
              </w:rPr>
            </w:pPr>
          </w:p>
        </w:tc>
        <w:tc>
          <w:tcPr>
            <w:tcW w:w="7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9.06.</w:t>
            </w:r>
          </w:p>
        </w:tc>
        <w:tc>
          <w:tcPr>
            <w:tcW w:w="1940" w:type="dxa"/>
            <w:vAlign w:val="bottom"/>
            <w:gridSpan w:val="26"/>
          </w:tcPr>
          <w:p>
            <w:pPr>
              <w:ind w:left="80"/>
              <w:spacing w:after="0" w:line="196" w:lineRule="exact"/>
              <w:rPr>
                <w:sz w:val="20"/>
                <w:szCs w:val="20"/>
                <w:color w:val="auto"/>
              </w:rPr>
            </w:pPr>
            <w:r>
              <w:rPr>
                <w:rFonts w:ascii="Arial" w:cs="Arial" w:eastAsia="Arial" w:hAnsi="Arial"/>
                <w:sz w:val="18"/>
                <w:szCs w:val="18"/>
                <w:color w:val="auto"/>
                <w:w w:val="96"/>
              </w:rPr>
              <w:t>Use of Proceeds; FCPA</w:t>
            </w:r>
          </w:p>
        </w:tc>
        <w:tc>
          <w:tcPr>
            <w:tcW w:w="300" w:type="dxa"/>
            <w:vAlign w:val="bottom"/>
            <w:gridSpan w:val="6"/>
          </w:tcPr>
          <w:p>
            <w:pPr>
              <w:jc w:val="right"/>
              <w:ind w:right="20"/>
              <w:spacing w:after="0" w:line="196" w:lineRule="exact"/>
              <w:rPr>
                <w:sz w:val="20"/>
                <w:szCs w:val="20"/>
                <w:color w:val="auto"/>
              </w:rPr>
            </w:pPr>
            <w:r>
              <w:rPr>
                <w:rFonts w:ascii="Arial" w:cs="Arial" w:eastAsia="Arial" w:hAnsi="Arial"/>
                <w:sz w:val="18"/>
                <w:szCs w:val="18"/>
                <w:b w:val="1"/>
                <w:bCs w:val="1"/>
                <w:color w:val="FF0000"/>
                <w:strike w:val="1"/>
                <w:w w:val="86"/>
              </w:rPr>
              <w:t>103</w:t>
            </w:r>
          </w:p>
        </w:tc>
        <w:tc>
          <w:tcPr>
            <w:tcW w:w="280" w:type="dxa"/>
            <w:vAlign w:val="bottom"/>
            <w:gridSpan w:val="6"/>
          </w:tcPr>
          <w:p>
            <w:pPr>
              <w:jc w:val="right"/>
              <w:ind w:right="40"/>
              <w:spacing w:after="0" w:line="196" w:lineRule="exact"/>
              <w:rPr>
                <w:sz w:val="20"/>
                <w:szCs w:val="20"/>
                <w:color w:val="auto"/>
              </w:rPr>
            </w:pPr>
            <w:r>
              <w:rPr>
                <w:rFonts w:ascii="Arial" w:cs="Arial" w:eastAsia="Arial" w:hAnsi="Arial"/>
                <w:sz w:val="18"/>
                <w:szCs w:val="18"/>
                <w:b w:val="1"/>
                <w:bCs w:val="1"/>
                <w:color w:val="0000FF"/>
                <w:w w:val="73"/>
              </w:rPr>
              <w:t>106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5"/>
            <w:vMerge w:val="restart"/>
          </w:tcPr>
          <w:p>
            <w:pPr>
              <w:spacing w:after="0"/>
              <w:rPr>
                <w:sz w:val="20"/>
                <w:szCs w:val="20"/>
                <w:color w:val="auto"/>
              </w:rPr>
            </w:pPr>
            <w:r>
              <w:rPr>
                <w:rFonts w:ascii="Arial" w:cs="Arial" w:eastAsia="Arial" w:hAnsi="Arial"/>
                <w:sz w:val="18"/>
                <w:szCs w:val="18"/>
                <w:b w:val="1"/>
                <w:bCs w:val="1"/>
                <w:color w:val="FF0000"/>
                <w:strike w:val="1"/>
                <w:w w:val="79"/>
              </w:rPr>
              <w:t>104</w:t>
            </w:r>
          </w:p>
        </w:tc>
        <w:tc>
          <w:tcPr>
            <w:tcW w:w="280" w:type="dxa"/>
            <w:vAlign w:val="bottom"/>
            <w:gridSpan w:val="5"/>
            <w:vMerge w:val="restart"/>
          </w:tcPr>
          <w:p>
            <w:pPr>
              <w:spacing w:after="0"/>
              <w:rPr>
                <w:sz w:val="20"/>
                <w:szCs w:val="20"/>
                <w:color w:val="auto"/>
              </w:rPr>
            </w:pPr>
            <w:r>
              <w:rPr>
                <w:rFonts w:ascii="Arial" w:cs="Arial" w:eastAsia="Arial" w:hAnsi="Arial"/>
                <w:sz w:val="18"/>
                <w:szCs w:val="18"/>
                <w:b w:val="1"/>
                <w:bCs w:val="1"/>
                <w:color w:val="0000FF"/>
                <w:w w:val="86"/>
              </w:rPr>
              <w:t>106</w:t>
            </w:r>
          </w:p>
        </w:tc>
        <w:tc>
          <w:tcPr>
            <w:tcW w:w="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FF"/>
            </w:tcBorders>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vMerge w:val="continue"/>
          </w:tcPr>
          <w:p>
            <w:pPr>
              <w:spacing w:after="0" w:line="20" w:lineRule="exact"/>
              <w:rPr>
                <w:sz w:val="1"/>
                <w:szCs w:val="1"/>
                <w:color w:val="auto"/>
              </w:rPr>
            </w:pPr>
          </w:p>
        </w:tc>
        <w:tc>
          <w:tcPr>
            <w:tcW w:w="280" w:type="dxa"/>
            <w:vAlign w:val="bottom"/>
            <w:gridSpan w:val="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9.07.</w:t>
            </w:r>
          </w:p>
        </w:tc>
        <w:tc>
          <w:tcPr>
            <w:tcW w:w="2940" w:type="dxa"/>
            <w:vAlign w:val="bottom"/>
            <w:gridSpan w:val="49"/>
          </w:tcPr>
          <w:p>
            <w:pPr>
              <w:ind w:left="80"/>
              <w:spacing w:after="0" w:line="196" w:lineRule="exact"/>
              <w:rPr>
                <w:sz w:val="20"/>
                <w:szCs w:val="20"/>
                <w:color w:val="auto"/>
              </w:rPr>
            </w:pPr>
            <w:r>
              <w:rPr>
                <w:rFonts w:ascii="Arial" w:cs="Arial" w:eastAsia="Arial" w:hAnsi="Arial"/>
                <w:sz w:val="18"/>
                <w:szCs w:val="18"/>
                <w:color w:val="auto"/>
                <w:w w:val="97"/>
              </w:rPr>
              <w:t>Compliance with Environmental Law</w:t>
            </w:r>
          </w:p>
        </w:tc>
        <w:tc>
          <w:tcPr>
            <w:tcW w:w="40" w:type="dxa"/>
            <w:vAlign w:val="bottom"/>
          </w:tcPr>
          <w:p>
            <w:pPr>
              <w:spacing w:after="0"/>
              <w:rPr>
                <w:sz w:val="17"/>
                <w:szCs w:val="17"/>
                <w:color w:val="auto"/>
              </w:rPr>
            </w:pPr>
          </w:p>
        </w:tc>
        <w:tc>
          <w:tcPr>
            <w:tcW w:w="260" w:type="dxa"/>
            <w:vAlign w:val="bottom"/>
            <w:gridSpan w:val="5"/>
            <w:vMerge w:val="continue"/>
          </w:tcPr>
          <w:p>
            <w:pPr>
              <w:spacing w:after="0"/>
              <w:rPr>
                <w:sz w:val="17"/>
                <w:szCs w:val="17"/>
                <w:color w:val="auto"/>
              </w:rPr>
            </w:pPr>
          </w:p>
        </w:tc>
        <w:tc>
          <w:tcPr>
            <w:tcW w:w="280" w:type="dxa"/>
            <w:vAlign w:val="bottom"/>
            <w:tcBorders>
              <w:bottom w:val="single" w:sz="8" w:color="0000FF"/>
            </w:tcBorders>
            <w:gridSpan w:val="5"/>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86"/>
              </w:rPr>
              <w:t>104</w:t>
            </w:r>
          </w:p>
        </w:tc>
        <w:tc>
          <w:tcPr>
            <w:tcW w:w="320" w:type="dxa"/>
            <w:vAlign w:val="bottom"/>
            <w:gridSpan w:val="4"/>
            <w:vMerge w:val="restart"/>
          </w:tcPr>
          <w:p>
            <w:pPr>
              <w:jc w:val="right"/>
              <w:ind w:right="60"/>
              <w:spacing w:after="0"/>
              <w:rPr>
                <w:sz w:val="20"/>
                <w:szCs w:val="20"/>
                <w:color w:val="auto"/>
              </w:rPr>
            </w:pPr>
            <w:r>
              <w:rPr>
                <w:rFonts w:ascii="Arial" w:cs="Arial" w:eastAsia="Arial" w:hAnsi="Arial"/>
                <w:sz w:val="18"/>
                <w:szCs w:val="18"/>
                <w:b w:val="1"/>
                <w:bCs w:val="1"/>
                <w:color w:val="0000FF"/>
                <w:w w:val="79"/>
              </w:rPr>
              <w:t>107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9.08.</w:t>
            </w:r>
          </w:p>
        </w:tc>
        <w:tc>
          <w:tcPr>
            <w:tcW w:w="3780" w:type="dxa"/>
            <w:vAlign w:val="bottom"/>
            <w:gridSpan w:val="63"/>
          </w:tcPr>
          <w:p>
            <w:pPr>
              <w:ind w:left="80"/>
              <w:spacing w:after="0" w:line="196" w:lineRule="exact"/>
              <w:rPr>
                <w:sz w:val="20"/>
                <w:szCs w:val="20"/>
                <w:color w:val="auto"/>
              </w:rPr>
            </w:pPr>
            <w:r>
              <w:rPr>
                <w:rFonts w:ascii="Arial" w:cs="Arial" w:eastAsia="Arial" w:hAnsi="Arial"/>
                <w:sz w:val="18"/>
                <w:szCs w:val="18"/>
                <w:color w:val="auto"/>
                <w:w w:val="95"/>
              </w:rPr>
              <w:t>Pledge of Property or Mortgage of Real Property</w:t>
            </w:r>
          </w:p>
        </w:tc>
        <w:tc>
          <w:tcPr>
            <w:tcW w:w="280" w:type="dxa"/>
            <w:vAlign w:val="bottom"/>
            <w:gridSpan w:val="2"/>
            <w:vMerge w:val="continue"/>
          </w:tcPr>
          <w:p>
            <w:pPr>
              <w:spacing w:after="0"/>
              <w:rPr>
                <w:sz w:val="17"/>
                <w:szCs w:val="17"/>
                <w:color w:val="auto"/>
              </w:rPr>
            </w:pPr>
          </w:p>
        </w:tc>
        <w:tc>
          <w:tcPr>
            <w:tcW w:w="32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9.09.</w:t>
            </w:r>
          </w:p>
        </w:tc>
        <w:tc>
          <w:tcPr>
            <w:tcW w:w="2940" w:type="dxa"/>
            <w:vAlign w:val="bottom"/>
            <w:gridSpan w:val="49"/>
          </w:tcPr>
          <w:p>
            <w:pPr>
              <w:ind w:left="80"/>
              <w:spacing w:after="0" w:line="196" w:lineRule="exact"/>
              <w:rPr>
                <w:sz w:val="20"/>
                <w:szCs w:val="20"/>
                <w:color w:val="auto"/>
              </w:rPr>
            </w:pPr>
            <w:r>
              <w:rPr>
                <w:rFonts w:ascii="Arial" w:cs="Arial" w:eastAsia="Arial" w:hAnsi="Arial"/>
                <w:sz w:val="18"/>
                <w:szCs w:val="18"/>
                <w:color w:val="auto"/>
                <w:w w:val="92"/>
              </w:rPr>
              <w:t>Security Interests; Further Assurances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106</w:t>
            </w:r>
          </w:p>
        </w:tc>
        <w:tc>
          <w:tcPr>
            <w:tcW w:w="440" w:type="dxa"/>
            <w:vAlign w:val="bottom"/>
            <w:gridSpan w:val="5"/>
          </w:tcPr>
          <w:p>
            <w:pPr>
              <w:jc w:val="right"/>
              <w:ind w:right="180"/>
              <w:spacing w:after="0" w:line="196" w:lineRule="exact"/>
              <w:rPr>
                <w:sz w:val="20"/>
                <w:szCs w:val="20"/>
                <w:color w:val="auto"/>
              </w:rPr>
            </w:pPr>
            <w:r>
              <w:rPr>
                <w:rFonts w:ascii="Arial" w:cs="Arial" w:eastAsia="Arial" w:hAnsi="Arial"/>
                <w:sz w:val="18"/>
                <w:szCs w:val="18"/>
                <w:b w:val="1"/>
                <w:bCs w:val="1"/>
                <w:color w:val="0000FF"/>
                <w:w w:val="79"/>
              </w:rPr>
              <w:t>109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Borders>
              <w:top w:val="single" w:sz="8" w:color="0000FF"/>
            </w:tcBorders>
          </w:tcPr>
          <w:p>
            <w:pPr>
              <w:spacing w:after="0"/>
              <w:rPr>
                <w:sz w:val="17"/>
                <w:szCs w:val="17"/>
                <w:color w:val="auto"/>
              </w:rPr>
            </w:pPr>
          </w:p>
        </w:tc>
        <w:tc>
          <w:tcPr>
            <w:tcW w:w="17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9.10.</w:t>
            </w:r>
          </w:p>
        </w:tc>
        <w:tc>
          <w:tcPr>
            <w:tcW w:w="2460" w:type="dxa"/>
            <w:vAlign w:val="bottom"/>
            <w:gridSpan w:val="36"/>
          </w:tcPr>
          <w:p>
            <w:pPr>
              <w:ind w:left="80"/>
              <w:spacing w:after="0" w:line="196" w:lineRule="exact"/>
              <w:rPr>
                <w:sz w:val="20"/>
                <w:szCs w:val="20"/>
                <w:color w:val="auto"/>
              </w:rPr>
            </w:pPr>
            <w:r>
              <w:rPr>
                <w:rFonts w:ascii="Arial" w:cs="Arial" w:eastAsia="Arial" w:hAnsi="Arial"/>
                <w:sz w:val="18"/>
                <w:szCs w:val="18"/>
                <w:color w:val="auto"/>
                <w:w w:val="90"/>
              </w:rPr>
              <w:t>Wynn Las Vegas Reorganization</w:t>
            </w: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106</w:t>
            </w:r>
          </w:p>
        </w:tc>
        <w:tc>
          <w:tcPr>
            <w:tcW w:w="340" w:type="dxa"/>
            <w:vAlign w:val="bottom"/>
            <w:gridSpan w:val="7"/>
          </w:tcPr>
          <w:p>
            <w:pPr>
              <w:jc w:val="right"/>
              <w:spacing w:after="0" w:line="196" w:lineRule="exact"/>
              <w:rPr>
                <w:sz w:val="20"/>
                <w:szCs w:val="20"/>
                <w:color w:val="auto"/>
              </w:rPr>
            </w:pPr>
            <w:r>
              <w:rPr>
                <w:rFonts w:ascii="Arial" w:cs="Arial" w:eastAsia="Arial" w:hAnsi="Arial"/>
                <w:sz w:val="18"/>
                <w:szCs w:val="18"/>
                <w:b w:val="1"/>
                <w:bCs w:val="1"/>
                <w:color w:val="0000FF"/>
                <w:w w:val="79"/>
              </w:rPr>
              <w:t>109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9.11.</w:t>
            </w:r>
          </w:p>
        </w:tc>
        <w:tc>
          <w:tcPr>
            <w:tcW w:w="1940" w:type="dxa"/>
            <w:vAlign w:val="bottom"/>
            <w:gridSpan w:val="26"/>
          </w:tcPr>
          <w:p>
            <w:pPr>
              <w:ind w:left="80"/>
              <w:spacing w:after="0" w:line="196" w:lineRule="exact"/>
              <w:rPr>
                <w:sz w:val="20"/>
                <w:szCs w:val="20"/>
                <w:color w:val="auto"/>
              </w:rPr>
            </w:pPr>
            <w:r>
              <w:rPr>
                <w:rFonts w:ascii="Arial" w:cs="Arial" w:eastAsia="Arial" w:hAnsi="Arial"/>
                <w:sz w:val="18"/>
                <w:szCs w:val="18"/>
                <w:color w:val="auto"/>
                <w:w w:val="95"/>
              </w:rPr>
              <w:t>Additional Credit Parties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FF0000"/>
                <w:strike w:val="1"/>
                <w:w w:val="99"/>
              </w:rPr>
              <w:t>107</w:t>
            </w:r>
          </w:p>
        </w:tc>
        <w:tc>
          <w:tcPr>
            <w:tcW w:w="280" w:type="dxa"/>
            <w:vAlign w:val="bottom"/>
            <w:tcBorders>
              <w:bottom w:val="single" w:sz="8" w:color="0000FF"/>
            </w:tcBorders>
            <w:gridSpan w:val="8"/>
          </w:tcPr>
          <w:p>
            <w:pPr>
              <w:jc w:val="right"/>
              <w:spacing w:after="0" w:line="196" w:lineRule="exact"/>
              <w:rPr>
                <w:sz w:val="20"/>
                <w:szCs w:val="20"/>
                <w:color w:val="auto"/>
              </w:rPr>
            </w:pPr>
            <w:r>
              <w:rPr>
                <w:rFonts w:ascii="Arial" w:cs="Arial" w:eastAsia="Arial" w:hAnsi="Arial"/>
                <w:sz w:val="18"/>
                <w:szCs w:val="18"/>
                <w:b w:val="1"/>
                <w:bCs w:val="1"/>
                <w:color w:val="0000FF"/>
                <w:w w:val="86"/>
              </w:rPr>
              <w:t>109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2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FF0000"/>
                <w:strike w:val="1"/>
                <w:w w:val="86"/>
              </w:rPr>
              <w:t>108</w:t>
            </w:r>
          </w:p>
        </w:tc>
        <w:tc>
          <w:tcPr>
            <w:tcW w:w="26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0000FF"/>
                <w:w w:val="79"/>
              </w:rPr>
              <w:t>110</w:t>
            </w:r>
          </w:p>
        </w:tc>
        <w:tc>
          <w:tcPr>
            <w:tcW w:w="1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9.12.</w:t>
            </w:r>
          </w:p>
        </w:tc>
        <w:tc>
          <w:tcPr>
            <w:tcW w:w="4110" w:type="dxa"/>
            <w:vAlign w:val="bottom"/>
            <w:gridSpan w:val="66"/>
          </w:tcPr>
          <w:p>
            <w:pPr>
              <w:ind w:left="80"/>
              <w:spacing w:after="0" w:line="196" w:lineRule="exact"/>
              <w:rPr>
                <w:sz w:val="20"/>
                <w:szCs w:val="20"/>
                <w:color w:val="auto"/>
              </w:rPr>
            </w:pPr>
            <w:r>
              <w:rPr>
                <w:rFonts w:ascii="Arial" w:cs="Arial" w:eastAsia="Arial" w:hAnsi="Arial"/>
                <w:sz w:val="18"/>
                <w:szCs w:val="18"/>
                <w:color w:val="auto"/>
                <w:w w:val="92"/>
              </w:rPr>
              <w:t>Limitation on Designations of Unrestricted Subsidiaries</w:t>
            </w:r>
          </w:p>
        </w:tc>
        <w:tc>
          <w:tcPr>
            <w:tcW w:w="170" w:type="dxa"/>
            <w:vAlign w:val="bottom"/>
          </w:tcPr>
          <w:p>
            <w:pPr>
              <w:spacing w:after="0"/>
              <w:rPr>
                <w:sz w:val="17"/>
                <w:szCs w:val="17"/>
                <w:color w:val="auto"/>
              </w:rPr>
            </w:pPr>
          </w:p>
        </w:tc>
        <w:tc>
          <w:tcPr>
            <w:tcW w:w="280" w:type="dxa"/>
            <w:vAlign w:val="bottom"/>
            <w:gridSpan w:val="4"/>
            <w:vMerge w:val="continue"/>
          </w:tcPr>
          <w:p>
            <w:pPr>
              <w:spacing w:after="0"/>
              <w:rPr>
                <w:sz w:val="17"/>
                <w:szCs w:val="17"/>
                <w:color w:val="auto"/>
              </w:rPr>
            </w:pPr>
          </w:p>
        </w:tc>
        <w:tc>
          <w:tcPr>
            <w:tcW w:w="260" w:type="dxa"/>
            <w:vAlign w:val="bottom"/>
            <w:tcBorders>
              <w:bottom w:val="single" w:sz="8" w:color="0000FF"/>
            </w:tcBorders>
            <w:gridSpan w:val="4"/>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9.13.</w:t>
            </w:r>
          </w:p>
        </w:tc>
        <w:tc>
          <w:tcPr>
            <w:tcW w:w="4110" w:type="dxa"/>
            <w:vAlign w:val="bottom"/>
            <w:gridSpan w:val="66"/>
          </w:tcPr>
          <w:p>
            <w:pPr>
              <w:ind w:left="80"/>
              <w:spacing w:after="0" w:line="196" w:lineRule="exact"/>
              <w:rPr>
                <w:sz w:val="20"/>
                <w:szCs w:val="20"/>
                <w:color w:val="auto"/>
              </w:rPr>
            </w:pPr>
            <w:r>
              <w:rPr>
                <w:rFonts w:ascii="Arial" w:cs="Arial" w:eastAsia="Arial" w:hAnsi="Arial"/>
                <w:sz w:val="18"/>
                <w:szCs w:val="18"/>
                <w:color w:val="auto"/>
                <w:w w:val="97"/>
              </w:rPr>
              <w:t>Limitation on Designation of Immaterial Subsidiaries</w:t>
            </w:r>
          </w:p>
        </w:tc>
        <w:tc>
          <w:tcPr>
            <w:tcW w:w="27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109</w:t>
            </w:r>
          </w:p>
        </w:tc>
        <w:tc>
          <w:tcPr>
            <w:tcW w:w="26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b w:val="1"/>
                <w:bCs w:val="1"/>
                <w:color w:val="0000FF"/>
                <w:w w:val="79"/>
              </w:rPr>
              <w:t>111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9.14.</w:t>
            </w:r>
          </w:p>
        </w:tc>
        <w:tc>
          <w:tcPr>
            <w:tcW w:w="2460" w:type="dxa"/>
            <w:vAlign w:val="bottom"/>
            <w:gridSpan w:val="36"/>
          </w:tcPr>
          <w:p>
            <w:pPr>
              <w:ind w:left="80"/>
              <w:spacing w:after="0" w:line="196" w:lineRule="exact"/>
              <w:rPr>
                <w:sz w:val="20"/>
                <w:szCs w:val="20"/>
                <w:color w:val="auto"/>
              </w:rPr>
            </w:pPr>
            <w:r>
              <w:rPr>
                <w:rFonts w:ascii="Arial" w:cs="Arial" w:eastAsia="Arial" w:hAnsi="Arial"/>
                <w:sz w:val="18"/>
                <w:szCs w:val="18"/>
                <w:color w:val="auto"/>
                <w:w w:val="98"/>
              </w:rPr>
              <w:t>Wynn Las Vegas Distributions</w:t>
            </w:r>
          </w:p>
        </w:tc>
        <w:tc>
          <w:tcPr>
            <w:tcW w:w="260" w:type="dxa"/>
            <w:vAlign w:val="bottom"/>
            <w:gridSpan w:val="8"/>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109</w:t>
            </w:r>
          </w:p>
        </w:tc>
        <w:tc>
          <w:tcPr>
            <w:tcW w:w="280" w:type="dxa"/>
            <w:vAlign w:val="bottom"/>
            <w:tcBorders>
              <w:bottom w:val="single" w:sz="8" w:color="0000FF"/>
            </w:tcBorders>
            <w:gridSpan w:val="7"/>
          </w:tcPr>
          <w:p>
            <w:pPr>
              <w:jc w:val="right"/>
              <w:spacing w:after="0" w:line="196" w:lineRule="exact"/>
              <w:rPr>
                <w:sz w:val="20"/>
                <w:szCs w:val="20"/>
                <w:color w:val="auto"/>
              </w:rPr>
            </w:pPr>
            <w:r>
              <w:rPr>
                <w:rFonts w:ascii="Arial" w:cs="Arial" w:eastAsia="Arial" w:hAnsi="Arial"/>
                <w:sz w:val="18"/>
                <w:szCs w:val="18"/>
                <w:b w:val="1"/>
                <w:bCs w:val="1"/>
                <w:color w:val="0000FF"/>
                <w:w w:val="79"/>
              </w:rPr>
              <w:t>112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9.15.</w:t>
            </w:r>
          </w:p>
        </w:tc>
        <w:tc>
          <w:tcPr>
            <w:tcW w:w="660" w:type="dxa"/>
            <w:vAlign w:val="bottom"/>
          </w:tcPr>
          <w:p>
            <w:pPr>
              <w:ind w:left="80"/>
              <w:spacing w:after="0" w:line="196" w:lineRule="exact"/>
              <w:rPr>
                <w:sz w:val="20"/>
                <w:szCs w:val="20"/>
                <w:color w:val="auto"/>
              </w:rPr>
            </w:pPr>
            <w:r>
              <w:rPr>
                <w:rFonts w:ascii="Arial" w:cs="Arial" w:eastAsia="Arial" w:hAnsi="Arial"/>
                <w:sz w:val="18"/>
                <w:szCs w:val="18"/>
                <w:color w:val="auto"/>
                <w:w w:val="91"/>
              </w:rPr>
              <w:t>Ratings</w:t>
            </w:r>
          </w:p>
        </w:tc>
        <w:tc>
          <w:tcPr>
            <w:tcW w:w="4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FF0000"/>
                <w:strike w:val="1"/>
              </w:rPr>
              <w:t>110</w:t>
            </w:r>
          </w:p>
        </w:tc>
        <w:tc>
          <w:tcPr>
            <w:tcW w:w="2720" w:type="dxa"/>
            <w:vAlign w:val="bottom"/>
            <w:gridSpan w:val="59"/>
          </w:tcPr>
          <w:p>
            <w:pPr>
              <w:jc w:val="right"/>
              <w:ind w:right="2370"/>
              <w:spacing w:after="0" w:line="196" w:lineRule="exact"/>
              <w:rPr>
                <w:sz w:val="20"/>
                <w:szCs w:val="20"/>
                <w:color w:val="auto"/>
              </w:rPr>
            </w:pPr>
            <w:r>
              <w:rPr>
                <w:rFonts w:ascii="Arial" w:cs="Arial" w:eastAsia="Arial" w:hAnsi="Arial"/>
                <w:sz w:val="18"/>
                <w:szCs w:val="18"/>
                <w:b w:val="1"/>
                <w:bCs w:val="1"/>
                <w:color w:val="0000FF"/>
                <w:w w:val="79"/>
              </w:rPr>
              <w:t>112</w:t>
            </w:r>
          </w:p>
        </w:tc>
        <w:tc>
          <w:tcPr>
            <w:tcW w:w="1740" w:type="dxa"/>
            <w:vAlign w:val="bottom"/>
            <w:gridSpan w:val="15"/>
            <w:vMerge w:val="restart"/>
          </w:tcPr>
          <w:p>
            <w:pPr>
              <w:jc w:val="center"/>
              <w:ind w:right="640"/>
              <w:spacing w:after="0"/>
              <w:rPr>
                <w:sz w:val="20"/>
                <w:szCs w:val="20"/>
                <w:color w:val="auto"/>
              </w:rPr>
            </w:pPr>
            <w:r>
              <w:rPr>
                <w:rFonts w:ascii="Arial" w:cs="Arial" w:eastAsia="Arial" w:hAnsi="Arial"/>
                <w:sz w:val="18"/>
                <w:szCs w:val="18"/>
                <w:color w:val="auto"/>
                <w:w w:val="99"/>
              </w:rPr>
              <w:t>ARTICLE X.</w:t>
            </w:r>
          </w:p>
        </w:tc>
        <w:tc>
          <w:tcPr>
            <w:tcW w:w="0" w:type="dxa"/>
            <w:vAlign w:val="bottom"/>
          </w:tcPr>
          <w:p>
            <w:pPr>
              <w:spacing w:after="0"/>
              <w:rPr>
                <w:sz w:val="1"/>
                <w:szCs w:val="1"/>
                <w:color w:val="auto"/>
              </w:rPr>
            </w:pPr>
          </w:p>
        </w:tc>
      </w:tr>
      <w:tr>
        <w:trPr>
          <w:trHeight w:val="453"/>
        </w:trPr>
        <w:tc>
          <w:tcPr>
            <w:tcW w:w="2420" w:type="dxa"/>
            <w:vAlign w:val="bottom"/>
            <w:gridSpan w:val="5"/>
          </w:tcPr>
          <w:p>
            <w:pPr>
              <w:spacing w:after="0"/>
              <w:rPr>
                <w:sz w:val="24"/>
                <w:szCs w:val="24"/>
                <w:color w:val="auto"/>
              </w:rPr>
            </w:pPr>
          </w:p>
        </w:tc>
        <w:tc>
          <w:tcPr>
            <w:tcW w:w="260" w:type="dxa"/>
            <w:vAlign w:val="bottom"/>
            <w:tcBorders>
              <w:top w:val="single" w:sz="8" w:color="0000FF"/>
            </w:tcBorders>
            <w:gridSpan w:val="7"/>
          </w:tcPr>
          <w:p>
            <w:pPr>
              <w:spacing w:after="0"/>
              <w:rPr>
                <w:sz w:val="24"/>
                <w:szCs w:val="24"/>
                <w:color w:val="auto"/>
              </w:rPr>
            </w:pPr>
          </w:p>
        </w:tc>
        <w:tc>
          <w:tcPr>
            <w:tcW w:w="2460" w:type="dxa"/>
            <w:vAlign w:val="bottom"/>
            <w:gridSpan w:val="52"/>
          </w:tcPr>
          <w:p>
            <w:pPr>
              <w:spacing w:after="0"/>
              <w:rPr>
                <w:sz w:val="24"/>
                <w:szCs w:val="24"/>
                <w:color w:val="auto"/>
              </w:rPr>
            </w:pPr>
          </w:p>
        </w:tc>
        <w:tc>
          <w:tcPr>
            <w:tcW w:w="1740" w:type="dxa"/>
            <w:vAlign w:val="bottom"/>
            <w:gridSpan w:val="1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gridSpan w:val="79"/>
          </w:tcPr>
          <w:p>
            <w:pPr>
              <w:spacing w:after="0"/>
              <w:rPr>
                <w:sz w:val="20"/>
                <w:szCs w:val="20"/>
                <w:color w:val="auto"/>
              </w:rPr>
            </w:pPr>
            <w:r>
              <w:rPr>
                <w:rFonts w:ascii="Arial" w:cs="Arial" w:eastAsia="Arial" w:hAnsi="Arial"/>
                <w:sz w:val="18"/>
                <w:szCs w:val="18"/>
                <w:color w:val="auto"/>
              </w:rPr>
              <w:t>NEGATIVE COVENANTS</w:t>
            </w: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0"/>
                <w:szCs w:val="20"/>
                <w:color w:val="auto"/>
              </w:rPr>
            </w:pPr>
            <w:r>
              <w:rPr>
                <w:rFonts w:ascii="Arial" w:cs="Arial" w:eastAsia="Arial" w:hAnsi="Arial"/>
                <w:sz w:val="18"/>
                <w:szCs w:val="18"/>
                <w:color w:val="auto"/>
                <w:w w:val="99"/>
              </w:rPr>
              <w:t>SECTION 10.01.</w:t>
            </w:r>
          </w:p>
        </w:tc>
        <w:tc>
          <w:tcPr>
            <w:tcW w:w="1180" w:type="dxa"/>
            <w:vAlign w:val="bottom"/>
            <w:gridSpan w:val="7"/>
          </w:tcPr>
          <w:p>
            <w:pPr>
              <w:ind w:left="80"/>
              <w:spacing w:after="0"/>
              <w:rPr>
                <w:sz w:val="20"/>
                <w:szCs w:val="20"/>
                <w:color w:val="auto"/>
              </w:rPr>
            </w:pPr>
            <w:r>
              <w:rPr>
                <w:rFonts w:ascii="Arial" w:cs="Arial" w:eastAsia="Arial" w:hAnsi="Arial"/>
                <w:sz w:val="18"/>
                <w:szCs w:val="18"/>
                <w:color w:val="auto"/>
                <w:w w:val="99"/>
              </w:rPr>
              <w:t>Indebtedness</w:t>
            </w:r>
          </w:p>
        </w:tc>
        <w:tc>
          <w:tcPr>
            <w:tcW w:w="280" w:type="dxa"/>
            <w:vAlign w:val="bottom"/>
            <w:gridSpan w:val="9"/>
          </w:tcPr>
          <w:p>
            <w:pPr>
              <w:jc w:val="right"/>
              <w:spacing w:after="0"/>
              <w:rPr>
                <w:sz w:val="20"/>
                <w:szCs w:val="20"/>
                <w:color w:val="auto"/>
              </w:rPr>
            </w:pPr>
            <w:r>
              <w:rPr>
                <w:rFonts w:ascii="Arial" w:cs="Arial" w:eastAsia="Arial" w:hAnsi="Arial"/>
                <w:sz w:val="18"/>
                <w:szCs w:val="18"/>
                <w:b w:val="1"/>
                <w:bCs w:val="1"/>
                <w:color w:val="FF0000"/>
                <w:strike w:val="1"/>
                <w:w w:val="86"/>
              </w:rPr>
              <w:t>110</w:t>
            </w:r>
          </w:p>
        </w:tc>
        <w:tc>
          <w:tcPr>
            <w:tcW w:w="4060" w:type="dxa"/>
            <w:vAlign w:val="bottom"/>
            <w:gridSpan w:val="62"/>
          </w:tcPr>
          <w:p>
            <w:pPr>
              <w:spacing w:after="0"/>
              <w:rPr>
                <w:sz w:val="20"/>
                <w:szCs w:val="20"/>
                <w:color w:val="auto"/>
              </w:rPr>
            </w:pPr>
            <w:r>
              <w:rPr>
                <w:rFonts w:ascii="Arial" w:cs="Arial" w:eastAsia="Arial" w:hAnsi="Arial"/>
                <w:sz w:val="18"/>
                <w:szCs w:val="18"/>
                <w:b w:val="1"/>
                <w:bCs w:val="1"/>
                <w:color w:val="0000FF"/>
                <w:w w:val="86"/>
              </w:rPr>
              <w:t>112</w:t>
            </w: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10.02.</w:t>
            </w:r>
          </w:p>
        </w:tc>
        <w:tc>
          <w:tcPr>
            <w:tcW w:w="660" w:type="dxa"/>
            <w:vAlign w:val="bottom"/>
          </w:tcPr>
          <w:p>
            <w:pPr>
              <w:ind w:left="80"/>
              <w:spacing w:after="0" w:line="196" w:lineRule="exact"/>
              <w:rPr>
                <w:sz w:val="20"/>
                <w:szCs w:val="20"/>
                <w:color w:val="auto"/>
              </w:rPr>
            </w:pPr>
            <w:r>
              <w:rPr>
                <w:rFonts w:ascii="Arial" w:cs="Arial" w:eastAsia="Arial" w:hAnsi="Arial"/>
                <w:sz w:val="18"/>
                <w:szCs w:val="18"/>
                <w:color w:val="auto"/>
              </w:rPr>
              <w:t>Liens</w:t>
            </w:r>
          </w:p>
        </w:tc>
        <w:tc>
          <w:tcPr>
            <w:tcW w:w="260" w:type="dxa"/>
            <w:vAlign w:val="bottom"/>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112</w:t>
            </w:r>
          </w:p>
        </w:tc>
        <w:tc>
          <w:tcPr>
            <w:tcW w:w="260" w:type="dxa"/>
            <w:vAlign w:val="bottom"/>
            <w:tcBorders>
              <w:bottom w:val="single" w:sz="8" w:color="0000FF"/>
            </w:tcBorders>
            <w:gridSpan w:val="5"/>
          </w:tcPr>
          <w:p>
            <w:pPr>
              <w:jc w:val="right"/>
              <w:spacing w:after="0" w:line="196" w:lineRule="exact"/>
              <w:rPr>
                <w:sz w:val="20"/>
                <w:szCs w:val="20"/>
                <w:color w:val="auto"/>
              </w:rPr>
            </w:pPr>
            <w:r>
              <w:rPr>
                <w:rFonts w:ascii="Arial" w:cs="Arial" w:eastAsia="Arial" w:hAnsi="Arial"/>
                <w:sz w:val="18"/>
                <w:szCs w:val="18"/>
                <w:b w:val="1"/>
                <w:bCs w:val="1"/>
                <w:color w:val="0000FF"/>
                <w:w w:val="79"/>
              </w:rPr>
              <w:t>115</w:t>
            </w:r>
          </w:p>
        </w:tc>
        <w:tc>
          <w:tcPr>
            <w:tcW w:w="280" w:type="dxa"/>
            <w:vAlign w:val="bottom"/>
            <w:gridSpan w:val="9"/>
          </w:tcPr>
          <w:p>
            <w:pPr>
              <w:spacing w:after="0"/>
              <w:rPr>
                <w:sz w:val="17"/>
                <w:szCs w:val="17"/>
                <w:color w:val="auto"/>
              </w:rPr>
            </w:pPr>
          </w:p>
        </w:tc>
        <w:tc>
          <w:tcPr>
            <w:tcW w:w="260" w:type="dxa"/>
            <w:vAlign w:val="bottom"/>
            <w:tcBorders>
              <w:top w:val="single" w:sz="8" w:color="0000FF"/>
            </w:tcBorders>
            <w:gridSpan w:val="5"/>
          </w:tcPr>
          <w:p>
            <w:pPr>
              <w:spacing w:after="0"/>
              <w:rPr>
                <w:sz w:val="17"/>
                <w:szCs w:val="17"/>
                <w:color w:val="auto"/>
              </w:rPr>
            </w:pPr>
          </w:p>
        </w:tc>
        <w:tc>
          <w:tcPr>
            <w:tcW w:w="3800" w:type="dxa"/>
            <w:vAlign w:val="bottom"/>
            <w:gridSpan w:val="5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10.03.</w:t>
            </w:r>
          </w:p>
        </w:tc>
        <w:tc>
          <w:tcPr>
            <w:tcW w:w="92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Reserved</w:t>
            </w:r>
          </w:p>
        </w:tc>
        <w:tc>
          <w:tcPr>
            <w:tcW w:w="2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116</w:t>
            </w:r>
          </w:p>
        </w:tc>
        <w:tc>
          <w:tcPr>
            <w:tcW w:w="1540" w:type="dxa"/>
            <w:vAlign w:val="bottom"/>
            <w:gridSpan w:val="37"/>
          </w:tcPr>
          <w:p>
            <w:pPr>
              <w:jc w:val="right"/>
              <w:ind w:right="1190"/>
              <w:spacing w:after="0" w:line="196" w:lineRule="exact"/>
              <w:rPr>
                <w:sz w:val="20"/>
                <w:szCs w:val="20"/>
                <w:color w:val="auto"/>
              </w:rPr>
            </w:pPr>
            <w:r>
              <w:rPr>
                <w:rFonts w:ascii="Arial" w:cs="Arial" w:eastAsia="Arial" w:hAnsi="Arial"/>
                <w:sz w:val="18"/>
                <w:szCs w:val="18"/>
                <w:b w:val="1"/>
                <w:bCs w:val="1"/>
                <w:color w:val="0000FF"/>
                <w:w w:val="79"/>
              </w:rPr>
              <w:t>118</w:t>
            </w:r>
          </w:p>
        </w:tc>
        <w:tc>
          <w:tcPr>
            <w:tcW w:w="260" w:type="dxa"/>
            <w:vAlign w:val="bottom"/>
            <w:gridSpan w:val="6"/>
            <w:vMerge w:val="restart"/>
          </w:tcPr>
          <w:p>
            <w:pPr>
              <w:jc w:val="right"/>
              <w:spacing w:after="0"/>
              <w:rPr>
                <w:sz w:val="20"/>
                <w:szCs w:val="20"/>
                <w:color w:val="auto"/>
              </w:rPr>
            </w:pPr>
            <w:r>
              <w:rPr>
                <w:rFonts w:ascii="Arial" w:cs="Arial" w:eastAsia="Arial" w:hAnsi="Arial"/>
                <w:sz w:val="18"/>
                <w:szCs w:val="18"/>
                <w:b w:val="1"/>
                <w:bCs w:val="1"/>
                <w:color w:val="FF0000"/>
                <w:strike w:val="1"/>
                <w:w w:val="79"/>
              </w:rPr>
              <w:t>116</w:t>
            </w:r>
          </w:p>
        </w:tc>
        <w:tc>
          <w:tcPr>
            <w:tcW w:w="260" w:type="dxa"/>
            <w:vAlign w:val="bottom"/>
            <w:gridSpan w:val="5"/>
            <w:vMerge w:val="restart"/>
          </w:tcPr>
          <w:p>
            <w:pPr>
              <w:spacing w:after="0"/>
              <w:rPr>
                <w:sz w:val="20"/>
                <w:szCs w:val="20"/>
                <w:color w:val="auto"/>
              </w:rPr>
            </w:pPr>
            <w:r>
              <w:rPr>
                <w:rFonts w:ascii="Arial" w:cs="Arial" w:eastAsia="Arial" w:hAnsi="Arial"/>
                <w:sz w:val="18"/>
                <w:szCs w:val="18"/>
                <w:b w:val="1"/>
                <w:bCs w:val="1"/>
                <w:color w:val="0000FF"/>
                <w:w w:val="79"/>
              </w:rPr>
              <w:t>119</w:t>
            </w:r>
          </w:p>
        </w:tc>
        <w:tc>
          <w:tcPr>
            <w:tcW w:w="22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8"/>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6"/>
            <w:vMerge w:val="continue"/>
          </w:tcPr>
          <w:p>
            <w:pPr>
              <w:spacing w:after="0" w:line="20" w:lineRule="exact"/>
              <w:rPr>
                <w:sz w:val="1"/>
                <w:szCs w:val="1"/>
                <w:color w:val="auto"/>
              </w:rPr>
            </w:pPr>
          </w:p>
        </w:tc>
        <w:tc>
          <w:tcPr>
            <w:tcW w:w="260" w:type="dxa"/>
            <w:vAlign w:val="bottom"/>
            <w:gridSpan w:val="5"/>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10.04.</w:t>
            </w:r>
          </w:p>
        </w:tc>
        <w:tc>
          <w:tcPr>
            <w:tcW w:w="2640" w:type="dxa"/>
            <w:vAlign w:val="bottom"/>
            <w:gridSpan w:val="42"/>
          </w:tcPr>
          <w:p>
            <w:pPr>
              <w:ind w:left="80"/>
              <w:spacing w:after="0" w:line="196" w:lineRule="exact"/>
              <w:rPr>
                <w:sz w:val="20"/>
                <w:szCs w:val="20"/>
                <w:color w:val="auto"/>
              </w:rPr>
            </w:pPr>
            <w:r>
              <w:rPr>
                <w:rFonts w:ascii="Arial" w:cs="Arial" w:eastAsia="Arial" w:hAnsi="Arial"/>
                <w:sz w:val="18"/>
                <w:szCs w:val="18"/>
                <w:color w:val="auto"/>
                <w:w w:val="92"/>
              </w:rPr>
              <w:t>Investments, Loans and Advances</w:t>
            </w:r>
          </w:p>
        </w:tc>
        <w:tc>
          <w:tcPr>
            <w:tcW w:w="80" w:type="dxa"/>
            <w:vAlign w:val="bottom"/>
            <w:gridSpan w:val="2"/>
          </w:tcPr>
          <w:p>
            <w:pPr>
              <w:spacing w:after="0"/>
              <w:rPr>
                <w:sz w:val="17"/>
                <w:szCs w:val="17"/>
                <w:color w:val="auto"/>
              </w:rPr>
            </w:pPr>
          </w:p>
        </w:tc>
        <w:tc>
          <w:tcPr>
            <w:tcW w:w="260" w:type="dxa"/>
            <w:vAlign w:val="bottom"/>
            <w:gridSpan w:val="6"/>
            <w:vMerge w:val="continue"/>
          </w:tcPr>
          <w:p>
            <w:pPr>
              <w:spacing w:after="0"/>
              <w:rPr>
                <w:sz w:val="17"/>
                <w:szCs w:val="17"/>
                <w:color w:val="auto"/>
              </w:rPr>
            </w:pPr>
          </w:p>
        </w:tc>
        <w:tc>
          <w:tcPr>
            <w:tcW w:w="260" w:type="dxa"/>
            <w:vAlign w:val="bottom"/>
            <w:tcBorders>
              <w:bottom w:val="single" w:sz="8" w:color="0000FF"/>
            </w:tcBorders>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FF0000"/>
                <w:strike w:val="1"/>
                <w:w w:val="79"/>
              </w:rPr>
              <w:t>119</w:t>
            </w:r>
          </w:p>
        </w:tc>
        <w:tc>
          <w:tcPr>
            <w:tcW w:w="390" w:type="dxa"/>
            <w:vAlign w:val="bottom"/>
            <w:gridSpan w:val="4"/>
            <w:vMerge w:val="restart"/>
          </w:tcPr>
          <w:p>
            <w:pPr>
              <w:jc w:val="right"/>
              <w:ind w:right="20"/>
              <w:spacing w:after="0"/>
              <w:rPr>
                <w:sz w:val="20"/>
                <w:szCs w:val="20"/>
                <w:color w:val="auto"/>
              </w:rPr>
            </w:pPr>
            <w:r>
              <w:rPr>
                <w:rFonts w:ascii="Arial" w:cs="Arial" w:eastAsia="Arial" w:hAnsi="Arial"/>
                <w:sz w:val="18"/>
                <w:szCs w:val="18"/>
                <w:b w:val="1"/>
                <w:bCs w:val="1"/>
                <w:color w:val="0000FF"/>
                <w:w w:val="86"/>
              </w:rPr>
              <w:t>121</w:t>
            </w: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10.05.</w:t>
            </w:r>
          </w:p>
        </w:tc>
        <w:tc>
          <w:tcPr>
            <w:tcW w:w="3460" w:type="dxa"/>
            <w:vAlign w:val="bottom"/>
            <w:gridSpan w:val="58"/>
          </w:tcPr>
          <w:p>
            <w:pPr>
              <w:ind w:left="80"/>
              <w:spacing w:after="0" w:line="196" w:lineRule="exact"/>
              <w:rPr>
                <w:sz w:val="20"/>
                <w:szCs w:val="20"/>
                <w:color w:val="auto"/>
              </w:rPr>
            </w:pPr>
            <w:r>
              <w:rPr>
                <w:rFonts w:ascii="Arial" w:cs="Arial" w:eastAsia="Arial" w:hAnsi="Arial"/>
                <w:sz w:val="18"/>
                <w:szCs w:val="18"/>
                <w:color w:val="auto"/>
                <w:w w:val="93"/>
              </w:rPr>
              <w:t>Mergers, Consolidations and Sales of Assets</w:t>
            </w:r>
          </w:p>
        </w:tc>
        <w:tc>
          <w:tcPr>
            <w:tcW w:w="260" w:type="dxa"/>
            <w:vAlign w:val="bottom"/>
            <w:gridSpan w:val="4"/>
            <w:vMerge w:val="continue"/>
          </w:tcPr>
          <w:p>
            <w:pPr>
              <w:spacing w:after="0"/>
              <w:rPr>
                <w:sz w:val="17"/>
                <w:szCs w:val="17"/>
                <w:color w:val="auto"/>
              </w:rPr>
            </w:pPr>
          </w:p>
        </w:tc>
        <w:tc>
          <w:tcPr>
            <w:tcW w:w="390" w:type="dxa"/>
            <w:vAlign w:val="bottom"/>
            <w:gridSpan w:val="4"/>
            <w:vMerge w:val="continue"/>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10.06.</w:t>
            </w:r>
          </w:p>
        </w:tc>
        <w:tc>
          <w:tcPr>
            <w:tcW w:w="1700" w:type="dxa"/>
            <w:vAlign w:val="bottom"/>
            <w:gridSpan w:val="20"/>
          </w:tcPr>
          <w:p>
            <w:pPr>
              <w:ind w:left="80"/>
              <w:spacing w:after="0" w:line="196" w:lineRule="exact"/>
              <w:rPr>
                <w:sz w:val="20"/>
                <w:szCs w:val="20"/>
                <w:color w:val="auto"/>
              </w:rPr>
            </w:pPr>
            <w:r>
              <w:rPr>
                <w:rFonts w:ascii="Arial" w:cs="Arial" w:eastAsia="Arial" w:hAnsi="Arial"/>
                <w:sz w:val="18"/>
                <w:szCs w:val="18"/>
                <w:color w:val="auto"/>
                <w:w w:val="96"/>
              </w:rPr>
              <w:t>Restricted Payments</w:t>
            </w:r>
          </w:p>
        </w:tc>
        <w:tc>
          <w:tcPr>
            <w:tcW w:w="40" w:type="dxa"/>
            <w:vAlign w:val="bottom"/>
            <w:gridSpan w:val="2"/>
          </w:tcPr>
          <w:p>
            <w:pPr>
              <w:spacing w:after="0"/>
              <w:rPr>
                <w:sz w:val="17"/>
                <w:szCs w:val="17"/>
                <w:color w:val="auto"/>
              </w:rPr>
            </w:pPr>
          </w:p>
        </w:tc>
        <w:tc>
          <w:tcPr>
            <w:tcW w:w="260" w:type="dxa"/>
            <w:vAlign w:val="bottom"/>
            <w:gridSpan w:val="6"/>
          </w:tcPr>
          <w:p>
            <w:pPr>
              <w:spacing w:after="0" w:line="196" w:lineRule="exact"/>
              <w:rPr>
                <w:sz w:val="20"/>
                <w:szCs w:val="20"/>
                <w:color w:val="auto"/>
              </w:rPr>
            </w:pPr>
            <w:r>
              <w:rPr>
                <w:rFonts w:ascii="Arial" w:cs="Arial" w:eastAsia="Arial" w:hAnsi="Arial"/>
                <w:sz w:val="18"/>
                <w:szCs w:val="18"/>
                <w:b w:val="1"/>
                <w:bCs w:val="1"/>
                <w:color w:val="FF0000"/>
                <w:strike w:val="1"/>
                <w:w w:val="79"/>
              </w:rPr>
              <w:t>121</w:t>
            </w:r>
          </w:p>
        </w:tc>
        <w:tc>
          <w:tcPr>
            <w:tcW w:w="24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b w:val="1"/>
                <w:bCs w:val="1"/>
                <w:color w:val="0000FF"/>
                <w:w w:val="70"/>
              </w:rPr>
              <w:t>123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10.07.</w:t>
            </w:r>
          </w:p>
        </w:tc>
        <w:tc>
          <w:tcPr>
            <w:tcW w:w="2240" w:type="dxa"/>
            <w:vAlign w:val="bottom"/>
            <w:gridSpan w:val="32"/>
          </w:tcPr>
          <w:p>
            <w:pPr>
              <w:ind w:left="80"/>
              <w:spacing w:after="0" w:line="196" w:lineRule="exact"/>
              <w:rPr>
                <w:sz w:val="20"/>
                <w:szCs w:val="20"/>
                <w:color w:val="auto"/>
              </w:rPr>
            </w:pPr>
            <w:r>
              <w:rPr>
                <w:rFonts w:ascii="Arial" w:cs="Arial" w:eastAsia="Arial" w:hAnsi="Arial"/>
                <w:sz w:val="18"/>
                <w:szCs w:val="18"/>
                <w:color w:val="auto"/>
                <w:w w:val="99"/>
              </w:rPr>
              <w:t>Transactions with Affiliates</w:t>
            </w:r>
          </w:p>
        </w:tc>
        <w:tc>
          <w:tcPr>
            <w:tcW w:w="28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122</w:t>
            </w:r>
          </w:p>
        </w:tc>
        <w:tc>
          <w:tcPr>
            <w:tcW w:w="280" w:type="dxa"/>
            <w:vAlign w:val="bottom"/>
            <w:tcBorders>
              <w:bottom w:val="single" w:sz="8" w:color="0000FF"/>
            </w:tcBorders>
            <w:gridSpan w:val="7"/>
          </w:tcPr>
          <w:p>
            <w:pPr>
              <w:jc w:val="right"/>
              <w:spacing w:after="0" w:line="196" w:lineRule="exact"/>
              <w:rPr>
                <w:sz w:val="20"/>
                <w:szCs w:val="20"/>
                <w:color w:val="auto"/>
              </w:rPr>
            </w:pPr>
            <w:r>
              <w:rPr>
                <w:rFonts w:ascii="Arial" w:cs="Arial" w:eastAsia="Arial" w:hAnsi="Arial"/>
                <w:sz w:val="18"/>
                <w:szCs w:val="18"/>
                <w:b w:val="1"/>
                <w:bCs w:val="1"/>
                <w:color w:val="0000FF"/>
                <w:w w:val="86"/>
              </w:rPr>
              <w:t>124</w:t>
            </w:r>
          </w:p>
        </w:tc>
        <w:tc>
          <w:tcPr>
            <w:tcW w:w="4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10.08.</w:t>
            </w:r>
          </w:p>
        </w:tc>
        <w:tc>
          <w:tcPr>
            <w:tcW w:w="1700" w:type="dxa"/>
            <w:vAlign w:val="bottom"/>
            <w:gridSpan w:val="20"/>
          </w:tcPr>
          <w:p>
            <w:pPr>
              <w:ind w:left="80"/>
              <w:spacing w:after="0" w:line="196" w:lineRule="exact"/>
              <w:rPr>
                <w:sz w:val="20"/>
                <w:szCs w:val="20"/>
                <w:color w:val="auto"/>
              </w:rPr>
            </w:pPr>
            <w:r>
              <w:rPr>
                <w:rFonts w:ascii="Arial" w:cs="Arial" w:eastAsia="Arial" w:hAnsi="Arial"/>
                <w:sz w:val="18"/>
                <w:szCs w:val="18"/>
                <w:color w:val="auto"/>
              </w:rPr>
              <w:t>Financial Covenant.</w:t>
            </w:r>
          </w:p>
        </w:tc>
        <w:tc>
          <w:tcPr>
            <w:tcW w:w="280" w:type="dxa"/>
            <w:vAlign w:val="bottom"/>
            <w:gridSpan w:val="7"/>
          </w:tcPr>
          <w:p>
            <w:pPr>
              <w:spacing w:after="0" w:line="196" w:lineRule="exact"/>
              <w:rPr>
                <w:sz w:val="20"/>
                <w:szCs w:val="20"/>
                <w:color w:val="auto"/>
              </w:rPr>
            </w:pPr>
            <w:r>
              <w:rPr>
                <w:rFonts w:ascii="Arial" w:cs="Arial" w:eastAsia="Arial" w:hAnsi="Arial"/>
                <w:sz w:val="18"/>
                <w:szCs w:val="18"/>
                <w:b w:val="1"/>
                <w:bCs w:val="1"/>
                <w:color w:val="FF0000"/>
                <w:strike w:val="1"/>
                <w:w w:val="86"/>
              </w:rPr>
              <w:t>122</w:t>
            </w:r>
          </w:p>
        </w:tc>
        <w:tc>
          <w:tcPr>
            <w:tcW w:w="2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0000FF"/>
                <w:w w:val="79"/>
              </w:rPr>
              <w:t>125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gridSpan w:val="7"/>
            <w:vMerge w:val="restart"/>
          </w:tcPr>
          <w:p>
            <w:pPr>
              <w:jc w:val="right"/>
              <w:spacing w:after="0"/>
              <w:rPr>
                <w:sz w:val="20"/>
                <w:szCs w:val="20"/>
                <w:color w:val="auto"/>
              </w:rPr>
            </w:pPr>
            <w:r>
              <w:rPr>
                <w:rFonts w:ascii="Arial" w:cs="Arial" w:eastAsia="Arial" w:hAnsi="Arial"/>
                <w:sz w:val="18"/>
                <w:szCs w:val="18"/>
                <w:b w:val="1"/>
                <w:bCs w:val="1"/>
                <w:color w:val="FF0000"/>
                <w:strike w:val="1"/>
                <w:w w:val="79"/>
              </w:rPr>
              <w:t>123</w:t>
            </w:r>
          </w:p>
        </w:tc>
        <w:tc>
          <w:tcPr>
            <w:tcW w:w="260" w:type="dxa"/>
            <w:vAlign w:val="bottom"/>
            <w:gridSpan w:val="5"/>
            <w:vMerge w:val="restart"/>
          </w:tcPr>
          <w:p>
            <w:pPr>
              <w:spacing w:after="0"/>
              <w:rPr>
                <w:sz w:val="20"/>
                <w:szCs w:val="20"/>
                <w:color w:val="auto"/>
              </w:rPr>
            </w:pPr>
            <w:r>
              <w:rPr>
                <w:rFonts w:ascii="Arial" w:cs="Arial" w:eastAsia="Arial" w:hAnsi="Arial"/>
                <w:sz w:val="18"/>
                <w:szCs w:val="18"/>
                <w:b w:val="1"/>
                <w:bCs w:val="1"/>
                <w:color w:val="0000FF"/>
                <w:w w:val="79"/>
              </w:rPr>
              <w:t>125</w:t>
            </w:r>
          </w:p>
        </w:tc>
        <w:tc>
          <w:tcPr>
            <w:tcW w:w="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7"/>
            <w:vMerge w:val="continue"/>
          </w:tcPr>
          <w:p>
            <w:pPr>
              <w:spacing w:after="0" w:line="20" w:lineRule="exact"/>
              <w:rPr>
                <w:sz w:val="1"/>
                <w:szCs w:val="1"/>
                <w:color w:val="auto"/>
              </w:rPr>
            </w:pPr>
          </w:p>
        </w:tc>
        <w:tc>
          <w:tcPr>
            <w:tcW w:w="260" w:type="dxa"/>
            <w:vAlign w:val="bottom"/>
            <w:gridSpan w:val="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10.09.</w:t>
            </w:r>
          </w:p>
        </w:tc>
        <w:tc>
          <w:tcPr>
            <w:tcW w:w="2640" w:type="dxa"/>
            <w:vAlign w:val="bottom"/>
            <w:gridSpan w:val="42"/>
          </w:tcPr>
          <w:p>
            <w:pPr>
              <w:ind w:left="80"/>
              <w:spacing w:after="0" w:line="196" w:lineRule="exact"/>
              <w:rPr>
                <w:sz w:val="20"/>
                <w:szCs w:val="20"/>
                <w:color w:val="auto"/>
              </w:rPr>
            </w:pPr>
            <w:r>
              <w:rPr>
                <w:rFonts w:ascii="Arial" w:cs="Arial" w:eastAsia="Arial" w:hAnsi="Arial"/>
                <w:sz w:val="18"/>
                <w:szCs w:val="18"/>
                <w:color w:val="auto"/>
                <w:w w:val="91"/>
              </w:rPr>
              <w:t>Certain Payments of Indebtedness</w:t>
            </w:r>
          </w:p>
        </w:tc>
        <w:tc>
          <w:tcPr>
            <w:tcW w:w="80" w:type="dxa"/>
            <w:vAlign w:val="bottom"/>
            <w:gridSpan w:val="2"/>
          </w:tcPr>
          <w:p>
            <w:pPr>
              <w:spacing w:after="0"/>
              <w:rPr>
                <w:sz w:val="17"/>
                <w:szCs w:val="17"/>
                <w:color w:val="auto"/>
              </w:rPr>
            </w:pPr>
          </w:p>
        </w:tc>
        <w:tc>
          <w:tcPr>
            <w:tcW w:w="280" w:type="dxa"/>
            <w:vAlign w:val="bottom"/>
            <w:gridSpan w:val="7"/>
            <w:vMerge w:val="continue"/>
          </w:tcPr>
          <w:p>
            <w:pPr>
              <w:spacing w:after="0"/>
              <w:rPr>
                <w:sz w:val="17"/>
                <w:szCs w:val="17"/>
                <w:color w:val="auto"/>
              </w:rPr>
            </w:pPr>
          </w:p>
        </w:tc>
        <w:tc>
          <w:tcPr>
            <w:tcW w:w="260" w:type="dxa"/>
            <w:vAlign w:val="bottom"/>
            <w:tcBorders>
              <w:bottom w:val="single" w:sz="8" w:color="0000FF"/>
            </w:tcBorders>
            <w:gridSpan w:val="5"/>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gridSpan w:val="4"/>
            <w:vMerge w:val="restart"/>
          </w:tcPr>
          <w:p>
            <w:pPr>
              <w:spacing w:after="0"/>
              <w:rPr>
                <w:sz w:val="20"/>
                <w:szCs w:val="20"/>
                <w:color w:val="auto"/>
              </w:rPr>
            </w:pPr>
            <w:r>
              <w:rPr>
                <w:rFonts w:ascii="Arial" w:cs="Arial" w:eastAsia="Arial" w:hAnsi="Arial"/>
                <w:sz w:val="18"/>
                <w:szCs w:val="18"/>
                <w:b w:val="1"/>
                <w:bCs w:val="1"/>
                <w:color w:val="FF0000"/>
                <w:strike w:val="1"/>
                <w:w w:val="86"/>
              </w:rPr>
              <w:t>123</w:t>
            </w:r>
          </w:p>
        </w:tc>
        <w:tc>
          <w:tcPr>
            <w:tcW w:w="380" w:type="dxa"/>
            <w:vAlign w:val="bottom"/>
            <w:gridSpan w:val="4"/>
            <w:vMerge w:val="restart"/>
          </w:tcPr>
          <w:p>
            <w:pPr>
              <w:jc w:val="right"/>
              <w:ind w:right="120"/>
              <w:spacing w:after="0"/>
              <w:rPr>
                <w:sz w:val="20"/>
                <w:szCs w:val="20"/>
                <w:color w:val="auto"/>
              </w:rPr>
            </w:pPr>
            <w:r>
              <w:rPr>
                <w:rFonts w:ascii="Arial" w:cs="Arial" w:eastAsia="Arial" w:hAnsi="Arial"/>
                <w:sz w:val="18"/>
                <w:szCs w:val="18"/>
                <w:b w:val="1"/>
                <w:bCs w:val="1"/>
                <w:color w:val="0000FF"/>
                <w:w w:val="79"/>
              </w:rPr>
              <w:t>126</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10.10.</w:t>
            </w:r>
          </w:p>
        </w:tc>
        <w:tc>
          <w:tcPr>
            <w:tcW w:w="4380" w:type="dxa"/>
            <w:vAlign w:val="bottom"/>
            <w:gridSpan w:val="69"/>
          </w:tcPr>
          <w:p>
            <w:pPr>
              <w:ind w:left="80"/>
              <w:spacing w:after="0" w:line="196" w:lineRule="exact"/>
              <w:rPr>
                <w:sz w:val="20"/>
                <w:szCs w:val="20"/>
                <w:color w:val="auto"/>
              </w:rPr>
            </w:pPr>
            <w:r>
              <w:rPr>
                <w:rFonts w:ascii="Arial" w:cs="Arial" w:eastAsia="Arial" w:hAnsi="Arial"/>
                <w:sz w:val="18"/>
                <w:szCs w:val="18"/>
                <w:color w:val="auto"/>
                <w:w w:val="96"/>
              </w:rPr>
              <w:t>Limitation on Certain Restrictions Affecting Subsidiaries</w:t>
            </w:r>
          </w:p>
        </w:tc>
        <w:tc>
          <w:tcPr>
            <w:tcW w:w="280" w:type="dxa"/>
            <w:vAlign w:val="bottom"/>
            <w:gridSpan w:val="4"/>
            <w:vMerge w:val="continue"/>
          </w:tcPr>
          <w:p>
            <w:pPr>
              <w:spacing w:after="0"/>
              <w:rPr>
                <w:sz w:val="17"/>
                <w:szCs w:val="17"/>
                <w:color w:val="auto"/>
              </w:rPr>
            </w:pPr>
          </w:p>
        </w:tc>
        <w:tc>
          <w:tcPr>
            <w:tcW w:w="380" w:type="dxa"/>
            <w:vAlign w:val="bottom"/>
            <w:gridSpan w:val="4"/>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10.11.</w:t>
            </w:r>
          </w:p>
        </w:tc>
        <w:tc>
          <w:tcPr>
            <w:tcW w:w="2460" w:type="dxa"/>
            <w:vAlign w:val="bottom"/>
            <w:gridSpan w:val="36"/>
          </w:tcPr>
          <w:p>
            <w:pPr>
              <w:ind w:left="80"/>
              <w:spacing w:after="0" w:line="196" w:lineRule="exact"/>
              <w:rPr>
                <w:sz w:val="20"/>
                <w:szCs w:val="20"/>
                <w:color w:val="auto"/>
              </w:rPr>
            </w:pPr>
            <w:r>
              <w:rPr>
                <w:rFonts w:ascii="Arial" w:cs="Arial" w:eastAsia="Arial" w:hAnsi="Arial"/>
                <w:sz w:val="18"/>
                <w:szCs w:val="18"/>
                <w:color w:val="auto"/>
                <w:w w:val="95"/>
              </w:rPr>
              <w:t>Limitation on Lines of Business</w:t>
            </w:r>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124</w:t>
            </w:r>
          </w:p>
        </w:tc>
        <w:tc>
          <w:tcPr>
            <w:tcW w:w="300" w:type="dxa"/>
            <w:vAlign w:val="bottom"/>
            <w:gridSpan w:val="7"/>
          </w:tcPr>
          <w:p>
            <w:pPr>
              <w:jc w:val="right"/>
              <w:ind w:right="40"/>
              <w:spacing w:after="0" w:line="196" w:lineRule="exact"/>
              <w:rPr>
                <w:sz w:val="20"/>
                <w:szCs w:val="20"/>
                <w:color w:val="auto"/>
              </w:rPr>
            </w:pPr>
            <w:r>
              <w:rPr>
                <w:rFonts w:ascii="Arial" w:cs="Arial" w:eastAsia="Arial" w:hAnsi="Arial"/>
                <w:sz w:val="18"/>
                <w:szCs w:val="18"/>
                <w:b w:val="1"/>
                <w:bCs w:val="1"/>
                <w:color w:val="0000FF"/>
                <w:w w:val="79"/>
              </w:rPr>
              <w:t>127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10.12.</w:t>
            </w:r>
          </w:p>
        </w:tc>
        <w:tc>
          <w:tcPr>
            <w:tcW w:w="2840" w:type="dxa"/>
            <w:vAlign w:val="bottom"/>
            <w:gridSpan w:val="46"/>
          </w:tcPr>
          <w:p>
            <w:pPr>
              <w:ind w:left="80"/>
              <w:spacing w:after="0" w:line="196" w:lineRule="exact"/>
              <w:rPr>
                <w:sz w:val="20"/>
                <w:szCs w:val="20"/>
                <w:color w:val="auto"/>
              </w:rPr>
            </w:pPr>
            <w:r>
              <w:rPr>
                <w:rFonts w:ascii="Arial" w:cs="Arial" w:eastAsia="Arial" w:hAnsi="Arial"/>
                <w:sz w:val="18"/>
                <w:szCs w:val="18"/>
                <w:color w:val="auto"/>
                <w:w w:val="93"/>
              </w:rPr>
              <w:t>Limitation on Changes to Fiscal Year</w:t>
            </w:r>
          </w:p>
        </w:tc>
        <w:tc>
          <w:tcPr>
            <w:tcW w:w="100" w:type="dxa"/>
            <w:vAlign w:val="bottom"/>
            <w:gridSpan w:val="3"/>
          </w:tcPr>
          <w:p>
            <w:pPr>
              <w:spacing w:after="0"/>
              <w:rPr>
                <w:sz w:val="17"/>
                <w:szCs w:val="17"/>
                <w:color w:val="auto"/>
              </w:rPr>
            </w:pPr>
          </w:p>
        </w:tc>
        <w:tc>
          <w:tcPr>
            <w:tcW w:w="28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124</w:t>
            </w:r>
          </w:p>
        </w:tc>
        <w:tc>
          <w:tcPr>
            <w:tcW w:w="300" w:type="dxa"/>
            <w:vAlign w:val="bottom"/>
            <w:gridSpan w:val="6"/>
          </w:tcPr>
          <w:p>
            <w:pPr>
              <w:spacing w:after="0" w:line="196" w:lineRule="exact"/>
              <w:rPr>
                <w:sz w:val="20"/>
                <w:szCs w:val="20"/>
                <w:color w:val="auto"/>
              </w:rPr>
            </w:pPr>
            <w:r>
              <w:rPr>
                <w:rFonts w:ascii="Arial" w:cs="Arial" w:eastAsia="Arial" w:hAnsi="Arial"/>
                <w:sz w:val="18"/>
                <w:szCs w:val="18"/>
                <w:b w:val="1"/>
                <w:bCs w:val="1"/>
                <w:color w:val="0000FF"/>
                <w:w w:val="93"/>
              </w:rPr>
              <w:t>127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gridSpan w:val="15"/>
            <w:vMerge w:val="restart"/>
          </w:tcPr>
          <w:p>
            <w:pPr>
              <w:jc w:val="center"/>
              <w:ind w:right="640"/>
              <w:spacing w:after="0"/>
              <w:rPr>
                <w:sz w:val="20"/>
                <w:szCs w:val="20"/>
                <w:color w:val="auto"/>
              </w:rPr>
            </w:pPr>
            <w:r>
              <w:rPr>
                <w:rFonts w:ascii="Arial" w:cs="Arial" w:eastAsia="Arial" w:hAnsi="Arial"/>
                <w:sz w:val="18"/>
                <w:szCs w:val="18"/>
                <w:color w:val="auto"/>
                <w:w w:val="98"/>
              </w:rPr>
              <w:t>ARTICLE XI.</w:t>
            </w:r>
          </w:p>
        </w:tc>
        <w:tc>
          <w:tcPr>
            <w:tcW w:w="0" w:type="dxa"/>
            <w:vAlign w:val="bottom"/>
          </w:tcPr>
          <w:p>
            <w:pPr>
              <w:spacing w:after="0"/>
              <w:rPr>
                <w:sz w:val="1"/>
                <w:szCs w:val="1"/>
                <w:color w:val="auto"/>
              </w:rPr>
            </w:pPr>
          </w:p>
        </w:tc>
      </w:tr>
      <w:tr>
        <w:trPr>
          <w:trHeight w:val="453"/>
        </w:trPr>
        <w:tc>
          <w:tcPr>
            <w:tcW w:w="4580" w:type="dxa"/>
            <w:vAlign w:val="bottom"/>
            <w:gridSpan w:val="55"/>
          </w:tcPr>
          <w:p>
            <w:pPr>
              <w:spacing w:after="0"/>
              <w:rPr>
                <w:sz w:val="24"/>
                <w:szCs w:val="24"/>
                <w:color w:val="auto"/>
              </w:rPr>
            </w:pPr>
          </w:p>
        </w:tc>
        <w:tc>
          <w:tcPr>
            <w:tcW w:w="260" w:type="dxa"/>
            <w:vAlign w:val="bottom"/>
            <w:tcBorders>
              <w:top w:val="single" w:sz="8" w:color="0000FF"/>
            </w:tcBorders>
            <w:gridSpan w:val="5"/>
          </w:tcPr>
          <w:p>
            <w:pPr>
              <w:spacing w:after="0"/>
              <w:rPr>
                <w:sz w:val="24"/>
                <w:szCs w:val="24"/>
                <w:color w:val="auto"/>
              </w:rPr>
            </w:pPr>
          </w:p>
        </w:tc>
        <w:tc>
          <w:tcPr>
            <w:tcW w:w="300" w:type="dxa"/>
            <w:vAlign w:val="bottom"/>
            <w:gridSpan w:val="4"/>
          </w:tcPr>
          <w:p>
            <w:pPr>
              <w:spacing w:after="0"/>
              <w:rPr>
                <w:sz w:val="24"/>
                <w:szCs w:val="24"/>
                <w:color w:val="auto"/>
              </w:rPr>
            </w:pPr>
          </w:p>
        </w:tc>
        <w:tc>
          <w:tcPr>
            <w:tcW w:w="1740" w:type="dxa"/>
            <w:vAlign w:val="bottom"/>
            <w:gridSpan w:val="1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gridSpan w:val="79"/>
          </w:tcPr>
          <w:p>
            <w:pPr>
              <w:spacing w:after="0"/>
              <w:rPr>
                <w:sz w:val="20"/>
                <w:szCs w:val="20"/>
                <w:color w:val="auto"/>
              </w:rPr>
            </w:pPr>
            <w:r>
              <w:rPr>
                <w:rFonts w:ascii="Arial" w:cs="Arial" w:eastAsia="Arial" w:hAnsi="Arial"/>
                <w:sz w:val="18"/>
                <w:szCs w:val="18"/>
                <w:color w:val="auto"/>
              </w:rPr>
              <w:t>EVENTS OF DEFAULT</w:t>
            </w: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0"/>
                <w:szCs w:val="20"/>
                <w:color w:val="auto"/>
              </w:rPr>
            </w:pPr>
            <w:r>
              <w:rPr>
                <w:rFonts w:ascii="Arial" w:cs="Arial" w:eastAsia="Arial" w:hAnsi="Arial"/>
                <w:sz w:val="18"/>
                <w:szCs w:val="18"/>
                <w:color w:val="auto"/>
                <w:w w:val="99"/>
              </w:rPr>
              <w:t>SECTION 11.01.</w:t>
            </w:r>
          </w:p>
        </w:tc>
        <w:tc>
          <w:tcPr>
            <w:tcW w:w="1520" w:type="dxa"/>
            <w:vAlign w:val="bottom"/>
            <w:gridSpan w:val="18"/>
          </w:tcPr>
          <w:p>
            <w:pPr>
              <w:ind w:left="80"/>
              <w:spacing w:after="0"/>
              <w:rPr>
                <w:sz w:val="20"/>
                <w:szCs w:val="20"/>
                <w:color w:val="auto"/>
              </w:rPr>
            </w:pPr>
            <w:r>
              <w:rPr>
                <w:rFonts w:ascii="Arial" w:cs="Arial" w:eastAsia="Arial" w:hAnsi="Arial"/>
                <w:sz w:val="18"/>
                <w:szCs w:val="18"/>
                <w:color w:val="auto"/>
              </w:rPr>
              <w:t>Events of Default</w:t>
            </w:r>
          </w:p>
        </w:tc>
        <w:tc>
          <w:tcPr>
            <w:tcW w:w="280" w:type="dxa"/>
            <w:vAlign w:val="bottom"/>
            <w:gridSpan w:val="5"/>
          </w:tcPr>
          <w:p>
            <w:pPr>
              <w:jc w:val="right"/>
              <w:spacing w:after="0"/>
              <w:rPr>
                <w:sz w:val="20"/>
                <w:szCs w:val="20"/>
                <w:color w:val="auto"/>
              </w:rPr>
            </w:pPr>
            <w:r>
              <w:rPr>
                <w:rFonts w:ascii="Arial" w:cs="Arial" w:eastAsia="Arial" w:hAnsi="Arial"/>
                <w:sz w:val="18"/>
                <w:szCs w:val="18"/>
                <w:b w:val="1"/>
                <w:bCs w:val="1"/>
                <w:color w:val="FF0000"/>
                <w:strike w:val="1"/>
                <w:w w:val="86"/>
              </w:rPr>
              <w:t>124</w:t>
            </w:r>
          </w:p>
        </w:tc>
        <w:tc>
          <w:tcPr>
            <w:tcW w:w="36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0000FF"/>
                <w:w w:val="79"/>
              </w:rPr>
              <w:t>127</w:t>
            </w:r>
          </w:p>
        </w:tc>
        <w:tc>
          <w:tcPr>
            <w:tcW w:w="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11.02.</w:t>
            </w:r>
          </w:p>
        </w:tc>
        <w:tc>
          <w:tcPr>
            <w:tcW w:w="1940" w:type="dxa"/>
            <w:vAlign w:val="bottom"/>
            <w:gridSpan w:val="26"/>
          </w:tcPr>
          <w:p>
            <w:pPr>
              <w:ind w:left="80"/>
              <w:spacing w:after="0" w:line="196" w:lineRule="exact"/>
              <w:rPr>
                <w:sz w:val="20"/>
                <w:szCs w:val="20"/>
                <w:color w:val="auto"/>
              </w:rPr>
            </w:pPr>
            <w:r>
              <w:rPr>
                <w:rFonts w:ascii="Arial" w:cs="Arial" w:eastAsia="Arial" w:hAnsi="Arial"/>
                <w:sz w:val="18"/>
                <w:szCs w:val="18"/>
                <w:color w:val="auto"/>
                <w:w w:val="97"/>
              </w:rPr>
              <w:t>Application of Proceeds</w:t>
            </w:r>
          </w:p>
        </w:tc>
        <w:tc>
          <w:tcPr>
            <w:tcW w:w="40" w:type="dxa"/>
            <w:vAlign w:val="bottom"/>
          </w:tcPr>
          <w:p>
            <w:pPr>
              <w:spacing w:after="0"/>
              <w:rPr>
                <w:sz w:val="17"/>
                <w:szCs w:val="17"/>
                <w:color w:val="auto"/>
              </w:rPr>
            </w:pPr>
          </w:p>
        </w:tc>
        <w:tc>
          <w:tcPr>
            <w:tcW w:w="260" w:type="dxa"/>
            <w:vAlign w:val="bottom"/>
            <w:gridSpan w:val="5"/>
          </w:tcPr>
          <w:p>
            <w:pPr>
              <w:ind w:left="20"/>
              <w:spacing w:after="0"/>
              <w:rPr>
                <w:sz w:val="20"/>
                <w:szCs w:val="20"/>
                <w:color w:val="auto"/>
              </w:rPr>
            </w:pPr>
            <w:r>
              <w:rPr>
                <w:rFonts w:ascii="Arial" w:cs="Arial" w:eastAsia="Arial" w:hAnsi="Arial"/>
                <w:sz w:val="17"/>
                <w:szCs w:val="17"/>
                <w:b w:val="1"/>
                <w:bCs w:val="1"/>
                <w:color w:val="FF0000"/>
                <w:strike w:val="1"/>
                <w:w w:val="70"/>
              </w:rPr>
              <w:t>127</w:t>
            </w:r>
          </w:p>
        </w:tc>
        <w:tc>
          <w:tcPr>
            <w:tcW w:w="300" w:type="dxa"/>
            <w:vAlign w:val="bottom"/>
            <w:tcBorders>
              <w:bottom w:val="single" w:sz="8" w:color="0000FF"/>
            </w:tcBorders>
            <w:gridSpan w:val="7"/>
          </w:tcPr>
          <w:p>
            <w:pPr>
              <w:jc w:val="right"/>
              <w:spacing w:after="0" w:line="196" w:lineRule="exact"/>
              <w:rPr>
                <w:sz w:val="20"/>
                <w:szCs w:val="20"/>
                <w:color w:val="auto"/>
              </w:rPr>
            </w:pPr>
            <w:r>
              <w:rPr>
                <w:rFonts w:ascii="Arial" w:cs="Arial" w:eastAsia="Arial" w:hAnsi="Arial"/>
                <w:sz w:val="18"/>
                <w:szCs w:val="18"/>
                <w:b w:val="1"/>
                <w:bCs w:val="1"/>
                <w:color w:val="0000FF"/>
                <w:w w:val="93"/>
              </w:rPr>
              <w:t>130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11.03.</w:t>
            </w:r>
          </w:p>
        </w:tc>
        <w:tc>
          <w:tcPr>
            <w:tcW w:w="1940" w:type="dxa"/>
            <w:vAlign w:val="bottom"/>
            <w:gridSpan w:val="26"/>
          </w:tcPr>
          <w:p>
            <w:pPr>
              <w:ind w:left="80"/>
              <w:spacing w:after="0" w:line="196" w:lineRule="exact"/>
              <w:rPr>
                <w:sz w:val="20"/>
                <w:szCs w:val="20"/>
                <w:color w:val="auto"/>
              </w:rPr>
            </w:pPr>
            <w:r>
              <w:rPr>
                <w:rFonts w:ascii="Arial" w:cs="Arial" w:eastAsia="Arial" w:hAnsi="Arial"/>
                <w:sz w:val="18"/>
                <w:szCs w:val="18"/>
                <w:color w:val="auto"/>
                <w:w w:val="93"/>
              </w:rPr>
              <w:t>Borrower’s Right to Cure</w:t>
            </w:r>
          </w:p>
        </w:tc>
        <w:tc>
          <w:tcPr>
            <w:tcW w:w="220" w:type="dxa"/>
            <w:vAlign w:val="bottom"/>
            <w:gridSpan w:val="4"/>
          </w:tcPr>
          <w:p>
            <w:pPr>
              <w:spacing w:after="0"/>
              <w:rPr>
                <w:sz w:val="17"/>
                <w:szCs w:val="17"/>
                <w:color w:val="auto"/>
              </w:rPr>
            </w:pPr>
          </w:p>
        </w:tc>
        <w:tc>
          <w:tcPr>
            <w:tcW w:w="220" w:type="dxa"/>
            <w:vAlign w:val="bottom"/>
            <w:gridSpan w:val="5"/>
          </w:tcPr>
          <w:p>
            <w:pPr>
              <w:spacing w:after="0"/>
              <w:rPr>
                <w:sz w:val="20"/>
                <w:szCs w:val="20"/>
                <w:color w:val="auto"/>
              </w:rPr>
            </w:pPr>
            <w:r>
              <w:rPr>
                <w:rFonts w:ascii="Arial" w:cs="Arial" w:eastAsia="Arial" w:hAnsi="Arial"/>
                <w:sz w:val="17"/>
                <w:szCs w:val="17"/>
                <w:b w:val="1"/>
                <w:bCs w:val="1"/>
                <w:color w:val="FF0000"/>
                <w:strike w:val="1"/>
                <w:w w:val="70"/>
              </w:rPr>
              <w:t>128</w:t>
            </w:r>
          </w:p>
        </w:tc>
        <w:tc>
          <w:tcPr>
            <w:tcW w:w="260" w:type="dxa"/>
            <w:vAlign w:val="bottom"/>
            <w:tcBorders>
              <w:bottom w:val="single" w:sz="8" w:color="0000FF"/>
            </w:tcBorders>
            <w:gridSpan w:val="7"/>
          </w:tcPr>
          <w:p>
            <w:pPr>
              <w:jc w:val="right"/>
              <w:spacing w:after="0" w:line="196" w:lineRule="exact"/>
              <w:rPr>
                <w:sz w:val="20"/>
                <w:szCs w:val="20"/>
                <w:color w:val="auto"/>
              </w:rPr>
            </w:pPr>
            <w:r>
              <w:rPr>
                <w:rFonts w:ascii="Arial" w:cs="Arial" w:eastAsia="Arial" w:hAnsi="Arial"/>
                <w:sz w:val="18"/>
                <w:szCs w:val="18"/>
                <w:b w:val="1"/>
                <w:bCs w:val="1"/>
                <w:color w:val="0000FF"/>
                <w:w w:val="79"/>
              </w:rPr>
              <w:t>131</w:t>
            </w:r>
          </w:p>
        </w:tc>
        <w:tc>
          <w:tcPr>
            <w:tcW w:w="20" w:type="dxa"/>
            <w:vAlign w:val="bottom"/>
            <w:tcBorders>
              <w:bottom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9"/>
          </w:tcPr>
          <w:p>
            <w:pPr>
              <w:jc w:val="center"/>
              <w:ind w:right="130"/>
              <w:spacing w:after="0"/>
              <w:rPr>
                <w:sz w:val="20"/>
                <w:szCs w:val="20"/>
                <w:color w:val="auto"/>
              </w:rPr>
            </w:pPr>
            <w:r>
              <w:rPr>
                <w:rFonts w:ascii="Arial" w:cs="Arial" w:eastAsia="Arial" w:hAnsi="Arial"/>
                <w:sz w:val="18"/>
                <w:szCs w:val="18"/>
                <w:color w:val="auto"/>
              </w:rPr>
              <w:t>ARTICLE XII.</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6"/>
          </w:tcPr>
          <w:p>
            <w:pPr>
              <w:jc w:val="center"/>
              <w:ind w:right="350"/>
              <w:spacing w:after="0"/>
              <w:rPr>
                <w:sz w:val="20"/>
                <w:szCs w:val="20"/>
                <w:color w:val="auto"/>
              </w:rPr>
            </w:pPr>
            <w:r>
              <w:rPr>
                <w:rFonts w:ascii="Arial" w:cs="Arial" w:eastAsia="Arial" w:hAnsi="Arial"/>
                <w:sz w:val="18"/>
                <w:szCs w:val="18"/>
                <w:color w:val="auto"/>
                <w:w w:val="94"/>
              </w:rPr>
              <w:t>AGENTS</w:t>
            </w: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0"/>
                <w:szCs w:val="20"/>
                <w:color w:val="auto"/>
              </w:rPr>
            </w:pPr>
            <w:r>
              <w:rPr>
                <w:rFonts w:ascii="Arial" w:cs="Arial" w:eastAsia="Arial" w:hAnsi="Arial"/>
                <w:sz w:val="18"/>
                <w:szCs w:val="18"/>
                <w:color w:val="auto"/>
                <w:w w:val="99"/>
              </w:rPr>
              <w:t>SECTION 12.01.</w:t>
            </w:r>
          </w:p>
        </w:tc>
        <w:tc>
          <w:tcPr>
            <w:tcW w:w="1200" w:type="dxa"/>
            <w:vAlign w:val="bottom"/>
            <w:gridSpan w:val="3"/>
          </w:tcPr>
          <w:p>
            <w:pPr>
              <w:ind w:left="80"/>
              <w:spacing w:after="0"/>
              <w:rPr>
                <w:sz w:val="20"/>
                <w:szCs w:val="20"/>
                <w:color w:val="auto"/>
              </w:rPr>
            </w:pPr>
            <w:r>
              <w:rPr>
                <w:rFonts w:ascii="Arial" w:cs="Arial" w:eastAsia="Arial" w:hAnsi="Arial"/>
                <w:sz w:val="18"/>
                <w:szCs w:val="18"/>
                <w:color w:val="auto"/>
              </w:rPr>
              <w:t>Appointment</w:t>
            </w:r>
          </w:p>
        </w:tc>
        <w:tc>
          <w:tcPr>
            <w:tcW w:w="280" w:type="dxa"/>
            <w:vAlign w:val="bottom"/>
            <w:gridSpan w:val="6"/>
          </w:tcPr>
          <w:p>
            <w:pPr>
              <w:jc w:val="right"/>
              <w:spacing w:after="0"/>
              <w:rPr>
                <w:sz w:val="20"/>
                <w:szCs w:val="20"/>
                <w:color w:val="auto"/>
              </w:rPr>
            </w:pPr>
            <w:r>
              <w:rPr>
                <w:rFonts w:ascii="Arial" w:cs="Arial" w:eastAsia="Arial" w:hAnsi="Arial"/>
                <w:sz w:val="18"/>
                <w:szCs w:val="18"/>
                <w:b w:val="1"/>
                <w:bCs w:val="1"/>
                <w:color w:val="FF0000"/>
                <w:strike w:val="1"/>
                <w:w w:val="86"/>
              </w:rPr>
              <w:t>129</w:t>
            </w:r>
          </w:p>
        </w:tc>
        <w:tc>
          <w:tcPr>
            <w:tcW w:w="2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86"/>
              </w:rPr>
              <w:t>131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12.02.</w:t>
            </w:r>
          </w:p>
        </w:tc>
        <w:tc>
          <w:tcPr>
            <w:tcW w:w="720" w:type="dxa"/>
            <w:vAlign w:val="bottom"/>
          </w:tcPr>
          <w:p>
            <w:pPr>
              <w:ind w:left="80"/>
              <w:spacing w:after="0" w:line="196" w:lineRule="exact"/>
              <w:rPr>
                <w:sz w:val="20"/>
                <w:szCs w:val="20"/>
                <w:color w:val="auto"/>
              </w:rPr>
            </w:pPr>
            <w:r>
              <w:rPr>
                <w:rFonts w:ascii="Arial" w:cs="Arial" w:eastAsia="Arial" w:hAnsi="Arial"/>
                <w:sz w:val="18"/>
                <w:szCs w:val="18"/>
                <w:color w:val="auto"/>
              </w:rPr>
              <w:t>Rights</w:t>
            </w:r>
          </w:p>
        </w:tc>
        <w:tc>
          <w:tcPr>
            <w:tcW w:w="38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FF0000"/>
                <w:strike w:val="1"/>
                <w:w w:val="86"/>
              </w:rPr>
              <w:t>129</w:t>
            </w:r>
          </w:p>
        </w:tc>
        <w:tc>
          <w:tcPr>
            <w:tcW w:w="220" w:type="dxa"/>
            <w:vAlign w:val="bottom"/>
            <w:gridSpan w:val="3"/>
          </w:tcPr>
          <w:p>
            <w:pPr>
              <w:jc w:val="right"/>
              <w:ind w:right="60"/>
              <w:spacing w:after="0"/>
              <w:rPr>
                <w:sz w:val="20"/>
                <w:szCs w:val="20"/>
                <w:color w:val="auto"/>
              </w:rPr>
            </w:pPr>
            <w:r>
              <w:rPr>
                <w:rFonts w:ascii="Arial" w:cs="Arial" w:eastAsia="Arial" w:hAnsi="Arial"/>
                <w:sz w:val="11"/>
                <w:szCs w:val="11"/>
                <w:b w:val="1"/>
                <w:bCs w:val="1"/>
                <w:color w:val="0000FF"/>
                <w:w w:val="76"/>
              </w:rPr>
              <w:t>132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FF0000"/>
                <w:strike w:val="1"/>
                <w:w w:val="71"/>
              </w:rPr>
              <w:t>129</w:t>
            </w:r>
          </w:p>
        </w:tc>
        <w:tc>
          <w:tcPr>
            <w:tcW w:w="280" w:type="dxa"/>
            <w:vAlign w:val="bottom"/>
            <w:gridSpan w:val="4"/>
            <w:vMerge w:val="restart"/>
          </w:tcPr>
          <w:p>
            <w:pPr>
              <w:jc w:val="right"/>
              <w:ind w:right="20"/>
              <w:spacing w:after="0"/>
              <w:rPr>
                <w:sz w:val="20"/>
                <w:szCs w:val="20"/>
                <w:color w:val="auto"/>
              </w:rPr>
            </w:pPr>
            <w:r>
              <w:rPr>
                <w:rFonts w:ascii="Arial" w:cs="Arial" w:eastAsia="Arial" w:hAnsi="Arial"/>
                <w:sz w:val="18"/>
                <w:szCs w:val="18"/>
                <w:b w:val="1"/>
                <w:bCs w:val="1"/>
                <w:color w:val="0000FF"/>
                <w:w w:val="79"/>
              </w:rPr>
              <w:t>132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280" w:type="dxa"/>
            <w:vAlign w:val="bottom"/>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12.03.</w:t>
            </w:r>
          </w:p>
        </w:tc>
        <w:tc>
          <w:tcPr>
            <w:tcW w:w="2020" w:type="dxa"/>
            <w:vAlign w:val="bottom"/>
            <w:gridSpan w:val="16"/>
          </w:tcPr>
          <w:p>
            <w:pPr>
              <w:ind w:left="80"/>
              <w:spacing w:after="0" w:line="196" w:lineRule="exact"/>
              <w:rPr>
                <w:sz w:val="20"/>
                <w:szCs w:val="20"/>
                <w:color w:val="auto"/>
              </w:rPr>
            </w:pPr>
            <w:r>
              <w:rPr>
                <w:rFonts w:ascii="Arial" w:cs="Arial" w:eastAsia="Arial" w:hAnsi="Arial"/>
                <w:sz w:val="18"/>
                <w:szCs w:val="18"/>
                <w:color w:val="auto"/>
              </w:rPr>
              <w:t>Exculpatory Provisions</w:t>
            </w:r>
          </w:p>
        </w:tc>
        <w:tc>
          <w:tcPr>
            <w:tcW w:w="200" w:type="dxa"/>
            <w:vAlign w:val="bottom"/>
            <w:gridSpan w:val="3"/>
            <w:vMerge w:val="continue"/>
          </w:tcPr>
          <w:p>
            <w:pPr>
              <w:spacing w:after="0"/>
              <w:rPr>
                <w:sz w:val="17"/>
                <w:szCs w:val="17"/>
                <w:color w:val="auto"/>
              </w:rPr>
            </w:pPr>
          </w:p>
        </w:tc>
        <w:tc>
          <w:tcPr>
            <w:tcW w:w="28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12.04.</w:t>
            </w:r>
          </w:p>
        </w:tc>
        <w:tc>
          <w:tcPr>
            <w:tcW w:w="1660" w:type="dxa"/>
            <w:vAlign w:val="bottom"/>
            <w:gridSpan w:val="10"/>
          </w:tcPr>
          <w:p>
            <w:pPr>
              <w:ind w:left="80"/>
              <w:spacing w:after="0" w:line="196" w:lineRule="exact"/>
              <w:rPr>
                <w:sz w:val="20"/>
                <w:szCs w:val="20"/>
                <w:color w:val="auto"/>
              </w:rPr>
            </w:pPr>
            <w:r>
              <w:rPr>
                <w:rFonts w:ascii="Arial" w:cs="Arial" w:eastAsia="Arial" w:hAnsi="Arial"/>
                <w:sz w:val="18"/>
                <w:szCs w:val="18"/>
                <w:color w:val="auto"/>
              </w:rPr>
              <w:t>Reliance by Agents</w:t>
            </w:r>
          </w:p>
        </w:tc>
        <w:tc>
          <w:tcPr>
            <w:tcW w:w="36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130</w:t>
            </w:r>
          </w:p>
        </w:tc>
        <w:tc>
          <w:tcPr>
            <w:tcW w:w="200" w:type="dxa"/>
            <w:vAlign w:val="bottom"/>
            <w:gridSpan w:val="3"/>
          </w:tcPr>
          <w:p>
            <w:pPr>
              <w:jc w:val="right"/>
              <w:ind w:right="20"/>
              <w:spacing w:after="0"/>
              <w:rPr>
                <w:sz w:val="20"/>
                <w:szCs w:val="20"/>
                <w:color w:val="auto"/>
              </w:rPr>
            </w:pPr>
            <w:r>
              <w:rPr>
                <w:rFonts w:ascii="Arial" w:cs="Arial" w:eastAsia="Arial" w:hAnsi="Arial"/>
                <w:sz w:val="13"/>
                <w:szCs w:val="13"/>
                <w:b w:val="1"/>
                <w:bCs w:val="1"/>
                <w:color w:val="0000FF"/>
                <w:w w:val="73"/>
              </w:rPr>
              <w:t>133</w:t>
            </w: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12.05.</w:t>
            </w:r>
          </w:p>
        </w:tc>
        <w:tc>
          <w:tcPr>
            <w:tcW w:w="1660" w:type="dxa"/>
            <w:vAlign w:val="bottom"/>
            <w:gridSpan w:val="10"/>
          </w:tcPr>
          <w:p>
            <w:pPr>
              <w:ind w:left="80"/>
              <w:spacing w:after="0" w:line="196" w:lineRule="exact"/>
              <w:rPr>
                <w:sz w:val="20"/>
                <w:szCs w:val="20"/>
                <w:color w:val="auto"/>
              </w:rPr>
            </w:pPr>
            <w:r>
              <w:rPr>
                <w:rFonts w:ascii="Arial" w:cs="Arial" w:eastAsia="Arial" w:hAnsi="Arial"/>
                <w:sz w:val="18"/>
                <w:szCs w:val="18"/>
                <w:color w:val="auto"/>
                <w:w w:val="96"/>
              </w:rPr>
              <w:t>Delegation of Duties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130</w:t>
            </w:r>
          </w:p>
        </w:tc>
        <w:tc>
          <w:tcPr>
            <w:tcW w:w="280" w:type="dxa"/>
            <w:vAlign w:val="bottom"/>
            <w:tcBorders>
              <w:bottom w:val="single" w:sz="8" w:color="0000FF"/>
            </w:tcBorders>
            <w:gridSpan w:val="4"/>
          </w:tcPr>
          <w:p>
            <w:pPr>
              <w:jc w:val="right"/>
              <w:spacing w:after="0" w:line="196" w:lineRule="exact"/>
              <w:rPr>
                <w:sz w:val="20"/>
                <w:szCs w:val="20"/>
                <w:color w:val="auto"/>
              </w:rPr>
            </w:pPr>
            <w:r>
              <w:rPr>
                <w:rFonts w:ascii="Arial" w:cs="Arial" w:eastAsia="Arial" w:hAnsi="Arial"/>
                <w:sz w:val="18"/>
                <w:szCs w:val="18"/>
                <w:b w:val="1"/>
                <w:bCs w:val="1"/>
                <w:color w:val="0000FF"/>
                <w:w w:val="86"/>
              </w:rPr>
              <w:t>133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12.06.</w:t>
            </w:r>
          </w:p>
        </w:tc>
        <w:tc>
          <w:tcPr>
            <w:tcW w:w="2920" w:type="dxa"/>
            <w:vAlign w:val="bottom"/>
            <w:gridSpan w:val="26"/>
          </w:tcPr>
          <w:p>
            <w:pPr>
              <w:ind w:left="80"/>
              <w:spacing w:after="0" w:line="196" w:lineRule="exact"/>
              <w:rPr>
                <w:sz w:val="20"/>
                <w:szCs w:val="20"/>
                <w:color w:val="auto"/>
              </w:rPr>
            </w:pPr>
            <w:r>
              <w:rPr>
                <w:rFonts w:ascii="Arial" w:cs="Arial" w:eastAsia="Arial" w:hAnsi="Arial"/>
                <w:sz w:val="18"/>
                <w:szCs w:val="18"/>
                <w:color w:val="auto"/>
                <w:w w:val="98"/>
              </w:rPr>
              <w:t>Resignation of Administrative Agent</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130</w:t>
            </w:r>
          </w:p>
        </w:tc>
        <w:tc>
          <w:tcPr>
            <w:tcW w:w="38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0000FF"/>
                <w:w w:val="79"/>
              </w:rPr>
              <w:t>133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12.07.</w:t>
            </w:r>
          </w:p>
        </w:tc>
        <w:tc>
          <w:tcPr>
            <w:tcW w:w="3200" w:type="dxa"/>
            <w:vAlign w:val="bottom"/>
            <w:gridSpan w:val="28"/>
          </w:tcPr>
          <w:p>
            <w:pPr>
              <w:ind w:left="80"/>
              <w:spacing w:after="0" w:line="196" w:lineRule="exact"/>
              <w:rPr>
                <w:sz w:val="20"/>
                <w:szCs w:val="20"/>
                <w:color w:val="auto"/>
              </w:rPr>
            </w:pPr>
            <w:r>
              <w:rPr>
                <w:rFonts w:ascii="Arial" w:cs="Arial" w:eastAsia="Arial" w:hAnsi="Arial"/>
                <w:sz w:val="18"/>
                <w:szCs w:val="18"/>
                <w:color w:val="auto"/>
                <w:w w:val="91"/>
              </w:rPr>
              <w:t>Nonreliance on Agents and Other Lenders</w:t>
            </w:r>
          </w:p>
        </w:tc>
        <w:tc>
          <w:tcPr>
            <w:tcW w:w="3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FF0000"/>
                <w:strike w:val="1"/>
              </w:rPr>
              <w:t>132</w:t>
            </w:r>
          </w:p>
        </w:tc>
        <w:tc>
          <w:tcPr>
            <w:tcW w:w="2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0000FF"/>
                <w:w w:val="79"/>
              </w:rPr>
              <w:t>134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12.08.</w:t>
            </w:r>
          </w:p>
        </w:tc>
        <w:tc>
          <w:tcPr>
            <w:tcW w:w="1400" w:type="dxa"/>
            <w:vAlign w:val="bottom"/>
            <w:gridSpan w:val="7"/>
          </w:tcPr>
          <w:p>
            <w:pPr>
              <w:ind w:left="80"/>
              <w:spacing w:after="0" w:line="196" w:lineRule="exact"/>
              <w:rPr>
                <w:sz w:val="20"/>
                <w:szCs w:val="20"/>
                <w:color w:val="auto"/>
              </w:rPr>
            </w:pPr>
            <w:r>
              <w:rPr>
                <w:rFonts w:ascii="Arial" w:cs="Arial" w:eastAsia="Arial" w:hAnsi="Arial"/>
                <w:sz w:val="18"/>
                <w:szCs w:val="18"/>
                <w:color w:val="auto"/>
              </w:rPr>
              <w:t>Indemnification</w:t>
            </w:r>
          </w:p>
        </w:tc>
        <w:tc>
          <w:tcPr>
            <w:tcW w:w="2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132</w:t>
            </w:r>
          </w:p>
        </w:tc>
        <w:tc>
          <w:tcPr>
            <w:tcW w:w="340" w:type="dxa"/>
            <w:vAlign w:val="bottom"/>
            <w:tcBorders>
              <w:bottom w:val="single" w:sz="8" w:color="0000FF"/>
            </w:tcBorders>
            <w:gridSpan w:val="5"/>
          </w:tcPr>
          <w:p>
            <w:pPr>
              <w:jc w:val="right"/>
              <w:spacing w:after="0" w:line="196" w:lineRule="exact"/>
              <w:rPr>
                <w:sz w:val="20"/>
                <w:szCs w:val="20"/>
                <w:color w:val="auto"/>
              </w:rPr>
            </w:pPr>
            <w:r>
              <w:rPr>
                <w:rFonts w:ascii="Arial" w:cs="Arial" w:eastAsia="Arial" w:hAnsi="Arial"/>
                <w:sz w:val="18"/>
                <w:szCs w:val="18"/>
                <w:b w:val="1"/>
                <w:bCs w:val="1"/>
                <w:color w:val="0000FF"/>
                <w:w w:val="79"/>
              </w:rPr>
              <w:t>135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12.09.</w:t>
            </w:r>
          </w:p>
        </w:tc>
        <w:tc>
          <w:tcPr>
            <w:tcW w:w="1400" w:type="dxa"/>
            <w:vAlign w:val="bottom"/>
            <w:gridSpan w:val="7"/>
          </w:tcPr>
          <w:p>
            <w:pPr>
              <w:ind w:left="80"/>
              <w:spacing w:after="0" w:line="196" w:lineRule="exact"/>
              <w:rPr>
                <w:sz w:val="20"/>
                <w:szCs w:val="20"/>
                <w:color w:val="auto"/>
              </w:rPr>
            </w:pPr>
            <w:r>
              <w:rPr>
                <w:rFonts w:ascii="Arial" w:cs="Arial" w:eastAsia="Arial" w:hAnsi="Arial"/>
                <w:sz w:val="18"/>
                <w:szCs w:val="18"/>
                <w:color w:val="auto"/>
              </w:rPr>
              <w:t>No Other Duties</w:t>
            </w:r>
          </w:p>
        </w:tc>
        <w:tc>
          <w:tcPr>
            <w:tcW w:w="40" w:type="dxa"/>
            <w:vAlign w:val="bottom"/>
          </w:tcPr>
          <w:p>
            <w:pPr>
              <w:spacing w:after="0"/>
              <w:rPr>
                <w:sz w:val="17"/>
                <w:szCs w:val="17"/>
                <w:color w:val="auto"/>
              </w:rPr>
            </w:pPr>
          </w:p>
        </w:tc>
        <w:tc>
          <w:tcPr>
            <w:tcW w:w="28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132</w:t>
            </w:r>
          </w:p>
        </w:tc>
        <w:tc>
          <w:tcPr>
            <w:tcW w:w="3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0000FF"/>
                <w:w w:val="79"/>
              </w:rPr>
              <w:t>135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12.10.</w:t>
            </w:r>
          </w:p>
        </w:tc>
        <w:tc>
          <w:tcPr>
            <w:tcW w:w="720" w:type="dxa"/>
            <w:vAlign w:val="bottom"/>
          </w:tcPr>
          <w:p>
            <w:pPr>
              <w:ind w:left="80"/>
              <w:spacing w:after="0" w:line="196" w:lineRule="exact"/>
              <w:rPr>
                <w:sz w:val="20"/>
                <w:szCs w:val="20"/>
                <w:color w:val="auto"/>
              </w:rPr>
            </w:pPr>
            <w:r>
              <w:rPr>
                <w:rFonts w:ascii="Arial" w:cs="Arial" w:eastAsia="Arial" w:hAnsi="Arial"/>
                <w:sz w:val="18"/>
                <w:szCs w:val="18"/>
                <w:color w:val="auto"/>
                <w:w w:val="99"/>
              </w:rPr>
              <w:t>Holders</w:t>
            </w: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FF0000"/>
                <w:strike w:val="1"/>
              </w:rPr>
              <w:t>133</w:t>
            </w:r>
          </w:p>
        </w:tc>
        <w:tc>
          <w:tcPr>
            <w:tcW w:w="300" w:type="dxa"/>
            <w:vAlign w:val="bottom"/>
            <w:gridSpan w:val="5"/>
          </w:tcPr>
          <w:p>
            <w:pPr>
              <w:jc w:val="right"/>
              <w:ind w:right="40"/>
              <w:spacing w:after="0" w:line="196" w:lineRule="exact"/>
              <w:rPr>
                <w:sz w:val="20"/>
                <w:szCs w:val="20"/>
                <w:color w:val="auto"/>
              </w:rPr>
            </w:pPr>
            <w:r>
              <w:rPr>
                <w:rFonts w:ascii="Arial" w:cs="Arial" w:eastAsia="Arial" w:hAnsi="Arial"/>
                <w:sz w:val="18"/>
                <w:szCs w:val="18"/>
                <w:b w:val="1"/>
                <w:bCs w:val="1"/>
                <w:color w:val="0000FF"/>
                <w:w w:val="79"/>
              </w:rPr>
              <w:t>135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FF0000"/>
                <w:strike w:val="1"/>
                <w:w w:val="79"/>
              </w:rPr>
              <w:t>133</w:t>
            </w:r>
          </w:p>
        </w:tc>
        <w:tc>
          <w:tcPr>
            <w:tcW w:w="500" w:type="dxa"/>
            <w:vAlign w:val="bottom"/>
            <w:gridSpan w:val="3"/>
            <w:vMerge w:val="restart"/>
          </w:tcPr>
          <w:p>
            <w:pPr>
              <w:jc w:val="right"/>
              <w:ind w:right="220"/>
              <w:spacing w:after="0"/>
              <w:rPr>
                <w:sz w:val="20"/>
                <w:szCs w:val="20"/>
                <w:color w:val="auto"/>
              </w:rPr>
            </w:pPr>
            <w:r>
              <w:rPr>
                <w:rFonts w:ascii="Arial" w:cs="Arial" w:eastAsia="Arial" w:hAnsi="Arial"/>
                <w:sz w:val="18"/>
                <w:szCs w:val="18"/>
                <w:b w:val="1"/>
                <w:bCs w:val="1"/>
                <w:color w:val="0000FF"/>
                <w:w w:val="86"/>
              </w:rPr>
              <w:t>135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5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12.11.</w:t>
            </w:r>
          </w:p>
        </w:tc>
        <w:tc>
          <w:tcPr>
            <w:tcW w:w="3720" w:type="dxa"/>
            <w:vAlign w:val="bottom"/>
            <w:gridSpan w:val="33"/>
          </w:tcPr>
          <w:p>
            <w:pPr>
              <w:ind w:left="80"/>
              <w:spacing w:after="0" w:line="196" w:lineRule="exact"/>
              <w:rPr>
                <w:sz w:val="20"/>
                <w:szCs w:val="20"/>
                <w:color w:val="auto"/>
              </w:rPr>
            </w:pPr>
            <w:r>
              <w:rPr>
                <w:rFonts w:ascii="Arial" w:cs="Arial" w:eastAsia="Arial" w:hAnsi="Arial"/>
                <w:sz w:val="18"/>
                <w:szCs w:val="18"/>
                <w:color w:val="auto"/>
                <w:w w:val="98"/>
              </w:rPr>
              <w:t>Administrative Agent May File Proofs of Claim</w:t>
            </w:r>
          </w:p>
        </w:tc>
        <w:tc>
          <w:tcPr>
            <w:tcW w:w="260" w:type="dxa"/>
            <w:vAlign w:val="bottom"/>
            <w:gridSpan w:val="3"/>
            <w:vMerge w:val="continue"/>
          </w:tcPr>
          <w:p>
            <w:pPr>
              <w:spacing w:after="0"/>
              <w:rPr>
                <w:sz w:val="17"/>
                <w:szCs w:val="17"/>
                <w:color w:val="auto"/>
              </w:rPr>
            </w:pPr>
          </w:p>
        </w:tc>
        <w:tc>
          <w:tcPr>
            <w:tcW w:w="5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12.12.</w:t>
            </w:r>
          </w:p>
        </w:tc>
        <w:tc>
          <w:tcPr>
            <w:tcW w:w="1400" w:type="dxa"/>
            <w:vAlign w:val="bottom"/>
            <w:gridSpan w:val="7"/>
          </w:tcPr>
          <w:p>
            <w:pPr>
              <w:ind w:left="80"/>
              <w:spacing w:after="0" w:line="196" w:lineRule="exact"/>
              <w:rPr>
                <w:sz w:val="20"/>
                <w:szCs w:val="20"/>
                <w:color w:val="auto"/>
              </w:rPr>
            </w:pPr>
            <w:r>
              <w:rPr>
                <w:rFonts w:ascii="Arial" w:cs="Arial" w:eastAsia="Arial" w:hAnsi="Arial"/>
                <w:sz w:val="18"/>
                <w:szCs w:val="18"/>
                <w:color w:val="auto"/>
                <w:w w:val="92"/>
              </w:rPr>
              <w:t>Collateral Matters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FF0000"/>
                <w:strike w:val="1"/>
              </w:rPr>
              <w:t>133</w:t>
            </w:r>
          </w:p>
        </w:tc>
        <w:tc>
          <w:tcPr>
            <w:tcW w:w="3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0000FF"/>
                <w:w w:val="79"/>
              </w:rPr>
              <w:t>136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12.13.</w:t>
            </w:r>
          </w:p>
        </w:tc>
        <w:tc>
          <w:tcPr>
            <w:tcW w:w="1400" w:type="dxa"/>
            <w:vAlign w:val="bottom"/>
            <w:gridSpan w:val="7"/>
          </w:tcPr>
          <w:p>
            <w:pPr>
              <w:ind w:left="80"/>
              <w:spacing w:after="0" w:line="196" w:lineRule="exact"/>
              <w:rPr>
                <w:sz w:val="20"/>
                <w:szCs w:val="20"/>
                <w:color w:val="auto"/>
              </w:rPr>
            </w:pPr>
            <w:r>
              <w:rPr>
                <w:rFonts w:ascii="Arial" w:cs="Arial" w:eastAsia="Arial" w:hAnsi="Arial"/>
                <w:sz w:val="18"/>
                <w:szCs w:val="18"/>
                <w:color w:val="auto"/>
              </w:rPr>
              <w:t>Withholding Tax</w:t>
            </w:r>
          </w:p>
        </w:tc>
        <w:tc>
          <w:tcPr>
            <w:tcW w:w="40" w:type="dxa"/>
            <w:vAlign w:val="bottom"/>
          </w:tcPr>
          <w:p>
            <w:pPr>
              <w:spacing w:after="0"/>
              <w:rPr>
                <w:sz w:val="17"/>
                <w:szCs w:val="17"/>
                <w:color w:val="auto"/>
              </w:rPr>
            </w:pPr>
          </w:p>
        </w:tc>
        <w:tc>
          <w:tcPr>
            <w:tcW w:w="30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FF0000"/>
                <w:strike w:val="1"/>
                <w:w w:val="79"/>
              </w:rPr>
              <w:t>134</w:t>
            </w:r>
          </w:p>
        </w:tc>
        <w:tc>
          <w:tcPr>
            <w:tcW w:w="280" w:type="dxa"/>
            <w:vAlign w:val="bottom"/>
            <w:tcBorders>
              <w:bottom w:val="single" w:sz="8" w:color="0000FF"/>
            </w:tcBorders>
            <w:gridSpan w:val="3"/>
          </w:tcPr>
          <w:p>
            <w:pPr>
              <w:jc w:val="right"/>
              <w:spacing w:after="0" w:line="196" w:lineRule="exact"/>
              <w:rPr>
                <w:sz w:val="20"/>
                <w:szCs w:val="20"/>
                <w:color w:val="auto"/>
              </w:rPr>
            </w:pPr>
            <w:r>
              <w:rPr>
                <w:rFonts w:ascii="Arial" w:cs="Arial" w:eastAsia="Arial" w:hAnsi="Arial"/>
                <w:sz w:val="18"/>
                <w:szCs w:val="18"/>
                <w:b w:val="1"/>
                <w:bCs w:val="1"/>
                <w:color w:val="0000FF"/>
                <w:w w:val="86"/>
              </w:rPr>
              <w:t>136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86"/>
              </w:rPr>
              <w:t>134</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79"/>
              </w:rPr>
              <w:t>137</w:t>
            </w:r>
          </w:p>
        </w:tc>
        <w:tc>
          <w:tcPr>
            <w:tcW w:w="0" w:type="dxa"/>
            <w:vAlign w:val="bottom"/>
          </w:tcPr>
          <w:p>
            <w:pPr>
              <w:spacing w:after="0"/>
              <w:rPr>
                <w:sz w:val="1"/>
                <w:szCs w:val="1"/>
                <w:color w:val="auto"/>
              </w:rPr>
            </w:pPr>
          </w:p>
        </w:tc>
      </w:tr>
      <w:tr>
        <w:trPr>
          <w:trHeight w:val="201"/>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12.14.</w:t>
            </w:r>
          </w:p>
        </w:tc>
        <w:tc>
          <w:tcPr>
            <w:tcW w:w="4620" w:type="dxa"/>
            <w:vAlign w:val="bottom"/>
            <w:gridSpan w:val="40"/>
          </w:tcPr>
          <w:p>
            <w:pPr>
              <w:ind w:left="80"/>
              <w:spacing w:after="0" w:line="196" w:lineRule="exact"/>
              <w:rPr>
                <w:sz w:val="20"/>
                <w:szCs w:val="20"/>
                <w:color w:val="auto"/>
              </w:rPr>
            </w:pPr>
            <w:r>
              <w:rPr>
                <w:rFonts w:ascii="Arial" w:cs="Arial" w:eastAsia="Arial" w:hAnsi="Arial"/>
                <w:sz w:val="18"/>
                <w:szCs w:val="18"/>
                <w:color w:val="auto"/>
                <w:w w:val="91"/>
              </w:rPr>
              <w:t>Secured Cash Management Agreements and Swap Contracts</w:t>
            </w:r>
          </w:p>
        </w:tc>
        <w:tc>
          <w:tcPr>
            <w:tcW w:w="280" w:type="dxa"/>
            <w:vAlign w:val="bottom"/>
            <w:vMerge w:val="continue"/>
          </w:tcPr>
          <w:p>
            <w:pPr>
              <w:spacing w:after="0"/>
              <w:rPr>
                <w:sz w:val="17"/>
                <w:szCs w:val="17"/>
                <w:color w:val="auto"/>
              </w:rPr>
            </w:pPr>
          </w:p>
        </w:tc>
        <w:tc>
          <w:tcPr>
            <w:tcW w:w="26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9"/>
          </w:tcPr>
          <w:p>
            <w:pPr>
              <w:jc w:val="center"/>
              <w:ind w:right="130"/>
              <w:spacing w:after="0"/>
              <w:rPr>
                <w:sz w:val="20"/>
                <w:szCs w:val="20"/>
                <w:color w:val="auto"/>
              </w:rPr>
            </w:pPr>
            <w:r>
              <w:rPr>
                <w:rFonts w:ascii="Arial" w:cs="Arial" w:eastAsia="Arial" w:hAnsi="Arial"/>
                <w:sz w:val="18"/>
                <w:szCs w:val="18"/>
                <w:color w:val="auto"/>
              </w:rPr>
              <w:t>ARTICLE XIII.</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10"/>
          </w:tcPr>
          <w:p>
            <w:pPr>
              <w:jc w:val="center"/>
              <w:spacing w:after="0"/>
              <w:rPr>
                <w:sz w:val="20"/>
                <w:szCs w:val="20"/>
                <w:color w:val="auto"/>
              </w:rPr>
            </w:pPr>
            <w:r>
              <w:rPr>
                <w:rFonts w:ascii="Arial" w:cs="Arial" w:eastAsia="Arial" w:hAnsi="Arial"/>
                <w:sz w:val="18"/>
                <w:szCs w:val="18"/>
                <w:color w:val="auto"/>
                <w:w w:val="97"/>
              </w:rPr>
              <w:t>MISCELLANEOUS</w:t>
            </w: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0"/>
                <w:szCs w:val="20"/>
                <w:color w:val="auto"/>
              </w:rPr>
            </w:pPr>
            <w:r>
              <w:rPr>
                <w:rFonts w:ascii="Arial" w:cs="Arial" w:eastAsia="Arial" w:hAnsi="Arial"/>
                <w:sz w:val="18"/>
                <w:szCs w:val="18"/>
                <w:color w:val="auto"/>
                <w:w w:val="99"/>
              </w:rPr>
              <w:t>SECTION 13.01.</w:t>
            </w:r>
          </w:p>
        </w:tc>
        <w:tc>
          <w:tcPr>
            <w:tcW w:w="720" w:type="dxa"/>
            <w:vAlign w:val="bottom"/>
          </w:tcPr>
          <w:p>
            <w:pPr>
              <w:ind w:left="80"/>
              <w:spacing w:after="0"/>
              <w:rPr>
                <w:sz w:val="20"/>
                <w:szCs w:val="20"/>
                <w:color w:val="auto"/>
              </w:rPr>
            </w:pPr>
            <w:r>
              <w:rPr>
                <w:rFonts w:ascii="Arial" w:cs="Arial" w:eastAsia="Arial" w:hAnsi="Arial"/>
                <w:sz w:val="18"/>
                <w:szCs w:val="18"/>
                <w:color w:val="auto"/>
              </w:rPr>
              <w:t>Waiver</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FF0000"/>
                <w:strike w:val="1"/>
                <w:w w:val="99"/>
              </w:rPr>
              <w:t>134</w:t>
            </w:r>
          </w:p>
        </w:tc>
        <w:tc>
          <w:tcPr>
            <w:tcW w:w="220" w:type="dxa"/>
            <w:vAlign w:val="bottom"/>
            <w:tcBorders>
              <w:bottom w:val="single" w:sz="8" w:color="0000FF"/>
            </w:tcBorders>
            <w:gridSpan w:val="3"/>
          </w:tcPr>
          <w:p>
            <w:pPr>
              <w:jc w:val="right"/>
              <w:spacing w:after="0"/>
              <w:rPr>
                <w:sz w:val="20"/>
                <w:szCs w:val="20"/>
                <w:color w:val="auto"/>
              </w:rPr>
            </w:pPr>
            <w:r>
              <w:rPr>
                <w:rFonts w:ascii="Arial" w:cs="Arial" w:eastAsia="Arial" w:hAnsi="Arial"/>
                <w:sz w:val="17"/>
                <w:szCs w:val="17"/>
                <w:b w:val="1"/>
                <w:bCs w:val="1"/>
                <w:color w:val="0000FF"/>
                <w:w w:val="70"/>
              </w:rPr>
              <w:t>137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13.02.</w:t>
            </w:r>
          </w:p>
        </w:tc>
        <w:tc>
          <w:tcPr>
            <w:tcW w:w="720" w:type="dxa"/>
            <w:vAlign w:val="bottom"/>
          </w:tcPr>
          <w:p>
            <w:pPr>
              <w:ind w:left="80"/>
              <w:spacing w:after="0" w:line="196" w:lineRule="exact"/>
              <w:rPr>
                <w:sz w:val="20"/>
                <w:szCs w:val="20"/>
                <w:color w:val="auto"/>
              </w:rPr>
            </w:pPr>
            <w:r>
              <w:rPr>
                <w:rFonts w:ascii="Arial" w:cs="Arial" w:eastAsia="Arial" w:hAnsi="Arial"/>
                <w:sz w:val="18"/>
                <w:szCs w:val="18"/>
                <w:color w:val="auto"/>
              </w:rPr>
              <w:t>Notices</w:t>
            </w: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FF0000"/>
                <w:strike w:val="1"/>
              </w:rPr>
              <w:t>135</w:t>
            </w:r>
          </w:p>
        </w:tc>
        <w:tc>
          <w:tcPr>
            <w:tcW w:w="2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0000FF"/>
                <w:w w:val="73"/>
              </w:rPr>
              <w:t>137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86"/>
              </w:rPr>
              <w:t>136</w:t>
            </w:r>
          </w:p>
        </w:tc>
        <w:tc>
          <w:tcPr>
            <w:tcW w:w="42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0000FF"/>
                <w:w w:val="79"/>
              </w:rPr>
              <w:t>138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13.03.</w:t>
            </w:r>
          </w:p>
        </w:tc>
        <w:tc>
          <w:tcPr>
            <w:tcW w:w="2500" w:type="dxa"/>
            <w:vAlign w:val="bottom"/>
            <w:gridSpan w:val="23"/>
          </w:tcPr>
          <w:p>
            <w:pPr>
              <w:ind w:left="80"/>
              <w:spacing w:after="0" w:line="196" w:lineRule="exact"/>
              <w:rPr>
                <w:sz w:val="20"/>
                <w:szCs w:val="20"/>
                <w:color w:val="auto"/>
              </w:rPr>
            </w:pPr>
            <w:r>
              <w:rPr>
                <w:rFonts w:ascii="Arial" w:cs="Arial" w:eastAsia="Arial" w:hAnsi="Arial"/>
                <w:sz w:val="18"/>
                <w:szCs w:val="18"/>
                <w:color w:val="auto"/>
                <w:w w:val="97"/>
              </w:rPr>
              <w:t>Expenses, Indemnification, Etc</w:t>
            </w:r>
          </w:p>
        </w:tc>
        <w:tc>
          <w:tcPr>
            <w:tcW w:w="280" w:type="dxa"/>
            <w:vAlign w:val="bottom"/>
            <w:gridSpan w:val="2"/>
            <w:vMerge w:val="continue"/>
          </w:tcPr>
          <w:p>
            <w:pPr>
              <w:spacing w:after="0"/>
              <w:rPr>
                <w:sz w:val="17"/>
                <w:szCs w:val="17"/>
                <w:color w:val="auto"/>
              </w:rPr>
            </w:pPr>
          </w:p>
        </w:tc>
        <w:tc>
          <w:tcPr>
            <w:tcW w:w="4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13.04.</w:t>
            </w:r>
          </w:p>
        </w:tc>
        <w:tc>
          <w:tcPr>
            <w:tcW w:w="2020" w:type="dxa"/>
            <w:vAlign w:val="bottom"/>
            <w:gridSpan w:val="16"/>
          </w:tcPr>
          <w:p>
            <w:pPr>
              <w:ind w:left="80"/>
              <w:spacing w:after="0" w:line="196" w:lineRule="exact"/>
              <w:rPr>
                <w:sz w:val="20"/>
                <w:szCs w:val="20"/>
                <w:color w:val="auto"/>
              </w:rPr>
            </w:pPr>
            <w:r>
              <w:rPr>
                <w:rFonts w:ascii="Arial" w:cs="Arial" w:eastAsia="Arial" w:hAnsi="Arial"/>
                <w:sz w:val="18"/>
                <w:szCs w:val="18"/>
                <w:color w:val="auto"/>
                <w:w w:val="94"/>
              </w:rPr>
              <w:t>Amendments and Waiver</w:t>
            </w:r>
          </w:p>
        </w:tc>
        <w:tc>
          <w:tcPr>
            <w:tcW w:w="34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FF0000"/>
                <w:strike w:val="1"/>
              </w:rPr>
              <w:t>138</w:t>
            </w:r>
          </w:p>
        </w:tc>
        <w:tc>
          <w:tcPr>
            <w:tcW w:w="420" w:type="dxa"/>
            <w:vAlign w:val="bottom"/>
            <w:gridSpan w:val="4"/>
          </w:tcPr>
          <w:p>
            <w:pPr>
              <w:jc w:val="right"/>
              <w:ind w:right="160"/>
              <w:spacing w:after="0" w:line="196" w:lineRule="exact"/>
              <w:rPr>
                <w:sz w:val="20"/>
                <w:szCs w:val="20"/>
                <w:color w:val="auto"/>
              </w:rPr>
            </w:pPr>
            <w:r>
              <w:rPr>
                <w:rFonts w:ascii="Arial" w:cs="Arial" w:eastAsia="Arial" w:hAnsi="Arial"/>
                <w:sz w:val="18"/>
                <w:szCs w:val="18"/>
                <w:b w:val="1"/>
                <w:bCs w:val="1"/>
                <w:color w:val="0000FF"/>
                <w:w w:val="79"/>
              </w:rPr>
              <w:t>140</w:t>
            </w: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0000"/>
                <w:strike w:val="1"/>
                <w:w w:val="79"/>
              </w:rPr>
              <w:t>143</w:t>
            </w:r>
          </w:p>
        </w:tc>
        <w:tc>
          <w:tcPr>
            <w:tcW w:w="960" w:type="dxa"/>
            <w:vAlign w:val="bottom"/>
            <w:gridSpan w:val="5"/>
            <w:vMerge w:val="restart"/>
          </w:tcPr>
          <w:p>
            <w:pPr>
              <w:jc w:val="center"/>
              <w:ind w:right="590"/>
              <w:spacing w:after="0"/>
              <w:rPr>
                <w:sz w:val="20"/>
                <w:szCs w:val="20"/>
                <w:color w:val="auto"/>
              </w:rPr>
            </w:pPr>
            <w:r>
              <w:rPr>
                <w:rFonts w:ascii="Arial" w:cs="Arial" w:eastAsia="Arial" w:hAnsi="Arial"/>
                <w:sz w:val="18"/>
                <w:szCs w:val="18"/>
                <w:b w:val="1"/>
                <w:bCs w:val="1"/>
                <w:color w:val="0000FF"/>
                <w:w w:val="93"/>
              </w:rPr>
              <w:t>146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vMerge w:val="continue"/>
          </w:tcPr>
          <w:p>
            <w:pPr>
              <w:spacing w:after="0" w:line="20" w:lineRule="exact"/>
              <w:rPr>
                <w:sz w:val="1"/>
                <w:szCs w:val="1"/>
                <w:color w:val="auto"/>
              </w:rPr>
            </w:pPr>
          </w:p>
        </w:tc>
        <w:tc>
          <w:tcPr>
            <w:tcW w:w="9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13.05.</w:t>
            </w:r>
          </w:p>
        </w:tc>
        <w:tc>
          <w:tcPr>
            <w:tcW w:w="3940" w:type="dxa"/>
            <w:vAlign w:val="bottom"/>
            <w:gridSpan w:val="35"/>
          </w:tcPr>
          <w:p>
            <w:pPr>
              <w:ind w:left="80"/>
              <w:spacing w:after="0" w:line="196" w:lineRule="exact"/>
              <w:rPr>
                <w:sz w:val="20"/>
                <w:szCs w:val="20"/>
                <w:color w:val="auto"/>
              </w:rPr>
            </w:pPr>
            <w:r>
              <w:rPr>
                <w:rFonts w:ascii="Arial" w:cs="Arial" w:eastAsia="Arial" w:hAnsi="Arial"/>
                <w:sz w:val="18"/>
                <w:szCs w:val="18"/>
                <w:color w:val="auto"/>
                <w:w w:val="95"/>
              </w:rPr>
              <w:t>Benefit of Agreement; Assignments; Participations</w:t>
            </w:r>
          </w:p>
        </w:tc>
        <w:tc>
          <w:tcPr>
            <w:tcW w:w="260" w:type="dxa"/>
            <w:vAlign w:val="bottom"/>
            <w:gridSpan w:val="2"/>
            <w:vMerge w:val="continue"/>
          </w:tcPr>
          <w:p>
            <w:pPr>
              <w:spacing w:after="0"/>
              <w:rPr>
                <w:sz w:val="17"/>
                <w:szCs w:val="17"/>
                <w:color w:val="auto"/>
              </w:rPr>
            </w:pPr>
          </w:p>
        </w:tc>
        <w:tc>
          <w:tcPr>
            <w:tcW w:w="9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13.06.</w:t>
            </w:r>
          </w:p>
        </w:tc>
        <w:tc>
          <w:tcPr>
            <w:tcW w:w="720" w:type="dxa"/>
            <w:vAlign w:val="bottom"/>
          </w:tcPr>
          <w:p>
            <w:pPr>
              <w:ind w:left="80"/>
              <w:spacing w:after="0" w:line="196" w:lineRule="exact"/>
              <w:rPr>
                <w:sz w:val="20"/>
                <w:szCs w:val="20"/>
                <w:color w:val="auto"/>
              </w:rPr>
            </w:pPr>
            <w:r>
              <w:rPr>
                <w:rFonts w:ascii="Arial" w:cs="Arial" w:eastAsia="Arial" w:hAnsi="Arial"/>
                <w:sz w:val="18"/>
                <w:szCs w:val="18"/>
                <w:color w:val="auto"/>
                <w:w w:val="96"/>
              </w:rPr>
              <w:t>Survival</w:t>
            </w: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FF0000"/>
                <w:strike w:val="1"/>
              </w:rPr>
              <w:t>147</w:t>
            </w:r>
          </w:p>
        </w:tc>
        <w:tc>
          <w:tcPr>
            <w:tcW w:w="300" w:type="dxa"/>
            <w:vAlign w:val="bottom"/>
            <w:tcBorders>
              <w:bottom w:val="single" w:sz="8" w:color="0000FF"/>
            </w:tcBorders>
            <w:gridSpan w:val="5"/>
          </w:tcPr>
          <w:p>
            <w:pPr>
              <w:jc w:val="right"/>
              <w:spacing w:after="0" w:line="196" w:lineRule="exact"/>
              <w:rPr>
                <w:sz w:val="20"/>
                <w:szCs w:val="20"/>
                <w:color w:val="auto"/>
              </w:rPr>
            </w:pPr>
            <w:r>
              <w:rPr>
                <w:rFonts w:ascii="Arial" w:cs="Arial" w:eastAsia="Arial" w:hAnsi="Arial"/>
                <w:sz w:val="18"/>
                <w:szCs w:val="18"/>
                <w:b w:val="1"/>
                <w:bCs w:val="1"/>
                <w:color w:val="0000FF"/>
                <w:w w:val="93"/>
              </w:rPr>
              <w:t>149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13.07.</w:t>
            </w:r>
          </w:p>
        </w:tc>
        <w:tc>
          <w:tcPr>
            <w:tcW w:w="720" w:type="dxa"/>
            <w:vAlign w:val="bottom"/>
          </w:tcPr>
          <w:p>
            <w:pPr>
              <w:ind w:left="80"/>
              <w:spacing w:after="0" w:line="196" w:lineRule="exact"/>
              <w:rPr>
                <w:sz w:val="20"/>
                <w:szCs w:val="20"/>
                <w:color w:val="auto"/>
              </w:rPr>
            </w:pPr>
            <w:r>
              <w:rPr>
                <w:rFonts w:ascii="Arial" w:cs="Arial" w:eastAsia="Arial" w:hAnsi="Arial"/>
                <w:sz w:val="18"/>
                <w:szCs w:val="18"/>
                <w:color w:val="auto"/>
                <w:w w:val="87"/>
              </w:rPr>
              <w:t>Captions</w:t>
            </w: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FF0000"/>
                <w:strike w:val="1"/>
              </w:rPr>
              <w:t>147</w:t>
            </w:r>
          </w:p>
        </w:tc>
        <w:tc>
          <w:tcPr>
            <w:tcW w:w="340" w:type="dxa"/>
            <w:vAlign w:val="bottom"/>
            <w:tcBorders>
              <w:bottom w:val="single" w:sz="8" w:color="0000FF"/>
            </w:tcBorders>
            <w:gridSpan w:val="6"/>
          </w:tcPr>
          <w:p>
            <w:pPr>
              <w:jc w:val="right"/>
              <w:spacing w:after="0" w:line="196" w:lineRule="exact"/>
              <w:rPr>
                <w:sz w:val="20"/>
                <w:szCs w:val="20"/>
                <w:color w:val="auto"/>
              </w:rPr>
            </w:pPr>
            <w:r>
              <w:rPr>
                <w:rFonts w:ascii="Arial" w:cs="Arial" w:eastAsia="Arial" w:hAnsi="Arial"/>
                <w:sz w:val="18"/>
                <w:szCs w:val="18"/>
                <w:b w:val="1"/>
                <w:bCs w:val="1"/>
                <w:color w:val="0000FF"/>
              </w:rPr>
              <w:t>150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FF0000"/>
                <w:strike w:val="1"/>
                <w:w w:val="86"/>
              </w:rPr>
              <w:t>147</w:t>
            </w:r>
          </w:p>
        </w:tc>
        <w:tc>
          <w:tcPr>
            <w:tcW w:w="34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0000FF"/>
                <w:w w:val="79"/>
              </w:rPr>
              <w:t>150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13.08.</w:t>
            </w:r>
          </w:p>
        </w:tc>
        <w:tc>
          <w:tcPr>
            <w:tcW w:w="3200" w:type="dxa"/>
            <w:vAlign w:val="bottom"/>
            <w:gridSpan w:val="28"/>
          </w:tcPr>
          <w:p>
            <w:pPr>
              <w:ind w:left="80"/>
              <w:spacing w:after="0" w:line="196" w:lineRule="exact"/>
              <w:rPr>
                <w:sz w:val="20"/>
                <w:szCs w:val="20"/>
                <w:color w:val="auto"/>
              </w:rPr>
            </w:pPr>
            <w:r>
              <w:rPr>
                <w:rFonts w:ascii="Arial" w:cs="Arial" w:eastAsia="Arial" w:hAnsi="Arial"/>
                <w:sz w:val="18"/>
                <w:szCs w:val="18"/>
                <w:color w:val="auto"/>
                <w:w w:val="91"/>
              </w:rPr>
              <w:t>Counterparts; Interpretation; Effectiveness</w:t>
            </w:r>
          </w:p>
        </w:tc>
        <w:tc>
          <w:tcPr>
            <w:tcW w:w="120" w:type="dxa"/>
            <w:vAlign w:val="bottom"/>
          </w:tcPr>
          <w:p>
            <w:pPr>
              <w:spacing w:after="0"/>
              <w:rPr>
                <w:sz w:val="17"/>
                <w:szCs w:val="17"/>
                <w:color w:val="auto"/>
              </w:rPr>
            </w:pPr>
          </w:p>
        </w:tc>
        <w:tc>
          <w:tcPr>
            <w:tcW w:w="280" w:type="dxa"/>
            <w:vAlign w:val="bottom"/>
            <w:gridSpan w:val="3"/>
            <w:vMerge w:val="continue"/>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360" w:type="dxa"/>
            <w:vAlign w:val="bottom"/>
            <w:vMerge w:val="restart"/>
          </w:tcPr>
          <w:p>
            <w:pPr>
              <w:spacing w:after="0"/>
              <w:rPr>
                <w:sz w:val="20"/>
                <w:szCs w:val="20"/>
                <w:color w:val="auto"/>
              </w:rPr>
            </w:pPr>
            <w:r>
              <w:rPr>
                <w:rFonts w:ascii="Arial" w:cs="Arial" w:eastAsia="Arial" w:hAnsi="Arial"/>
                <w:sz w:val="18"/>
                <w:szCs w:val="18"/>
                <w:color w:val="auto"/>
                <w:w w:val="99"/>
              </w:rPr>
              <w:t>SECTION 13.10.</w:t>
            </w:r>
          </w:p>
        </w:tc>
        <w:tc>
          <w:tcPr>
            <w:tcW w:w="1280" w:type="dxa"/>
            <w:vAlign w:val="bottom"/>
            <w:gridSpan w:val="2"/>
            <w:vMerge w:val="restart"/>
          </w:tcPr>
          <w:p>
            <w:pPr>
              <w:ind w:left="80"/>
              <w:spacing w:after="0"/>
              <w:rPr>
                <w:sz w:val="20"/>
                <w:szCs w:val="20"/>
                <w:color w:val="auto"/>
              </w:rPr>
            </w:pPr>
            <w:r>
              <w:rPr>
                <w:rFonts w:ascii="Arial" w:cs="Arial" w:eastAsia="Arial" w:hAnsi="Arial"/>
                <w:sz w:val="18"/>
                <w:szCs w:val="18"/>
                <w:color w:val="auto"/>
              </w:rPr>
              <w:t>Confidentiality</w:t>
            </w:r>
          </w:p>
        </w:tc>
        <w:tc>
          <w:tcPr>
            <w:tcW w:w="38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FF0000"/>
                <w:strike w:val="1"/>
              </w:rPr>
              <w:t>149</w:t>
            </w:r>
          </w:p>
        </w:tc>
        <w:tc>
          <w:tcPr>
            <w:tcW w:w="280" w:type="dxa"/>
            <w:vAlign w:val="bottom"/>
            <w:gridSpan w:val="5"/>
            <w:vMerge w:val="restart"/>
          </w:tcPr>
          <w:p>
            <w:pPr>
              <w:jc w:val="right"/>
              <w:ind w:right="60"/>
              <w:spacing w:after="0"/>
              <w:rPr>
                <w:sz w:val="20"/>
                <w:szCs w:val="20"/>
                <w:color w:val="auto"/>
              </w:rPr>
            </w:pPr>
            <w:r>
              <w:rPr>
                <w:rFonts w:ascii="Arial" w:cs="Arial" w:eastAsia="Arial" w:hAnsi="Arial"/>
                <w:sz w:val="17"/>
                <w:szCs w:val="17"/>
                <w:b w:val="1"/>
                <w:bCs w:val="1"/>
                <w:color w:val="0000FF"/>
                <w:w w:val="70"/>
              </w:rPr>
              <w:t>151</w:t>
            </w:r>
          </w:p>
        </w:tc>
        <w:tc>
          <w:tcPr>
            <w:tcW w:w="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68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880" w:type="dxa"/>
            <w:vAlign w:val="bottom"/>
            <w:vMerge w:val="restart"/>
          </w:tcPr>
          <w:p>
            <w:pPr>
              <w:spacing w:after="0"/>
              <w:rPr>
                <w:sz w:val="2"/>
                <w:szCs w:val="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86"/>
              </w:rPr>
              <w:t>149</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79"/>
              </w:rPr>
              <w:t>152</w:t>
            </w:r>
          </w:p>
        </w:tc>
        <w:tc>
          <w:tcPr>
            <w:tcW w:w="0" w:type="dxa"/>
            <w:vAlign w:val="bottom"/>
          </w:tcPr>
          <w:p>
            <w:pPr>
              <w:spacing w:after="0" w:line="20" w:lineRule="exact"/>
              <w:rPr>
                <w:sz w:val="1"/>
                <w:szCs w:val="1"/>
                <w:color w:val="auto"/>
              </w:rPr>
            </w:pPr>
          </w:p>
        </w:tc>
      </w:tr>
      <w:tr>
        <w:trPr>
          <w:trHeight w:val="174"/>
        </w:trPr>
        <w:tc>
          <w:tcPr>
            <w:tcW w:w="136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80" w:type="dxa"/>
            <w:vAlign w:val="bottom"/>
            <w:gridSpan w:val="5"/>
            <w:vMerge w:val="continue"/>
          </w:tcPr>
          <w:p>
            <w:pPr>
              <w:spacing w:after="0"/>
              <w:rPr>
                <w:sz w:val="15"/>
                <w:szCs w:val="15"/>
                <w:color w:val="auto"/>
              </w:rPr>
            </w:pPr>
          </w:p>
        </w:tc>
        <w:tc>
          <w:tcPr>
            <w:tcW w:w="280" w:type="dxa"/>
            <w:vAlign w:val="bottom"/>
            <w:gridSpan w:val="5"/>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13.11.</w:t>
            </w:r>
          </w:p>
        </w:tc>
        <w:tc>
          <w:tcPr>
            <w:tcW w:w="4620" w:type="dxa"/>
            <w:vAlign w:val="bottom"/>
            <w:gridSpan w:val="21"/>
          </w:tcPr>
          <w:p>
            <w:pPr>
              <w:ind w:left="80"/>
              <w:spacing w:after="0" w:line="196" w:lineRule="exact"/>
              <w:rPr>
                <w:sz w:val="20"/>
                <w:szCs w:val="20"/>
                <w:color w:val="auto"/>
              </w:rPr>
            </w:pPr>
            <w:r>
              <w:rPr>
                <w:rFonts w:ascii="Arial" w:cs="Arial" w:eastAsia="Arial" w:hAnsi="Arial"/>
                <w:sz w:val="18"/>
                <w:szCs w:val="18"/>
                <w:color w:val="auto"/>
                <w:w w:val="91"/>
              </w:rPr>
              <w:t>Independence of Representations, Warranties and Covenants</w:t>
            </w:r>
          </w:p>
        </w:tc>
        <w:tc>
          <w:tcPr>
            <w:tcW w:w="280" w:type="dxa"/>
            <w:vAlign w:val="bottom"/>
            <w:vMerge w:val="continue"/>
          </w:tcPr>
          <w:p>
            <w:pPr>
              <w:spacing w:after="0"/>
              <w:rPr>
                <w:sz w:val="17"/>
                <w:szCs w:val="17"/>
                <w:color w:val="auto"/>
              </w:rPr>
            </w:pPr>
          </w:p>
        </w:tc>
        <w:tc>
          <w:tcPr>
            <w:tcW w:w="26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13.12.</w:t>
            </w:r>
          </w:p>
        </w:tc>
        <w:tc>
          <w:tcPr>
            <w:tcW w:w="1120" w:type="dxa"/>
            <w:vAlign w:val="bottom"/>
          </w:tcPr>
          <w:p>
            <w:pPr>
              <w:ind w:left="80"/>
              <w:spacing w:after="0" w:line="196" w:lineRule="exact"/>
              <w:rPr>
                <w:sz w:val="20"/>
                <w:szCs w:val="20"/>
                <w:color w:val="auto"/>
              </w:rPr>
            </w:pPr>
            <w:r>
              <w:rPr>
                <w:rFonts w:ascii="Arial" w:cs="Arial" w:eastAsia="Arial" w:hAnsi="Arial"/>
                <w:sz w:val="18"/>
                <w:szCs w:val="18"/>
                <w:color w:val="auto"/>
              </w:rPr>
              <w:t>Severability</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149</w:t>
            </w:r>
          </w:p>
        </w:tc>
        <w:tc>
          <w:tcPr>
            <w:tcW w:w="26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0000FF"/>
                <w:w w:val="79"/>
              </w:rPr>
              <w:t>152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13.13.</w:t>
            </w:r>
          </w:p>
        </w:tc>
        <w:tc>
          <w:tcPr>
            <w:tcW w:w="128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Gaming Laws</w:t>
            </w:r>
          </w:p>
        </w:tc>
        <w:tc>
          <w:tcPr>
            <w:tcW w:w="260" w:type="dxa"/>
            <w:vAlign w:val="bottom"/>
            <w:gridSpan w:val="3"/>
          </w:tcPr>
          <w:p>
            <w:pPr>
              <w:spacing w:after="0" w:line="196" w:lineRule="exact"/>
              <w:rPr>
                <w:sz w:val="20"/>
                <w:szCs w:val="20"/>
                <w:color w:val="auto"/>
              </w:rPr>
            </w:pPr>
            <w:r>
              <w:rPr>
                <w:rFonts w:ascii="Arial" w:cs="Arial" w:eastAsia="Arial" w:hAnsi="Arial"/>
                <w:sz w:val="18"/>
                <w:szCs w:val="18"/>
                <w:b w:val="1"/>
                <w:bCs w:val="1"/>
                <w:color w:val="FF0000"/>
                <w:strike w:val="1"/>
                <w:w w:val="79"/>
              </w:rPr>
              <w:t>149</w:t>
            </w:r>
          </w:p>
        </w:tc>
        <w:tc>
          <w:tcPr>
            <w:tcW w:w="280" w:type="dxa"/>
            <w:vAlign w:val="bottom"/>
            <w:tcBorders>
              <w:bottom w:val="single" w:sz="8" w:color="0000FF"/>
            </w:tcBorders>
            <w:gridSpan w:val="5"/>
          </w:tcPr>
          <w:p>
            <w:pPr>
              <w:jc w:val="right"/>
              <w:spacing w:after="0" w:line="196" w:lineRule="exact"/>
              <w:rPr>
                <w:sz w:val="20"/>
                <w:szCs w:val="20"/>
                <w:color w:val="auto"/>
              </w:rPr>
            </w:pPr>
            <w:r>
              <w:rPr>
                <w:rFonts w:ascii="Arial" w:cs="Arial" w:eastAsia="Arial" w:hAnsi="Arial"/>
                <w:sz w:val="18"/>
                <w:szCs w:val="18"/>
                <w:b w:val="1"/>
                <w:bCs w:val="1"/>
                <w:color w:val="0000FF"/>
                <w:w w:val="86"/>
              </w:rPr>
              <w:t>152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13.14.</w:t>
            </w:r>
          </w:p>
        </w:tc>
        <w:tc>
          <w:tcPr>
            <w:tcW w:w="1280" w:type="dxa"/>
            <w:vAlign w:val="bottom"/>
            <w:gridSpan w:val="2"/>
          </w:tcPr>
          <w:p>
            <w:pPr>
              <w:ind w:left="80"/>
              <w:spacing w:after="0" w:line="196" w:lineRule="exact"/>
              <w:rPr>
                <w:sz w:val="20"/>
                <w:szCs w:val="20"/>
                <w:color w:val="auto"/>
              </w:rPr>
            </w:pPr>
            <w:r>
              <w:rPr>
                <w:rFonts w:ascii="Arial" w:cs="Arial" w:eastAsia="Arial" w:hAnsi="Arial"/>
                <w:sz w:val="18"/>
                <w:szCs w:val="18"/>
                <w:color w:val="auto"/>
                <w:w w:val="94"/>
              </w:rPr>
              <w:t>USA Patriot Act</w:t>
            </w:r>
          </w:p>
        </w:tc>
        <w:tc>
          <w:tcPr>
            <w:tcW w:w="120" w:type="dxa"/>
            <w:vAlign w:val="bottom"/>
          </w:tcPr>
          <w:p>
            <w:pPr>
              <w:spacing w:after="0"/>
              <w:rPr>
                <w:sz w:val="17"/>
                <w:szCs w:val="17"/>
                <w:color w:val="auto"/>
              </w:rPr>
            </w:pPr>
          </w:p>
        </w:tc>
        <w:tc>
          <w:tcPr>
            <w:tcW w:w="32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FF0000"/>
                <w:strike w:val="1"/>
                <w:w w:val="99"/>
              </w:rPr>
              <w:t>150</w:t>
            </w:r>
          </w:p>
        </w:tc>
        <w:tc>
          <w:tcPr>
            <w:tcW w:w="34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0000FF"/>
                <w:w w:val="79"/>
              </w:rPr>
              <w:t>153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13.15.</w:t>
            </w:r>
          </w:p>
        </w:tc>
        <w:tc>
          <w:tcPr>
            <w:tcW w:w="1520" w:type="dxa"/>
            <w:vAlign w:val="bottom"/>
            <w:gridSpan w:val="4"/>
          </w:tcPr>
          <w:p>
            <w:pPr>
              <w:ind w:left="80"/>
              <w:spacing w:after="0" w:line="196" w:lineRule="exact"/>
              <w:rPr>
                <w:sz w:val="20"/>
                <w:szCs w:val="20"/>
                <w:color w:val="auto"/>
              </w:rPr>
            </w:pPr>
            <w:r>
              <w:rPr>
                <w:rFonts w:ascii="Arial" w:cs="Arial" w:eastAsia="Arial" w:hAnsi="Arial"/>
                <w:sz w:val="18"/>
                <w:szCs w:val="18"/>
                <w:color w:val="auto"/>
                <w:w w:val="90"/>
              </w:rPr>
              <w:t>Judgment Currency</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150</w:t>
            </w:r>
          </w:p>
        </w:tc>
        <w:tc>
          <w:tcPr>
            <w:tcW w:w="280" w:type="dxa"/>
            <w:vAlign w:val="bottom"/>
            <w:tcBorders>
              <w:bottom w:val="single" w:sz="8" w:color="0000FF"/>
            </w:tcBorders>
            <w:gridSpan w:val="3"/>
          </w:tcPr>
          <w:p>
            <w:pPr>
              <w:jc w:val="right"/>
              <w:spacing w:after="0" w:line="196" w:lineRule="exact"/>
              <w:rPr>
                <w:sz w:val="20"/>
                <w:szCs w:val="20"/>
                <w:color w:val="auto"/>
              </w:rPr>
            </w:pPr>
            <w:r>
              <w:rPr>
                <w:rFonts w:ascii="Arial" w:cs="Arial" w:eastAsia="Arial" w:hAnsi="Arial"/>
                <w:sz w:val="18"/>
                <w:szCs w:val="18"/>
                <w:b w:val="1"/>
                <w:bCs w:val="1"/>
                <w:color w:val="0000FF"/>
                <w:w w:val="86"/>
              </w:rPr>
              <w:t>153</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13.16.</w:t>
            </w:r>
          </w:p>
        </w:tc>
        <w:tc>
          <w:tcPr>
            <w:tcW w:w="1520" w:type="dxa"/>
            <w:vAlign w:val="bottom"/>
            <w:gridSpan w:val="4"/>
          </w:tcPr>
          <w:p>
            <w:pPr>
              <w:ind w:left="80"/>
              <w:spacing w:after="0" w:line="196" w:lineRule="exact"/>
              <w:rPr>
                <w:sz w:val="20"/>
                <w:szCs w:val="20"/>
                <w:color w:val="auto"/>
              </w:rPr>
            </w:pPr>
            <w:r>
              <w:rPr>
                <w:rFonts w:ascii="Arial" w:cs="Arial" w:eastAsia="Arial" w:hAnsi="Arial"/>
                <w:sz w:val="18"/>
                <w:szCs w:val="18"/>
                <w:color w:val="auto"/>
              </w:rPr>
              <w:t>Waiver of Claims</w:t>
            </w:r>
          </w:p>
        </w:tc>
        <w:tc>
          <w:tcPr>
            <w:tcW w:w="28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FF0000"/>
                <w:strike w:val="1"/>
                <w:w w:val="86"/>
              </w:rPr>
              <w:t>151</w:t>
            </w:r>
          </w:p>
        </w:tc>
        <w:tc>
          <w:tcPr>
            <w:tcW w:w="420" w:type="dxa"/>
            <w:vAlign w:val="bottom"/>
            <w:gridSpan w:val="6"/>
          </w:tcPr>
          <w:p>
            <w:pPr>
              <w:jc w:val="right"/>
              <w:ind w:right="160"/>
              <w:spacing w:after="0" w:line="196" w:lineRule="exact"/>
              <w:rPr>
                <w:sz w:val="20"/>
                <w:szCs w:val="20"/>
                <w:color w:val="auto"/>
              </w:rPr>
            </w:pPr>
            <w:r>
              <w:rPr>
                <w:rFonts w:ascii="Arial" w:cs="Arial" w:eastAsia="Arial" w:hAnsi="Arial"/>
                <w:sz w:val="18"/>
                <w:szCs w:val="18"/>
                <w:b w:val="1"/>
                <w:bCs w:val="1"/>
                <w:color w:val="0000FF"/>
                <w:w w:val="79"/>
              </w:rPr>
              <w:t>153</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FF0000"/>
                <w:strike w:val="1"/>
                <w:w w:val="86"/>
              </w:rPr>
              <w:t>151</w:t>
            </w:r>
          </w:p>
        </w:tc>
        <w:tc>
          <w:tcPr>
            <w:tcW w:w="1680" w:type="dxa"/>
            <w:vAlign w:val="bottom"/>
            <w:gridSpan w:val="4"/>
            <w:vMerge w:val="restart"/>
          </w:tcPr>
          <w:p>
            <w:pPr>
              <w:jc w:val="right"/>
              <w:ind w:right="1330"/>
              <w:spacing w:after="0"/>
              <w:rPr>
                <w:sz w:val="20"/>
                <w:szCs w:val="20"/>
                <w:color w:val="auto"/>
              </w:rPr>
            </w:pPr>
            <w:r>
              <w:rPr>
                <w:rFonts w:ascii="Arial" w:cs="Arial" w:eastAsia="Arial" w:hAnsi="Arial"/>
                <w:sz w:val="18"/>
                <w:szCs w:val="18"/>
                <w:b w:val="1"/>
                <w:bCs w:val="1"/>
                <w:color w:val="0000FF"/>
                <w:w w:val="79"/>
              </w:rPr>
              <w:t>153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6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13.17.</w:t>
            </w:r>
          </w:p>
        </w:tc>
        <w:tc>
          <w:tcPr>
            <w:tcW w:w="3200" w:type="dxa"/>
            <w:vAlign w:val="bottom"/>
            <w:gridSpan w:val="18"/>
          </w:tcPr>
          <w:p>
            <w:pPr>
              <w:ind w:left="80"/>
              <w:spacing w:after="0" w:line="196" w:lineRule="exact"/>
              <w:rPr>
                <w:sz w:val="20"/>
                <w:szCs w:val="20"/>
                <w:color w:val="auto"/>
              </w:rPr>
            </w:pPr>
            <w:r>
              <w:rPr>
                <w:rFonts w:ascii="Arial" w:cs="Arial" w:eastAsia="Arial" w:hAnsi="Arial"/>
                <w:sz w:val="18"/>
                <w:szCs w:val="18"/>
                <w:color w:val="auto"/>
                <w:w w:val="99"/>
              </w:rPr>
              <w:t>No Advisory or Fiduciary Responsibility</w:t>
            </w:r>
          </w:p>
        </w:tc>
        <w:tc>
          <w:tcPr>
            <w:tcW w:w="280" w:type="dxa"/>
            <w:vAlign w:val="bottom"/>
            <w:vMerge w:val="continue"/>
          </w:tcPr>
          <w:p>
            <w:pPr>
              <w:spacing w:after="0"/>
              <w:rPr>
                <w:sz w:val="17"/>
                <w:szCs w:val="17"/>
                <w:color w:val="auto"/>
              </w:rPr>
            </w:pPr>
          </w:p>
        </w:tc>
        <w:tc>
          <w:tcPr>
            <w:tcW w:w="16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13.18.</w:t>
            </w:r>
          </w:p>
        </w:tc>
        <w:tc>
          <w:tcPr>
            <w:tcW w:w="128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Lender Action</w:t>
            </w:r>
          </w:p>
        </w:tc>
        <w:tc>
          <w:tcPr>
            <w:tcW w:w="30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FF0000"/>
                <w:strike w:val="1"/>
                <w:w w:val="86"/>
              </w:rPr>
              <w:t>152</w:t>
            </w:r>
          </w:p>
        </w:tc>
        <w:tc>
          <w:tcPr>
            <w:tcW w:w="2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0000FF"/>
                <w:w w:val="79"/>
              </w:rPr>
              <w:t>154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FF0000"/>
                <w:strike w:val="1"/>
                <w:w w:val="79"/>
              </w:rPr>
              <w:t>152</w:t>
            </w:r>
          </w:p>
        </w:tc>
        <w:tc>
          <w:tcPr>
            <w:tcW w:w="1240" w:type="dxa"/>
            <w:vAlign w:val="bottom"/>
            <w:gridSpan w:val="3"/>
            <w:vMerge w:val="restart"/>
          </w:tcPr>
          <w:p>
            <w:pPr>
              <w:jc w:val="right"/>
              <w:ind w:right="870"/>
              <w:spacing w:after="0"/>
              <w:rPr>
                <w:sz w:val="20"/>
                <w:szCs w:val="20"/>
                <w:color w:val="auto"/>
              </w:rPr>
            </w:pPr>
            <w:r>
              <w:rPr>
                <w:rFonts w:ascii="Arial" w:cs="Arial" w:eastAsia="Arial" w:hAnsi="Arial"/>
                <w:sz w:val="18"/>
                <w:szCs w:val="18"/>
                <w:b w:val="1"/>
                <w:bCs w:val="1"/>
                <w:color w:val="0000FF"/>
                <w:w w:val="86"/>
              </w:rPr>
              <w:t>154</w:t>
            </w:r>
          </w:p>
        </w:tc>
        <w:tc>
          <w:tcPr>
            <w:tcW w:w="260" w:type="dxa"/>
            <w:vAlign w:val="bottom"/>
            <w:tcBorders>
              <w:top w:val="single" w:sz="8" w:color="0000FF"/>
            </w:tcBorders>
            <w:vMerge w:val="restart"/>
          </w:tcPr>
          <w:p>
            <w:pPr>
              <w:spacing w:after="0"/>
              <w:rPr>
                <w:sz w:val="17"/>
                <w:szCs w:val="17"/>
                <w:color w:val="auto"/>
              </w:rPr>
            </w:pPr>
          </w:p>
        </w:tc>
        <w:tc>
          <w:tcPr>
            <w:tcW w:w="1420" w:type="dxa"/>
            <w:vAlign w:val="bottom"/>
            <w:gridSpan w:val="3"/>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4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13.19.</w:t>
            </w:r>
          </w:p>
        </w:tc>
        <w:tc>
          <w:tcPr>
            <w:tcW w:w="1980" w:type="dxa"/>
            <w:vAlign w:val="bottom"/>
            <w:gridSpan w:val="13"/>
          </w:tcPr>
          <w:p>
            <w:pPr>
              <w:ind w:left="80"/>
              <w:spacing w:after="0" w:line="196" w:lineRule="exact"/>
              <w:rPr>
                <w:sz w:val="20"/>
                <w:szCs w:val="20"/>
                <w:color w:val="auto"/>
              </w:rPr>
            </w:pPr>
            <w:r>
              <w:rPr>
                <w:rFonts w:ascii="Arial" w:cs="Arial" w:eastAsia="Arial" w:hAnsi="Arial"/>
                <w:sz w:val="18"/>
                <w:szCs w:val="18"/>
                <w:color w:val="auto"/>
              </w:rPr>
              <w:t>Interest Rate Limitation</w:t>
            </w:r>
          </w:p>
        </w:tc>
        <w:tc>
          <w:tcPr>
            <w:tcW w:w="260" w:type="dxa"/>
            <w:vAlign w:val="bottom"/>
            <w:gridSpan w:val="3"/>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9"/>
              </w:rPr>
              <w:t>SECTION 13.20.</w:t>
            </w:r>
          </w:p>
        </w:tc>
        <w:tc>
          <w:tcPr>
            <w:tcW w:w="1520" w:type="dxa"/>
            <w:vAlign w:val="bottom"/>
            <w:gridSpan w:val="4"/>
          </w:tcPr>
          <w:p>
            <w:pPr>
              <w:ind w:left="80"/>
              <w:spacing w:after="0" w:line="196" w:lineRule="exact"/>
              <w:rPr>
                <w:sz w:val="20"/>
                <w:szCs w:val="20"/>
                <w:color w:val="auto"/>
              </w:rPr>
            </w:pPr>
            <w:r>
              <w:rPr>
                <w:rFonts w:ascii="Arial" w:cs="Arial" w:eastAsia="Arial" w:hAnsi="Arial"/>
                <w:sz w:val="18"/>
                <w:szCs w:val="18"/>
                <w:color w:val="auto"/>
                <w:w w:val="87"/>
              </w:rPr>
              <w:t>Payments Set Aside</w:t>
            </w:r>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32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FF0000"/>
                <w:strike w:val="1"/>
                <w:w w:val="93"/>
              </w:rPr>
              <w:t>152</w:t>
            </w:r>
          </w:p>
        </w:tc>
        <w:tc>
          <w:tcPr>
            <w:tcW w:w="260" w:type="dxa"/>
            <w:vAlign w:val="bottom"/>
            <w:tcBorders>
              <w:bottom w:val="single" w:sz="8" w:color="0000FF"/>
            </w:tcBorders>
            <w:gridSpan w:val="3"/>
          </w:tcPr>
          <w:p>
            <w:pPr>
              <w:jc w:val="right"/>
              <w:spacing w:after="0" w:line="196" w:lineRule="exact"/>
              <w:rPr>
                <w:sz w:val="20"/>
                <w:szCs w:val="20"/>
                <w:color w:val="auto"/>
              </w:rPr>
            </w:pPr>
            <w:r>
              <w:rPr>
                <w:rFonts w:ascii="Arial" w:cs="Arial" w:eastAsia="Arial" w:hAnsi="Arial"/>
                <w:sz w:val="18"/>
                <w:szCs w:val="18"/>
                <w:b w:val="1"/>
                <w:bCs w:val="1"/>
                <w:color w:val="0000FF"/>
                <w:w w:val="79"/>
              </w:rPr>
              <w:t>155</w:t>
            </w:r>
          </w:p>
        </w:tc>
        <w:tc>
          <w:tcPr>
            <w:tcW w:w="28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auto"/>
        </w:rPr>
        <w:t>ANNEXES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ANNEX A</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ANNEX A</w:t>
      </w:r>
      <w:r>
        <w:rPr>
          <w:rFonts w:ascii="MS PGothic" w:cs="MS PGothic" w:eastAsia="MS PGothic" w:hAnsi="MS PGothic"/>
          <w:sz w:val="18"/>
          <w:szCs w:val="18"/>
          <w:color w:val="auto"/>
        </w:rPr>
        <w:t>‑</w:t>
      </w:r>
      <w:r>
        <w:rPr>
          <w:rFonts w:ascii="Arial" w:cs="Arial" w:eastAsia="Arial" w:hAnsi="Arial"/>
          <w:sz w:val="18"/>
          <w:szCs w:val="18"/>
          <w:color w:val="auto"/>
        </w:rPr>
        <w:t>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ANNEX A-3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ANNEX A-4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ANNEX B</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SCHEDULE 1.01(a) SCHEDULE 1.01(b) SCHEDULE 2.03 SCHEDULE 7.01 SCHEDULE 7.01(j) SCHEDULE 8.03 SCHEDULE 8.07 SCHEDULE 8.08 SCHEDULE 8.10 SCHEDULE 8.12(a) SCHEDULE 8.12(b) SCHEDULE 8.12(c) SCHEDULE 8.13 SCHEDULE 8.15 SCHEDULE 8.18 SCHEDULE 8.19 SCHEDULE 8.21(a) SCHEDULE 8.21(b) SCHEDULE 9.12 SCHEDULE 10.01 SCHEDULE 10.02 SCHEDULE 10.04 SCHEDULE 10.07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EXHIBIT A</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EXHIBIT A</w:t>
      </w:r>
      <w:r>
        <w:rPr>
          <w:rFonts w:ascii="MS PGothic" w:cs="MS PGothic" w:eastAsia="MS PGothic" w:hAnsi="MS PGothic"/>
          <w:sz w:val="18"/>
          <w:szCs w:val="18"/>
          <w:color w:val="auto"/>
        </w:rPr>
        <w:t>‑</w:t>
      </w:r>
      <w:r>
        <w:rPr>
          <w:rFonts w:ascii="Arial" w:cs="Arial" w:eastAsia="Arial" w:hAnsi="Arial"/>
          <w:sz w:val="18"/>
          <w:szCs w:val="18"/>
          <w:color w:val="auto"/>
        </w:rPr>
        <w:t>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EXHIBIT A-3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Revolving Commitments</w:t>
      </w:r>
    </w:p>
    <w:p>
      <w:pPr>
        <w:spacing w:after="0" w:line="23" w:lineRule="exact"/>
        <w:rPr>
          <w:rFonts w:ascii="Arial" w:cs="Arial" w:eastAsia="Arial" w:hAnsi="Arial"/>
          <w:sz w:val="18"/>
          <w:szCs w:val="18"/>
          <w:color w:val="auto"/>
        </w:rPr>
      </w:pPr>
    </w:p>
    <w:p>
      <w:pPr>
        <w:ind w:left="227" w:hanging="227"/>
        <w:spacing w:after="0"/>
        <w:tabs>
          <w:tab w:leader="none" w:pos="2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 Facility Commitments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L/C Sublimit</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Term Facility II Commitments</w:t>
      </w:r>
    </w:p>
    <w:p>
      <w:pPr>
        <w:spacing w:after="0" w:line="9" w:lineRule="exact"/>
        <w:rPr>
          <w:rFonts w:ascii="Arial" w:cs="Arial" w:eastAsia="Arial" w:hAnsi="Arial"/>
          <w:sz w:val="18"/>
          <w:szCs w:val="18"/>
          <w:b w:val="1"/>
          <w:bCs w:val="1"/>
          <w:u w:val="single" w:color="auto"/>
          <w:color w:val="0000FF"/>
        </w:rPr>
      </w:pPr>
    </w:p>
    <w:p>
      <w:pPr>
        <w:ind w:left="227" w:hanging="227"/>
        <w:spacing w:after="0"/>
        <w:tabs>
          <w:tab w:leader="none" w:pos="2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Amortization Payments – Term Facility Loans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Guarantors</w:t>
      </w:r>
    </w:p>
    <w:p>
      <w:pPr>
        <w:spacing w:after="0" w:line="23"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Excluded Subsidiaries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Specified Letters of Credit</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Jurisdictions of Local Counsel Opinions</w:t>
      </w:r>
    </w:p>
    <w:p>
      <w:pPr>
        <w:spacing w:after="0" w:line="9" w:lineRule="exact"/>
        <w:rPr>
          <w:rFonts w:ascii="Arial" w:cs="Arial" w:eastAsia="Arial" w:hAnsi="Arial"/>
          <w:sz w:val="18"/>
          <w:szCs w:val="18"/>
          <w:color w:val="auto"/>
        </w:rPr>
      </w:pPr>
    </w:p>
    <w:p>
      <w:pPr>
        <w:ind w:left="227" w:hanging="227"/>
        <w:spacing w:after="0"/>
        <w:tabs>
          <w:tab w:leader="none" w:pos="2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Approvals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ERISA</w:t>
      </w:r>
    </w:p>
    <w:p>
      <w:pPr>
        <w:spacing w:after="0" w:line="9" w:lineRule="exact"/>
        <w:rPr>
          <w:rFonts w:ascii="Arial" w:cs="Arial" w:eastAsia="Arial" w:hAnsi="Arial"/>
          <w:sz w:val="18"/>
          <w:szCs w:val="18"/>
          <w:color w:val="auto"/>
        </w:rPr>
      </w:pPr>
    </w:p>
    <w:p>
      <w:pPr>
        <w:ind w:left="227" w:hanging="227"/>
        <w:spacing w:after="0"/>
        <w:tabs>
          <w:tab w:leader="none" w:pos="2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Taxes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Immaterial Subsidiaries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Unrestricted Subsidiaries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Ownership</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Licenses and Permits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Regulation H</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Real Property</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Real Property Takings, etc.</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Designated Unrestricted Subsidiaries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Existing Indebtedness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Existing Liens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9" w:lineRule="exact"/>
        <w:rPr>
          <w:rFonts w:ascii="Arial" w:cs="Arial" w:eastAsia="Arial" w:hAnsi="Arial"/>
          <w:sz w:val="18"/>
          <w:szCs w:val="18"/>
          <w:color w:val="auto"/>
        </w:rPr>
      </w:pPr>
    </w:p>
    <w:p>
      <w:pPr>
        <w:ind w:left="227" w:hanging="227"/>
        <w:spacing w:after="0"/>
        <w:tabs>
          <w:tab w:leader="none" w:pos="2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Revolving Note</w:t>
      </w:r>
    </w:p>
    <w:p>
      <w:pPr>
        <w:spacing w:after="0" w:line="23"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Term Facility Note</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Form of Term Facility II Note</w:t>
      </w:r>
    </w:p>
    <w:p>
      <w:pPr>
        <w:spacing w:after="0" w:line="9" w:lineRule="exact"/>
        <w:rPr>
          <w:rFonts w:ascii="Arial" w:cs="Arial" w:eastAsia="Arial" w:hAnsi="Arial"/>
          <w:sz w:val="18"/>
          <w:szCs w:val="18"/>
          <w:b w:val="1"/>
          <w:bCs w:val="1"/>
          <w:u w:val="single" w:color="auto"/>
          <w:color w:val="0000FF"/>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Notice of Borrowing</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Notice of Continuation/Conversion</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Forms of U.S. Tax Compliance Certificate</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Completion Guaranty</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Solvency Certificate</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Security Agreement</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Mortgage</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Form of Assignment and Assumption Agreement</w:t>
      </w:r>
    </w:p>
    <w:p>
      <w:pPr>
        <w:spacing w:after="0" w:line="32" w:lineRule="exact"/>
        <w:rPr>
          <w:rFonts w:ascii="Arial" w:cs="Arial" w:eastAsia="Arial" w:hAnsi="Arial"/>
          <w:sz w:val="16"/>
          <w:szCs w:val="16"/>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Letter of Credit Request</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Joinder Agreement</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Perfection Certificate</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Auction Procedures</w:t>
      </w:r>
    </w:p>
    <w:p>
      <w:pPr>
        <w:spacing w:after="0" w:line="200" w:lineRule="exact"/>
        <w:rPr>
          <w:sz w:val="20"/>
          <w:szCs w:val="20"/>
          <w:color w:val="auto"/>
        </w:rPr>
      </w:pPr>
    </w:p>
    <w:p>
      <w:pPr>
        <w:spacing w:after="0" w:line="254" w:lineRule="exact"/>
        <w:rPr>
          <w:sz w:val="20"/>
          <w:szCs w:val="20"/>
          <w:color w:val="auto"/>
        </w:rPr>
      </w:pPr>
    </w:p>
    <w:p>
      <w:pPr>
        <w:jc w:val="center"/>
        <w:ind w:right="752"/>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-1247140</wp:posOffset>
            </wp:positionH>
            <wp:positionV relativeFrom="paragraph">
              <wp:posOffset>328295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-1247140</wp:posOffset>
            </wp:positionH>
            <wp:positionV relativeFrom="paragraph">
              <wp:posOffset>585470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-1247140</wp:posOffset>
            </wp:positionH>
            <wp:positionV relativeFrom="paragraph">
              <wp:posOffset>842645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1520" w:space="433"/>
            <w:col w:w="8266"/>
          </w:cols>
          <w:pgMar w:left="240" w:top="580" w:right="1440"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EXHIBIT 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T</w:t>
      </w:r>
    </w:p>
    <w:p>
      <w:pPr>
        <w:spacing w:after="0" w:line="20" w:lineRule="exact"/>
        <w:rPr>
          <w:sz w:val="20"/>
          <w:szCs w:val="20"/>
          <w:color w:val="auto"/>
        </w:rPr>
      </w:pPr>
      <w:r>
        <w:rPr>
          <w:sz w:val="20"/>
          <w:szCs w:val="20"/>
          <w:color w:val="auto"/>
        </w:rPr>
        <w:br w:type="column"/>
      </w:r>
    </w:p>
    <w:p>
      <w:pPr>
        <w:ind w:right="3479"/>
        <w:spacing w:after="0" w:line="256" w:lineRule="auto"/>
        <w:rPr>
          <w:sz w:val="20"/>
          <w:szCs w:val="20"/>
          <w:color w:val="auto"/>
        </w:rPr>
      </w:pPr>
      <w:r>
        <w:rPr>
          <w:rFonts w:ascii="Arial" w:cs="Arial" w:eastAsia="Arial" w:hAnsi="Arial"/>
          <w:sz w:val="18"/>
          <w:szCs w:val="18"/>
          <w:color w:val="auto"/>
        </w:rPr>
        <w:t xml:space="preserve">- Form of Open Market Assignment and Assumption Agreement - Form of Term Loan Extension Amendment - Form of Revolving Extension Amendment - Form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 - Form of Second Lien Intercreditor Agreement - Form of Subordination Agreement</w:t>
      </w:r>
    </w:p>
    <w:p>
      <w:pPr>
        <w:spacing w:after="0" w:line="397" w:lineRule="exact"/>
        <w:rPr>
          <w:sz w:val="20"/>
          <w:szCs w:val="20"/>
          <w:color w:val="auto"/>
        </w:rPr>
      </w:pPr>
    </w:p>
    <w:p>
      <w:pPr>
        <w:sectPr>
          <w:pgSz w:w="11900" w:h="16838" w:orient="portrait"/>
          <w:cols w:equalWidth="0" w:num="2">
            <w:col w:w="1240" w:space="720"/>
            <w:col w:w="8259"/>
          </w:cols>
          <w:pgMar w:left="240" w:top="5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328295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585470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842645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type w:val="continuous"/>
        </w:sectPr>
      </w:pPr>
    </w:p>
    <w:bookmarkStart w:id="84" w:name="page85"/>
    <w:bookmarkEnd w:id="84"/>
    <w:p>
      <w:pPr>
        <w:jc w:val="both"/>
        <w:ind w:firstLine="648"/>
        <w:spacing w:after="0" w:line="258" w:lineRule="auto"/>
        <w:rPr>
          <w:sz w:val="20"/>
          <w:szCs w:val="20"/>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dated as of November 20, 2014 (this “</w:t>
      </w:r>
      <w:r>
        <w:rPr>
          <w:rFonts w:ascii="Arial" w:cs="Arial" w:eastAsia="Arial" w:hAnsi="Arial"/>
          <w:sz w:val="18"/>
          <w:szCs w:val="18"/>
          <w:b w:val="1"/>
          <w:bCs w:val="1"/>
          <w:color w:val="auto"/>
        </w:rPr>
        <w:t>Agreement</w:t>
      </w:r>
      <w:r>
        <w:rPr>
          <w:rFonts w:ascii="Arial" w:cs="Arial" w:eastAsia="Arial" w:hAnsi="Arial"/>
          <w:sz w:val="18"/>
          <w:szCs w:val="18"/>
          <w:color w:val="auto"/>
        </w:rPr>
        <w:t>”, among</w:t>
      </w:r>
      <w:r>
        <w:rPr>
          <w:rFonts w:ascii="Arial" w:cs="Arial" w:eastAsia="Arial" w:hAnsi="Arial"/>
          <w:sz w:val="18"/>
          <w:szCs w:val="18"/>
          <w:b w:val="1"/>
          <w:bCs w:val="1"/>
          <w:color w:val="auto"/>
        </w:rPr>
        <w:t xml:space="preserve"> WYNN AMERICA, LLC</w:t>
      </w:r>
      <w:r>
        <w:rPr>
          <w:rFonts w:ascii="Arial" w:cs="Arial" w:eastAsia="Arial" w:hAnsi="Arial"/>
          <w:sz w:val="18"/>
          <w:szCs w:val="18"/>
          <w:color w:val="auto"/>
        </w:rPr>
        <w:t>, a Nevada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the </w:t>
      </w:r>
      <w:r>
        <w:rPr>
          <w:rFonts w:ascii="Arial" w:cs="Arial" w:eastAsia="Arial" w:hAnsi="Arial"/>
          <w:sz w:val="18"/>
          <w:szCs w:val="18"/>
          <w:b w:val="1"/>
          <w:bCs w:val="1"/>
          <w:color w:val="auto"/>
        </w:rPr>
        <w:t>SUBSIDIARY GUARANTORS</w:t>
      </w:r>
      <w:r>
        <w:rPr>
          <w:rFonts w:ascii="Arial" w:cs="Arial" w:eastAsia="Arial" w:hAnsi="Arial"/>
          <w:sz w:val="18"/>
          <w:szCs w:val="18"/>
          <w:color w:val="auto"/>
        </w:rPr>
        <w:t xml:space="preserve"> party hereto from time to time; 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from time to time party hereto; the </w:t>
      </w:r>
      <w:r>
        <w:rPr>
          <w:rFonts w:ascii="Arial" w:cs="Arial" w:eastAsia="Arial" w:hAnsi="Arial"/>
          <w:sz w:val="18"/>
          <w:szCs w:val="18"/>
          <w:b w:val="1"/>
          <w:bCs w:val="1"/>
          <w:color w:val="auto"/>
        </w:rPr>
        <w:t>L/C</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LENDERS </w:t>
      </w:r>
      <w:r>
        <w:rPr>
          <w:rFonts w:ascii="Arial" w:cs="Arial" w:eastAsia="Arial" w:hAnsi="Arial"/>
          <w:sz w:val="18"/>
          <w:szCs w:val="18"/>
          <w:color w:val="auto"/>
        </w:rPr>
        <w:t>party hereto;</w:t>
      </w:r>
      <w:r>
        <w:rPr>
          <w:rFonts w:ascii="Arial" w:cs="Arial" w:eastAsia="Arial" w:hAnsi="Arial"/>
          <w:sz w:val="18"/>
          <w:szCs w:val="18"/>
          <w:b w:val="1"/>
          <w:bCs w:val="1"/>
          <w:color w:val="auto"/>
        </w:rPr>
        <w:t xml:space="preserve"> DEUTSCHE BANK AG NEW YORK BRANCH</w:t>
      </w:r>
      <w:r>
        <w:rPr>
          <w:rFonts w:ascii="Arial" w:cs="Arial" w:eastAsia="Arial" w:hAnsi="Arial"/>
          <w:sz w:val="18"/>
          <w:szCs w:val="18"/>
          <w:color w:val="auto"/>
        </w:rPr>
        <w:t>, as administrative agent (in such capacity, together with its successors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w:t>
      </w:r>
      <w:r>
        <w:rPr>
          <w:rFonts w:ascii="Arial" w:cs="Arial" w:eastAsia="Arial" w:hAnsi="Arial"/>
          <w:sz w:val="18"/>
          <w:szCs w:val="18"/>
          <w:b w:val="1"/>
          <w:bCs w:val="1"/>
          <w:color w:val="auto"/>
        </w:rPr>
        <w:t>Administrative Agent</w:t>
      </w:r>
      <w:r>
        <w:rPr>
          <w:rFonts w:ascii="Arial" w:cs="Arial" w:eastAsia="Arial" w:hAnsi="Arial"/>
          <w:sz w:val="18"/>
          <w:szCs w:val="18"/>
          <w:color w:val="auto"/>
        </w:rPr>
        <w:t xml:space="preserve">”); and </w:t>
      </w: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 as collateral agent (in such capacity, together with its successors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Borrower has requested that the Lenders provide first lien revolving credit and delayed draw term loan facilities, and the Lenders have indicated their willingness to lend, and the L/C Lender has indicated its willingness to issue letters of credit, in each case, on the terms and subject to the conditions set forth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agreements, provisions and covenants contained herein, the parties agree as follows:</w:t>
      </w:r>
    </w:p>
    <w:p>
      <w:pPr>
        <w:spacing w:after="0" w:line="26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ARTICLE I.</w:t>
      </w: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u w:val="single" w:color="auto"/>
          <w:color w:val="auto"/>
        </w:rPr>
        <w:t>DEFINITIONS, ACCOUNTING MATTERS AND RULES OF CONSTRUCTION</w:t>
      </w:r>
    </w:p>
    <w:p>
      <w:pPr>
        <w:spacing w:after="0" w:line="23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Certain Defined Terms</w:t>
      </w:r>
      <w:r>
        <w:rPr>
          <w:rFonts w:ascii="Arial" w:cs="Arial" w:eastAsia="Arial" w:hAnsi="Arial"/>
          <w:sz w:val="16"/>
          <w:szCs w:val="16"/>
          <w:color w:val="auto"/>
        </w:rPr>
        <w:t>. As used herein,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Loans</w:t>
      </w:r>
      <w:r>
        <w:rPr>
          <w:rFonts w:ascii="Arial" w:cs="Arial" w:eastAsia="Arial" w:hAnsi="Arial"/>
          <w:sz w:val="18"/>
          <w:szCs w:val="18"/>
          <w:color w:val="auto"/>
        </w:rPr>
        <w:t>” shall mean Loans that bear interest at rates based upon the Alternate Base Rate.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shall mean, with respect to any Person, any transaction or series of related transactions for the (a) acquisition of all or substantially all of the Property of any other Person, or of any business or division of any other Person (other than any then-existing Company), (b) acquisition of more than 50% of the Equity Interests of any other Person, or otherwise causing any other Person to become a Subsidiary of such Person or (c) merger or consolidation of such Person or any other combination of such Person with any other Person (other than any of the foregoing between or among any then-existing Companies).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has the meaning set forth in Section 13.14.</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 of Terrorism</w:t>
      </w:r>
      <w:r>
        <w:rPr>
          <w:rFonts w:ascii="Arial" w:cs="Arial" w:eastAsia="Arial" w:hAnsi="Arial"/>
          <w:sz w:val="17"/>
          <w:szCs w:val="17"/>
          <w:color w:val="auto"/>
        </w:rPr>
        <w:t>” shall mean an act of any person directed towards the overthrowing or influencing of any government de jure or de facto, or the inducement of fear in or the disruption of the economic system of any society, by force or by violence, including (i) the hijacking or destruction of any conveyance (including an aircraft, vessel, or vehicle), transportation infrastructure or building, (ii) the seizing or detaining, and threatening to kill, injure, or continue to detain, or the assassination of, another individual, (iii) the use of any (a) biological agent, chemical agent, or nuclear weapon or device, or</w:t>
      </w:r>
    </w:p>
    <w:p>
      <w:pPr>
        <w:spacing w:after="0" w:line="3" w:lineRule="exact"/>
        <w:rPr>
          <w:sz w:val="20"/>
          <w:szCs w:val="20"/>
          <w:color w:val="auto"/>
        </w:rPr>
      </w:pPr>
    </w:p>
    <w:p>
      <w:pPr>
        <w:ind w:firstLine="8"/>
        <w:spacing w:after="0" w:line="261" w:lineRule="auto"/>
        <w:tabs>
          <w:tab w:leader="none" w:pos="2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explosive or firearm, with intent to endanger, directly or indirectly, the safety of one or more individuals or to cause substantial damage to property and (iv) a credible threat, attempt, or conspiracy to do any of the foregoing.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Party</w:t>
      </w:r>
      <w:r>
        <w:rPr>
          <w:rFonts w:ascii="Arial" w:cs="Arial" w:eastAsia="Arial" w:hAnsi="Arial"/>
          <w:sz w:val="18"/>
          <w:szCs w:val="18"/>
          <w:color w:val="auto"/>
        </w:rPr>
        <w:t>” has the meaning set forth in Section 9.11.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Maximum Amount</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Classes</w:t>
      </w:r>
      <w:r>
        <w:rPr>
          <w:rFonts w:ascii="Arial" w:cs="Arial" w:eastAsia="Arial" w:hAnsi="Arial"/>
          <w:sz w:val="18"/>
          <w:szCs w:val="18"/>
          <w:color w:val="auto"/>
        </w:rPr>
        <w:t>” has the meaning set forth in Section 13.04(b)(A).</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any other Person that directly or indirectly controls, or is under common control with, or is controlled by, such Person. As used in this definition, “</w:t>
      </w:r>
      <w:r>
        <w:rPr>
          <w:rFonts w:ascii="Arial" w:cs="Arial" w:eastAsia="Arial" w:hAnsi="Arial"/>
          <w:sz w:val="18"/>
          <w:szCs w:val="18"/>
          <w:b w:val="1"/>
          <w:bCs w:val="1"/>
          <w:color w:val="auto"/>
        </w:rPr>
        <w:t>control</w:t>
      </w:r>
      <w:r>
        <w:rPr>
          <w:rFonts w:ascii="Arial" w:cs="Arial" w:eastAsia="Arial" w:hAnsi="Arial"/>
          <w:sz w:val="18"/>
          <w:szCs w:val="18"/>
          <w:color w:val="auto"/>
        </w:rPr>
        <w:t>” (including, with its correlative meanings,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w:t>
      </w:r>
      <w:r>
        <w:rPr>
          <w:rFonts w:ascii="Arial" w:cs="Arial" w:eastAsia="Arial" w:hAnsi="Arial"/>
          <w:sz w:val="18"/>
          <w:szCs w:val="18"/>
          <w:color w:val="auto"/>
        </w:rPr>
        <w:t xml:space="preserve"> </w:t>
      </w:r>
      <w:r>
        <w:rPr>
          <w:rFonts w:ascii="Arial" w:cs="Arial" w:eastAsia="Arial" w:hAnsi="Arial"/>
          <w:sz w:val="18"/>
          <w:szCs w:val="18"/>
          <w:b w:val="1"/>
          <w:bCs w:val="1"/>
          <w:color w:val="auto"/>
        </w:rPr>
        <w:t>with</w:t>
      </w:r>
      <w:r>
        <w:rPr>
          <w:rFonts w:ascii="Arial" w:cs="Arial" w:eastAsia="Arial" w:hAnsi="Arial"/>
          <w:sz w:val="18"/>
          <w:szCs w:val="18"/>
          <w:color w:val="auto"/>
        </w:rPr>
        <w:t>”) shall mean possession, directly or indirectly, of power to direct or cause the direction of management or policies (whether through ownership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partnership or other ownership interests,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593725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850900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1108075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1365250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1622425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Lender</w:t>
      </w:r>
      <w:r>
        <w:rPr>
          <w:rFonts w:ascii="Arial" w:cs="Arial" w:eastAsia="Arial" w:hAnsi="Arial"/>
          <w:sz w:val="18"/>
          <w:szCs w:val="18"/>
          <w:color w:val="auto"/>
        </w:rPr>
        <w:t>” shall have the meaning assigned to such term in Section 13.05(e).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shall mean any of Administrative Agent, Auction Manager, Collateral Agent, Documentation Agent, Syndication Agents, Lead Arrangers and/or Arrangers,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Party</w:t>
      </w:r>
      <w:r>
        <w:rPr>
          <w:rFonts w:ascii="Arial" w:cs="Arial" w:eastAsia="Arial" w:hAnsi="Arial"/>
          <w:sz w:val="18"/>
          <w:szCs w:val="18"/>
          <w:color w:val="auto"/>
        </w:rPr>
        <w:t>” has the meaning set forth in Section 13.02(e).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 Related Parties</w:t>
      </w:r>
      <w:r>
        <w:rPr>
          <w:rFonts w:ascii="Arial" w:cs="Arial" w:eastAsia="Arial" w:hAnsi="Arial"/>
          <w:sz w:val="16"/>
          <w:szCs w:val="16"/>
          <w:color w:val="auto"/>
        </w:rPr>
        <w:t>” shall mean each Agent and any sub-agent thereof and their respective Affiliates, directors, officers, employees, agents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advisors.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Payments</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w:t>
      </w:r>
      <w:r>
        <w:rPr>
          <w:rFonts w:ascii="Arial" w:cs="Arial" w:eastAsia="Arial" w:hAnsi="Arial"/>
          <w:sz w:val="18"/>
          <w:szCs w:val="18"/>
          <w:color w:val="auto"/>
        </w:rPr>
        <w:t>” means that certain 1999 Boeing 737-79U Business Jet aircraft bearing manufacturer’s serial number 29441 and United States Federal Aviation Administration Number N88WR, together with engines attached thereto, owned by a trust of which World Travel, LLC is the beneficial interest holder.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original principal amount of $42.0 million.</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Allocable Overhead</w:t>
      </w:r>
      <w:r>
        <w:rPr>
          <w:rFonts w:ascii="Arial" w:cs="Arial" w:eastAsia="Arial" w:hAnsi="Arial"/>
          <w:sz w:val="18"/>
          <w:szCs w:val="18"/>
          <w:color w:val="auto"/>
        </w:rPr>
        <w:t>” shall mean, at any time with respect to each Qualifying Project, an amount equal to (1) the amount of corporate or other organizational overhead expenses of, and actually incurred by, Wynn Resorts and its Subsidiaries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Base Rate</w:t>
      </w:r>
      <w:r>
        <w:rPr>
          <w:rFonts w:ascii="Arial" w:cs="Arial" w:eastAsia="Arial" w:hAnsi="Arial"/>
          <w:sz w:val="18"/>
          <w:szCs w:val="18"/>
          <w:color w:val="auto"/>
        </w:rPr>
        <w:t xml:space="preserve">” shall mean for any day, the greatest of (i) the rate of interest in effect for such day as publicly announced from time to time by the Administrative Agent as its “prime rate,” (ii) the Federal Funds Rate plus 0.50%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(iii) the LIBO Rate for an Interest Period of one (1) month beginning on such day (or if such day is not a Business Day, on the immediately preceding Business Day) plus 100 basis points.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the Administrative Agent shall take effect at the opening of business on the day specified in the public announcement of such change.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Currency</w:t>
      </w:r>
      <w:r>
        <w:rPr>
          <w:rFonts w:ascii="Arial" w:cs="Arial" w:eastAsia="Arial" w:hAnsi="Arial"/>
          <w:sz w:val="18"/>
          <w:szCs w:val="18"/>
          <w:color w:val="auto"/>
        </w:rPr>
        <w:t>” shall mean Canadian Dollars, Euro, Pound Sterling and any other lawful currency reasonably acceptable to the applicable L/C Lender.</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Alternative Currency Equivalent</w:t>
      </w:r>
      <w:r>
        <w:rPr>
          <w:rFonts w:ascii="Arial" w:cs="Arial" w:eastAsia="Arial" w:hAnsi="Arial"/>
          <w:sz w:val="17"/>
          <w:szCs w:val="17"/>
          <w:color w:val="auto"/>
        </w:rPr>
        <w:t>” shall mean, at any time, with respect to any amount denominated in Dollars, the equivalent amount thereof in the applicable Alternate Currency as determined by the Administrative Agent or the applicable L/C Lender, as the case may be, at such time on the basis of the Spot Rate (determined in respect of the most recent Revaluation Date) for the purchase of such Alternate Currency with Dollars.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Amortization Payment</w:t>
      </w:r>
      <w:r>
        <w:rPr>
          <w:rFonts w:ascii="Arial" w:cs="Arial" w:eastAsia="Arial" w:hAnsi="Arial"/>
          <w:sz w:val="17"/>
          <w:szCs w:val="17"/>
          <w:color w:val="auto"/>
        </w:rPr>
        <w:t>” shall mean each scheduled installment of payments on the Term Loans as set forth in Sections 3.01(b) and 3.01(c).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has the meaning set forth in Section 8.22(a).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Fee Percentage</w:t>
      </w:r>
      <w:r>
        <w:rPr>
          <w:rFonts w:ascii="Arial" w:cs="Arial" w:eastAsia="Arial" w:hAnsi="Arial"/>
          <w:sz w:val="18"/>
          <w:szCs w:val="18"/>
          <w:color w:val="auto"/>
        </w:rPr>
        <w:t xml:space="preserve">” shall mean, with respect to any Unutilized R/C Commitments or unutilized Term Facility Commitments </w:t>
      </w:r>
      <w:r>
        <w:rPr>
          <w:rFonts w:ascii="Arial" w:cs="Arial" w:eastAsia="Arial" w:hAnsi="Arial"/>
          <w:sz w:val="18"/>
          <w:szCs w:val="18"/>
          <w:b w:val="1"/>
          <w:bCs w:val="1"/>
          <w:u w:val="single" w:color="auto"/>
          <w:color w:val="0000FF"/>
        </w:rPr>
        <w:t>or Term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Facility II Commitments</w:t>
      </w:r>
      <w:r>
        <w:rPr>
          <w:rFonts w:ascii="Arial" w:cs="Arial" w:eastAsia="Arial" w:hAnsi="Arial"/>
          <w:sz w:val="18"/>
          <w:szCs w:val="18"/>
          <w:color w:val="000000"/>
        </w:rPr>
        <w:t>, 0.30%.</w:t>
      </w:r>
    </w:p>
    <w:p>
      <w:pPr>
        <w:spacing w:after="0" w:line="162"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Lending Office</w:t>
      </w:r>
      <w:r>
        <w:rPr>
          <w:rFonts w:ascii="Arial" w:cs="Arial" w:eastAsia="Arial" w:hAnsi="Arial"/>
          <w:sz w:val="18"/>
          <w:szCs w:val="18"/>
          <w:color w:val="auto"/>
        </w:rPr>
        <w:t xml:space="preserve">” shall mean, for each Lender and for each Type of Loan, the “Lending Office” of such Lender (or of an Affiliate of such Lender) (a) that is a lender on the Closing Date, designated for such Type of Loan on </w:t>
      </w:r>
      <w:r>
        <w:rPr>
          <w:rFonts w:ascii="Arial" w:cs="Arial" w:eastAsia="Arial" w:hAnsi="Arial"/>
          <w:sz w:val="18"/>
          <w:szCs w:val="18"/>
          <w:u w:val="single" w:color="auto"/>
          <w:color w:val="auto"/>
        </w:rPr>
        <w:t>Annexes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 xml:space="preserve"> hereof, (b) set forth on such Lender’s signature page to any Refinancing Amendment for any Lender providing Credit Agreement Refinancing Indebtedness pursuant to Section 2.15, (c) set forth in the Assignment Agreement for any Person that becomes a “Lender” hereunder pursuant to an Assignment Agreement or (d) such other office of such Lender (or of an Affiliate of such Lender) as such Lender may from time to time specify to Administrative Agent and Borrower as the office by which its Loans of such Type are to be made and maintained.</w:t>
      </w:r>
    </w:p>
    <w:p>
      <w:pPr>
        <w:spacing w:after="0" w:line="19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xml:space="preserve">” shall mean, for each Type and Class of Loan, 1.75%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with respect to LIBOR Loans and (ii) 0.75% </w:t>
      </w:r>
      <w:r>
        <w:rPr>
          <w:rFonts w:ascii="Arial" w:cs="Arial" w:eastAsia="Arial" w:hAnsi="Arial"/>
          <w:sz w:val="18"/>
          <w:szCs w:val="18"/>
          <w:i w:val="1"/>
          <w:iCs w:val="1"/>
          <w:color w:val="auto"/>
        </w:rPr>
        <w:t>per annum</w:t>
      </w:r>
      <w:r>
        <w:rPr>
          <w:rFonts w:ascii="Arial" w:cs="Arial" w:eastAsia="Arial" w:hAnsi="Arial"/>
          <w:sz w:val="18"/>
          <w:szCs w:val="18"/>
          <w:color w:val="auto"/>
        </w:rPr>
        <w:t>, with respect to ABR Loans.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Arrangers</w:t>
      </w:r>
      <w:r>
        <w:rPr>
          <w:rFonts w:ascii="Arial" w:cs="Arial" w:eastAsia="Arial" w:hAnsi="Arial"/>
          <w:sz w:val="18"/>
          <w:szCs w:val="18"/>
          <w:color w:val="auto"/>
        </w:rPr>
        <w:t>” shall mean, collectively, Bank of China, Los Angeles Branch, a federally chartered branch of Bank of China Limited, a joint stock company incorporated in the People’s Republic of China with limited liability, and Morgan Stanley Senior Funding, Inc., in their capacities as arrangers hereunder.</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Asset Sale</w:t>
      </w:r>
      <w:r>
        <w:rPr>
          <w:rFonts w:ascii="Arial" w:cs="Arial" w:eastAsia="Arial" w:hAnsi="Arial"/>
          <w:sz w:val="17"/>
          <w:szCs w:val="17"/>
          <w:color w:val="auto"/>
        </w:rPr>
        <w:t xml:space="preserve">” shall mean (a) any conveyance, sale, lease, transfer or other disposition (including by way of merger or consolidation and including any sale and leaseback transaction) of any Property (including accounts receivable and Equity Interests of any Person owned by Borrower or any of its Restricted Subsidiaries but not any Equity Issuance) (whether owned on the Closing Date or thereafter acquired) by Borrower or any of its Restricted Subsidiaries to any Person (other than (i) with respect to any Credit Party, to any Credit Party, and (ii) with respect to any other Company, to any Company) to the extent that the aggregate value of such Property sold in any single transaction or related series of transactions is greater than or equal to $15.0 million and (b) any issuance or sale by any Restricted Subsidiary of its Equity Interests to any Person (other than to any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following shall not constitute an “Asset Sale”: (x) any conveyance, sale, lease, transfer or other disposition of obsolete or worn out assets or assets no longer useful in the business of the Credit Parties, (y) licenses of Intellectual Property entered into in the ordinary course of business and (z) any conveyance, sale, transfer or other disposition of cash and/or Cash Equivalents.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Agreement</w:t>
      </w:r>
      <w:r>
        <w:rPr>
          <w:rFonts w:ascii="Arial" w:cs="Arial" w:eastAsia="Arial" w:hAnsi="Arial"/>
          <w:sz w:val="17"/>
          <w:szCs w:val="17"/>
          <w:color w:val="auto"/>
        </w:rPr>
        <w:t xml:space="preserve">” shall mean an Assignment and Assumption Agreement substantially in the form attached as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hereto.</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Manager</w:t>
      </w:r>
      <w:r>
        <w:rPr>
          <w:rFonts w:ascii="Arial" w:cs="Arial" w:eastAsia="Arial" w:hAnsi="Arial"/>
          <w:sz w:val="18"/>
          <w:szCs w:val="18"/>
          <w:color w:val="auto"/>
        </w:rPr>
        <w:t>” shall mean DB, or another financial institution as shall be selected by Borrower in a written notice to Administrative Agent, in each case in its capacity as Auction Manager.</w:t>
      </w:r>
    </w:p>
    <w:p>
      <w:pPr>
        <w:spacing w:after="0" w:line="16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Auction Procedures</w:t>
      </w:r>
      <w:r>
        <w:rPr>
          <w:rFonts w:ascii="Arial" w:cs="Arial" w:eastAsia="Arial" w:hAnsi="Arial"/>
          <w:sz w:val="16"/>
          <w:szCs w:val="16"/>
          <w:color w:val="auto"/>
        </w:rPr>
        <w:t xml:space="preserve">” shall mean, collectively, the auction procedures, auction notice, return bid and Borrower Assignment Agreement in substantially the form set forth as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hereto or such other form as is reasonably acceptable to Auction Manager and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Auction Manager, with the prior written consent of Borrower, may amend or modify the procedures, notices, bids and Borrower Assignment Agreement in connection with any Borrower Loan Purchase (but excluding economic terms of a particular auction after any Lender has validly tendered Loans requested in an offer relating to such auction, other than to increase the Auction Amount or raise the Discount Range applicable to such auction);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such amendments or modifications may be implemented after 24 hours prior to the date and time return bids are due in such auction.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Auto-Extension Letter of Credit</w:t>
      </w:r>
      <w:r>
        <w:rPr>
          <w:rFonts w:ascii="Arial" w:cs="Arial" w:eastAsia="Arial" w:hAnsi="Arial"/>
          <w:sz w:val="18"/>
          <w:szCs w:val="18"/>
          <w:color w:val="auto"/>
        </w:rPr>
        <w:t>” shall have the meaning provided by Section 2.03(b).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Amount</w:t>
      </w:r>
      <w:r>
        <w:rPr>
          <w:rFonts w:ascii="Arial" w:cs="Arial" w:eastAsia="Arial" w:hAnsi="Arial"/>
          <w:sz w:val="18"/>
          <w:szCs w:val="18"/>
          <w:color w:val="auto"/>
        </w:rPr>
        <w:t>” shall mean, on any date, an amount not less than zero, equal 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97" w:right="239" w:bottom="1440" w:gutter="0" w:footer="0" w:header="0"/>
        </w:sectPr>
      </w:pPr>
    </w:p>
    <w:bookmarkStart w:id="87" w:name="page88"/>
    <w:bookmarkEnd w:id="87"/>
    <w:p>
      <w:pPr>
        <w:ind w:firstLine="640"/>
        <w:spacing w:after="0" w:line="324" w:lineRule="auto"/>
        <w:tabs>
          <w:tab w:leader="none" w:pos="11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aggregate amount of Excess Cash Flow for all fiscal years ending after the Closing Date (not less than zero) (commencing with the fiscal year ending December 31, 2014) and prior to such date;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jc w:val="both"/>
        <w:ind w:firstLine="640"/>
        <w:spacing w:after="0" w:line="341" w:lineRule="auto"/>
        <w:tabs>
          <w:tab w:leader="none" w:pos="1182"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in the event of (i) the Revocation of a Subsidiary that was Designated as an Unrestricted Subsidiary, (ii) the merger, consolidation or amalgamation of an Unrestricted Subsidiary with or into Borrower or a Restricted Subsidiary (where the surviving entity is Borrower or a Restricted Subsidiary) or (iii) the transfer or other conveyance of assets of an Unrestricted Subsidiary to, or liquidation of an Unrestricted Subsidiary into, Borrower or a Restricted Subsidiary, an amount equal to the sum of (x) the fair market value of the Investments deemed made by Borrower and its Restricted Subsidiaries in such Unrestricted Subsidiary at the time such Subsidiary was designated as an Unrestricted Subsidiary,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amount of the Investments of Borrower and its Restricted Subsidiaries in such Unrestricted Subsidiary made after such designation and prior to the time of such Revocation, merger, consolidation, amalgamation, conveyance or transfer (or of the assets transferred or conveyed, as applicable), other than, in the case of this clause (y), to the extent such Investments funded Investments by such Unrestricted Subsidiary into a Person that, after giving effect to the transaction described in clauses (i), (ii) or (iii) above, will be an Unrestricted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clauses (x) and (y) shall not be duplicative of any reductions in the amount of such Investments pursuant to the proviso to the definition of “Investments”; </w:t>
      </w:r>
      <w:r>
        <w:rPr>
          <w:rFonts w:ascii="Arial" w:cs="Arial" w:eastAsia="Arial" w:hAnsi="Arial"/>
          <w:sz w:val="16"/>
          <w:szCs w:val="16"/>
          <w:i w:val="1"/>
          <w:iCs w:val="1"/>
          <w:color w:val="auto"/>
        </w:rPr>
        <w:t>plus</w:t>
      </w:r>
    </w:p>
    <w:p>
      <w:pPr>
        <w:spacing w:after="0" w:line="167" w:lineRule="exact"/>
        <w:rPr>
          <w:rFonts w:ascii="Arial" w:cs="Arial" w:eastAsia="Arial" w:hAnsi="Arial"/>
          <w:sz w:val="16"/>
          <w:szCs w:val="16"/>
          <w:color w:val="auto"/>
        </w:rPr>
      </w:pPr>
    </w:p>
    <w:p>
      <w:pPr>
        <w:jc w:val="both"/>
        <w:ind w:firstLine="640"/>
        <w:spacing w:after="0" w:line="306" w:lineRule="auto"/>
        <w:tabs>
          <w:tab w:leader="none" w:pos="11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Section 10.04(l) to the extent not included in Consolidated Net Income;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firstLine="640"/>
        <w:spacing w:after="0" w:line="324" w:lineRule="auto"/>
        <w:tabs>
          <w:tab w:leader="none" w:pos="11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fair market value of assets or Property acquired in exchange for Equity Interests (other than Disqualified Capital Stock) of Borrower after the Closing Date and on or prior to such date; plus</w:t>
      </w:r>
    </w:p>
    <w:p>
      <w:pPr>
        <w:spacing w:after="0" w:line="170" w:lineRule="exact"/>
        <w:rPr>
          <w:rFonts w:ascii="Arial" w:cs="Arial" w:eastAsia="Arial" w:hAnsi="Arial"/>
          <w:sz w:val="18"/>
          <w:szCs w:val="18"/>
          <w:color w:val="auto"/>
        </w:rPr>
      </w:pPr>
    </w:p>
    <w:p>
      <w:pPr>
        <w:jc w:val="both"/>
        <w:ind w:right="20" w:firstLine="640"/>
        <w:spacing w:after="0" w:line="336" w:lineRule="auto"/>
        <w:tabs>
          <w:tab w:leader="none" w:pos="1172"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following the Wynn Las Vegas Reorganization, the aggregate amount of “Restricted Payments” that Wynn Las Vegas makes pursuant to Section 4.07 of the indenture governing the Wynn Las Vegas 2022 Notes, excluding in all cases amounts used, or to be used, to make Equity Contributions until such time as Equity Contributions in the amount of the Equity Contribution Threshold have been made; </w:t>
      </w:r>
      <w:r>
        <w:rPr>
          <w:rFonts w:ascii="Arial" w:cs="Arial" w:eastAsia="Arial" w:hAnsi="Arial"/>
          <w:sz w:val="17"/>
          <w:szCs w:val="17"/>
          <w:i w:val="1"/>
          <w:iCs w:val="1"/>
          <w:color w:val="auto"/>
        </w:rPr>
        <w:t>minus</w:t>
      </w:r>
    </w:p>
    <w:p>
      <w:pPr>
        <w:spacing w:after="0" w:line="164" w:lineRule="exact"/>
        <w:rPr>
          <w:rFonts w:ascii="Arial" w:cs="Arial" w:eastAsia="Arial" w:hAnsi="Arial"/>
          <w:sz w:val="17"/>
          <w:szCs w:val="17"/>
          <w:color w:val="auto"/>
        </w:rPr>
      </w:pPr>
    </w:p>
    <w:p>
      <w:pPr>
        <w:jc w:val="both"/>
        <w:ind w:firstLine="640"/>
        <w:spacing w:after="0" w:line="311" w:lineRule="auto"/>
        <w:tabs>
          <w:tab w:leader="none" w:pos="11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amount of any (i) Investments made pursuant to Section 10.04(l), (ii) Restricted Payments made pursuant to Section 10.06(i)(ii) and (iii) Junior Prepayments pursuant to Section 10.09(a)(ii) (in each case, in reliance on the then-outstanding Available Amount) made since the Closing Date and on or prior to such date.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Equity Amount</w:t>
      </w:r>
      <w:r>
        <w:rPr>
          <w:rFonts w:ascii="Arial" w:cs="Arial" w:eastAsia="Arial" w:hAnsi="Arial"/>
          <w:sz w:val="18"/>
          <w:szCs w:val="18"/>
          <w:color w:val="auto"/>
        </w:rPr>
        <w:t>” shall mean, on any date, an amount not less than zero, equal to:</w:t>
      </w:r>
    </w:p>
    <w:p>
      <w:pPr>
        <w:spacing w:after="0" w:line="256" w:lineRule="exact"/>
        <w:rPr>
          <w:sz w:val="20"/>
          <w:szCs w:val="20"/>
          <w:color w:val="auto"/>
        </w:rPr>
      </w:pPr>
    </w:p>
    <w:p>
      <w:pPr>
        <w:ind w:left="1160" w:hanging="520"/>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Pre-Closing Equity Contribution; </w:t>
      </w:r>
      <w:r>
        <w:rPr>
          <w:rFonts w:ascii="Arial" w:cs="Arial" w:eastAsia="Arial" w:hAnsi="Arial"/>
          <w:sz w:val="18"/>
          <w:szCs w:val="18"/>
          <w:i w:val="1"/>
          <w:iCs w:val="1"/>
          <w:color w:val="auto"/>
        </w:rPr>
        <w:t>plus</w:t>
      </w:r>
    </w:p>
    <w:p>
      <w:pPr>
        <w:spacing w:after="0" w:line="265" w:lineRule="exact"/>
        <w:rPr>
          <w:rFonts w:ascii="Arial" w:cs="Arial" w:eastAsia="Arial" w:hAnsi="Arial"/>
          <w:sz w:val="18"/>
          <w:szCs w:val="18"/>
          <w:color w:val="auto"/>
        </w:rPr>
      </w:pPr>
    </w:p>
    <w:p>
      <w:pPr>
        <w:jc w:val="both"/>
        <w:ind w:firstLine="640"/>
        <w:spacing w:after="0" w:line="311" w:lineRule="auto"/>
        <w:tabs>
          <w:tab w:leader="none" w:pos="11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aggregate amount of Equity Issuance Proceeds (including upon conversion or exchange of a debt instrument into or for any Equity Interests (other than Disqualified Capital Stock)) received by Borrower after the Closing Date and on or prior to such date other than Specified Equity Issuance Proceeds; </w:t>
      </w:r>
      <w:r>
        <w:rPr>
          <w:rFonts w:ascii="Arial" w:cs="Arial" w:eastAsia="Arial" w:hAnsi="Arial"/>
          <w:sz w:val="18"/>
          <w:szCs w:val="18"/>
          <w:i w:val="1"/>
          <w:iCs w:val="1"/>
          <w:color w:val="auto"/>
        </w:rPr>
        <w:t>plus</w:t>
      </w:r>
    </w:p>
    <w:p>
      <w:pPr>
        <w:spacing w:after="0" w:line="181" w:lineRule="exact"/>
        <w:rPr>
          <w:rFonts w:ascii="Arial" w:cs="Arial" w:eastAsia="Arial" w:hAnsi="Arial"/>
          <w:sz w:val="18"/>
          <w:szCs w:val="18"/>
          <w:color w:val="auto"/>
        </w:rPr>
      </w:pPr>
    </w:p>
    <w:p>
      <w:pPr>
        <w:jc w:val="both"/>
        <w:ind w:firstLine="640"/>
        <w:spacing w:after="0" w:line="311" w:lineRule="auto"/>
        <w:tabs>
          <w:tab w:leader="none" w:pos="11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aggregate amount of proceeds received by Borrower from the incurrence by Borrower of any Intercompany Contribution Indebtedness (other than any Intercompany Contribution Indebtedness the proceeds of which were derived from Specified Equity Issuance Proceeds) after the Closing Date and on or prior to such date; </w:t>
      </w:r>
      <w:r>
        <w:rPr>
          <w:rFonts w:ascii="Arial" w:cs="Arial" w:eastAsia="Arial" w:hAnsi="Arial"/>
          <w:sz w:val="18"/>
          <w:szCs w:val="18"/>
          <w:i w:val="1"/>
          <w:iCs w:val="1"/>
          <w:color w:val="auto"/>
        </w:rPr>
        <w:t>plus</w:t>
      </w:r>
    </w:p>
    <w:p>
      <w:pPr>
        <w:spacing w:after="0" w:line="181" w:lineRule="exact"/>
        <w:rPr>
          <w:rFonts w:ascii="Arial" w:cs="Arial" w:eastAsia="Arial" w:hAnsi="Arial"/>
          <w:sz w:val="18"/>
          <w:szCs w:val="18"/>
          <w:color w:val="auto"/>
        </w:rPr>
      </w:pPr>
    </w:p>
    <w:p>
      <w:pPr>
        <w:jc w:val="both"/>
        <w:ind w:firstLine="640"/>
        <w:spacing w:after="0" w:line="306" w:lineRule="auto"/>
        <w:tabs>
          <w:tab w:leader="none" w:pos="11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Section 10.04(y) to the extent not included in Consolidated Net Income; </w:t>
      </w:r>
      <w:r>
        <w:rPr>
          <w:rFonts w:ascii="Arial" w:cs="Arial" w:eastAsia="Arial" w:hAnsi="Arial"/>
          <w:sz w:val="18"/>
          <w:szCs w:val="18"/>
          <w:i w:val="1"/>
          <w:iCs w:val="1"/>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580" w:top="827" w:right="239" w:bottom="1440" w:gutter="0" w:footer="0" w:header="0"/>
        </w:sectPr>
      </w:pPr>
    </w:p>
    <w:bookmarkStart w:id="88" w:name="page89"/>
    <w:bookmarkEnd w:id="88"/>
    <w:p>
      <w:pPr>
        <w:jc w:val="both"/>
        <w:ind w:left="340" w:firstLine="640"/>
        <w:spacing w:after="0" w:line="311" w:lineRule="auto"/>
        <w:tabs>
          <w:tab w:leader="none" w:pos="15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aggregate amount of any (i) Investments made pursuant to Section 10.04(y), (ii) Restricted Payments made pursuant to Section 10.06(p) and (iii) Junior Prepayments pursuant to Section 10.09(l) (in each case, in reliance on the then-outstanding Available Equity Amount) made since the Closing Date and on or prior to such date; </w:t>
      </w:r>
      <w:r>
        <w:rPr>
          <w:rFonts w:ascii="Arial" w:cs="Arial" w:eastAsia="Arial" w:hAnsi="Arial"/>
          <w:sz w:val="18"/>
          <w:szCs w:val="18"/>
          <w:i w:val="1"/>
          <w:iCs w:val="1"/>
          <w:color w:val="auto"/>
        </w:rPr>
        <w:t>minus</w:t>
      </w:r>
    </w:p>
    <w:p>
      <w:pPr>
        <w:spacing w:after="0" w:line="181" w:lineRule="exact"/>
        <w:rPr>
          <w:rFonts w:ascii="Arial" w:cs="Arial" w:eastAsia="Arial" w:hAnsi="Arial"/>
          <w:sz w:val="18"/>
          <w:szCs w:val="18"/>
          <w:color w:val="auto"/>
        </w:rPr>
      </w:pPr>
    </w:p>
    <w:p>
      <w:pPr>
        <w:jc w:val="both"/>
        <w:ind w:left="340" w:firstLine="640"/>
        <w:spacing w:after="0" w:line="311" w:lineRule="auto"/>
        <w:tabs>
          <w:tab w:leader="none" w:pos="14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and after December 31, 2015, the Equity Contribution Threshold less (x) any Specified Equity Issuance Proceeds and (y) all amounts distributed by the Wynn Las Vegas Entities to the Credit Parties on or after the Wynn Las Vegas Reorganization, provided, that the amount specified in this clause (f) shall in no case be less than $0.</w:t>
      </w:r>
    </w:p>
    <w:p>
      <w:pPr>
        <w:spacing w:after="0" w:line="15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0000FF"/>
        </w:rPr>
        <w:t>“Bail-In Action” shall mean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0000FF"/>
        </w:rPr>
        <w:t>“Bail-In Legislation” shall mean,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Code</w:t>
      </w:r>
      <w:r>
        <w:rPr>
          <w:rFonts w:ascii="Arial" w:cs="Arial" w:eastAsia="Arial" w:hAnsi="Arial"/>
          <w:sz w:val="16"/>
          <w:szCs w:val="16"/>
          <w:color w:val="auto"/>
        </w:rPr>
        <w:t>” shall mean Title 11 of the United States Code entitled “Bankruptcy,” as now or hereinafter in effect, or any successor statute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has the meaning assigned to such term in Rules 13d-3 and 13d-5 under the Exchange Act. The terms “</w:t>
      </w:r>
      <w:r>
        <w:rPr>
          <w:rFonts w:ascii="Arial" w:cs="Arial" w:eastAsia="Arial" w:hAnsi="Arial"/>
          <w:sz w:val="18"/>
          <w:szCs w:val="18"/>
          <w:b w:val="1"/>
          <w:bCs w:val="1"/>
          <w:color w:val="auto"/>
        </w:rPr>
        <w:t>Beneficially Owns</w:t>
      </w:r>
      <w:r>
        <w:rPr>
          <w:rFonts w:ascii="Arial" w:cs="Arial" w:eastAsia="Arial" w:hAnsi="Arial"/>
          <w:sz w:val="18"/>
          <w:szCs w:val="18"/>
          <w:color w:val="auto"/>
        </w:rPr>
        <w:t>” and “</w:t>
      </w:r>
      <w:r>
        <w:rPr>
          <w:rFonts w:ascii="Arial" w:cs="Arial" w:eastAsia="Arial" w:hAnsi="Arial"/>
          <w:sz w:val="18"/>
          <w:szCs w:val="18"/>
          <w:b w:val="1"/>
          <w:bCs w:val="1"/>
          <w:color w:val="auto"/>
        </w:rPr>
        <w:t>Beneficially Owned</w:t>
      </w:r>
      <w:r>
        <w:rPr>
          <w:rFonts w:ascii="Arial" w:cs="Arial" w:eastAsia="Arial" w:hAnsi="Arial"/>
          <w:sz w:val="18"/>
          <w:szCs w:val="18"/>
          <w:color w:val="auto"/>
        </w:rPr>
        <w:t>” have a corresponding meaning.</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as to any person, the board of directors or other governing body of such person, or if such person is owned or managed by a single entity, the board of directors or other governing body of such entity. With respect to Borrower, the Board of Directors of Borrower may include the Board of Directors of any direct or indirect parent of Borrower.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Assignment Agreement</w:t>
      </w:r>
      <w:r>
        <w:rPr>
          <w:rFonts w:ascii="Arial" w:cs="Arial" w:eastAsia="Arial" w:hAnsi="Arial"/>
          <w:sz w:val="18"/>
          <w:szCs w:val="18"/>
          <w:color w:val="auto"/>
        </w:rPr>
        <w:t>” shall mean, with respect to any assignment to Borrower or one of its Subsidiaries pursuant to Section 13.05(d) consummated pursuant to the Auction Procedures, an Assignment and Acceptance Agreement substantially in the form of Annex C to the Auction Procedures (as may be modified from time to time as set forth in the definition of Auction Procedures).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Loan Purchase</w:t>
      </w:r>
      <w:r>
        <w:rPr>
          <w:rFonts w:ascii="Arial" w:cs="Arial" w:eastAsia="Arial" w:hAnsi="Arial"/>
          <w:sz w:val="18"/>
          <w:szCs w:val="18"/>
          <w:color w:val="auto"/>
        </w:rPr>
        <w:t>” shall mean any purchase of Term Loans or Revolving Loans by Borrower or one of its Subsidiaries pursuant to Section 13.05(d).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has the meaning set forth in Section 9.04.</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shall mean Loans of the same Class and Type made, converted or continued on the same date and, in the case of LIBOR Loans, as to which a single Interest Period is in effect.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shall mean any day, except a Saturday or Sunday, (a) on which commercial banks are not authorized or required to close in New York and (b) if such day relates to a borrowing of, a payment or prepayment of principal of or interest on, a continuation or conversion of or into, or an Interest Period for, a LIBOR Loan or a notice by Borrower with respect to any such borrowing, payment, prepayment, continuation, conversion or Interest Period, that is also a day on which dealings in Dollar deposits are carried out in the London interbank market.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Date</w:t>
      </w:r>
      <w:r>
        <w:rPr>
          <w:rFonts w:ascii="Arial" w:cs="Arial" w:eastAsia="Arial" w:hAnsi="Arial"/>
          <w:sz w:val="18"/>
          <w:szCs w:val="18"/>
          <w:color w:val="auto"/>
        </w:rPr>
        <w:t>” shall mean the last day of the most recent Test Period.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Expenditures</w:t>
      </w:r>
      <w:r>
        <w:rPr>
          <w:rFonts w:ascii="Arial" w:cs="Arial" w:eastAsia="Arial" w:hAnsi="Arial"/>
          <w:sz w:val="18"/>
          <w:szCs w:val="18"/>
          <w:color w:val="auto"/>
        </w:rPr>
        <w:t>” shall mean, for any period any expenditures by Borrower or its Restricted Subsidiaries for the acquisition or leasing of fixed or capital assets (including Capital Lease Obligations) that should be capitalized in accordance with GAAP and any expenditures by such Person for maintenance, repairs, restoration or refurbishment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27" w:right="239" w:bottom="1440" w:gutter="0" w:footer="0" w:header="0"/>
        </w:sectPr>
      </w:pPr>
    </w:p>
    <w:bookmarkStart w:id="89" w:name="page90"/>
    <w:bookmarkEnd w:id="89"/>
    <w:p>
      <w:pPr>
        <w:jc w:val="both"/>
        <w:spacing w:after="0" w:line="268" w:lineRule="auto"/>
        <w:rPr>
          <w:sz w:val="20"/>
          <w:szCs w:val="20"/>
          <w:color w:val="auto"/>
        </w:rPr>
      </w:pPr>
      <w:r>
        <w:rPr>
          <w:rFonts w:ascii="Arial" w:cs="Arial" w:eastAsia="Arial" w:hAnsi="Arial"/>
          <w:sz w:val="17"/>
          <w:szCs w:val="17"/>
          <w:color w:val="auto"/>
        </w:rPr>
        <w:t xml:space="preserve">of the condition or usefulness of Property of such Person that should be capitalized in accordance with GAAP;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 (y) awards of compensation arising from the taking by eminent domain or condemnation (or transfers in lieu thereof) of the assets being replaced; (b) the purchase price of assets purchased with the trade-in of existing assets solely to the extent that the gross amount of such purchase price is reduced by the credit granted by the seller of such assets for the asset being traded in at such time; (c) the purchase of property or equipment to the extent financed with the proceeds of asset sales or other dispositions outside the ordinary course of business that are not required to be applied to prepay the Term Loans pursuant to Section 2.10(a)(iii); (d) expenditures that constitute Permitted Acquisitions or other Acquisitions not prohibited hereunder; (e) any capitalized interest expense reflected as additions to property in the consolidated balance sheet of Borrower and its Restricted Subsidiaries (including in connection with sale-leaseback transactions not prohibited hereunder); (f) any non-cash compensation or other non-cash costs reflected as additions to property in the consolidated balance sheet of Borrower and its Restricted Subsidiaries; and (g) capital expenditures relating to the construction or acquisition of any property or equipment which has been transferred to a Person other than Borrower or any of its Restricted Subsidiaries pursuant to a sale-leaseback transaction not prohibited hereunder and capital expenditures arising pursuant to sale-leaseback transactions.</w:t>
      </w:r>
    </w:p>
    <w:p>
      <w:pPr>
        <w:spacing w:after="0" w:line="18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Lease</w:t>
      </w:r>
      <w:r>
        <w:rPr>
          <w:rFonts w:ascii="Arial" w:cs="Arial" w:eastAsia="Arial" w:hAnsi="Arial"/>
          <w:sz w:val="17"/>
          <w:szCs w:val="17"/>
          <w:color w:val="auto"/>
        </w:rPr>
        <w:t xml:space="preserve">” as applied to any Person, shall mean any lease of any Property by that Person as lessee that, in conformity with GAAP, is required to be classified and accounted for as a capital lease on the balance sheet of that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 avoidance of doubt, any lease that is accounted for by any Person as an operating lease as of the Closing Date and any similar lease entered into after the Closing Date by any Person may, in the sole discretion of Borrower, be accounted for as an operating lease and not as a Capital Lease.</w:t>
      </w:r>
    </w:p>
    <w:p>
      <w:pPr>
        <w:spacing w:after="0" w:line="16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 Obligations</w:t>
      </w:r>
      <w:r>
        <w:rPr>
          <w:rFonts w:ascii="Arial" w:cs="Arial" w:eastAsia="Arial" w:hAnsi="Arial"/>
          <w:sz w:val="16"/>
          <w:szCs w:val="16"/>
          <w:color w:val="auto"/>
        </w:rPr>
        <w:t xml:space="preserve">” shall mean, for any Person, all obligations of such Person to pay rent or other amounts under a Capital Lease, and, for purposes of this Agreement, the amount of such obligations shall be the capitalized amount thereof,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the avoidance of doubt, any lease that is accounted for by any Person as an operating lease as of the Closing Date and any similar lease</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after the Closing Date by any Person may, in the sole discretion of Borrower, be accounted for as an operating lease and not as a Capital Lease.</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Collateralize</w:t>
      </w:r>
      <w:r>
        <w:rPr>
          <w:rFonts w:ascii="Arial" w:cs="Arial" w:eastAsia="Arial" w:hAnsi="Arial"/>
          <w:sz w:val="18"/>
          <w:szCs w:val="18"/>
          <w:color w:val="auto"/>
        </w:rPr>
        <w:t>” shall mean, in respect of an obligation, to provide and pledge (as a first priority perfected security interest) cash collateral in Dollars or other credit support, in each case, at a location and pursuant to documentation in form and substance reasonably satisfactory to (a) Administrative Agent and (b) in the case of obligations owing to an L/C Lender, such L/C Lender (and “</w:t>
      </w:r>
      <w:r>
        <w:rPr>
          <w:rFonts w:ascii="Arial" w:cs="Arial" w:eastAsia="Arial" w:hAnsi="Arial"/>
          <w:sz w:val="18"/>
          <w:szCs w:val="18"/>
          <w:b w:val="1"/>
          <w:bCs w:val="1"/>
          <w:color w:val="auto"/>
        </w:rPr>
        <w:t>Cash Collateral</w:t>
      </w:r>
      <w:r>
        <w:rPr>
          <w:rFonts w:ascii="Arial" w:cs="Arial" w:eastAsia="Arial" w:hAnsi="Arial"/>
          <w:sz w:val="18"/>
          <w:szCs w:val="18"/>
          <w:color w:val="auto"/>
        </w:rPr>
        <w:t>” and “</w:t>
      </w:r>
      <w:r>
        <w:rPr>
          <w:rFonts w:ascii="Arial" w:cs="Arial" w:eastAsia="Arial" w:hAnsi="Arial"/>
          <w:sz w:val="18"/>
          <w:szCs w:val="18"/>
          <w:b w:val="1"/>
          <w:bCs w:val="1"/>
          <w:color w:val="auto"/>
        </w:rPr>
        <w:t>Cash Collateralization</w:t>
      </w:r>
      <w:r>
        <w:rPr>
          <w:rFonts w:ascii="Arial" w:cs="Arial" w:eastAsia="Arial" w:hAnsi="Arial"/>
          <w:sz w:val="18"/>
          <w:szCs w:val="18"/>
          <w:color w:val="auto"/>
        </w:rPr>
        <w:t>” have corresponding meanings).</w:t>
      </w:r>
    </w:p>
    <w:p>
      <w:pPr>
        <w:spacing w:after="0" w:line="180"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shall mean, for any Person: (a) direct obligations of the United States, or of any agency thereof, or obligations guaranteed as to principal and interest by the United States, or by any agency thereof, in either case maturing not more than three years from the date of acquisition thereof by such Person; (b) time deposits, certificates of deposit or bankers’ acceptances (including eurodollar deposits) issued by (i) any bank or trust company organized under the laws of the United States or any state thereof and having capital, surplus and undivided profits of at least $250.0 million that is assigned at least a “B” rating by Thomson Financial BankWatch or (ii) any Lender or bank holding company owning any Lender (in each case, at the time of acquisition); (c) commercial paper maturing not more than three years from the date of acquisition thereof by such Person and (i) issued by any Lender or bank holding company owning any Lender or (ii) rated at least “A</w:t>
      </w:r>
      <w:r>
        <w:rPr>
          <w:rFonts w:ascii="MS PGothic" w:cs="MS PGothic" w:eastAsia="MS PGothic" w:hAnsi="MS PGothic"/>
          <w:sz w:val="16"/>
          <w:szCs w:val="16"/>
          <w:color w:val="auto"/>
        </w:rPr>
        <w:t>‑</w:t>
      </w:r>
      <w:r>
        <w:rPr>
          <w:rFonts w:ascii="Arial" w:cs="Arial" w:eastAsia="Arial" w:hAnsi="Arial"/>
          <w:sz w:val="16"/>
          <w:szCs w:val="16"/>
          <w:color w:val="auto"/>
        </w:rPr>
        <w:t>2” or the equivalent thereof by S&amp;P or at least “P-2” or the equivalent thereof by Moody’s or at least “F-2” or the equivalent thereof by Fitch, respectively, or, if none of S&amp;P, Moody’s nor Fitch shall be rating such securities, then from another nationally recognized rating service (in each case, at the time of acquisition); (d) repurchase obligations with a term of not more than thirty (30) days for underlying securities of the types described in clause (a) above or (e) below entered into with a bank meeting the qualifications described in clause (b) above (in each case, at the time of acquisition); (e) securities with maturities of three years or less from the date of acquisition issued or fully guaranteed by any state, commonwealth or territory of the United States, or by any political subdivision or taxing authority thereof or by any foreign government, and having an investment grade rating from S&amp;P, Moody’s or Fitch or, if none of S&amp;P, Moody’s nor Fitch shall be rating such securities, then from another nationally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90" w:name="page91"/>
    <w:bookmarkEnd w:id="90"/>
    <w:p>
      <w:pPr>
        <w:jc w:val="both"/>
        <w:spacing w:after="0" w:line="271" w:lineRule="auto"/>
        <w:rPr>
          <w:sz w:val="20"/>
          <w:szCs w:val="20"/>
          <w:color w:val="auto"/>
        </w:rPr>
      </w:pPr>
      <w:r>
        <w:rPr>
          <w:rFonts w:ascii="Arial" w:cs="Arial" w:eastAsia="Arial" w:hAnsi="Arial"/>
          <w:sz w:val="17"/>
          <w:szCs w:val="17"/>
          <w:color w:val="auto"/>
        </w:rPr>
        <w:t>recognized rating service (in each case, at the time of acquisition); (f) securities with maturities of six months or less from the date of acquisition backed by standby letters of credit issued by any Lender or any commercial bank satisfying the requirements of clause (b) above (in each case, at the time of acquisition); (g) money market mutual funds that invest primarily in the foregoing items (determined at the time such investment in such fund is made);</w:t>
      </w:r>
    </w:p>
    <w:p>
      <w:pPr>
        <w:jc w:val="both"/>
        <w:ind w:firstLine="8"/>
        <w:spacing w:after="0" w:line="268" w:lineRule="auto"/>
        <w:tabs>
          <w:tab w:leader="none" w:pos="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corporate notes having an investment grade rating from S&amp;P, Moody’s or Fitch or, if none of S&amp;P, Moody’s nor Fitch shall be rating such notes, then from another nationally recognized rating service; provided, that at no time shall the value of Cash Equivalents under this clause (h) exceed 10% of the aggregate value of Cash and Cash Equivalents then held by Borrower and its Subsidiaries; or (i) marketable direct obligations issued by, or unconditionally guaranteed by, a country other than the United States, or issued by any agency of such country and backed by the full faith and credit of such country, so long as the indebtedness of such country has an investment grade rating from S&amp;P, Moody’s or Fitch or, if none of S&amp;P, Moody’s nor Fitch shall be rating such securities, then from another nationally recognized rating service (in each case, at the time of acquisition), (ii) time deposits, certificates of deposit or bankers’ acceptances issued by any commercial bank which is organized and existing under the laws of a country other than the United States or payable to a Company promptly following demand and maturing within two years of the date of acquisition and (iii) other customarily utilized high-quality or cash equivalent-type Investments in a country other than the United States.</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Agreement</w:t>
      </w:r>
      <w:r>
        <w:rPr>
          <w:rFonts w:ascii="Arial" w:cs="Arial" w:eastAsia="Arial" w:hAnsi="Arial"/>
          <w:sz w:val="18"/>
          <w:szCs w:val="18"/>
          <w:color w:val="auto"/>
        </w:rPr>
        <w:t>” shall mean any agreement to provide cash management services, including treasury, depository, overdraft, credit or debit card, electronic funds transfer and other cash management arrangements.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Bank</w:t>
      </w:r>
      <w:r>
        <w:rPr>
          <w:rFonts w:ascii="Arial" w:cs="Arial" w:eastAsia="Arial" w:hAnsi="Arial"/>
          <w:sz w:val="18"/>
          <w:szCs w:val="18"/>
          <w:color w:val="auto"/>
        </w:rPr>
        <w:t>” shall mean any Person that is a party to a Cash Management Agreement with Borrower and/or any of its Restricted Subsidiaries if such Person was, at the date of entering into such Cash Management Agreement, an Agent, a Lender or an Affiliate of an Agent or a Lender,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Section 12.03.</w:t>
      </w:r>
    </w:p>
    <w:p>
      <w:pPr>
        <w:spacing w:after="0" w:line="1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Casualty Event</w:t>
      </w:r>
      <w:r>
        <w:rPr>
          <w:rFonts w:ascii="Arial" w:cs="Arial" w:eastAsia="Arial" w:hAnsi="Arial"/>
          <w:sz w:val="17"/>
          <w:szCs w:val="17"/>
          <w:color w:val="auto"/>
        </w:rPr>
        <w:t xml:space="preserve">” shall mean any loss of title or any loss of or damage to or destruction of, or any condemnation or other taking (or settlement in lieu thereof) (including by any Governmental Authority) of, any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no such event shall constitute a Casualty Event if the proceeds thereof or other compensation in respect thereof is less than $15.0 million. “Casualty Event” shall include, but not be limited to, any taking of all or any part of any Real Property of Borrower or any of its Restricted Subsidiaries or any part thereof, in or by condemnation or other eminent domain proceedings pursuant to any Law (or settlement in lieu thereof), or by reason of the temporary requisition of the use or occupancy of all or any part of any Real Property of Borrower or any of its Restricted Subsidiaries or any part thereof by any Governmental Authority, civil or military.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CERCLA</w:t>
      </w:r>
      <w:r>
        <w:rPr>
          <w:rFonts w:ascii="Arial" w:cs="Arial" w:eastAsia="Arial" w:hAnsi="Arial"/>
          <w:sz w:val="16"/>
          <w:szCs w:val="16"/>
          <w:color w:val="auto"/>
        </w:rPr>
        <w:t xml:space="preserve">” shall mean the Comprehensive Environmental Response, Compensation, and Liability Act of 1980, as amended, 42 U.S.C. § 9601 </w:t>
      </w:r>
      <w:r>
        <w:rPr>
          <w:rFonts w:ascii="Arial" w:cs="Arial" w:eastAsia="Arial" w:hAnsi="Arial"/>
          <w:sz w:val="16"/>
          <w:szCs w:val="16"/>
          <w:i w:val="1"/>
          <w:iCs w:val="1"/>
          <w:color w:val="auto"/>
        </w:rPr>
        <w:t>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seq.</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 Holdco</w:t>
      </w:r>
      <w:r>
        <w:rPr>
          <w:rFonts w:ascii="Arial" w:cs="Arial" w:eastAsia="Arial" w:hAnsi="Arial"/>
          <w:sz w:val="18"/>
          <w:szCs w:val="18"/>
          <w:color w:val="auto"/>
        </w:rPr>
        <w:t>” shall mean any Subsidiary that has no material assets other than Equity Interests in one or more Foreign Subsidiaries that is a “controlled foreign corporation” within the meaning of Section 957 of the Code.</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xml:space="preserve">” shall mean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be deemed to have occurred if: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0" w:right="239" w:bottom="1440" w:gutter="0" w:footer="0" w:header="0"/>
        </w:sectPr>
      </w:pPr>
    </w:p>
    <w:bookmarkStart w:id="91" w:name="page92"/>
    <w:bookmarkEnd w:id="91"/>
    <w:p>
      <w:pPr>
        <w:ind w:left="1500" w:hanging="520"/>
        <w:spacing w:after="0"/>
        <w:tabs>
          <w:tab w:leader="none" w:pos="1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Wynn Resorts shall at any time fail to own, directly or indirectly, 60% or more of the voting power of the total outstanding Voting Stock</w:t>
      </w:r>
    </w:p>
    <w:p>
      <w:pPr>
        <w:spacing w:after="0" w:line="7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of Borrower;</w:t>
      </w:r>
    </w:p>
    <w:p>
      <w:pPr>
        <w:spacing w:after="0" w:line="265" w:lineRule="exact"/>
        <w:rPr>
          <w:rFonts w:ascii="Arial" w:cs="Arial" w:eastAsia="Arial" w:hAnsi="Arial"/>
          <w:sz w:val="16"/>
          <w:szCs w:val="16"/>
          <w:color w:val="auto"/>
        </w:rPr>
      </w:pPr>
    </w:p>
    <w:p>
      <w:pPr>
        <w:ind w:left="340" w:firstLine="640"/>
        <w:spacing w:after="0" w:line="324" w:lineRule="auto"/>
        <w:tabs>
          <w:tab w:leader="none" w:pos="1569" w:val="left"/>
        </w:tabs>
        <w:numPr>
          <w:ilvl w:val="0"/>
          <w:numId w:val="32"/>
        </w:numPr>
        <w:rPr>
          <w:rFonts w:ascii="Arial" w:cs="Arial" w:eastAsia="Arial" w:hAnsi="Arial"/>
          <w:sz w:val="18"/>
          <w:szCs w:val="18"/>
          <w:color w:val="auto"/>
        </w:rPr>
      </w:pPr>
      <w:r>
        <w:rPr>
          <w:rFonts w:ascii="Arial" w:cs="Arial" w:eastAsia="Arial" w:hAnsi="Arial"/>
          <w:sz w:val="18"/>
          <w:szCs w:val="18"/>
          <w:color w:val="auto"/>
        </w:rPr>
        <w:t>Wynn Resorts shall at any time fail to own, directly or indirectly, 50% or more of the voting power of the total outstanding Voting Stock and 50% or more of the total economic interest of Wynn Macau; or</w:t>
      </w:r>
    </w:p>
    <w:p>
      <w:pPr>
        <w:spacing w:after="0" w:line="170" w:lineRule="exact"/>
        <w:rPr>
          <w:rFonts w:ascii="Arial" w:cs="Arial" w:eastAsia="Arial" w:hAnsi="Arial"/>
          <w:sz w:val="18"/>
          <w:szCs w:val="18"/>
          <w:color w:val="auto"/>
        </w:rPr>
      </w:pPr>
    </w:p>
    <w:p>
      <w:pPr>
        <w:ind w:left="340" w:firstLine="640"/>
        <w:spacing w:after="0" w:line="324" w:lineRule="auto"/>
        <w:tabs>
          <w:tab w:leader="none" w:pos="15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Borrower shall at any time fail to own, directly or indirectly, 100% of the voting power of the total outstanding Voting Stock of Wynn Massachusetts and, from and after the Wynn Las Vegas Reorganization, Wynn Las Vegas.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Charges</w:t>
      </w:r>
      <w:r>
        <w:rPr>
          <w:rFonts w:ascii="Arial" w:cs="Arial" w:eastAsia="Arial" w:hAnsi="Arial"/>
          <w:sz w:val="18"/>
          <w:szCs w:val="18"/>
          <w:color w:val="auto"/>
        </w:rPr>
        <w:t>” has the meaning set forth in Section 13.19.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has the meaning set forth in Section 1.03.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the date of this Agreement, which date is November 20,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Revolving Commitment</w:t>
      </w:r>
      <w:r>
        <w:rPr>
          <w:rFonts w:ascii="Arial" w:cs="Arial" w:eastAsia="Arial" w:hAnsi="Arial"/>
          <w:sz w:val="18"/>
          <w:szCs w:val="18"/>
          <w:color w:val="auto"/>
        </w:rPr>
        <w:t>” shall mean a Revolving Commitment established on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Revolving Facility</w:t>
      </w:r>
      <w:r>
        <w:rPr>
          <w:rFonts w:ascii="Arial" w:cs="Arial" w:eastAsia="Arial" w:hAnsi="Arial"/>
          <w:sz w:val="18"/>
          <w:szCs w:val="18"/>
          <w:color w:val="auto"/>
        </w:rPr>
        <w:t>” shall mean the credit facility comprising the Closing Date Revolving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all of the Pledged Collateral, the Mortgaged Real Property, all Property encumbered pursuant to Sections 9.08 and 9.11, and all other Property of a Credit Party, whether now owned or hereafter acquired, upon which a Lien securing the Obligations is granted or purported to be granted under any Security Document. “Collateral” shall not include any assets or Property that has been released (in accordance with the Credit Documents) from the Lien granted to the Collateral Agent pursuant to the Collateral Documents, unless and until such time as such assets or Property are required by the Credit Documents to again become subject to a Lien in favor of the Collateral Agent.</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shall mean (a) a Deposit Account (as defined in the UCC) of Borrower with respect to which Collateral Agent has “control” (as defined in Section 9-104 of the UCC) or (b) a Securities Account (as defined in the UCC) of Borrower with respect to which Collateral Agent has “control” (as defined in Section 9-106 of the UCC).</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Commitments</w:t>
      </w:r>
      <w:r>
        <w:rPr>
          <w:rFonts w:ascii="Arial" w:cs="Arial" w:eastAsia="Arial" w:hAnsi="Arial"/>
          <w:sz w:val="18"/>
          <w:szCs w:val="18"/>
          <w:color w:val="auto"/>
        </w:rPr>
        <w:t>” shall mean the Revolving Commitments, the Term Facility Commitments</w:t>
      </w:r>
      <w:r>
        <w:rPr>
          <w:rFonts w:ascii="Arial" w:cs="Arial" w:eastAsia="Arial" w:hAnsi="Arial"/>
          <w:sz w:val="18"/>
          <w:szCs w:val="18"/>
          <w:b w:val="1"/>
          <w:bCs w:val="1"/>
          <w:u w:val="single" w:color="auto"/>
          <w:color w:val="0000FF"/>
        </w:rPr>
        <w:t>, the Term Facility II Commitments</w:t>
      </w:r>
      <w:r>
        <w:rPr>
          <w:rFonts w:ascii="Arial" w:cs="Arial" w:eastAsia="Arial" w:hAnsi="Arial"/>
          <w:sz w:val="18"/>
          <w:szCs w:val="18"/>
          <w:color w:val="auto"/>
        </w:rPr>
        <w:t xml:space="preserve"> and any Other Commitments.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Exchange Act</w:t>
      </w:r>
      <w:r>
        <w:rPr>
          <w:rFonts w:ascii="Arial" w:cs="Arial" w:eastAsia="Arial" w:hAnsi="Arial"/>
          <w:sz w:val="16"/>
          <w:szCs w:val="16"/>
          <w:color w:val="auto"/>
        </w:rPr>
        <w:t>” shall mean the Commodity Exchange Act (7 U.S.C. § 1 et seq.), as amended from time to time, and any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w:t>
      </w:r>
      <w:r>
        <w:rPr>
          <w:rFonts w:ascii="Arial" w:cs="Arial" w:eastAsia="Arial" w:hAnsi="Arial"/>
          <w:sz w:val="18"/>
          <w:szCs w:val="18"/>
          <w:color w:val="auto"/>
        </w:rPr>
        <w:t>” shall mean Borrower and its Subsidiaries; and “</w:t>
      </w:r>
      <w:r>
        <w:rPr>
          <w:rFonts w:ascii="Arial" w:cs="Arial" w:eastAsia="Arial" w:hAnsi="Arial"/>
          <w:sz w:val="18"/>
          <w:szCs w:val="18"/>
          <w:b w:val="1"/>
          <w:bCs w:val="1"/>
          <w:color w:val="auto"/>
        </w:rPr>
        <w:t>Company</w:t>
      </w:r>
      <w:r>
        <w:rPr>
          <w:rFonts w:ascii="Arial" w:cs="Arial" w:eastAsia="Arial" w:hAnsi="Arial"/>
          <w:sz w:val="18"/>
          <w:szCs w:val="18"/>
          <w:color w:val="auto"/>
        </w:rPr>
        <w:t>” shall mean any one of them.</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xml:space="preserve">” shall mean a Person or Affiliate of any Person (other than, subject to the other limitations set forth in this definition, an Affiliate of any Credit Party) that operates, manages or controls the operation of a Facility or controls, has entered into any agreement to control or is under common control with, in each case directly or indirectly, any entity that operates, manages or controls the operation of a Facility;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include (i) commercial or corporate banks and (ii) any funds which principally hold passive investments in commercial loans or debt securities for investment purposes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27" w:right="239" w:bottom="1440" w:gutter="0" w:footer="0" w:header="0"/>
        </w:sectPr>
      </w:pPr>
    </w:p>
    <w:bookmarkStart w:id="92" w:name="page93"/>
    <w:bookmarkEnd w:id="92"/>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Guaranty</w:t>
      </w:r>
      <w:r>
        <w:rPr>
          <w:rFonts w:ascii="Arial" w:cs="Arial" w:eastAsia="Arial" w:hAnsi="Arial"/>
          <w:sz w:val="18"/>
          <w:szCs w:val="18"/>
          <w:color w:val="auto"/>
        </w:rPr>
        <w:t xml:space="preserve">” shall mean a completion guaranty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between Wynn Resorts and Administrative Agent, as the same may be amended in accordance with the terms thereof and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Companies</w:t>
      </w:r>
      <w:r>
        <w:rPr>
          <w:rFonts w:ascii="Arial" w:cs="Arial" w:eastAsia="Arial" w:hAnsi="Arial"/>
          <w:sz w:val="18"/>
          <w:szCs w:val="18"/>
          <w:color w:val="auto"/>
        </w:rPr>
        <w:t>” shall mean Borrower and each Subsidiary of Borrower (whether now existing or hereafter created or acquired), the financial statements of which are (or should be) consolidated with the financial statements of Borrower in accordance with GAAP.</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Current Assets</w:t>
      </w:r>
      <w:r>
        <w:rPr>
          <w:rFonts w:ascii="Arial" w:cs="Arial" w:eastAsia="Arial" w:hAnsi="Arial"/>
          <w:sz w:val="18"/>
          <w:szCs w:val="18"/>
          <w:color w:val="auto"/>
        </w:rPr>
        <w:t>” means, with respect to any Person at any date, the total consolidated current assets of such Person and its Subsidiaries (other than Unrestricted Subsidiaries) that would, in accordance with GAAP, be classified as current assets on a consolidated balance sheet of such Person and its Subsidiaries (other than Unrestricted Subsidiaries), other than (x) cash and Cash Equivalents and (y) the current portion of deferred income tax assets.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Current Liabilities</w:t>
      </w:r>
      <w:r>
        <w:rPr>
          <w:rFonts w:ascii="Arial" w:cs="Arial" w:eastAsia="Arial" w:hAnsi="Arial"/>
          <w:sz w:val="18"/>
          <w:szCs w:val="18"/>
          <w:color w:val="auto"/>
        </w:rPr>
        <w:t>” means, with respect to any Person at any date, all liabilities of such Person and its Subsidiaries (other than Unrestricted Subsidiaries) at such date that would, in accordance with GAAP, be classified as current liabilities on a consolidated balance sheet of such Person and its Subsidiaries (other than Unrestricted Subsidiaries), other than (x) the current portion of any Indebtedness and (y) the current portion of deferred income taxes.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xml:space="preserve">” shall mean, for any Test Period, the sum (without duplication) of Consolidated Net Income for such Test Period; </w:t>
      </w:r>
      <w:r>
        <w:rPr>
          <w:rFonts w:ascii="Arial" w:cs="Arial" w:eastAsia="Arial" w:hAnsi="Arial"/>
          <w:sz w:val="17"/>
          <w:szCs w:val="17"/>
          <w:i w:val="1"/>
          <w:iCs w:val="1"/>
          <w:color w:val="auto"/>
        </w:rPr>
        <w:t>plus</w:t>
      </w:r>
    </w:p>
    <w:p>
      <w:pPr>
        <w:spacing w:after="0" w:line="268" w:lineRule="exact"/>
        <w:rPr>
          <w:sz w:val="20"/>
          <w:szCs w:val="20"/>
          <w:color w:val="auto"/>
        </w:rPr>
      </w:pPr>
    </w:p>
    <w:p>
      <w:pPr>
        <w:ind w:left="1500" w:hanging="520"/>
        <w:spacing w:after="0"/>
        <w:tabs>
          <w:tab w:leader="none" w:pos="1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each case to the extent deducted in calculating such Consolidated Net Income:</w:t>
      </w:r>
    </w:p>
    <w:p>
      <w:pPr>
        <w:spacing w:after="0" w:line="238" w:lineRule="exact"/>
        <w:rPr>
          <w:rFonts w:ascii="Arial" w:cs="Arial" w:eastAsia="Arial" w:hAnsi="Arial"/>
          <w:sz w:val="18"/>
          <w:szCs w:val="18"/>
          <w:color w:val="auto"/>
        </w:rPr>
      </w:pPr>
    </w:p>
    <w:p>
      <w:pPr>
        <w:ind w:left="660" w:firstLine="645"/>
        <w:spacing w:after="0" w:line="277" w:lineRule="auto"/>
        <w:tabs>
          <w:tab w:leader="none" w:pos="1778" w:val="left"/>
        </w:tabs>
        <w:numPr>
          <w:ilvl w:val="1"/>
          <w:numId w:val="33"/>
        </w:numPr>
        <w:rPr>
          <w:rFonts w:ascii="Arial" w:cs="Arial" w:eastAsia="Arial" w:hAnsi="Arial"/>
          <w:sz w:val="18"/>
          <w:szCs w:val="18"/>
          <w:color w:val="auto"/>
        </w:rPr>
      </w:pPr>
      <w:r>
        <w:rPr>
          <w:rFonts w:ascii="Arial" w:cs="Arial" w:eastAsia="Arial" w:hAnsi="Arial"/>
          <w:sz w:val="18"/>
          <w:szCs w:val="18"/>
          <w:color w:val="auto"/>
        </w:rPr>
        <w:t>provisions for taxes based on income or profits or capital gains, plus franchise or similar taxes, of Borrower and its Restricted Subsidiaries for such Test Period;</w:t>
      </w:r>
    </w:p>
    <w:p>
      <w:pPr>
        <w:spacing w:after="0" w:line="170" w:lineRule="exact"/>
        <w:rPr>
          <w:rFonts w:ascii="Arial" w:cs="Arial" w:eastAsia="Arial" w:hAnsi="Arial"/>
          <w:sz w:val="18"/>
          <w:szCs w:val="18"/>
          <w:color w:val="auto"/>
        </w:rPr>
      </w:pPr>
    </w:p>
    <w:p>
      <w:pPr>
        <w:ind w:left="660" w:firstLine="645"/>
        <w:spacing w:after="0" w:line="277" w:lineRule="auto"/>
        <w:tabs>
          <w:tab w:leader="none" w:pos="1733"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Consolidated Interest Expense of Borrower and its Restricted Subsidiaries for such Test Period, whether paid or accrued and whether or not capitalized;</w:t>
      </w:r>
    </w:p>
    <w:p>
      <w:pPr>
        <w:spacing w:after="0" w:line="170" w:lineRule="exact"/>
        <w:rPr>
          <w:rFonts w:ascii="Arial" w:cs="Arial" w:eastAsia="Arial" w:hAnsi="Arial"/>
          <w:sz w:val="18"/>
          <w:szCs w:val="18"/>
          <w:color w:val="auto"/>
        </w:rPr>
      </w:pPr>
    </w:p>
    <w:p>
      <w:pPr>
        <w:jc w:val="both"/>
        <w:ind w:left="660" w:firstLine="645"/>
        <w:spacing w:after="0" w:line="312" w:lineRule="auto"/>
        <w:tabs>
          <w:tab w:leader="none" w:pos="1767"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w:t>
      </w:r>
    </w:p>
    <w:p>
      <w:pPr>
        <w:spacing w:after="0" w:line="146" w:lineRule="exact"/>
        <w:rPr>
          <w:rFonts w:ascii="Arial" w:cs="Arial" w:eastAsia="Arial" w:hAnsi="Arial"/>
          <w:sz w:val="16"/>
          <w:szCs w:val="16"/>
          <w:color w:val="auto"/>
        </w:rPr>
      </w:pPr>
    </w:p>
    <w:p>
      <w:pPr>
        <w:jc w:val="both"/>
        <w:ind w:left="660" w:firstLine="645"/>
        <w:spacing w:after="0" w:line="284" w:lineRule="auto"/>
        <w:tabs>
          <w:tab w:leader="none" w:pos="1811"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and any other non-cash charges or expenses, including any write off or write downs, reducing Consolidated Net Income (excluding (x) any amortization of a prepaid cash expense that was paid in a prior Test Period and (y) any non-cash charges and expenses that result in an accrual of a reserve for cash charges in any future Test Period that Borrower elects not to add back in the current Test Period (it being understood that reserves may be charged in the current Test Period or when paid, as reasonably determined by Borrower)) of Borrower and its Restricted Subsidiaries for such Test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non-cash charges or expenses represent an accrual of a reserve for potential cash items in any future Test Period, the cash payment in respect thereof in such future Test Period shall be subtracted from Consolidated EBITDA to the extent Borrower elected to previously add back such amounts to Consolidated</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EBITDA;</w:t>
      </w:r>
    </w:p>
    <w:p>
      <w:pPr>
        <w:spacing w:after="0" w:line="210" w:lineRule="exact"/>
        <w:rPr>
          <w:rFonts w:ascii="Arial" w:cs="Arial" w:eastAsia="Arial" w:hAnsi="Arial"/>
          <w:sz w:val="16"/>
          <w:szCs w:val="16"/>
          <w:color w:val="auto"/>
        </w:rPr>
      </w:pPr>
    </w:p>
    <w:p>
      <w:pPr>
        <w:ind w:left="1700" w:hanging="395"/>
        <w:spacing w:after="0"/>
        <w:tabs>
          <w:tab w:leader="none" w:pos="17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Pre-Opening Expenses;</w:t>
      </w:r>
    </w:p>
    <w:p>
      <w:pPr>
        <w:spacing w:after="0" w:line="225" w:lineRule="exact"/>
        <w:rPr>
          <w:rFonts w:ascii="Arial" w:cs="Arial" w:eastAsia="Arial" w:hAnsi="Arial"/>
          <w:sz w:val="18"/>
          <w:szCs w:val="18"/>
          <w:color w:val="auto"/>
        </w:rPr>
      </w:pPr>
    </w:p>
    <w:p>
      <w:pPr>
        <w:jc w:val="both"/>
        <w:ind w:left="660" w:firstLine="645"/>
        <w:spacing w:after="0" w:line="302" w:lineRule="auto"/>
        <w:tabs>
          <w:tab w:leader="none" w:pos="1759"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amount of any restructuring charges or reserve (including those relating to severance, relocation costs and one-time compensation charges), costs incurred in connection with any non-recurring strategic initiatives, other business optimization expenses (including incentive costs and expenses relating to business optimization programs and signing, retention and completion bonuses) and any unusual or non-recurring charges or items of loss or expense (including, without limitation, losses on asset sales (other than asset sales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96" w:right="239" w:bottom="1440" w:gutter="0" w:footer="0" w:header="0"/>
        </w:sectPr>
      </w:pPr>
    </w:p>
    <w:bookmarkStart w:id="93" w:name="page94"/>
    <w:bookmarkEnd w:id="93"/>
    <w:p>
      <w:pPr>
        <w:jc w:val="both"/>
        <w:ind w:left="328" w:firstLine="645"/>
        <w:spacing w:after="0" w:line="257" w:lineRule="auto"/>
        <w:tabs>
          <w:tab w:leader="none" w:pos="151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charges, fees and expenses (or any amortization thereof) (including, without limitation, all legal, accounting, advisory or other transaction-related fees, charges, costs and expenses and any bonuses or success fee payments related to the Transactions) related to the Transactions, any Permitted Acquisition or Investment (including any other Acquisition) or disposition (or any such proposed acquisition, Investment or disposition) (including amortization or write offs of debt issuance or deferred financing costs, premiums and prepayment penalties), in each case, whether or not successful;</w:t>
      </w:r>
    </w:p>
    <w:p>
      <w:pPr>
        <w:spacing w:after="0" w:line="188" w:lineRule="exact"/>
        <w:rPr>
          <w:rFonts w:ascii="Arial" w:cs="Arial" w:eastAsia="Arial" w:hAnsi="Arial"/>
          <w:sz w:val="18"/>
          <w:szCs w:val="18"/>
          <w:color w:val="auto"/>
        </w:rPr>
      </w:pPr>
    </w:p>
    <w:p>
      <w:pPr>
        <w:ind w:left="1508" w:hanging="535"/>
        <w:spacing w:after="0"/>
        <w:tabs>
          <w:tab w:leader="none" w:pos="1508"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losses resulting from mark to market accounting of Swap Contracts or other derivative instruments; and</w:t>
      </w:r>
    </w:p>
    <w:p>
      <w:pPr>
        <w:spacing w:after="0" w:line="225" w:lineRule="exact"/>
        <w:rPr>
          <w:rFonts w:ascii="Arial" w:cs="Arial" w:eastAsia="Arial" w:hAnsi="Arial"/>
          <w:sz w:val="18"/>
          <w:szCs w:val="18"/>
          <w:color w:val="auto"/>
        </w:rPr>
      </w:pPr>
    </w:p>
    <w:p>
      <w:pPr>
        <w:jc w:val="both"/>
        <w:ind w:left="328" w:firstLine="645"/>
        <w:spacing w:after="0" w:line="286" w:lineRule="auto"/>
        <w:tabs>
          <w:tab w:leader="none" w:pos="1451" w:val="left"/>
        </w:tabs>
        <w:numPr>
          <w:ilvl w:val="2"/>
          <w:numId w:val="34"/>
        </w:numPr>
        <w:rPr>
          <w:rFonts w:ascii="Arial" w:cs="Arial" w:eastAsia="Arial" w:hAnsi="Arial"/>
          <w:sz w:val="17"/>
          <w:szCs w:val="17"/>
          <w:color w:val="auto"/>
        </w:rPr>
      </w:pPr>
      <w:r>
        <w:rPr>
          <w:rFonts w:ascii="Arial" w:cs="Arial" w:eastAsia="Arial" w:hAnsi="Arial"/>
          <w:sz w:val="17"/>
          <w:szCs w:val="17"/>
          <w:color w:val="auto"/>
        </w:rPr>
        <w:t xml:space="preserve">the aggregate amount of accrued and unpaid Management Fees and IP Licensing Fees;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cash payment in respect of such accrued and unpaid Management Fees and IP Licensing Fees in any future Test Period shall be subtracted from Consolidated EBITDA in such Test Period to the extent Borrower elected to previously add back such amounts to Consolidated EBITDA; </w:t>
      </w:r>
      <w:r>
        <w:rPr>
          <w:rFonts w:ascii="Arial" w:cs="Arial" w:eastAsia="Arial" w:hAnsi="Arial"/>
          <w:sz w:val="17"/>
          <w:szCs w:val="17"/>
          <w:i w:val="1"/>
          <w:iCs w:val="1"/>
          <w:color w:val="auto"/>
        </w:rPr>
        <w:t>minus</w:t>
      </w:r>
    </w:p>
    <w:p>
      <w:pPr>
        <w:spacing w:after="0" w:line="192" w:lineRule="exact"/>
        <w:rPr>
          <w:rFonts w:ascii="Arial" w:cs="Arial" w:eastAsia="Arial" w:hAnsi="Arial"/>
          <w:sz w:val="17"/>
          <w:szCs w:val="17"/>
          <w:color w:val="auto"/>
        </w:rPr>
      </w:pPr>
    </w:p>
    <w:p>
      <w:pPr>
        <w:ind w:left="1188" w:hanging="540"/>
        <w:spacing w:after="0"/>
        <w:tabs>
          <w:tab w:leader="none" w:pos="11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each case to the extent included in calculating such Consolidated Net Income:</w:t>
      </w:r>
    </w:p>
    <w:p>
      <w:pPr>
        <w:spacing w:after="0" w:line="265" w:lineRule="exact"/>
        <w:rPr>
          <w:rFonts w:ascii="Arial" w:cs="Arial" w:eastAsia="Arial" w:hAnsi="Arial"/>
          <w:sz w:val="18"/>
          <w:szCs w:val="18"/>
          <w:color w:val="auto"/>
        </w:rPr>
      </w:pPr>
    </w:p>
    <w:p>
      <w:pPr>
        <w:jc w:val="both"/>
        <w:ind w:left="328" w:firstLine="645"/>
        <w:spacing w:after="0" w:line="336" w:lineRule="auto"/>
        <w:tabs>
          <w:tab w:leader="none" w:pos="1632" w:val="left"/>
        </w:tabs>
        <w:numPr>
          <w:ilvl w:val="2"/>
          <w:numId w:val="35"/>
        </w:numPr>
        <w:rPr>
          <w:rFonts w:ascii="Arial" w:cs="Arial" w:eastAsia="Arial" w:hAnsi="Arial"/>
          <w:sz w:val="17"/>
          <w:szCs w:val="17"/>
          <w:color w:val="auto"/>
        </w:rPr>
      </w:pPr>
      <w:r>
        <w:rPr>
          <w:rFonts w:ascii="Arial" w:cs="Arial" w:eastAsia="Arial" w:hAnsi="Arial"/>
          <w:sz w:val="17"/>
          <w:szCs w:val="17"/>
          <w:color w:val="auto"/>
        </w:rPr>
        <w:t>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w:t>
      </w:r>
    </w:p>
    <w:p>
      <w:pPr>
        <w:spacing w:after="0" w:line="164" w:lineRule="exact"/>
        <w:rPr>
          <w:rFonts w:ascii="Arial" w:cs="Arial" w:eastAsia="Arial" w:hAnsi="Arial"/>
          <w:sz w:val="17"/>
          <w:szCs w:val="17"/>
          <w:color w:val="auto"/>
        </w:rPr>
      </w:pPr>
    </w:p>
    <w:p>
      <w:pPr>
        <w:ind w:left="1688" w:hanging="715"/>
        <w:spacing w:after="0"/>
        <w:tabs>
          <w:tab w:leader="none" w:pos="1688" w:val="left"/>
        </w:tabs>
        <w:numPr>
          <w:ilvl w:val="2"/>
          <w:numId w:val="35"/>
        </w:numPr>
        <w:rPr>
          <w:rFonts w:ascii="Arial" w:cs="Arial" w:eastAsia="Arial" w:hAnsi="Arial"/>
          <w:sz w:val="17"/>
          <w:szCs w:val="17"/>
          <w:color w:val="auto"/>
        </w:rPr>
      </w:pPr>
      <w:r>
        <w:rPr>
          <w:rFonts w:ascii="Arial" w:cs="Arial" w:eastAsia="Arial" w:hAnsi="Arial"/>
          <w:sz w:val="17"/>
          <w:szCs w:val="17"/>
          <w:color w:val="auto"/>
        </w:rPr>
        <w:t xml:space="preserve">the amount of any gains resulting from mark to market accounting of Swap Contracts or other derivative instruments; </w:t>
      </w:r>
      <w:r>
        <w:rPr>
          <w:rFonts w:ascii="Arial" w:cs="Arial" w:eastAsia="Arial" w:hAnsi="Arial"/>
          <w:sz w:val="17"/>
          <w:szCs w:val="17"/>
          <w:i w:val="1"/>
          <w:iCs w:val="1"/>
          <w:color w:val="auto"/>
        </w:rPr>
        <w:t>plus</w:t>
      </w:r>
    </w:p>
    <w:p>
      <w:pPr>
        <w:spacing w:after="0" w:line="277" w:lineRule="exact"/>
        <w:rPr>
          <w:rFonts w:ascii="Arial" w:cs="Arial" w:eastAsia="Arial" w:hAnsi="Arial"/>
          <w:sz w:val="17"/>
          <w:szCs w:val="17"/>
          <w:color w:val="auto"/>
        </w:rPr>
      </w:pPr>
    </w:p>
    <w:p>
      <w:pPr>
        <w:jc w:val="both"/>
        <w:ind w:left="8" w:firstLine="640"/>
        <w:spacing w:after="0" w:line="334" w:lineRule="auto"/>
        <w:tabs>
          <w:tab w:leader="none" w:pos="11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the amount of cost savings, operating expense reductions and synergies projected by Borrower in good faith to be realized as a result of specified actions taken or with respect to which steps have been initiated (in the good faith determination of Borrower) during such Test Period (or with respect to Specified Transactions, are reasonably expected to be initiated within fifteen (15) months of the closing date of the Specified Transaction), including in connection with any Specified Transaction (calculated on a Pro Forma Basis as though such cost savings, operating expense reductions and synergies had been realized during the entirety of such Test Period), net of the amount of actual benefits realized during such Test Period from such 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 duly completed Officer’s Certificate of Borrower shall be delivered to Administrative Agent together with the applicable Section 9.04 Financials, providing reasonable detail with respect to such cost savings, operating expense reductions and synergies and certifying that such savings, operating expense reductions and synergies are reasonably expected to be realized within fifteen (15) months of the taking of such specified actions and are factually supportable in the good faith judgment of Borrower, (ii) such actions are to be taken within fifteen (15) months after the consummation of such Specified Transaction, restructuring or implementation of an initiative that is expected to result in such cost savings, expense reductions or synergies, (iii) no cost savings, operating expense reductions and synergies shall be added pursuant to this clause (c) to the extent duplicative of any expenses or charges otherwise added to Consolidated EBITDA, whether through a pro forma adjustment or otherwise, for such Test Period, and (iv) projected amounts (and not yet realized) may no longer be added in calculating Consolidated EBITDA pursuant to this clause (c) to the extent more than fifteen (15) months have elapsed after the specified action taken in order to realize such projected cost savings, operating expense reductions and synergies; </w:t>
      </w:r>
      <w:r>
        <w:rPr>
          <w:rFonts w:ascii="Arial" w:cs="Arial" w:eastAsia="Arial" w:hAnsi="Arial"/>
          <w:sz w:val="16"/>
          <w:szCs w:val="16"/>
          <w:i w:val="1"/>
          <w:iCs w:val="1"/>
          <w:color w:val="auto"/>
        </w:rPr>
        <w:t>provided</w:t>
      </w:r>
      <w:r>
        <w:rPr>
          <w:rFonts w:ascii="Arial" w:cs="Arial" w:eastAsia="Arial" w:hAnsi="Arial"/>
          <w:sz w:val="16"/>
          <w:szCs w:val="16"/>
          <w:color w:val="auto"/>
        </w:rPr>
        <w:t>, that the aggregate amount of additions made to Consolidated EBITDA for any Test Period pursuant to this clause (c) and Section 1.06(c) shall not (i) exceed 20.0% of Consolidated EBITDA for such Test Period (after giving effect to this clause (c) and Section 1.06(c)) or</w:t>
      </w:r>
    </w:p>
    <w:p>
      <w:pPr>
        <w:spacing w:after="0" w:line="8" w:lineRule="exact"/>
        <w:rPr>
          <w:rFonts w:ascii="Arial" w:cs="Arial" w:eastAsia="Arial" w:hAnsi="Arial"/>
          <w:sz w:val="16"/>
          <w:szCs w:val="16"/>
          <w:color w:val="auto"/>
        </w:rPr>
      </w:pPr>
    </w:p>
    <w:p>
      <w:pPr>
        <w:ind w:left="268" w:hanging="268"/>
        <w:spacing w:after="0"/>
        <w:tabs>
          <w:tab w:leader="none" w:pos="268"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be duplicative of one another; </w:t>
      </w:r>
      <w:r>
        <w:rPr>
          <w:rFonts w:ascii="Arial" w:cs="Arial" w:eastAsia="Arial" w:hAnsi="Arial"/>
          <w:sz w:val="18"/>
          <w:szCs w:val="18"/>
          <w:i w:val="1"/>
          <w:iCs w:val="1"/>
          <w:color w:val="auto"/>
        </w:rPr>
        <w:t>plus</w:t>
      </w:r>
    </w:p>
    <w:p>
      <w:pPr>
        <w:spacing w:after="0" w:line="265" w:lineRule="exact"/>
        <w:rPr>
          <w:rFonts w:ascii="Arial" w:cs="Arial" w:eastAsia="Arial" w:hAnsi="Arial"/>
          <w:sz w:val="18"/>
          <w:szCs w:val="18"/>
          <w:color w:val="auto"/>
        </w:rPr>
      </w:pPr>
    </w:p>
    <w:p>
      <w:pPr>
        <w:jc w:val="both"/>
        <w:ind w:left="8" w:firstLine="640"/>
        <w:spacing w:after="0" w:line="325" w:lineRule="auto"/>
        <w:tabs>
          <w:tab w:leader="none" w:pos="1190"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to the extent not included in Consolidated Net Income, the amount of business interruption insurance proceeds received during such Test Period or after such Test Period and on or prior to the date the calculation is made with respect to such Test Period, attributable to any property which has been closed or had operations curtailed for such Test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amount of insurance proceeds shall only be included pursuant to this clause (d) to the extent of the amount of insurance proceeds </w:t>
      </w:r>
      <w:r>
        <w:rPr>
          <w:rFonts w:ascii="Arial" w:cs="Arial" w:eastAsia="Arial" w:hAnsi="Arial"/>
          <w:sz w:val="17"/>
          <w:szCs w:val="17"/>
          <w:i w:val="1"/>
          <w:iCs w:val="1"/>
          <w:color w:val="auto"/>
        </w:rPr>
        <w:t>plus</w:t>
      </w:r>
      <w:r>
        <w:rPr>
          <w:rFonts w:ascii="Arial" w:cs="Arial" w:eastAsia="Arial" w:hAnsi="Arial"/>
          <w:sz w:val="17"/>
          <w:szCs w:val="17"/>
          <w:color w:val="auto"/>
        </w:rPr>
        <w:t xml:space="preserve"> Consolidated EBITDA attributable to such property for such Test Period (without giving effect to this clause (d)) does not exceed Consolidated EBITDA attributable 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8"/>
          </w:cols>
          <w:pgMar w:left="572" w:top="800" w:right="239" w:bottom="1440" w:gutter="0" w:footer="0" w:header="0"/>
        </w:sectPr>
      </w:pPr>
    </w:p>
    <w:bookmarkStart w:id="94" w:name="page95"/>
    <w:bookmarkEnd w:id="94"/>
    <w:p>
      <w:pPr>
        <w:jc w:val="both"/>
        <w:ind w:left="340"/>
        <w:spacing w:after="0" w:line="306" w:lineRule="auto"/>
        <w:rPr>
          <w:sz w:val="20"/>
          <w:szCs w:val="20"/>
          <w:color w:val="auto"/>
        </w:rPr>
      </w:pPr>
      <w:r>
        <w:rPr>
          <w:rFonts w:ascii="Arial" w:cs="Arial" w:eastAsia="Arial" w:hAnsi="Arial"/>
          <w:sz w:val="18"/>
          <w:szCs w:val="18"/>
          <w:color w:val="auto"/>
        </w:rPr>
        <w:t xml:space="preserve">such property during the most recently completed four fiscal quarters for which financial results are available that 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Arial" w:cs="Arial" w:eastAsia="Arial" w:hAnsi="Arial"/>
          <w:sz w:val="18"/>
          <w:szCs w:val="18"/>
          <w:i w:val="1"/>
          <w:iCs w:val="1"/>
          <w:color w:val="auto"/>
        </w:rPr>
        <w:t>plus</w:t>
      </w:r>
    </w:p>
    <w:p>
      <w:pPr>
        <w:spacing w:after="0" w:line="187" w:lineRule="exact"/>
        <w:rPr>
          <w:sz w:val="20"/>
          <w:szCs w:val="20"/>
          <w:color w:val="auto"/>
        </w:rPr>
      </w:pPr>
    </w:p>
    <w:p>
      <w:pPr>
        <w:jc w:val="both"/>
        <w:ind w:left="340" w:right="20" w:firstLine="640"/>
        <w:spacing w:after="0" w:line="311" w:lineRule="auto"/>
        <w:tabs>
          <w:tab w:leader="none" w:pos="15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paragraph (b) above for any previous Test Period and not added back.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Consolidated EBITDA shall be further adjusted:</w:t>
      </w:r>
    </w:p>
    <w:p>
      <w:pPr>
        <w:spacing w:after="0" w:line="252" w:lineRule="exact"/>
        <w:rPr>
          <w:sz w:val="20"/>
          <w:szCs w:val="20"/>
          <w:color w:val="auto"/>
        </w:rPr>
      </w:pPr>
    </w:p>
    <w:p>
      <w:pPr>
        <w:jc w:val="both"/>
        <w:ind w:left="340" w:firstLine="640"/>
        <w:spacing w:after="0" w:line="302" w:lineRule="auto"/>
        <w:tabs>
          <w:tab w:leader="none" w:pos="15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include the Consolidated EBITDA of (i) any Person, property, business or asset (including a management agreement or similar agreement) (other than an Unrestricted Subsidiary) acquired by Borrower or any Restricted Subsidiary during such Test Period and (ii) any Unrestricted Subsidiary that is revoked and converted into a Restricted Subsidiary during such Test Period, in each case, based on the Consolidated EBITDA of such Person (or attributable to such property, business or asset) for such period (including the portion thereof occurring prior to such acquisition or Revocation), determined as if references to Borrower and its Restricted Subsidiaries in Consolidated Net Income and other defined terms therein were to such Person and its Subsidiaries;</w:t>
      </w:r>
    </w:p>
    <w:p>
      <w:pPr>
        <w:spacing w:after="0" w:line="192" w:lineRule="exact"/>
        <w:rPr>
          <w:rFonts w:ascii="Arial" w:cs="Arial" w:eastAsia="Arial" w:hAnsi="Arial"/>
          <w:sz w:val="18"/>
          <w:szCs w:val="18"/>
          <w:color w:val="auto"/>
        </w:rPr>
      </w:pPr>
    </w:p>
    <w:p>
      <w:pPr>
        <w:jc w:val="both"/>
        <w:ind w:left="340" w:firstLine="640"/>
        <w:spacing w:after="0" w:line="302" w:lineRule="auto"/>
        <w:tabs>
          <w:tab w:leader="none" w:pos="15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exclude the Consolidated EBITDA of (i) any Person, property, business or asset (other than an Unrestricted Subsidiary) sold, transferred or otherwise disposed of, closed or classified as discontinued operations by Borrower or any Restricted Subsidiary during such Test Period and (ii) any Restricted Subsidiary that is designated as an Unrestricted Subsidiary during such Test Period, in each case based on the actual Consolidated EBITDA of such Person for such period (including the portion thereof occurring prior to such sale, transfer, disposition, closing, classification or conversion), determined as if references to Borrower and its Restricted Subsidiaries in Consolidated Net Income and other defined terms therein were to such Person and its Subsidiaries;</w:t>
      </w:r>
    </w:p>
    <w:p>
      <w:pPr>
        <w:spacing w:after="0" w:line="192" w:lineRule="exact"/>
        <w:rPr>
          <w:rFonts w:ascii="Arial" w:cs="Arial" w:eastAsia="Arial" w:hAnsi="Arial"/>
          <w:sz w:val="18"/>
          <w:szCs w:val="18"/>
          <w:color w:val="auto"/>
        </w:rPr>
      </w:pPr>
    </w:p>
    <w:p>
      <w:pPr>
        <w:jc w:val="both"/>
        <w:ind w:left="340" w:firstLine="640"/>
        <w:spacing w:after="0" w:line="323" w:lineRule="auto"/>
        <w:tabs>
          <w:tab w:leader="none" w:pos="1552"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 any Development Financing Initial Fiscal Quarter and each of the immediately succeeding two fiscal quarters thereafter, by multiplying the Consolidated EBITDA attributable to the applicable Expansion Capital Expenditure or Development Project (as determined by Borrower in good faith) in respect of such three fiscal quarters by: (x) 4 (with respect to the first such quarter), (y) 2 (with respect to the first two such quarters), and (z) 4/3 (with respect to the first three such quarters) and, for the avoidance of doubt, excluding Consolidated EBITDA attributable to such applicable Expansion Capital Expenditures or Development Project for the fiscal quarter immediately preceding such Development Financing Initial Fiscal Quarter when calculating Consolidated EBITDA during any such three fiscal quarters;</w:t>
      </w:r>
    </w:p>
    <w:p>
      <w:pPr>
        <w:spacing w:after="0" w:line="177" w:lineRule="exact"/>
        <w:rPr>
          <w:rFonts w:ascii="Arial" w:cs="Arial" w:eastAsia="Arial" w:hAnsi="Arial"/>
          <w:sz w:val="17"/>
          <w:szCs w:val="17"/>
          <w:color w:val="auto"/>
        </w:rPr>
      </w:pPr>
    </w:p>
    <w:p>
      <w:pPr>
        <w:jc w:val="both"/>
        <w:ind w:left="340" w:firstLine="640"/>
        <w:spacing w:after="0" w:line="311" w:lineRule="auto"/>
        <w:tabs>
          <w:tab w:leader="none" w:pos="15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fiscal quarter in which the Initial Test Date occurs and each of the immediately succeeding two fiscal quarters thereafter, by adding to Consolidated EBITDA (x) $200.0 million (for the first such quarter), (y) $130.0 million (for the second such quarter), and (z) $70.0 million (for the third such quarter);</w:t>
      </w:r>
    </w:p>
    <w:p>
      <w:pPr>
        <w:spacing w:after="0" w:line="181" w:lineRule="exact"/>
        <w:rPr>
          <w:rFonts w:ascii="Arial" w:cs="Arial" w:eastAsia="Arial" w:hAnsi="Arial"/>
          <w:sz w:val="18"/>
          <w:szCs w:val="18"/>
          <w:color w:val="auto"/>
        </w:rPr>
      </w:pPr>
    </w:p>
    <w:p>
      <w:pPr>
        <w:jc w:val="both"/>
        <w:ind w:left="340" w:firstLine="640"/>
        <w:spacing w:after="0" w:line="302" w:lineRule="auto"/>
        <w:tabs>
          <w:tab w:leader="none" w:pos="15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purchase occurs), (b) three (3) (in the case of the quarter following such purchase), (c) two (2) (in the case of the second quarter following such purchase) and (d) one (1) (in the case of the third quarter following such purchase), all as determined on a consolidated basis for Borrower and its Restricted Subsidiaries; and</w:t>
      </w:r>
    </w:p>
    <w:p>
      <w:pPr>
        <w:spacing w:after="0" w:line="192" w:lineRule="exact"/>
        <w:rPr>
          <w:rFonts w:ascii="Arial" w:cs="Arial" w:eastAsia="Arial" w:hAnsi="Arial"/>
          <w:sz w:val="18"/>
          <w:szCs w:val="18"/>
          <w:color w:val="auto"/>
        </w:rPr>
      </w:pPr>
    </w:p>
    <w:p>
      <w:pPr>
        <w:jc w:val="both"/>
        <w:ind w:left="340" w:firstLine="640"/>
        <w:spacing w:after="0" w:line="306" w:lineRule="auto"/>
        <w:tabs>
          <w:tab w:leader="none" w:pos="15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to exclude the Consolidated EBITDA attributable to Restricted Subsidiaries that are not Guarantors, to the extent the Consolidated EBITDA attributable to such Persons exceeds 20% of Consolidated EBITDA for Borrower and its Restricted Subsidiaries for such Test Period (calculated after giving effect to such limitation);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Restricted Subsidiary that is not required to become a Guarantor pursuant to this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28" w:right="239" w:bottom="1440" w:gutter="0" w:footer="0" w:header="0"/>
        </w:sectPr>
      </w:pPr>
    </w:p>
    <w:bookmarkStart w:id="95" w:name="page96"/>
    <w:bookmarkEnd w:id="95"/>
    <w:p>
      <w:pPr>
        <w:jc w:val="both"/>
        <w:ind w:left="340"/>
        <w:spacing w:after="0" w:line="364" w:lineRule="auto"/>
        <w:rPr>
          <w:sz w:val="20"/>
          <w:szCs w:val="20"/>
          <w:color w:val="auto"/>
        </w:rPr>
      </w:pPr>
      <w:r>
        <w:rPr>
          <w:rFonts w:ascii="Arial" w:cs="Arial" w:eastAsia="Arial" w:hAnsi="Arial"/>
          <w:sz w:val="16"/>
          <w:szCs w:val="16"/>
          <w:color w:val="auto"/>
        </w:rPr>
        <w:t xml:space="preserve">Agreement solely as a result of any applicable Gaming Laws or Gaming Approvals, such limitation shall not apply until the date that is ninety (90) days after the date such Restricted Subsidiary would have otherwise been required to become a Guarantor;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from and after the Wynn Las Vegas Reorganization, and prior to the Wynn Las Vegas 2020 and 2022 Note Repayment, this clause (F) shall not apply to the Wynn Las Vegas Entities.</w:t>
      </w:r>
    </w:p>
    <w:p>
      <w:pPr>
        <w:spacing w:after="0" w:line="11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Indebtedness</w:t>
      </w:r>
      <w:r>
        <w:rPr>
          <w:rFonts w:ascii="Arial" w:cs="Arial" w:eastAsia="Arial" w:hAnsi="Arial"/>
          <w:sz w:val="17"/>
          <w:szCs w:val="17"/>
          <w:color w:val="auto"/>
        </w:rPr>
        <w:t xml:space="preserve">” shall mean, as at any date of determination, (a) the aggregate amount of all Indebtedness of Borrower and its Restricted Subsidiaries (other than (x) any such Indebtedness that has been Discharged and (y) Intercompany Contribution Indebtedness) on such date, in an amount that would be reflected on a balance sheet on such date prepared on a consolidated basis in accordance with GAAP, consisting of Indebtedness for borrowed money, obligations in respect of Capital Leases, purchase money Indebtedness, Indebtedness of the kind described in clause (d) of the definition of “Indebtedness,” Indebtedness evidenced by promissory notes and similar instruments and Contingent Obligations in respect of any of the foregoing (to be included only to the extent set forth in clause (iii) below)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Development Financing (excluding Development Financing to the extent proceeds thereof consist of Unrestricted Cash that was deducted from Consolidated Indebtedness for purposes of determining the Consolidated Senior Secured Net Leverage Ratio pursuant to the definitions thereof,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Consolidated Indebtedness shall not include (A) Indebtedness in respect of letters of credit (including Letters of Credit), except to the extent of unreimbursed amounts thereunder or (B) Indebtedness of the type described in clause (i) of the definition thereof, (ii) the amount of Consolidated Indebtedness, in the case of Indebtedness of a Restricted Subsidiary that is not a Wholly Owned Subsidiary, shall be reduced by an amount directly proportional to the amount (if any) by which Consolidated EBITDA was reduced (including through the calculation of Consolidated Net Income) (A) in respect of such non-controlling interest in such Restricted Subsidiary owned by a Person other than Borrower or any of its Restricted Subsidiaries or (B) pursuant to clause (G) of the definition of Consolidated EBITDA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this clause (ii)(B), such Indebtedness is not guaranteed by any Credit Party), (iii) Consolidated Indebtedness shall not include Contingent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and when any such Contingent Obligation is demanded for payment from Borrower or any of its Restricted Subsidiaries, then the amounts of such Contingent Obligation shall be included in such calculations, and (iv) the amount of Consolidated Indebtedness, in the case of Indebtedness of a Subsidiary of Borrower that is not a Guarantor and which Indebtedness is not guaranteed by any Credit Party, shall be reduced by an amount directly proportional to the amount by which Consolidated EBITDA was reduced due to the undistributed earnings of such Subsidiary being excluded from Consolidated Net Income pursuant to clause (d) thereof.</w:t>
      </w:r>
    </w:p>
    <w:p>
      <w:pPr>
        <w:spacing w:after="0" w:line="1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Interest Expense</w:t>
      </w:r>
      <w:r>
        <w:rPr>
          <w:rFonts w:ascii="Arial" w:cs="Arial" w:eastAsia="Arial" w:hAnsi="Arial"/>
          <w:sz w:val="16"/>
          <w:szCs w:val="16"/>
          <w:color w:val="auto"/>
        </w:rPr>
        <w:t xml:space="preserve">” shall mean, for any Test Period, the sum of interest expense of Borrower and its Restricted Subsidiaries for such Test Period as determined on a consolidated basis in accordance with GAAP, </w:t>
      </w:r>
      <w:r>
        <w:rPr>
          <w:rFonts w:ascii="Arial" w:cs="Arial" w:eastAsia="Arial" w:hAnsi="Arial"/>
          <w:sz w:val="16"/>
          <w:szCs w:val="16"/>
          <w:i w:val="1"/>
          <w:iCs w:val="1"/>
          <w:color w:val="auto"/>
        </w:rPr>
        <w:t>plus</w:t>
      </w:r>
      <w:r>
        <w:rPr>
          <w:rFonts w:ascii="Arial" w:cs="Arial" w:eastAsia="Arial" w:hAnsi="Arial"/>
          <w:sz w:val="16"/>
          <w:szCs w:val="16"/>
          <w:color w:val="auto"/>
        </w:rPr>
        <w:t>, to the extent deducted in arriving at Consolidated Net Income and without duplication, (a) the interest portion of payments on Capital Leases, (b) 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(f) the accretion or accrual of discounted liabilities during such period, (g) interest expense attributable to the movement of the mark-to-market valuation of obligations under Swap Contracts or other derivative instruments, (h)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all as calculated on a consolidated basis in accordance with GAAP, (j) fees and expenses associated with the consummation of the Transactions (k) annual or quarterly agency fees paid to Administrative Agent and (l) costs and fees associated with obtaining Swap Contracts and fees payable thereunder.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shall mean, for any Test Period, the aggregate of the net income of Borrower and its Restricted Subsidiaries for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Test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without duplication:</w:t>
      </w:r>
    </w:p>
    <w:p>
      <w:pPr>
        <w:spacing w:after="0" w:line="238" w:lineRule="exact"/>
        <w:rPr>
          <w:sz w:val="20"/>
          <w:szCs w:val="20"/>
          <w:color w:val="auto"/>
        </w:rPr>
      </w:pPr>
    </w:p>
    <w:p>
      <w:pPr>
        <w:ind w:left="340" w:firstLine="640"/>
        <w:spacing w:after="0" w:line="324" w:lineRule="auto"/>
        <w:tabs>
          <w:tab w:leader="none" w:pos="151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thereon) realized in connection with (i) any asset sale or (ii) any disposition of any securities by such Person or any of its Restricted Subsidiaries shall be excluded;</w:t>
      </w:r>
    </w:p>
    <w:p>
      <w:pPr>
        <w:spacing w:after="0" w:line="170" w:lineRule="exact"/>
        <w:rPr>
          <w:rFonts w:ascii="Arial" w:cs="Arial" w:eastAsia="Arial" w:hAnsi="Arial"/>
          <w:sz w:val="18"/>
          <w:szCs w:val="18"/>
          <w:color w:val="auto"/>
        </w:rPr>
      </w:pPr>
    </w:p>
    <w:p>
      <w:pPr>
        <w:ind w:left="1520" w:hanging="540"/>
        <w:spacing w:after="0"/>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thereon) shall be excluded;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27" w:right="239" w:bottom="1440" w:gutter="0" w:footer="0" w:header="0"/>
        </w:sectPr>
      </w:pPr>
    </w:p>
    <w:bookmarkStart w:id="96" w:name="page97"/>
    <w:bookmarkEnd w:id="96"/>
    <w:p>
      <w:pPr>
        <w:jc w:val="both"/>
        <w:ind w:left="340" w:firstLine="640"/>
        <w:spacing w:after="0" w:line="349" w:lineRule="auto"/>
        <w:tabs>
          <w:tab w:leader="none" w:pos="1512"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net income of any Person that (i) is not a Restricted Subsidiary, (ii) is accounted for by the equity method of accounting, (iii) is an Unrestricted Subsidiary or (iv) is a Restricted Subsidiary (or former Restricted Subsidiary) with respect to which a Trigger Event has occurred following the occurrence and during the continuance of such Trigger Event shall be excluded;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Consolidated Net Income of Borrower and its Restricted Subsidiaries shall be increased by the amount of dividends or distributions or other payments (including management fees) that are actually paid or are payable in cash to Borrower or a Restricted Subsidiary thereof in respect of such period by such Persons (or to the extent converted into cash);</w:t>
      </w:r>
    </w:p>
    <w:p>
      <w:pPr>
        <w:spacing w:after="0" w:line="161" w:lineRule="exact"/>
        <w:rPr>
          <w:rFonts w:ascii="Arial" w:cs="Arial" w:eastAsia="Arial" w:hAnsi="Arial"/>
          <w:sz w:val="16"/>
          <w:szCs w:val="16"/>
          <w:color w:val="auto"/>
        </w:rPr>
      </w:pPr>
    </w:p>
    <w:p>
      <w:pPr>
        <w:jc w:val="both"/>
        <w:ind w:left="340" w:firstLine="640"/>
        <w:spacing w:after="0" w:line="321" w:lineRule="auto"/>
        <w:tabs>
          <w:tab w:leader="none" w:pos="1522"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the undistributed earnings of any Subsidiary of Borrower that is not a Guarantor to the extent that, on the date of determination the payment of cash dividends or similar cash distributions by such Subsidiary (or loans or advances by such subsidiary to any parent company) are not permitted by the terms of any Contractual Obligation (other than under any Credit Document) or Requirement of Law applicable to such Subsidiary shall be excluded, unless such restrictions with respect to the payment of cash dividends and other similar cash distributions have been waived;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Net Income of Borrower and its Restricted Subsidiaries shall be increased by the amount of dividends or distributions or other payments (including management fees) that are actually paid or are payable in cash to Borrower or a Restricted Subsidiary (not subject to such restriction) thereof in respect of such period by such Subsidiaries (or to the extent converted into cash); </w:t>
      </w:r>
      <w:r>
        <w:rPr>
          <w:rFonts w:ascii="Arial" w:cs="Arial" w:eastAsia="Arial" w:hAnsi="Arial"/>
          <w:sz w:val="17"/>
          <w:szCs w:val="17"/>
          <w:i w:val="1"/>
          <w:iCs w:val="1"/>
          <w:color w:val="auto"/>
        </w:rPr>
        <w:t>provided</w:t>
      </w:r>
      <w:r>
        <w:rPr>
          <w:rFonts w:ascii="Arial" w:cs="Arial" w:eastAsia="Arial" w:hAnsi="Arial"/>
          <w:sz w:val="17"/>
          <w:szCs w:val="17"/>
          <w:color w:val="auto"/>
        </w:rPr>
        <w:t>, that from and after the Wynn Las Vegas Reorganization this clause (d) shall not apply to the Wynn Las Vegas Entities;</w:t>
      </w:r>
    </w:p>
    <w:p>
      <w:pPr>
        <w:spacing w:after="0" w:line="177" w:lineRule="exact"/>
        <w:rPr>
          <w:rFonts w:ascii="Arial" w:cs="Arial" w:eastAsia="Arial" w:hAnsi="Arial"/>
          <w:sz w:val="17"/>
          <w:szCs w:val="17"/>
          <w:color w:val="auto"/>
        </w:rPr>
      </w:pPr>
    </w:p>
    <w:p>
      <w:pPr>
        <w:jc w:val="both"/>
        <w:ind w:left="340" w:firstLine="640"/>
        <w:spacing w:after="0" w:line="311" w:lineRule="auto"/>
        <w:tabs>
          <w:tab w:leader="none" w:pos="151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w:t>
      </w:r>
    </w:p>
    <w:p>
      <w:pPr>
        <w:spacing w:after="0" w:line="181" w:lineRule="exact"/>
        <w:rPr>
          <w:rFonts w:ascii="Arial" w:cs="Arial" w:eastAsia="Arial" w:hAnsi="Arial"/>
          <w:sz w:val="18"/>
          <w:szCs w:val="18"/>
          <w:color w:val="auto"/>
        </w:rPr>
      </w:pPr>
    </w:p>
    <w:p>
      <w:pPr>
        <w:jc w:val="both"/>
        <w:ind w:left="340" w:firstLine="640"/>
        <w:spacing w:after="0" w:line="364" w:lineRule="auto"/>
        <w:tabs>
          <w:tab w:leader="none" w:pos="1492"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non-cash charges or expenses related to the repurchase of stock options to the extent not prohibited by this Agreement, and any non-cash charges or expenses related to the grant, issuance or repricing of, or any amendment or substitution with respect to, stock appreciation or similar rights, stock options, restricted stock, or other Equity Interests or other equity based awards or rights or equivalent instruments, shall be excluded;</w:t>
      </w:r>
    </w:p>
    <w:p>
      <w:pPr>
        <w:spacing w:after="0" w:line="148" w:lineRule="exact"/>
        <w:rPr>
          <w:rFonts w:ascii="Arial" w:cs="Arial" w:eastAsia="Arial" w:hAnsi="Arial"/>
          <w:sz w:val="16"/>
          <w:szCs w:val="16"/>
          <w:color w:val="auto"/>
        </w:rPr>
      </w:pPr>
    </w:p>
    <w:p>
      <w:pPr>
        <w:ind w:left="1520" w:hanging="540"/>
        <w:spacing w:after="0"/>
        <w:tabs>
          <w:tab w:leader="none" w:pos="1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265" w:lineRule="exact"/>
        <w:rPr>
          <w:rFonts w:ascii="Arial" w:cs="Arial" w:eastAsia="Arial" w:hAnsi="Arial"/>
          <w:sz w:val="18"/>
          <w:szCs w:val="18"/>
          <w:color w:val="auto"/>
        </w:rPr>
      </w:pPr>
    </w:p>
    <w:p>
      <w:pPr>
        <w:jc w:val="both"/>
        <w:ind w:left="340" w:firstLine="640"/>
        <w:spacing w:after="0" w:line="329" w:lineRule="auto"/>
        <w:tabs>
          <w:tab w:leader="none" w:pos="1522"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any expenses or reserves for liabilities shall be excluded to the extent that Borrower or any of its Restricted Subsidiaries is entitled to indemnification therefor under binding agreements;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liabilities for which Borrower or any of its Restricted Subsidiaries is not actually indemnified shall reduce Consolidated Net Income for the period in which it is determined that Borrower or such Restricted Subsidiary will not be indemnified (to the extent such liabilities would otherwise reduce Consolidated Net Income without giving effect to this clause (h));</w:t>
      </w:r>
    </w:p>
    <w:p>
      <w:pPr>
        <w:spacing w:after="0" w:line="170" w:lineRule="exact"/>
        <w:rPr>
          <w:rFonts w:ascii="Arial" w:cs="Arial" w:eastAsia="Arial" w:hAnsi="Arial"/>
          <w:sz w:val="17"/>
          <w:szCs w:val="17"/>
          <w:color w:val="auto"/>
        </w:rPr>
      </w:pPr>
    </w:p>
    <w:p>
      <w:pPr>
        <w:jc w:val="both"/>
        <w:ind w:left="340" w:firstLine="640"/>
        <w:spacing w:after="0" w:line="354" w:lineRule="auto"/>
        <w:tabs>
          <w:tab w:leader="none" w:pos="1482" w:val="left"/>
        </w:tabs>
        <w:numPr>
          <w:ilvl w:val="0"/>
          <w:numId w:val="40"/>
        </w:numPr>
        <w:rPr>
          <w:rFonts w:ascii="Arial" w:cs="Arial" w:eastAsia="Arial" w:hAnsi="Arial"/>
          <w:sz w:val="16"/>
          <w:szCs w:val="16"/>
          <w:color w:val="auto"/>
        </w:rPr>
      </w:pPr>
      <w:r>
        <w:rPr>
          <w:rFonts w:ascii="Arial" w:cs="Arial" w:eastAsia="Arial" w:hAnsi="Arial"/>
          <w:sz w:val="16"/>
          <w:szCs w:val="16"/>
          <w:color w:val="auto"/>
        </w:rPr>
        <w:t>losses, to the extent covered by insurance and actually reimbursed, or, so long as Borrower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w:t>
      </w:r>
    </w:p>
    <w:p>
      <w:pPr>
        <w:spacing w:after="0" w:line="156" w:lineRule="exact"/>
        <w:rPr>
          <w:rFonts w:ascii="Arial" w:cs="Arial" w:eastAsia="Arial" w:hAnsi="Arial"/>
          <w:sz w:val="16"/>
          <w:szCs w:val="16"/>
          <w:color w:val="auto"/>
        </w:rPr>
      </w:pPr>
    </w:p>
    <w:p>
      <w:pPr>
        <w:ind w:left="340" w:firstLine="640"/>
        <w:spacing w:after="0" w:line="324" w:lineRule="auto"/>
        <w:tabs>
          <w:tab w:leader="none" w:pos="1482" w:val="left"/>
        </w:tabs>
        <w:numPr>
          <w:ilvl w:val="0"/>
          <w:numId w:val="40"/>
        </w:numPr>
        <w:rPr>
          <w:rFonts w:ascii="Arial" w:cs="Arial" w:eastAsia="Arial" w:hAnsi="Arial"/>
          <w:sz w:val="18"/>
          <w:szCs w:val="18"/>
          <w:color w:val="auto"/>
        </w:rPr>
      </w:pPr>
      <w:r>
        <w:rPr>
          <w:rFonts w:ascii="Arial" w:cs="Arial" w:eastAsia="Arial" w:hAnsi="Arial"/>
          <w:sz w:val="18"/>
          <w:szCs w:val="18"/>
          <w:color w:val="auto"/>
        </w:rPr>
        <w:t>gains and losses resulting solely from fluctuations in currency values and the related tax effects shall be excluded, and charges relating to Accounting Standards Codification Nos. 815 and 820 shall be excluded; and</w:t>
      </w:r>
    </w:p>
    <w:p>
      <w:pPr>
        <w:spacing w:after="0" w:line="170" w:lineRule="exact"/>
        <w:rPr>
          <w:rFonts w:ascii="Arial" w:cs="Arial" w:eastAsia="Arial" w:hAnsi="Arial"/>
          <w:sz w:val="18"/>
          <w:szCs w:val="18"/>
          <w:color w:val="auto"/>
        </w:rPr>
      </w:pPr>
    </w:p>
    <w:p>
      <w:pPr>
        <w:ind w:left="340" w:firstLine="640"/>
        <w:spacing w:after="0" w:line="324" w:lineRule="auto"/>
        <w:tabs>
          <w:tab w:leader="none" w:pos="152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net income (or loss) of a Restricted Subsidiary that is not a Wholly Owned Subsidiary shall be included in an amount proportional to Borrower’s economic ownership interest therein.</w:t>
      </w:r>
    </w:p>
    <w:p>
      <w:pPr>
        <w:spacing w:after="0" w:line="1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Senior Secured Net Leverage Ratio</w:t>
      </w:r>
      <w:r>
        <w:rPr>
          <w:rFonts w:ascii="Arial" w:cs="Arial" w:eastAsia="Arial" w:hAnsi="Arial"/>
          <w:sz w:val="18"/>
          <w:szCs w:val="18"/>
          <w:color w:val="auto"/>
        </w:rPr>
        <w:t>” shall mean, as of any date of determination, the ratio of (a) (i) Consolidated Indebtedness of Borrower and its Restricted Subsidiaries that is secured by Liens on property or assets of Borrower or its Restricted Subsidiaries as of such date (other than (x) any such Consolidated Indebtedness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27" w:right="239" w:bottom="1440" w:gutter="0" w:footer="0" w:header="0"/>
        </w:sectPr>
      </w:pPr>
    </w:p>
    <w:bookmarkStart w:id="97" w:name="page98"/>
    <w:bookmarkEnd w:id="97"/>
    <w:p>
      <w:pPr>
        <w:jc w:val="both"/>
        <w:spacing w:after="0" w:line="273" w:lineRule="auto"/>
        <w:rPr>
          <w:sz w:val="20"/>
          <w:szCs w:val="20"/>
          <w:color w:val="auto"/>
        </w:rPr>
      </w:pPr>
      <w:r>
        <w:rPr>
          <w:rFonts w:ascii="Arial" w:cs="Arial" w:eastAsia="Arial" w:hAnsi="Arial"/>
          <w:sz w:val="17"/>
          <w:szCs w:val="17"/>
          <w:color w:val="auto"/>
        </w:rPr>
        <w:t xml:space="preserve">that is expressly subordinated in right of payment to the Obligations pursuant to a written agreement and (y) any such Consolidated Indebtedness that, from and after the Wynn Las Vegas Reorganization, benefits from the Wynn Las Vegas Pledge (but is not otherwise secured by any Liens on property or assets of Borrower or its Restricted Subsidiaries as of such date))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Unrestricted Cash to (b) Consolidated EBITDA for the Test Period most recently ended prior to such date; </w:t>
      </w:r>
      <w:r>
        <w:rPr>
          <w:rFonts w:ascii="Arial" w:cs="Arial" w:eastAsia="Arial" w:hAnsi="Arial"/>
          <w:sz w:val="17"/>
          <w:szCs w:val="17"/>
          <w:i w:val="1"/>
          <w:iCs w:val="1"/>
          <w:color w:val="auto"/>
        </w:rPr>
        <w:t>provided</w:t>
      </w:r>
      <w:r>
        <w:rPr>
          <w:rFonts w:ascii="Arial" w:cs="Arial" w:eastAsia="Arial" w:hAnsi="Arial"/>
          <w:sz w:val="17"/>
          <w:szCs w:val="17"/>
          <w:color w:val="auto"/>
        </w:rPr>
        <w:t>, that for purposes of calculating the Consolidated Senior Secured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shall mean, as to any Person, any obligation of such Person guaranteeing or intended to guarantee any Indebtedness (“</w:t>
      </w:r>
      <w:r>
        <w:rPr>
          <w:rFonts w:ascii="Arial" w:cs="Arial" w:eastAsia="Arial" w:hAnsi="Arial"/>
          <w:sz w:val="16"/>
          <w:szCs w:val="16"/>
          <w:b w:val="1"/>
          <w:bCs w:val="1"/>
          <w:color w:val="auto"/>
        </w:rPr>
        <w:t>primary obligations</w:t>
      </w:r>
      <w:r>
        <w:rPr>
          <w:rFonts w:ascii="Arial" w:cs="Arial" w:eastAsia="Arial" w:hAnsi="Arial"/>
          <w:sz w:val="16"/>
          <w:szCs w:val="16"/>
          <w:color w:val="auto"/>
        </w:rPr>
        <w:t>”) of any other Person (the “</w:t>
      </w:r>
      <w:r>
        <w:rPr>
          <w:rFonts w:ascii="Arial" w:cs="Arial" w:eastAsia="Arial" w:hAnsi="Arial"/>
          <w:sz w:val="16"/>
          <w:szCs w:val="16"/>
          <w:b w:val="1"/>
          <w:bCs w:val="1"/>
          <w:color w:val="auto"/>
        </w:rPr>
        <w:t>primary obligor</w:t>
      </w:r>
      <w:r>
        <w:rPr>
          <w:rFonts w:ascii="Arial" w:cs="Arial" w:eastAsia="Arial" w:hAnsi="Arial"/>
          <w:sz w:val="16"/>
          <w:szCs w:val="16"/>
          <w:color w:val="auto"/>
        </w:rPr>
        <w:t xml:space="preserve">”)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holder of such primary obligation against loss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Contingent Obligation shall not include endorsements of instruments for deposit or collection in the ordinary course of business and any lease guarantees executed by any Company in the ordinary course of business.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potential liability in respect thereof (assuming such Person is required to perform thereunder) as determined by such Person in good faith.</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Contractual Obligation</w:t>
      </w:r>
      <w:r>
        <w:rPr>
          <w:rFonts w:ascii="Arial" w:cs="Arial" w:eastAsia="Arial" w:hAnsi="Arial"/>
          <w:sz w:val="17"/>
          <w:szCs w:val="17"/>
          <w:color w:val="auto"/>
        </w:rPr>
        <w:t>” shall mean as to any Person, any provision of any security issued by such Person or of any mortgage, deed of trust, security agreement, pledge agreement, promissory note, indenture, credit or loan agreement, guaranty, securities purchase agreement, instrument, lease, contract, agreement or other contractual obligation to which such Person is a party or by which it or any of its Property is bound or subject.</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Suspension Period</w:t>
      </w:r>
      <w:r>
        <w:rPr>
          <w:rFonts w:ascii="Arial" w:cs="Arial" w:eastAsia="Arial" w:hAnsi="Arial"/>
          <w:sz w:val="18"/>
          <w:szCs w:val="18"/>
          <w:color w:val="auto"/>
        </w:rPr>
        <w:t xml:space="preserve">” shall mean the period commencing on the date of any Qualifying Act of Terrorism and continuing until (and including) the last day of the second full fiscal quarter following the fiscal quarter in which the Qualifying Act of Terrorism occurs;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 separate and distinct Qualifying Act of Terrorism occurs during any Covenant Suspension Period, such Covenant Suspension Period shall continue until (and including) the last day of the second full fiscal quarter following the fiscal quarter in which such subsequent Qualifying Act of Terrorism shall occur. Notwithstanding the foregoing, Borrower may, in its sole discretion, elect that any Covenant Suspension Period end on any date prior to the date that such Covenant Suspension Period would otherwise end absent such election.</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Taxes</w:t>
      </w:r>
      <w:r>
        <w:rPr>
          <w:rFonts w:ascii="Arial" w:cs="Arial" w:eastAsia="Arial" w:hAnsi="Arial"/>
          <w:sz w:val="18"/>
          <w:szCs w:val="18"/>
          <w:color w:val="auto"/>
        </w:rPr>
        <w:t>” shall mean (a) all Taxes imposed on or with respect to any payment made by or on account of any obligation of any Credit Party under this Agreement, any Note, any Guarantee or any other Credit Document and (b) to the extent not otherwise described in the foregoing clause (a), Other Taxes; other than, in the case of clause (a) or (b), Excluded Taxes.</w:t>
      </w:r>
    </w:p>
    <w:p>
      <w:pPr>
        <w:spacing w:after="0" w:line="1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Agreement Refinancing Indebtedness</w:t>
      </w:r>
      <w:r>
        <w:rPr>
          <w:rFonts w:ascii="Arial" w:cs="Arial" w:eastAsia="Arial" w:hAnsi="Arial"/>
          <w:sz w:val="16"/>
          <w:szCs w:val="16"/>
          <w:color w:val="auto"/>
        </w:rPr>
        <w:t>” shall mean (a) Permitted First Priority Refinancing Debt, (b) Permitted Second Priority Refinancing Debt, (c) Permitted Unsecured Refinancing Debt or (d) other Indebtedness incurred pursuant to a Refinancing Amendment (including, without limitation, Other Term Loans and Other Revolving Loans), in each case, issued, incurred or otherwise obtained (including by means of the extension or renewal of existing Indebtedness) in exchange for, or to extend, renew, replace or refinance, in whole or part, then-existing Term Loans, Revolving Loans (and/or unused Revolving Commitments) and/or Credit Agreement Refinancing Indebtedness (“</w:t>
      </w:r>
      <w:r>
        <w:rPr>
          <w:rFonts w:ascii="Arial" w:cs="Arial" w:eastAsia="Arial" w:hAnsi="Arial"/>
          <w:sz w:val="16"/>
          <w:szCs w:val="16"/>
          <w:b w:val="1"/>
          <w:bCs w:val="1"/>
          <w:color w:val="auto"/>
        </w:rPr>
        <w:t>Refinanced Debt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Indebtedness has the same or a later maturity and, except in the case of any Indebtedness consisting of a revolving credit facility, a Weighted Average Life to Maturity equal to or greater than the Refinanced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stated maturity or Weighted Average Life to Maturity may be shorter if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98" w:name="page99"/>
    <w:bookmarkEnd w:id="98"/>
    <w:p>
      <w:pPr>
        <w:jc w:val="both"/>
        <w:spacing w:after="0" w:line="268" w:lineRule="auto"/>
        <w:rPr>
          <w:sz w:val="20"/>
          <w:szCs w:val="20"/>
          <w:color w:val="auto"/>
        </w:rPr>
      </w:pPr>
      <w:r>
        <w:rPr>
          <w:rFonts w:ascii="Arial" w:cs="Arial" w:eastAsia="Arial" w:hAnsi="Arial"/>
          <w:sz w:val="17"/>
          <w:szCs w:val="17"/>
          <w:color w:val="auto"/>
        </w:rPr>
        <w:t xml:space="preserve">stated maturity of any principal payment (including any amortization payments) is not earlier than the earlier of (1) the stated maturity of such Indebtedness in effect prior to such refinancing or (2) 91 days after the Final Maturity Date in effect at the time of issuance), (ii) such Indebtedness shall not have a greater principal amount than the principal amount of the Refinanced Debt,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interest, fees and premiums (if any) thereon, </w:t>
      </w:r>
      <w:r>
        <w:rPr>
          <w:rFonts w:ascii="Arial" w:cs="Arial" w:eastAsia="Arial" w:hAnsi="Arial"/>
          <w:sz w:val="17"/>
          <w:szCs w:val="17"/>
          <w:i w:val="1"/>
          <w:iCs w:val="1"/>
          <w:color w:val="auto"/>
        </w:rPr>
        <w:t>plus</w:t>
      </w:r>
      <w:r>
        <w:rPr>
          <w:rFonts w:ascii="Arial" w:cs="Arial" w:eastAsia="Arial" w:hAnsi="Arial"/>
          <w:sz w:val="17"/>
          <w:szCs w:val="17"/>
          <w:color w:val="auto"/>
        </w:rPr>
        <w:t xml:space="preserve">, other fees and expenses associated with the refinancing (including any upfront fees and original issue discount), (iii) such Refinanced Debt shall be repaid, defeased or satisfied and discharged on a dollar-for-dollar basis, and all accrued interest, fees and premiums (if any) in connection therewith shall be paid, on the date such Credit Agreement Refinancing Indebtedness is issued, incurred or obtained, (iv) to the extent such Credit Agreement Refinancing Indebtedness consists of a revolving credit facility, the Revolving Commitments shall be reduced and/or terminated, as applicable, such that the Total Revolving Commitments (after giving effect to such Credit Agreement Refinancing Indebtedness and such reduction or termination) shall not exceed the Total Revolving Commitments immediately prior to the incurrence of such Credit Agreement Refinancing Indebtedness,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interest, fees and premiums (if any) thereon, </w:t>
      </w:r>
      <w:r>
        <w:rPr>
          <w:rFonts w:ascii="Arial" w:cs="Arial" w:eastAsia="Arial" w:hAnsi="Arial"/>
          <w:sz w:val="17"/>
          <w:szCs w:val="17"/>
          <w:i w:val="1"/>
          <w:iCs w:val="1"/>
          <w:color w:val="auto"/>
        </w:rPr>
        <w:t>plus</w:t>
      </w:r>
      <w:r>
        <w:rPr>
          <w:rFonts w:ascii="Arial" w:cs="Arial" w:eastAsia="Arial" w:hAnsi="Arial"/>
          <w:sz w:val="17"/>
          <w:szCs w:val="17"/>
          <w:color w:val="auto"/>
        </w:rPr>
        <w:t>, other fees and expenses associated with the refinancing (including any upfront fees and original issue discount), (v) the terms (excluding pricing, fees, rate floors, premiums, optional prepayment or optional redemption provisions) of which are (as determined by Borrower in good faith), taken as a whole, not materially more restrictive than the terms set forth in this Agreement, (vi) Borrower shall be the sole borrower thereunder and no Subsidiary of Borrower shall guaranty such Indebtedness unless such Subsidiary is also a Guarantor hereunder, and (vii) such Indebtedness shall not be secured by any Liens, except Liens on the Collateral.</w:t>
      </w: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Documents</w:t>
      </w:r>
      <w:r>
        <w:rPr>
          <w:rFonts w:ascii="Arial" w:cs="Arial" w:eastAsia="Arial" w:hAnsi="Arial"/>
          <w:sz w:val="18"/>
          <w:szCs w:val="18"/>
          <w:color w:val="auto"/>
        </w:rPr>
        <w:t>” shall mean (a) this Agreement, (b) the Notes, (c) the L/C Documents, (d) the Security Documents, (e) any Pari Passu Intercreditor Agreement, (f) any Second Lien Intercreditor Agreement, (g) any Extension Amendment, (h) the Completion Guaranty, (i) any Subordination Agreement and (j) each other agreement entered into by any Credit Party with Administrative Agent, Collateral Agent and/or any Lender, in connection herewith or therewith evidencing or governing the Obligations (other than the Fee Letter), all as amended from time to time, but shall not include a Swap Contract or Cash Management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Parties</w:t>
      </w:r>
      <w:r>
        <w:rPr>
          <w:rFonts w:ascii="Arial" w:cs="Arial" w:eastAsia="Arial" w:hAnsi="Arial"/>
          <w:sz w:val="18"/>
          <w:szCs w:val="18"/>
          <w:color w:val="auto"/>
        </w:rPr>
        <w:t>” shall mean Borrower and the Guarantors.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Swap Contracts</w:t>
      </w:r>
      <w:r>
        <w:rPr>
          <w:rFonts w:ascii="Arial" w:cs="Arial" w:eastAsia="Arial" w:hAnsi="Arial"/>
          <w:sz w:val="18"/>
          <w:szCs w:val="18"/>
          <w:color w:val="auto"/>
        </w:rPr>
        <w:t>” shall mean any Swap Contract between Borrower and/or any or all of its Restricted Subsidiaries and a Swap Provider (excluding any Swap Contract of the type described in the last sentence of the definition of Swap Contract).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Creditor</w:t>
      </w:r>
      <w:r>
        <w:rPr>
          <w:rFonts w:ascii="Arial" w:cs="Arial" w:eastAsia="Arial" w:hAnsi="Arial"/>
          <w:sz w:val="18"/>
          <w:szCs w:val="18"/>
          <w:color w:val="auto"/>
        </w:rPr>
        <w:t>” shall mean each of (a) each Agent, (b) each L/C Lender and (c) each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Expiration Date</w:t>
      </w:r>
      <w:r>
        <w:rPr>
          <w:rFonts w:ascii="Arial" w:cs="Arial" w:eastAsia="Arial" w:hAnsi="Arial"/>
          <w:sz w:val="18"/>
          <w:szCs w:val="18"/>
          <w:color w:val="auto"/>
        </w:rPr>
        <w:t>” has the meaning assigned to such term in Section 11.03.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w:t>
      </w:r>
      <w:r>
        <w:rPr>
          <w:rFonts w:ascii="Arial" w:cs="Arial" w:eastAsia="Arial" w:hAnsi="Arial"/>
          <w:sz w:val="18"/>
          <w:szCs w:val="18"/>
          <w:color w:val="auto"/>
        </w:rPr>
        <w:t>” shall mean Deutsche Bank AG New York Branch.</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Fund Affiliate Lender</w:t>
      </w:r>
      <w:r>
        <w:rPr>
          <w:rFonts w:ascii="Arial" w:cs="Arial" w:eastAsia="Arial" w:hAnsi="Arial"/>
          <w:sz w:val="18"/>
          <w:szCs w:val="18"/>
          <w:color w:val="auto"/>
        </w:rPr>
        <w:t>” shall mean a Lender that is an Affiliate of Borrower that is primarily engaged in, or advises funds or other investment vehicles that are engaged in, making, purchasing, holding or otherwise investing in commercial loans, bonds and similar extensions of credit or securities in the ordinary course and for which neither Wynn Resorts nor its Subsidiaries, directly or indirectly, possesses the power to direct or cause the direction of the investment policies of such entity.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Issuance</w:t>
      </w:r>
      <w:r>
        <w:rPr>
          <w:rFonts w:ascii="Arial" w:cs="Arial" w:eastAsia="Arial" w:hAnsi="Arial"/>
          <w:sz w:val="18"/>
          <w:szCs w:val="18"/>
          <w:color w:val="auto"/>
        </w:rPr>
        <w:t>” shall mean the incurrence by Borrower or any Restricted Subsidiary of any Indebtedness after the Closing Date (other than as permitted by Section 10.01). The issuance or sale of any debt instrument convertible into or exchangeable or exercisable for any Equity Interests shall be deemed a Debt Issuance for purposes of Section 2.10(a).</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 from time to time in effect.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Amounts</w:t>
      </w:r>
      <w:r>
        <w:rPr>
          <w:rFonts w:ascii="Arial" w:cs="Arial" w:eastAsia="Arial" w:hAnsi="Arial"/>
          <w:sz w:val="18"/>
          <w:szCs w:val="18"/>
          <w:color w:val="auto"/>
        </w:rPr>
        <w:t>” shall have the meaning given to such term in Section 2.10(b).</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99" w:name="page100"/>
    <w:bookmarkEnd w:id="99"/>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or condition that constitutes an Event of Default or that would become, with notice or lapse of time or both, an Event of Default.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shall mean a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equal to, (i) in the case of principal on any Loan, the rate which is 2% in excess of the rate borne by such Loan immediately prior to the respective payment default or other Event of Default, and (ii) in the case of any other Obligations, the rate which is 2% in excess of the rate otherwise applicable to ABR Loans which are Revolving Loans from time to time (determined based on a weighted average if multiple Tranches of Revolving Commitments are then outstanding).</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Defaulting Lender</w:t>
      </w:r>
      <w:r>
        <w:rPr>
          <w:rFonts w:ascii="Arial" w:cs="Arial" w:eastAsia="Arial" w:hAnsi="Arial"/>
          <w:sz w:val="17"/>
          <w:szCs w:val="17"/>
          <w:color w:val="auto"/>
        </w:rPr>
        <w:t xml:space="preserve">” shall mean, subject to Section 2.14(b), any Lender that (i) has failed to (A) fund all or any portion of its Loans within two (2) Business Days of the date such Loans were required to be funded hereunder unless such Lender has notified Administrative Agent and Borrower in writing that such failure is the result of such Lender’s good faith determination that one or more conditions precedent to funding has not been satisfied (which conditions precedent, together with the applicable default, if any, will be specifically identified in such writing), or (B) comply with its obligations under this Agreement to make a payment to the L/C Lender in respect of a L/C Liability, and/or make a payment to a Lender of any amount required to be paid to it hereunder, in each case within two (2) Business Days of the date when due, (ii) has notified Borrower, Administrative Agent or an L/C Lender in writing, or has stated publicly, that it will not comply with any such funding obligation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or has defaulted generally (excluding bona fide disputes) on its funding obligations under other loan agreements or credit agreements or other similar agreements, (iii) a Lender Insolvency Event has occurred and is continuing with respect to such Lender or its Parent Company </w:t>
      </w:r>
      <w:r>
        <w:rPr>
          <w:rFonts w:ascii="Arial" w:cs="Arial" w:eastAsia="Arial" w:hAnsi="Arial"/>
          <w:sz w:val="17"/>
          <w:szCs w:val="17"/>
          <w:b w:val="1"/>
          <w:bCs w:val="1"/>
          <w:color w:val="FF0000"/>
          <w:strike w:val="1"/>
        </w:rPr>
        <w:t>or</w:t>
      </w:r>
      <w:r>
        <w:rPr>
          <w:rFonts w:ascii="Arial" w:cs="Arial" w:eastAsia="Arial" w:hAnsi="Arial"/>
          <w:sz w:val="17"/>
          <w:szCs w:val="17"/>
          <w:b w:val="1"/>
          <w:bCs w:val="1"/>
          <w:u w:val="single" w:color="auto"/>
          <w:color w:val="0000FF"/>
        </w:rPr>
        <w:t>,</w:t>
      </w:r>
      <w:r>
        <w:rPr>
          <w:rFonts w:ascii="Arial" w:cs="Arial" w:eastAsia="Arial" w:hAnsi="Arial"/>
          <w:sz w:val="17"/>
          <w:szCs w:val="17"/>
          <w:color w:val="auto"/>
        </w:rPr>
        <w:t xml:space="preserve"> (iv) any Lender that has, for three or more Business Days after written request of Administrative Agent or Borrower, failed to confirm in writing to Administrative Agent and Borrower that it will comply with its prospective funding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Lender will cease to be a Defaulting Lender pursuant to this clause (iv) upon Administrative Agent’s and Borrower’s receipt of such written confirmation) </w:t>
      </w:r>
      <w:r>
        <w:rPr>
          <w:rFonts w:ascii="Arial" w:cs="Arial" w:eastAsia="Arial" w:hAnsi="Arial"/>
          <w:sz w:val="17"/>
          <w:szCs w:val="17"/>
          <w:b w:val="1"/>
          <w:bCs w:val="1"/>
          <w:u w:val="single" w:color="auto"/>
          <w:color w:val="0000FF"/>
        </w:rPr>
        <w:t>or (v) has become the subject of a Bail-In Action</w:t>
      </w:r>
      <w:r>
        <w:rPr>
          <w:rFonts w:ascii="Arial" w:cs="Arial" w:eastAsia="Arial" w:hAnsi="Arial"/>
          <w:sz w:val="17"/>
          <w:szCs w:val="17"/>
          <w:color w:val="auto"/>
        </w:rPr>
        <w:t>. Any determination of a Defaulting Lender under clauses (i) through (iv) above will be conclusive and binding absent manifest error.</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Jurisdiction</w:t>
      </w:r>
      <w:r>
        <w:rPr>
          <w:rFonts w:ascii="Arial" w:cs="Arial" w:eastAsia="Arial" w:hAnsi="Arial"/>
          <w:sz w:val="18"/>
          <w:szCs w:val="18"/>
          <w:color w:val="auto"/>
        </w:rPr>
        <w:t>” shall mean any country or territory to the extent that such country or territory is, or whose government is, the subject of any Sanction broadly prohibiting dealings with such government, country, or territory, including, without limitation, currently, Cuba, Iran, Burma, North Korea, Sudan and Syria.</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Non-Cash Consideration</w:t>
      </w:r>
      <w:r>
        <w:rPr>
          <w:rFonts w:ascii="Arial" w:cs="Arial" w:eastAsia="Arial" w:hAnsi="Arial"/>
          <w:sz w:val="18"/>
          <w:szCs w:val="18"/>
          <w:color w:val="auto"/>
        </w:rPr>
        <w:t xml:space="preserve">” shall mean the fair market value of non-cash consideration received by Borrower or any of its Restricted Subsidiaries in connection with an Asset Sale that is so designated as Designated Non-Cash Consideration pursuant to an Officers’ Certificate setting forth the basis of such valuation, executed by a financial officer of Borrower,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 cash or Cash Equivalents received in connection with a subsequent sale of or collection on such Designated Non-Cash Consideration.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Designation</w:t>
      </w:r>
      <w:r>
        <w:rPr>
          <w:rFonts w:ascii="Arial" w:cs="Arial" w:eastAsia="Arial" w:hAnsi="Arial"/>
          <w:sz w:val="18"/>
          <w:szCs w:val="18"/>
          <w:color w:val="auto"/>
        </w:rPr>
        <w:t>” has the meaning set forth in Section 9.12(a).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Designation Amount</w:t>
      </w:r>
      <w:r>
        <w:rPr>
          <w:rFonts w:ascii="Arial" w:cs="Arial" w:eastAsia="Arial" w:hAnsi="Arial"/>
          <w:sz w:val="18"/>
          <w:szCs w:val="18"/>
          <w:color w:val="auto"/>
        </w:rPr>
        <w:t>” has the meaning set forth in Section 9.12(a)(ii).</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Development Financing</w:t>
      </w:r>
      <w:r>
        <w:rPr>
          <w:rFonts w:ascii="Arial" w:cs="Arial" w:eastAsia="Arial" w:hAnsi="Arial"/>
          <w:sz w:val="17"/>
          <w:szCs w:val="17"/>
          <w:color w:val="auto"/>
        </w:rPr>
        <w:t xml:space="preserve">” shall mean, without duplication, the aggregate principal amount (not to exceed $500.0 million at any time prior to the Initial Test Date), of outstanding Indebtedness (including Indebtedness hereunder), the proceeds of which, at the time of determination, as certified by a Responsible Officer of Borrower, are pending application and are intended to be used to fund, or have previously been applied to, in each case, (i) Expansion Capital Expenditures of Borrower or any Restricted Subsidiary, (ii) Investments in or Capital Expenditures or other expenditures with respect to a Development Project or (iii) interest, fees or related charges with respect to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Borrower or the Restricted Subsidiary or other Person that owns assets subject to the Expansion Capital Expenditure or Development Project, as applicable, has not at any time abandoned development efforts with respect to such Expansion Capital Expenditure or Development Project, as applicable, for a period in excess of 90 consecutive days (other than as a result of a force majeure event or inability to obtain requisite Gaming Approvals or other governmental authorizations, so long as, in the case of any such Gaming Approvals or other governmental authorizations,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96" w:right="239" w:bottom="1440" w:gutter="0" w:footer="0" w:header="0"/>
        </w:sectPr>
      </w:pPr>
    </w:p>
    <w:bookmarkStart w:id="100" w:name="page101"/>
    <w:bookmarkEnd w:id="100"/>
    <w:p>
      <w:pPr>
        <w:jc w:val="both"/>
        <w:spacing w:after="0" w:line="257" w:lineRule="auto"/>
        <w:rPr>
          <w:sz w:val="20"/>
          <w:szCs w:val="20"/>
          <w:color w:val="auto"/>
        </w:rPr>
      </w:pPr>
      <w:r>
        <w:rPr>
          <w:rFonts w:ascii="Arial" w:cs="Arial" w:eastAsia="Arial" w:hAnsi="Arial"/>
          <w:sz w:val="18"/>
          <w:szCs w:val="18"/>
          <w:color w:val="auto"/>
        </w:rPr>
        <w:t>Borrower or a Restricted Subsidiary or other applicable Person is diligently pursuing such Gaming Approvals or governmental authorizations) and (B) no such Indebtedness shall constitute Development Financing from and after the second full fiscal quarter following the fiscal quarter in which occurs the earlier of (x) opening of the applicable Expansion Capital Expenditures (or the business represented thereby) or Development Project to the general public for business and (y) completion of construction of the applicable Expansion Capital Expenditures or Development Project (such second full fiscal quarter, the “</w:t>
      </w:r>
      <w:r>
        <w:rPr>
          <w:rFonts w:ascii="Arial" w:cs="Arial" w:eastAsia="Arial" w:hAnsi="Arial"/>
          <w:sz w:val="18"/>
          <w:szCs w:val="18"/>
          <w:b w:val="1"/>
          <w:bCs w:val="1"/>
          <w:color w:val="auto"/>
        </w:rPr>
        <w:t>Development Financing Initial Fiscal Quarter</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Development Financing Initial Fiscal Quarter</w:t>
      </w:r>
      <w:r>
        <w:rPr>
          <w:rFonts w:ascii="Arial" w:cs="Arial" w:eastAsia="Arial" w:hAnsi="Arial"/>
          <w:sz w:val="17"/>
          <w:szCs w:val="17"/>
          <w:color w:val="auto"/>
        </w:rPr>
        <w:t>” shall have the meaning assigned to such term in the definition of “Development Financing.”</w:t>
      </w:r>
    </w:p>
    <w:p>
      <w:pPr>
        <w:spacing w:after="0" w:line="23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Project</w:t>
      </w:r>
      <w:r>
        <w:rPr>
          <w:rFonts w:ascii="Arial" w:cs="Arial" w:eastAsia="Arial" w:hAnsi="Arial"/>
          <w:sz w:val="18"/>
          <w:szCs w:val="18"/>
          <w:color w:val="auto"/>
        </w:rPr>
        <w:t>” shall mean any Facility under development (excluding the Wynn Massachusetts Project) directly or indirectly by (a) Borrower or any of its Restricted Subsidiaries, (b) any Joint Ventures in which Borrower or any of its Restricted Subsidiaries, directly or indirectly, has control or with whom it has a management or similar contract and in which Borrower or any of its Restricted Subsidiaries owns (directly or indirectly) at least 25% of the Equity Interest of such Joint Venture or (c) other Persons with respect to which Borrower or any of its Restricted Subsidiaries has (directly or indirectly through Subsidiaries) entered into a management or similar contract and such contract remains in full force and effect at the time of such determination.</w:t>
      </w:r>
    </w:p>
    <w:p>
      <w:pPr>
        <w:spacing w:after="0" w:line="18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Discharged</w:t>
      </w:r>
      <w:r>
        <w:rPr>
          <w:rFonts w:ascii="Arial" w:cs="Arial" w:eastAsia="Arial" w:hAnsi="Arial"/>
          <w:sz w:val="16"/>
          <w:szCs w:val="16"/>
          <w:color w:val="auto"/>
        </w:rPr>
        <w:t xml:space="preserve">” shall mean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Indebtedness shall be deemed Discharged if the payment or deposit of all amounts required for defeasance or discharge or redemption thereof have been made even if certain conditions thereto have not been satisfied, so long as such conditions are reasonably expected to be satisfied within 95 days after such prepayment or deposit.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Range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shall mean, with respect to any person and transaction, a member of the Board of Directors of such person who does not have any material direct or indirect financial interest in or with respect to such transaction.</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Disqualification</w:t>
      </w:r>
      <w:r>
        <w:rPr>
          <w:rFonts w:ascii="Arial" w:cs="Arial" w:eastAsia="Arial" w:hAnsi="Arial"/>
          <w:sz w:val="18"/>
          <w:szCs w:val="18"/>
          <w:color w:val="auto"/>
        </w:rPr>
        <w:t>” shall mean, with respect to any Lender: (a) the failure of that person timely to file pursuant to applicable Gaming Laws (i) any application requested of that person by any Gaming Authority in connection with any licensing required of that person as a lender to Borrower; or (ii) any required application or other papers in connection with determination of the suitability of that person as a lender to Borrower; (b) the withdrawal by that person (except where requested or permitted by the Gaming Authority) of any such application or other required papers; (c) any finding by a Gaming Authority that there is reasonable cause to believe that such person may be found unqualified or unsuitable; or (d) any final determination by a Gaming Authority pursuant to applicable Gaming Laws: (i) that such person is “unsuitable” as a lender to Borrower; (ii) that such person shall be “disqualified” as a lender to Borrower; or (iii) denying the issuance to that person of any license or other approval required under applicable Gaming Laws to be held by all lenders to Borrower.</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Capital Stock</w:t>
      </w:r>
      <w:r>
        <w:rPr>
          <w:rFonts w:ascii="Arial" w:cs="Arial" w:eastAsia="Arial" w:hAnsi="Arial"/>
          <w:sz w:val="17"/>
          <w:szCs w:val="17"/>
          <w:color w:val="auto"/>
        </w:rPr>
        <w:t>” shall mean, with respect to any Person, any Equity Interest of such Person that, by its terms (or by the terms of any security into which it is convertible or for which it is exchangeable), or upon the happening of any event, matures (excluding any maturity as the result of an optional redemption by the issuer thereof) or is mandatorily redeemable or redeemable at the sole option of the holder thereof (other than solely (x) for Qualified Capital Stock or upon a sale of assets, casualty event or a change of control, in each case, subject to the prior payment in full of the Obligations, (y) as a result of a redemption required by Gaming Law or (z) as a result of a redemption that by the terms of such Equity Interest is contingent upon such redemption not being prohibited by this Agreement), pursuant to a sinking fund obligation or otherwise (other than solely for Qualified Capital Stock) or exchangeable or convertible into debt securities of the issuer thereof at the sole option of the holder thereof, in whole or in part, on or prior to the date that is 181 days after the Final Maturity Date then in effect at the time of issuance thereof.</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01" w:name="page102"/>
    <w:bookmarkEnd w:id="101"/>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Lenders</w:t>
      </w:r>
      <w:r>
        <w:rPr>
          <w:rFonts w:ascii="Arial" w:cs="Arial" w:eastAsia="Arial" w:hAnsi="Arial"/>
          <w:sz w:val="18"/>
          <w:szCs w:val="18"/>
          <w:color w:val="auto"/>
        </w:rPr>
        <w:t xml:space="preserve">” shall mean such Persons that have been specified in writing to the Administrative Agent (it being understood that the Administrative Agent will distribute the list of such Persons to the Lenders) (a) at least 10 Business Days prior to the Closing Date as being “Disqualified Lenders” and (b) within 10 Business Days after the end of each fiscal quarter, </w:t>
      </w:r>
      <w:r>
        <w:rPr>
          <w:rFonts w:ascii="Arial" w:cs="Arial" w:eastAsia="Arial" w:hAnsi="Arial"/>
          <w:sz w:val="18"/>
          <w:szCs w:val="18"/>
          <w:i w:val="1"/>
          <w:iCs w:val="1"/>
          <w:color w:val="auto"/>
        </w:rPr>
        <w:t>provided</w:t>
      </w:r>
      <w:r>
        <w:rPr>
          <w:rFonts w:ascii="Arial" w:cs="Arial" w:eastAsia="Arial" w:hAnsi="Arial"/>
          <w:sz w:val="18"/>
          <w:szCs w:val="18"/>
          <w:color w:val="auto"/>
        </w:rPr>
        <w:t>, that (i) if no Persons are specified in writing to the Administrative Agent pursuant to clause (b) for any fiscal quarter, the Persons specified in writing to the Administrative Agent with respect to the previous fiscal quarter (or, if no previous fiscal quarter, pursuant to clause (a) above), shall be deemed to have been specified in writing to the Administrative Agent for such fiscal quarter, and (ii) in no event shall any Person be specified in writing to the Administrative Agent pursuant to clause (b) above at any time that such Person is a Lender hereunder.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Documentation Agent</w:t>
      </w:r>
      <w:r>
        <w:rPr>
          <w:rFonts w:ascii="Arial" w:cs="Arial" w:eastAsia="Arial" w:hAnsi="Arial"/>
          <w:sz w:val="18"/>
          <w:szCs w:val="18"/>
          <w:color w:val="auto"/>
        </w:rPr>
        <w:t>” means Merrill Lynch, Pierce, Fenner &amp; Smith Incorporated, in its capacity as documentation agent hereunder.</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Equivalent</w:t>
      </w:r>
      <w:r>
        <w:rPr>
          <w:rFonts w:ascii="Arial" w:cs="Arial" w:eastAsia="Arial" w:hAnsi="Arial"/>
          <w:sz w:val="18"/>
          <w:szCs w:val="18"/>
          <w:color w:val="auto"/>
        </w:rPr>
        <w:t>” shall mean, at any time, (a) with respect to any amount denominated in Dollars, such amount, and (b) with respect to any amount denominated in any Alternate Currency, the equivalent amount thereof in Dollars as determined by the Administrative Agent or the applicable L/C Lender, as the case may be, at such time on the basis of the Spot Rate (determined in respect of the most recent Revaluation Date) for the purchase of Dollars with such Alternate Currency.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shall mean the lawful money of the United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of any Person shall mean any Subsidiary of such Person incorporated, organized or formed in the United States, any state thereof or the District of Columbia.</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u w:val="single" w:color="auto"/>
          <w:color w:val="0000FF"/>
        </w:rPr>
        <w:t>“EEA Financial Institution”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“EEA Member Country” shall mean any of the member states of the European Union, Iceland, Liechtenstein, and Norway.</w:t>
      </w:r>
    </w:p>
    <w:p>
      <w:pPr>
        <w:spacing w:after="0" w:line="225"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u w:val="single" w:color="auto"/>
          <w:color w:val="0000FF"/>
        </w:rPr>
        <w:t>“EEA Resolution Authority” shall mean any public administrative authority or any person entrusted with public administrative authority of any EEA Member Country (including any delegee) having responsibility for the resolution of any EEA Financial Institution.</w:t>
      </w:r>
    </w:p>
    <w:p>
      <w:pPr>
        <w:spacing w:after="0" w:line="13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xml:space="preserve">” shall mean and include (i) a commercial bank, an insurance company, a finance company, a financial institution, any fund that invests in loans or any other “accredited investor” (as defined in Regulation D), (ii) solely for purposes of Borrower Loan Purchases, Borrower and its Restricted Subsidiaries, and (iii) so long as in compliance with Sections 13.05(e) and (f), as applicable, Affiliate Lenders and Debt Fund Affiliates;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(x) other than as set forth in clause (ii) of this definition, neither Borrower nor any of Borrower’s Affiliates or Subsidiaries shall be an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Assignee, (y) Eligible Assignee shall not include any Person that is a Competitor unless consented to in writing by Borrower and (z) Eligible Assignee shall not include any Person who is a Defaulting Lender or is subject to a Disqualification.</w:t>
      </w:r>
    </w:p>
    <w:p>
      <w:pPr>
        <w:spacing w:after="0" w:line="17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Benefit Plan</w:t>
      </w:r>
      <w:r>
        <w:rPr>
          <w:rFonts w:ascii="Arial" w:cs="Arial" w:eastAsia="Arial" w:hAnsi="Arial"/>
          <w:sz w:val="18"/>
          <w:szCs w:val="18"/>
          <w:color w:val="auto"/>
        </w:rPr>
        <w:t>” shall mean an employee benefit plan (as defined in Section 3(3) of ERISA) that is maintained or contributed to by Borrower or any of its Restricted Subsidiaries.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Encore at Wynn Las Vegas</w:t>
      </w:r>
      <w:r>
        <w:rPr>
          <w:rFonts w:ascii="Arial" w:cs="Arial" w:eastAsia="Arial" w:hAnsi="Arial"/>
          <w:sz w:val="18"/>
          <w:szCs w:val="18"/>
          <w:color w:val="auto"/>
        </w:rPr>
        <w:t>” means the hotel tower, casino facility and retail and convention space that is part of Wynn Las Vegas and called “Encore at Wynn Las Vegas.”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97" w:right="239" w:bottom="1440" w:gutter="0" w:footer="0" w:header="0"/>
        </w:sectPr>
      </w:pPr>
    </w:p>
    <w:bookmarkStart w:id="102" w:name="page103"/>
    <w:bookmarkEnd w:id="102"/>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shall mean ambient air, surface water and groundwater (including potable water, navigable water and wetlands), the land surface or subsurface strata, natural resources, the workplace or as otherwise defined in any Environmental Law.</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Action</w:t>
      </w:r>
      <w:r>
        <w:rPr>
          <w:rFonts w:ascii="Arial" w:cs="Arial" w:eastAsia="Arial" w:hAnsi="Arial"/>
          <w:sz w:val="16"/>
          <w:szCs w:val="16"/>
          <w:color w:val="auto"/>
        </w:rPr>
        <w:t>” shall mean (a) any notice, claim, demand or other written or, to the knowledge of any Responsible Officer of Borrower, oral communication alleging liability of Borrower or any of its Restricted Subsidiaries for investigation, remediation, removal, cleanup, response, corrective action or other costs, damages to natural resources, personal injury, property damage, fines or penalties resulting from, related to or arising out of (i) the presence, Release or threatened Release in or into the Environment of Hazardous Material at any location or (ii) any violation of Environmental Law, and shall include, without limitation, any claim seeking damages, contribution, indemnification, cost recovery, compensation or injunctive relief resulting from, related to or arising out of the presence, Release or threatened Release of Hazardous Material or alleged injury or threat of injury to human health, safety or the Environment arising under Environmental Law and (b) any investigation, monitoring, removal or remedial activities undertaken by or on behalf of Borrower or any of its Restricted Subsidiaries, arising under Environmental Law whether or not such activities are carried out voluntarily.</w:t>
      </w:r>
    </w:p>
    <w:p>
      <w:pPr>
        <w:spacing w:after="0" w:line="160"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shall mean any and all applicable treaties, laws, statutes, ordinances, regulations, rules, decrees, judgments, orders, consent orders, consent decrees and other binding legal requirements, and the common law, relating to protection of public health or the Environment, the Release or threatened Release of Hazardous Material, natural resources or natural resource damages, or occupational safety or health.</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Contribution</w:t>
      </w:r>
      <w:r>
        <w:rPr>
          <w:rFonts w:ascii="Arial" w:cs="Arial" w:eastAsia="Arial" w:hAnsi="Arial"/>
          <w:sz w:val="18"/>
          <w:szCs w:val="18"/>
          <w:color w:val="auto"/>
        </w:rPr>
        <w:t>” shall mean the Pre-Closing Equity Contribution and the Post-Closing Equity Contribution.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Contribution Threshold</w:t>
      </w:r>
      <w:r>
        <w:rPr>
          <w:rFonts w:ascii="Arial" w:cs="Arial" w:eastAsia="Arial" w:hAnsi="Arial"/>
          <w:sz w:val="18"/>
          <w:szCs w:val="18"/>
          <w:color w:val="auto"/>
        </w:rPr>
        <w:t>” means $300.0 million.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xml:space="preserve">” shall mean, with respect to any Person, any and all shares, interests, participations or other equivalents, including membership or member’s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 whether outstanding on the Closing Date or issued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debt instrument convertible into or exchangeable or exercisable for any Equity Interests or Swap Contracts entered into as a part of, or in connection with, an issuance of such debt instrument shall not be deemed an Equity Interest.</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Issuance</w:t>
      </w:r>
      <w:r>
        <w:rPr>
          <w:rFonts w:ascii="Arial" w:cs="Arial" w:eastAsia="Arial" w:hAnsi="Arial"/>
          <w:sz w:val="18"/>
          <w:szCs w:val="18"/>
          <w:color w:val="auto"/>
        </w:rPr>
        <w:t xml:space="preserve">” shall mean (a) any issuance or sale after the Closing Date by Borrower of any Equity Interests (including any Equity Interests issued upon exercise of any Equity Rights) or any Equity Rights, or (b) the receipt by Borrower after the Closing Date of any capital contribution (whether or not evidenced by any Equity Interest issued by the recipient of such contribution). The issuance or sale of any debt instrument convertible into or exchangeable or exercisable for any Equity Interests shall be deemed a Debt Issuance and not an Equity Issuance for purposes of the definition of Equity Issuance Proceeds;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issuance or sale shall be deemed an Equity Issuance upon the conversion or exchange of such debt instrument into Equity Interests.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Issuance Proceeds</w:t>
      </w:r>
      <w:r>
        <w:rPr>
          <w:rFonts w:ascii="Arial" w:cs="Arial" w:eastAsia="Arial" w:hAnsi="Arial"/>
          <w:sz w:val="17"/>
          <w:szCs w:val="17"/>
          <w:color w:val="auto"/>
        </w:rPr>
        <w:t>” shall mean, with respect to any Equity Issuance, the aggregate amount of all cash received in respect thereof by the Person consummating such Equity Issuance net of all investment banking fees, discounts and commissions, legal fees, consulting fees, accountants’ fees, underwriting discounts and commissions and other fees and expenses actually incurred in connection therewith.</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Rights</w:t>
      </w:r>
      <w:r>
        <w:rPr>
          <w:rFonts w:ascii="Arial" w:cs="Arial" w:eastAsia="Arial" w:hAnsi="Arial"/>
          <w:sz w:val="18"/>
          <w:szCs w:val="18"/>
          <w:color w:val="auto"/>
        </w:rPr>
        <w:t xml:space="preserve">” shall mean, with respect to any Person, any then-outstanding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debt instrument convertible into or exchangeable or exercisable for any Equity Interests shall not be deemed an Equity Right.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96"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Entity</w:t>
      </w:r>
      <w:r>
        <w:rPr>
          <w:rFonts w:ascii="Arial" w:cs="Arial" w:eastAsia="Arial" w:hAnsi="Arial"/>
          <w:sz w:val="18"/>
          <w:szCs w:val="18"/>
          <w:color w:val="auto"/>
        </w:rPr>
        <w:t>” shall mean any member of an ERISA Group.</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Event</w:t>
      </w:r>
      <w:r>
        <w:rPr>
          <w:rFonts w:ascii="Arial" w:cs="Arial" w:eastAsia="Arial" w:hAnsi="Arial"/>
          <w:sz w:val="17"/>
          <w:szCs w:val="17"/>
          <w:color w:val="auto"/>
        </w:rPr>
        <w:t>” shall mean (a) any “reportable event,” as defined in Section 4043 of ERISA or the regulations issued thereunder, with respect to a Pension Plan (other than an event for which the 30-day notice requirement is waived); (b) with respect to any Pension Plan, the failure to satisfy the minimum funding standard under Section 412 of the Code and Section 302 of ERISA, whether or not waived, the failure by any ERISA Entity to make by its due date a required installment under Section 430(j) of the Code with respect to any Pension Plan or the failure to make any required contribution to a Multiemployer Plan; (c) the incurrence by any ERISA Entity of any liability under Title IV of ERISA with respect to the termination of any Pension Plan; (d) the receipt by any ERISA Entity from the PBGC or a plan administrator of any notice indicating an intent to terminate any Pension Plan or to appoint a trustee to administer any Pension Plan; (e) the occurrence of any event or condition which would reasonably constitute grounds under ERISA for the termination of or the appointment of a trustee to administer, any Pension Plan; (f) the incurrence by any ERISA Entity of any liability with respect to the withdrawal or partial withdrawal from any Pension Plan or Multiemployer Plan; (g) the receipt by an ERISA Entity of any notice concerning the imposition of Withdrawal Liability on any ERISA Entity or a determination that a Multiemployer Plan is insolvent or in reorganization, within the meaning of Title IV of ERISA or in “endangered” or “critical” status, within the meaning of Section 432 of the Code or Section 305 of ERISA; (h) a failure by any ERISA Entity to pay when due (after expiration of any applicable grace period) any installment payment with respect to withdrawal liability under Section 4201 of ERISA; (i) the withdrawal of any ERISA Entity from a Pension Plan subject to Section 4063 of ERISA during a plan year in which such ERISA Entity was a “substantial employer” as defined in Section 4001(a)(2) of ERISA or a cessation of operations that is treated as such a withdrawal under Section 4062(e) of ERISA; or (j) the occurrence of a nonexempt prohibited transaction (within the meaning of Section 4975 of the Code or Section 406 of ERISA) which would reasonably be expected to result in liability to any ERISA Entity.</w:t>
      </w:r>
    </w:p>
    <w:p>
      <w:pPr>
        <w:spacing w:after="0" w:line="18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Group</w:t>
      </w:r>
      <w:r>
        <w:rPr>
          <w:rFonts w:ascii="Arial" w:cs="Arial" w:eastAsia="Arial" w:hAnsi="Arial"/>
          <w:sz w:val="18"/>
          <w:szCs w:val="18"/>
          <w:color w:val="auto"/>
        </w:rPr>
        <w:t>” shall mean Borrower or any of its Restricted Subsidiaries and all members of a controlled group of corporations and all trades or businesses (whether or not incorporated) under common control which, together with Borrower and its Restricted Subsidiaries, are treated as a single employer under Section 414(b) or (c) of the Code.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0000FF"/>
        </w:rPr>
        <w:t>“EU Bail-In Legislation Schedule” shall mean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Events of Default</w:t>
      </w:r>
      <w:r>
        <w:rPr>
          <w:rFonts w:ascii="Arial" w:cs="Arial" w:eastAsia="Arial" w:hAnsi="Arial"/>
          <w:sz w:val="18"/>
          <w:szCs w:val="18"/>
          <w:color w:val="auto"/>
        </w:rPr>
        <w:t>” has the meaning set forth in Section 11.01.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shall mean, for any fiscal year of Borrower, an amount, if positive, equal to (without duplication):</w:t>
      </w:r>
    </w:p>
    <w:p>
      <w:pPr>
        <w:spacing w:after="0" w:line="256" w:lineRule="exact"/>
        <w:rPr>
          <w:sz w:val="20"/>
          <w:szCs w:val="20"/>
          <w:color w:val="auto"/>
        </w:rPr>
      </w:pPr>
    </w:p>
    <w:p>
      <w:pPr>
        <w:ind w:left="1500" w:hanging="520"/>
        <w:spacing w:after="0"/>
        <w:tabs>
          <w:tab w:leader="none" w:pos="1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Consolidated Net Income; </w:t>
      </w:r>
      <w:r>
        <w:rPr>
          <w:rFonts w:ascii="Arial" w:cs="Arial" w:eastAsia="Arial" w:hAnsi="Arial"/>
          <w:sz w:val="18"/>
          <w:szCs w:val="18"/>
          <w:i w:val="1"/>
          <w:iCs w:val="1"/>
          <w:color w:val="auto"/>
        </w:rPr>
        <w:t>plus</w:t>
      </w:r>
    </w:p>
    <w:p>
      <w:pPr>
        <w:spacing w:after="0" w:line="265" w:lineRule="exact"/>
        <w:rPr>
          <w:rFonts w:ascii="Arial" w:cs="Arial" w:eastAsia="Arial" w:hAnsi="Arial"/>
          <w:sz w:val="18"/>
          <w:szCs w:val="18"/>
          <w:color w:val="auto"/>
        </w:rPr>
      </w:pPr>
    </w:p>
    <w:p>
      <w:pPr>
        <w:jc w:val="both"/>
        <w:ind w:left="340" w:firstLine="640"/>
        <w:spacing w:after="0" w:line="329" w:lineRule="auto"/>
        <w:tabs>
          <w:tab w:leader="none" w:pos="1522"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an amount equal to the amount of all non-cash charges or losses (including write-offs or write-downs, depreciation expense and amortization expense including amortization of goodwill and other intangibles) to the extent deducted in arriving at such Consolidated Net Income (excluding any such non-cash expense to the extent that it represents an accrual or reserve for potential cash charge in any future period or amortization of a prepaid cash charge that was paid in a prior period and that did not reduce Excess Cash Flow at the time paid); </w:t>
      </w:r>
      <w:r>
        <w:rPr>
          <w:rFonts w:ascii="Arial" w:cs="Arial" w:eastAsia="Arial" w:hAnsi="Arial"/>
          <w:sz w:val="17"/>
          <w:szCs w:val="17"/>
          <w:i w:val="1"/>
          <w:iCs w:val="1"/>
          <w:color w:val="auto"/>
        </w:rPr>
        <w:t>plus</w:t>
      </w:r>
    </w:p>
    <w:p>
      <w:pPr>
        <w:spacing w:after="0" w:line="170" w:lineRule="exact"/>
        <w:rPr>
          <w:rFonts w:ascii="Arial" w:cs="Arial" w:eastAsia="Arial" w:hAnsi="Arial"/>
          <w:sz w:val="17"/>
          <w:szCs w:val="17"/>
          <w:color w:val="auto"/>
        </w:rPr>
      </w:pPr>
    </w:p>
    <w:p>
      <w:pPr>
        <w:ind w:left="340" w:firstLine="640"/>
        <w:spacing w:after="0" w:line="324" w:lineRule="auto"/>
        <w:tabs>
          <w:tab w:leader="none" w:pos="15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decrease, if any, in Working Capital from the beginning of such period to the end of such period (for the avoidance of doubt, an increase in negative Working Capital is a decrease in Working Capital);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1520" w:hanging="540"/>
        <w:spacing w:after="0"/>
        <w:tabs>
          <w:tab w:leader="none" w:pos="1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any amounts received from the early extinguishment of Swap Contracts that are not included in Consolidated Net Income; </w:t>
      </w:r>
      <w:r>
        <w:rPr>
          <w:rFonts w:ascii="Arial" w:cs="Arial" w:eastAsia="Arial" w:hAnsi="Arial"/>
          <w:sz w:val="17"/>
          <w:szCs w:val="17"/>
          <w:i w:val="1"/>
          <w:iCs w:val="1"/>
          <w:color w:val="auto"/>
        </w:rPr>
        <w:t>minus</w:t>
      </w:r>
    </w:p>
    <w:p>
      <w:pPr>
        <w:spacing w:after="0" w:line="277" w:lineRule="exact"/>
        <w:rPr>
          <w:rFonts w:ascii="Arial" w:cs="Arial" w:eastAsia="Arial" w:hAnsi="Arial"/>
          <w:sz w:val="17"/>
          <w:szCs w:val="17"/>
          <w:color w:val="auto"/>
        </w:rPr>
      </w:pPr>
    </w:p>
    <w:p>
      <w:pPr>
        <w:ind w:left="1500" w:hanging="520"/>
        <w:spacing w:after="0"/>
        <w:tabs>
          <w:tab w:leader="none" w:pos="1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increase, if any, of Working Capital from the beginning of such period to the end of such period; </w:t>
      </w:r>
      <w:r>
        <w:rPr>
          <w:rFonts w:ascii="Arial" w:cs="Arial" w:eastAsia="Arial" w:hAnsi="Arial"/>
          <w:sz w:val="18"/>
          <w:szCs w:val="18"/>
          <w:i w:val="1"/>
          <w:iCs w:val="1"/>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96" w:right="239" w:bottom="1440" w:gutter="0" w:footer="0" w:header="0"/>
        </w:sectPr>
      </w:pPr>
    </w:p>
    <w:bookmarkStart w:id="104" w:name="page105"/>
    <w:bookmarkEnd w:id="104"/>
    <w:p>
      <w:pPr>
        <w:ind w:left="1480" w:hanging="500"/>
        <w:spacing w:after="0"/>
        <w:tabs>
          <w:tab w:leader="none" w:pos="1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amounts paid in connection with the early extinguishment of Swap Contracts that are not included in Consolidated Net Income;</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minus</w:t>
      </w:r>
    </w:p>
    <w:p>
      <w:pPr>
        <w:spacing w:after="0" w:line="266" w:lineRule="exact"/>
        <w:rPr>
          <w:sz w:val="20"/>
          <w:szCs w:val="20"/>
          <w:color w:val="auto"/>
        </w:rPr>
      </w:pPr>
    </w:p>
    <w:p>
      <w:pPr>
        <w:ind w:left="340" w:right="20" w:firstLine="640"/>
        <w:spacing w:after="0" w:line="395" w:lineRule="auto"/>
        <w:tabs>
          <w:tab w:leader="none" w:pos="1522"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the amount of Capital Expenditures made in cash during such period, except to the extent financed with the proceeds of Indebtedness, Asset Sales or Casualty Events (to the extent such proceeds did not increase Consolidated Net Income) of Borrower or its Restricted Subsidiaries; </w:t>
      </w:r>
      <w:r>
        <w:rPr>
          <w:rFonts w:ascii="Arial" w:cs="Arial" w:eastAsia="Arial" w:hAnsi="Arial"/>
          <w:sz w:val="16"/>
          <w:szCs w:val="16"/>
          <w:i w:val="1"/>
          <w:iCs w:val="1"/>
          <w:color w:val="auto"/>
        </w:rPr>
        <w:t>minus</w:t>
      </w:r>
    </w:p>
    <w:p>
      <w:pPr>
        <w:spacing w:after="0" w:line="123" w:lineRule="exact"/>
        <w:rPr>
          <w:rFonts w:ascii="Arial" w:cs="Arial" w:eastAsia="Arial" w:hAnsi="Arial"/>
          <w:sz w:val="16"/>
          <w:szCs w:val="16"/>
          <w:color w:val="auto"/>
        </w:rPr>
      </w:pPr>
    </w:p>
    <w:p>
      <w:pPr>
        <w:jc w:val="both"/>
        <w:ind w:left="340" w:firstLine="640"/>
        <w:spacing w:after="0" w:line="304" w:lineRule="auto"/>
        <w:tabs>
          <w:tab w:leader="none" w:pos="15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amount of principal payments of the Loans, Other Applicable Indebtedness and Other First Lien Indebtedness of Borrower and its Restricted Subsidiaries (excluding repayments of Revolving Loans or other revolving indebtedness, except to the extent the Revolving Commitments or commitments in respect of such other revolving debt, as applicable, are permanently reduced in connection with such repayments), in each case, except to the extent financed with the proceeds of Indebtedness, Asset Sales or Casualty Events (to the extent such proceeds did not increase Consolidated Net Income) of Borrower or its Restricted Subsidiaries; </w:t>
      </w:r>
      <w:r>
        <w:rPr>
          <w:rFonts w:ascii="Arial" w:cs="Arial" w:eastAsia="Arial" w:hAnsi="Arial"/>
          <w:sz w:val="18"/>
          <w:szCs w:val="18"/>
          <w:i w:val="1"/>
          <w:iCs w:val="1"/>
          <w:color w:val="auto"/>
        </w:rPr>
        <w:t>minus</w:t>
      </w:r>
    </w:p>
    <w:p>
      <w:pPr>
        <w:spacing w:after="0" w:line="188" w:lineRule="exact"/>
        <w:rPr>
          <w:rFonts w:ascii="Arial" w:cs="Arial" w:eastAsia="Arial" w:hAnsi="Arial"/>
          <w:sz w:val="18"/>
          <w:szCs w:val="18"/>
          <w:color w:val="auto"/>
        </w:rPr>
      </w:pPr>
    </w:p>
    <w:p>
      <w:pPr>
        <w:jc w:val="both"/>
        <w:ind w:left="340" w:firstLine="640"/>
        <w:spacing w:after="0" w:line="354" w:lineRule="auto"/>
        <w:tabs>
          <w:tab w:leader="none" w:pos="1482"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the amount of Investments made during such period pursuant to Section 10.04 (other than Sections 10.04(a), (b), (c), (d), (e), (f) (except to the extent such amount increased Consolidated Net Income), (g), (h) (to the extent not taken into account in arriving at Consolidated Net Income), (j), (k), (l), (o), (p), (r), (s), (x) and (y)), except to the extent financed with the proceeds of Indebtedness (other than Revolving Loans), Asset Sales or Casualty Events (to the extent such proceeds did not increase Consolidated Net Income) of Borrower or its Restricted Subsidiaries; </w:t>
      </w:r>
      <w:r>
        <w:rPr>
          <w:rFonts w:ascii="Arial" w:cs="Arial" w:eastAsia="Arial" w:hAnsi="Arial"/>
          <w:sz w:val="16"/>
          <w:szCs w:val="16"/>
          <w:i w:val="1"/>
          <w:iCs w:val="1"/>
          <w:color w:val="auto"/>
        </w:rPr>
        <w:t>minus</w:t>
      </w:r>
    </w:p>
    <w:p>
      <w:pPr>
        <w:spacing w:after="0" w:line="156" w:lineRule="exact"/>
        <w:rPr>
          <w:rFonts w:ascii="Arial" w:cs="Arial" w:eastAsia="Arial" w:hAnsi="Arial"/>
          <w:sz w:val="16"/>
          <w:szCs w:val="16"/>
          <w:color w:val="auto"/>
        </w:rPr>
      </w:pPr>
    </w:p>
    <w:p>
      <w:pPr>
        <w:ind w:left="340" w:right="20" w:firstLine="640"/>
        <w:spacing w:after="0" w:line="324" w:lineRule="auto"/>
        <w:tabs>
          <w:tab w:leader="none" w:pos="148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amount of all non-cash gains to the extent included in arriving at such Consolidated Net Income (excluding any such non-cash gain to the extent it represents the reversal of an accrual or reserve for a potential cash loss in any prior period); </w:t>
      </w:r>
      <w:r>
        <w:rPr>
          <w:rFonts w:ascii="Arial" w:cs="Arial" w:eastAsia="Arial" w:hAnsi="Arial"/>
          <w:sz w:val="18"/>
          <w:szCs w:val="18"/>
          <w:i w:val="1"/>
          <w:iCs w:val="1"/>
          <w:color w:val="auto"/>
        </w:rPr>
        <w:t>minus</w:t>
      </w:r>
    </w:p>
    <w:p>
      <w:pPr>
        <w:spacing w:after="0" w:line="170" w:lineRule="exact"/>
        <w:rPr>
          <w:rFonts w:ascii="Arial" w:cs="Arial" w:eastAsia="Arial" w:hAnsi="Arial"/>
          <w:sz w:val="18"/>
          <w:szCs w:val="18"/>
          <w:color w:val="auto"/>
        </w:rPr>
      </w:pPr>
    </w:p>
    <w:p>
      <w:pPr>
        <w:jc w:val="both"/>
        <w:ind w:left="340" w:firstLine="640"/>
        <w:spacing w:after="0" w:line="311" w:lineRule="auto"/>
        <w:tabs>
          <w:tab w:leader="none" w:pos="15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expenses or reserves for liabilities to the extent that Borrower or any Restricted Subsidiary is entitled to indemnification or reimbursement therefor under binding agreements or insurance claims therefor to the extent Borrower has not received such indemnity or reimbursement payment, in each case, to the extent not taken into account in arriving at Consolidated Net Income.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shall mean the Securities Exchange Act of 1934, as amended, and the rules and regulations of the SEC promulgated thereunder.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Designation</w:t>
      </w:r>
      <w:r>
        <w:rPr>
          <w:rFonts w:ascii="Arial" w:cs="Arial" w:eastAsia="Arial" w:hAnsi="Arial"/>
          <w:sz w:val="18"/>
          <w:szCs w:val="18"/>
          <w:color w:val="auto"/>
        </w:rPr>
        <w:t>” has the meaning set forth in Section 9.13(a).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Immaterial Subsidiaries</w:t>
      </w:r>
      <w:r>
        <w:rPr>
          <w:rFonts w:ascii="Arial" w:cs="Arial" w:eastAsia="Arial" w:hAnsi="Arial"/>
          <w:sz w:val="18"/>
          <w:szCs w:val="18"/>
          <w:color w:val="auto"/>
        </w:rPr>
        <w:t>” has the meaning set forth in Section 9.13(a).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Information</w:t>
      </w:r>
      <w:r>
        <w:rPr>
          <w:rFonts w:ascii="Arial" w:cs="Arial" w:eastAsia="Arial" w:hAnsi="Arial"/>
          <w:sz w:val="18"/>
          <w:szCs w:val="18"/>
          <w:color w:val="auto"/>
        </w:rPr>
        <w:t>” shall have the meaning provided in Section 12.07(b).</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Subsidiary</w:t>
      </w:r>
      <w:r>
        <w:rPr>
          <w:rFonts w:ascii="Arial" w:cs="Arial" w:eastAsia="Arial" w:hAnsi="Arial"/>
          <w:sz w:val="16"/>
          <w:szCs w:val="16"/>
          <w:color w:val="auto"/>
        </w:rPr>
        <w:t xml:space="preserve">” shall mean (a) any Unrestricted Subsidiary, (b) any Immaterial Subsidiary, (c) any Foreign Subsidiary or CFC Holdco, (d) any Subsidiary that is prohibited by applicable law, rule or regulation (including, without limitation, any Gaming Laws) or by any agreement, instrument or other undertaking to which such Subsidiary is a party or by which it or any of its property or assets is bound from guaranteeing the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agreement, instrument or other undertaking (i) is in existence on the Closing Date and listed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(or, with respect to a Subsidiary acquired after the Closing Date, as of the date of such acquisition) and (ii) in the case of a Subsidiary acquired after the Closing Date, was not entered into in connection with or anticipation of such acquisition, (e) any Subsidiary with respect to which guaranteeing the Obligations would require consent, approval, license or authorization from any Governmental Authority (including, without limitation, any Gaming Authority), unless such consent, approval, license or authorization has been received and is in effect, (f) from and after the Wynn Las Vegas Reorganization, but prior to the Wynn Las Vegas 2020 and 2022 Note Repayment, the Wynn Las Vegas Entities, (g) each Subsidiary that is not a Wholly Owned Subsidiary (for so long as such Subsidiary remains a non-Wholly Owned Subsidiary) and (h) any other Subsidiary with respect to which, in the reasonable judgment of Administrative Agent (which shall be confirmed in writing by notice to Borrower), the cost or other consequences (including 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27"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adverse tax consequences) of providing a guarantee shall be excessive in view of the benefits to be obtained by the Lenders therefrom.</w:t>
      </w:r>
    </w:p>
    <w:p>
      <w:pPr>
        <w:spacing w:after="0" w:line="2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Swap Obligation</w:t>
      </w:r>
      <w:r>
        <w:rPr>
          <w:rFonts w:ascii="Arial" w:cs="Arial" w:eastAsia="Arial" w:hAnsi="Arial"/>
          <w:sz w:val="16"/>
          <w:szCs w:val="16"/>
          <w:color w:val="auto"/>
        </w:rPr>
        <w:t>” shall mean,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shall mean any of the following Taxes imposed on or with respect to any Agent or Lender or required to be withheld or deducted from any payment to any Agent or Lender: (a) income, franchise or branch profits Taxes imposed on or measured by net income or net profits (however denominated), in each case, (i) imposed by any jurisdiction as a result of such recipient being organized under the laws of, having its principal office located in or, in the case of any Lender, having its Applicable Lending Office located in the jurisdiction imposing such Tax, or (ii) that are Other Connection Taxes,</w:t>
      </w:r>
    </w:p>
    <w:p>
      <w:pPr>
        <w:spacing w:after="0" w:line="3" w:lineRule="exact"/>
        <w:rPr>
          <w:sz w:val="20"/>
          <w:szCs w:val="20"/>
          <w:color w:val="auto"/>
        </w:rPr>
      </w:pPr>
    </w:p>
    <w:p>
      <w:pPr>
        <w:jc w:val="both"/>
        <w:ind w:firstLine="8"/>
        <w:spacing w:after="0" w:line="281" w:lineRule="auto"/>
        <w:tabs>
          <w:tab w:leader="none" w:pos="2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case of any Lender, other than an assignee pursuant to a request by Borrower under Section 2.11(a), any U.S. federal withholding tax that is imposed on amounts payable to such Person under the laws in effect at the time such Person becomes a party to this Agreement (or designates a new Applicable Lending Office), except to the extent that such Person (or its assignor, if any) was entitled, immediately prior to the designation of a new Applicable Lending Office (or assignment), to receive additional amounts from Borrower with respect to such withholding Tax pursuant to Section 5.06(a),</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Taxes attributable to such Lender’s failure to comply with Sections 5.06(b) or (d) and (d) any Taxes imposed under FATCA.</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Order</w:t>
      </w:r>
      <w:r>
        <w:rPr>
          <w:rFonts w:ascii="Arial" w:cs="Arial" w:eastAsia="Arial" w:hAnsi="Arial"/>
          <w:sz w:val="18"/>
          <w:szCs w:val="18"/>
          <w:color w:val="auto"/>
        </w:rPr>
        <w:t>” has the meaning set forth in Section 8.22(a).</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FF0000"/>
          <w:strike w:val="1"/>
        </w:rPr>
        <w:t>“Existing Credit Agreement” shall have the meaning provided in the First Amendment, except as used in the definitions of “Tranche C Term Facility Commitment,” “Tranche C Term Facility Lenders” and “Tranche D Term Facility Commitment.” When used in the definitions of “Tranche C Term Facility Commitment,” “Tranche C Term Facility Lenders” and “Tranche D Term Facility Commitment,” “Existing Credit Agreement” shall have the meaning provided in the Third Amendment.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“Existing Credit Agreement” shall have the meaning provided in the Third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Loans</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Tranche</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Facility Loans</w:t>
      </w:r>
      <w:r>
        <w:rPr>
          <w:rFonts w:ascii="Arial" w:cs="Arial" w:eastAsia="Arial" w:hAnsi="Arial"/>
          <w:sz w:val="18"/>
          <w:szCs w:val="18"/>
          <w:b w:val="1"/>
          <w:bCs w:val="1"/>
          <w:u w:val="single" w:color="auto"/>
          <w:color w:val="0000FF"/>
        </w:rPr>
        <w:t>Loan Tranche</w:t>
      </w:r>
      <w:r>
        <w:rPr>
          <w:rFonts w:ascii="Arial" w:cs="Arial" w:eastAsia="Arial" w:hAnsi="Arial"/>
          <w:sz w:val="18"/>
          <w:szCs w:val="18"/>
          <w:color w:val="auto"/>
        </w:rPr>
        <w:t xml:space="preserve">” shall have the meaning provided in Section </w:t>
      </w:r>
      <w:r>
        <w:rPr>
          <w:rFonts w:ascii="Arial" w:cs="Arial" w:eastAsia="Arial" w:hAnsi="Arial"/>
          <w:sz w:val="18"/>
          <w:szCs w:val="18"/>
          <w:b w:val="1"/>
          <w:bCs w:val="1"/>
          <w:color w:val="FF0000"/>
          <w:strike w:val="1"/>
        </w:rPr>
        <w:t>2.03</w:t>
      </w:r>
      <w:r>
        <w:rPr>
          <w:rFonts w:ascii="Arial" w:cs="Arial" w:eastAsia="Arial" w:hAnsi="Arial"/>
          <w:sz w:val="18"/>
          <w:szCs w:val="18"/>
          <w:b w:val="1"/>
          <w:bCs w:val="1"/>
          <w:u w:val="single" w:color="auto"/>
          <w:color w:val="0000FF"/>
        </w:rPr>
        <w:t>2.13</w:t>
      </w:r>
      <w:r>
        <w:rPr>
          <w:rFonts w:ascii="Arial" w:cs="Arial" w:eastAsia="Arial" w:hAnsi="Arial"/>
          <w:sz w:val="18"/>
          <w:szCs w:val="18"/>
          <w:color w:val="auto"/>
        </w:rPr>
        <w:t>(</w:t>
      </w:r>
      <w:r>
        <w:rPr>
          <w:rFonts w:ascii="Arial" w:cs="Arial" w:eastAsia="Arial" w:hAnsi="Arial"/>
          <w:sz w:val="18"/>
          <w:szCs w:val="18"/>
          <w:b w:val="1"/>
          <w:bCs w:val="1"/>
          <w:color w:val="FF0000"/>
          <w:strike w:val="1"/>
        </w:rPr>
        <w:t>c</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w:t>
      </w:r>
      <w:r>
        <w:rPr>
          <w:rFonts w:ascii="Arial" w:cs="Arial" w:eastAsia="Arial" w:hAnsi="Arial"/>
          <w:sz w:val="18"/>
          <w:szCs w:val="18"/>
          <w:b w:val="1"/>
          <w:bCs w:val="1"/>
          <w:color w:val="FF0000"/>
          <w:strike w:val="1"/>
        </w:rPr>
        <w:t>(ii).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Loan Tranche</w:t>
      </w:r>
      <w:r>
        <w:rPr>
          <w:rFonts w:ascii="Arial" w:cs="Arial" w:eastAsia="Arial" w:hAnsi="Arial"/>
          <w:sz w:val="18"/>
          <w:szCs w:val="18"/>
          <w:b w:val="1"/>
          <w:bCs w:val="1"/>
          <w:u w:val="single" w:color="auto"/>
          <w:color w:val="0000FF"/>
        </w:rPr>
        <w:t>Loans</w:t>
      </w:r>
      <w:r>
        <w:rPr>
          <w:rFonts w:ascii="Arial" w:cs="Arial" w:eastAsia="Arial" w:hAnsi="Arial"/>
          <w:sz w:val="18"/>
          <w:szCs w:val="18"/>
          <w:color w:val="auto"/>
        </w:rPr>
        <w:t xml:space="preserve">” shall have the meaning provided in Section </w:t>
      </w:r>
      <w:r>
        <w:rPr>
          <w:rFonts w:ascii="Arial" w:cs="Arial" w:eastAsia="Arial" w:hAnsi="Arial"/>
          <w:sz w:val="18"/>
          <w:szCs w:val="18"/>
          <w:b w:val="1"/>
          <w:bCs w:val="1"/>
          <w:color w:val="FF0000"/>
          <w:strike w:val="1"/>
        </w:rPr>
        <w:t>2.13</w:t>
      </w:r>
      <w:r>
        <w:rPr>
          <w:rFonts w:ascii="Arial" w:cs="Arial" w:eastAsia="Arial" w:hAnsi="Arial"/>
          <w:sz w:val="18"/>
          <w:szCs w:val="18"/>
          <w:b w:val="1"/>
          <w:bCs w:val="1"/>
          <w:u w:val="single" w:color="auto"/>
          <w:color w:val="0000FF"/>
        </w:rPr>
        <w:t>2.01</w:t>
      </w:r>
      <w:r>
        <w:rPr>
          <w:rFonts w:ascii="Arial" w:cs="Arial" w:eastAsia="Arial" w:hAnsi="Arial"/>
          <w:sz w:val="18"/>
          <w:szCs w:val="18"/>
          <w:color w:val="auto"/>
        </w:rPr>
        <w:t>(</w:t>
      </w:r>
      <w:r>
        <w:rPr>
          <w:rFonts w:ascii="Arial" w:cs="Arial" w:eastAsia="Arial" w:hAnsi="Arial"/>
          <w:sz w:val="18"/>
          <w:szCs w:val="18"/>
          <w:b w:val="1"/>
          <w:bCs w:val="1"/>
          <w:color w:val="FF0000"/>
          <w:strike w:val="1"/>
        </w:rPr>
        <w:t>a</w:t>
      </w:r>
      <w:r>
        <w:rPr>
          <w:rFonts w:ascii="Arial" w:cs="Arial" w:eastAsia="Arial" w:hAnsi="Arial"/>
          <w:sz w:val="18"/>
          <w:szCs w:val="18"/>
          <w:b w:val="1"/>
          <w:bCs w:val="1"/>
          <w:u w:val="single" w:color="auto"/>
          <w:color w:val="0000FF"/>
        </w:rPr>
        <w:t>c)(ii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Tranche</w:t>
      </w:r>
      <w:r>
        <w:rPr>
          <w:rFonts w:ascii="Arial" w:cs="Arial" w:eastAsia="Arial" w:hAnsi="Arial"/>
          <w:sz w:val="18"/>
          <w:szCs w:val="18"/>
          <w:color w:val="auto"/>
        </w:rPr>
        <w:t>” shall mean any Existing Term Loan Tranche or Existing Revolving Tranche.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Expansion Capital Expenditures</w:t>
      </w:r>
      <w:r>
        <w:rPr>
          <w:rFonts w:ascii="Arial" w:cs="Arial" w:eastAsia="Arial" w:hAnsi="Arial"/>
          <w:sz w:val="18"/>
          <w:szCs w:val="18"/>
          <w:color w:val="auto"/>
        </w:rPr>
        <w:t>” shall mean any capital expenditure by Borrower or any of its Restricted Subsidiaries in respect of the purchase or other acquisition of any fixed or capital assets or the refurbishment of existing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106" w:name="page107"/>
    <w:bookmarkEnd w:id="106"/>
    <w:p>
      <w:pPr>
        <w:jc w:val="both"/>
        <w:ind w:right="20"/>
        <w:spacing w:after="0" w:line="279" w:lineRule="auto"/>
        <w:rPr>
          <w:sz w:val="20"/>
          <w:szCs w:val="20"/>
          <w:color w:val="auto"/>
        </w:rPr>
      </w:pPr>
      <w:r>
        <w:rPr>
          <w:rFonts w:ascii="Arial" w:cs="Arial" w:eastAsia="Arial" w:hAnsi="Arial"/>
          <w:sz w:val="17"/>
          <w:szCs w:val="17"/>
          <w:color w:val="auto"/>
        </w:rPr>
        <w:t>assets or properties that, in Borrower’s reasonable determination, adds to or improves (or is reasonably expected to add to or improve) the property of Borrower and its Restricted Subsidiaries, excluding any such capital expenditures fully financed with Net Available Proceeds of an Asset Sale or Casualty Event and excluding capital expenditures made in the ordinary course made to maintain, repair, restore or refurbish the property of Borrower and its Restricted Subsidiaries in its then existing state or to support the continuation of such Person’s day to day operations as then conducted.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Commitments</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Loans</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shall have the meaning provided in Section 2.13(a).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Lender</w:t>
      </w:r>
      <w:r>
        <w:rPr>
          <w:rFonts w:ascii="Arial" w:cs="Arial" w:eastAsia="Arial" w:hAnsi="Arial"/>
          <w:sz w:val="18"/>
          <w:szCs w:val="18"/>
          <w:color w:val="auto"/>
        </w:rPr>
        <w:t>” shall have the meaning provided in Section 2.13(c).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Amendment</w:t>
      </w:r>
      <w:r>
        <w:rPr>
          <w:rFonts w:ascii="Arial" w:cs="Arial" w:eastAsia="Arial" w:hAnsi="Arial"/>
          <w:sz w:val="18"/>
          <w:szCs w:val="18"/>
          <w:color w:val="auto"/>
        </w:rPr>
        <w:t>” shall have the meaning provided in Section 2.13(d).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Date</w:t>
      </w:r>
      <w:r>
        <w:rPr>
          <w:rFonts w:ascii="Arial" w:cs="Arial" w:eastAsia="Arial" w:hAnsi="Arial"/>
          <w:sz w:val="18"/>
          <w:szCs w:val="18"/>
          <w:color w:val="auto"/>
        </w:rPr>
        <w:t>” shall mean any date on which any Existing Term Loan Tranche or Existing Revolving Tranche is modified to extend the related scheduled maturity date(s) in accordance with Section 2.13 (with respect to the Lenders under such Existing Term Loan Tranche or Existing Revolving Tranche which agree to such modification).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Election</w:t>
      </w:r>
      <w:r>
        <w:rPr>
          <w:rFonts w:ascii="Arial" w:cs="Arial" w:eastAsia="Arial" w:hAnsi="Arial"/>
          <w:sz w:val="18"/>
          <w:szCs w:val="18"/>
          <w:color w:val="auto"/>
        </w:rPr>
        <w:t>” shall have the meaning provided in Section 2.13(c).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shall mean any Term Loan Extension Request or Revolving Extension Request.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Tranche</w:t>
      </w:r>
      <w:r>
        <w:rPr>
          <w:rFonts w:ascii="Arial" w:cs="Arial" w:eastAsia="Arial" w:hAnsi="Arial"/>
          <w:sz w:val="18"/>
          <w:szCs w:val="18"/>
          <w:color w:val="auto"/>
        </w:rPr>
        <w:t>” shall mean all Extended Term Loans of the same tranche or Extended Revolving Commitments of the same tranche that are established pursuant to the same Extension Amendment (or any subsequent Extension Amendment to the extent such Extension Amendment expressly provides that the Extended Term Loans or Extended Revolving Commitments, as applicable, provided for therein are intended to be a part of any previously established Extension Tranche).</w:t>
      </w:r>
    </w:p>
    <w:p>
      <w:pPr>
        <w:spacing w:after="0" w:line="18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w:t>
      </w:r>
      <w:r>
        <w:rPr>
          <w:rFonts w:ascii="Arial" w:cs="Arial" w:eastAsia="Arial" w:hAnsi="Arial"/>
          <w:sz w:val="16"/>
          <w:szCs w:val="16"/>
          <w:color w:val="auto"/>
        </w:rPr>
        <w:t>” shall mean any establishment, facility and other property or assets ancillary or related thereto or used in connection therewith, the primary focus of which is, or when completed will be, the hospitality, gaming, leisure and/or consumer industries (including, without limitation, any Gaming Facility).</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with respect to any Property, a price (after taking into account any liabilities relating to such Property), as determined in good faith by Borrower, that could be negotiated in an arm’s-length free market transaction, for cash, between a willing seller and a willing and able buyer, neither of which is under any compulsion to complete the transaction.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Share</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Share Shortfall</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shall mean Sections 1471 through 1474 of the Code as of the date of this Agreement (or any amended or successor version that is substantively comparable and not materially more onerous to comply with) and any regulations thereunder or official governmental interpretations thereof, any agreements entered into pursuant to current Section 1471(b) of the Code (or any amended or successor version described above), any intergovernmental agreements (and any related laws, regulations or official guidance) implementing the foregoing.</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Rate</w:t>
      </w:r>
      <w:r>
        <w:rPr>
          <w:rFonts w:ascii="Arial" w:cs="Arial" w:eastAsia="Arial" w:hAnsi="Arial"/>
          <w:sz w:val="17"/>
          <w:szCs w:val="17"/>
          <w:color w:val="auto"/>
        </w:rPr>
        <w:t xml:space="preserve">” shall mean, for any day,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upwards, if necessary, to the nearest 1/100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if the day for which such rate is to be determined is not a Business Day, the Federal Funds Rate for such day shall be such rate on such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107" w:name="page108"/>
    <w:bookmarkEnd w:id="107"/>
    <w:p>
      <w:pPr>
        <w:jc w:val="both"/>
        <w:spacing w:after="0" w:line="264" w:lineRule="auto"/>
        <w:rPr>
          <w:sz w:val="20"/>
          <w:szCs w:val="20"/>
          <w:color w:val="auto"/>
        </w:rPr>
      </w:pPr>
      <w:r>
        <w:rPr>
          <w:rFonts w:ascii="Arial" w:cs="Arial" w:eastAsia="Arial" w:hAnsi="Arial"/>
          <w:sz w:val="18"/>
          <w:szCs w:val="18"/>
          <w:color w:val="auto"/>
        </w:rPr>
        <w:t>transactions on the next preceding Business Day as so published on the next succeeding Business Day and (b) if such rate is not so published for any Business Day, the Federal Funds Rate for such Business Day shall be the average rate quoted to Administrative Agent on such Business Day on such transactions by three federal funds brokers of recognized standing, as determined by Administrative Agent.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shall mean the fee letter agreement dated as of the date hereof, between Borrower and Administrative Agent.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Maturity Date</w:t>
      </w:r>
      <w:r>
        <w:rPr>
          <w:rFonts w:ascii="Arial" w:cs="Arial" w:eastAsia="Arial" w:hAnsi="Arial"/>
          <w:sz w:val="18"/>
          <w:szCs w:val="18"/>
          <w:color w:val="auto"/>
        </w:rPr>
        <w:t>” shall mean the latest of the latest R/C Maturity Date, the Term Facility Maturity Date, the latest final maturity date applicable to any Extended Term Loans, the latest final maturity date applicable to any Extended Revolving Commitments, the latest final maturity date applicable to any Other Term Loans and the latest final maturity date applicable to any Other Revolving Loans.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Maintenance Covenant</w:t>
      </w:r>
      <w:r>
        <w:rPr>
          <w:rFonts w:ascii="Arial" w:cs="Arial" w:eastAsia="Arial" w:hAnsi="Arial"/>
          <w:sz w:val="18"/>
          <w:szCs w:val="18"/>
          <w:color w:val="auto"/>
        </w:rPr>
        <w:t>” shall mean the covenant set forth in Section 10.08(a).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w:t>
      </w:r>
      <w:r>
        <w:rPr>
          <w:rFonts w:ascii="Arial" w:cs="Arial" w:eastAsia="Arial" w:hAnsi="Arial"/>
          <w:sz w:val="18"/>
          <w:szCs w:val="18"/>
          <w:color w:val="auto"/>
        </w:rPr>
        <w:t>” shall mean that certain First Amendment to Credit Agreement, dated as of November 5, 2015, by and among Borrower, the Guarantors party thereto, Administrative Agent, Collateral Agent and the other parties party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 shall mean the “Agreement Effective Date” as defined in the First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shall mean Fitch Ratings Inc., or any successor entity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Flood Insurance Laws</w:t>
      </w:r>
      <w:r>
        <w:rPr>
          <w:rFonts w:ascii="Arial" w:cs="Arial" w:eastAsia="Arial" w:hAnsi="Arial"/>
          <w:sz w:val="18"/>
          <w:szCs w:val="18"/>
          <w:color w:val="auto"/>
        </w:rPr>
        <w:t>” shall mean,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 effect or any successor statute thereto and (d) the Flood Insurance Reform Act of 2004 as now or hereafter in effect or any successor statute thereto.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shall mean a Lender that is not a U.S. Person.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any Subsidiary that is organized under the laws of a jurisdiction other than the United States, any state thereof, or the District of Columbia.</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0000FF"/>
        </w:rPr>
        <w:t>“Fourth Amendment” shall mean that certain Fourth Amendment to Credit Agreement, dated as of July 1, 2016, by and among Borrower, the Guarantors party thereto, Administrative Agent, Collateral Agent and the other parties party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“Fourth Amendment Effective Date” shall mean the “Agreement Effective Date” as defined in the Fourth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Credit Party</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shall mean the date of the making of any extension of credit (whether the making of a Loan or the issuance of a Letter of Credit) hereunder (including the Closing Date).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shall mean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108" w:name="page109"/>
    <w:bookmarkEnd w:id="108"/>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Approval</w:t>
      </w:r>
      <w:r>
        <w:rPr>
          <w:rFonts w:ascii="Arial" w:cs="Arial" w:eastAsia="Arial" w:hAnsi="Arial"/>
          <w:sz w:val="16"/>
          <w:szCs w:val="16"/>
          <w:color w:val="auto"/>
        </w:rPr>
        <w:t>” shall mean any and all approvals, authorizations, permits, consents, rulings, orders or directives of any Governmental Authority (including, without limitation, any Gaming Authority) (a) necessary to enable Borrower or any of its Restricted Subsidiaries to engage in, operate or manage the casino, gambling or gaming business or otherwise continue to conduct, operate or manage such business substantially as is presently conducted, operated or managed or contemplated to be conducted, operated or managed following the Closing Date (after giving effect to the Transactions),</w:t>
      </w:r>
    </w:p>
    <w:p>
      <w:pPr>
        <w:spacing w:after="0" w:line="3" w:lineRule="exact"/>
        <w:rPr>
          <w:sz w:val="20"/>
          <w:szCs w:val="20"/>
          <w:color w:val="auto"/>
        </w:rPr>
      </w:pPr>
    </w:p>
    <w:p>
      <w:pPr>
        <w:ind w:firstLine="8"/>
        <w:spacing w:after="0" w:line="261" w:lineRule="auto"/>
        <w:tabs>
          <w:tab w:leader="none" w:pos="257"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required by any Gaming Law or (c) necessary as is contemplated on the Closing Date (after giving effect to the Transactions), to accomplish the financing and other transactions contemplated hereby after giving effect to the Transactions.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Authority</w:t>
      </w:r>
      <w:r>
        <w:rPr>
          <w:rFonts w:ascii="Arial" w:cs="Arial" w:eastAsia="Arial" w:hAnsi="Arial"/>
          <w:sz w:val="18"/>
          <w:szCs w:val="18"/>
          <w:color w:val="auto"/>
        </w:rPr>
        <w:t>” shall mean any Governmental Authority with regulatory, licensing or permitting authority or jurisdiction over any gaming business or enterprise or any Gaming Facility or with regulatory, licensing or permitting authority or jurisdiction over any gaming operation (or proposed gaming operation) owned, managed, leased or operated by Borrower or any of its Restricted Subsidiaries.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Facility</w:t>
      </w:r>
      <w:r>
        <w:rPr>
          <w:rFonts w:ascii="Arial" w:cs="Arial" w:eastAsia="Arial" w:hAnsi="Arial"/>
          <w:sz w:val="18"/>
          <w:szCs w:val="18"/>
          <w:color w:val="auto"/>
        </w:rPr>
        <w:t>” shall mean any gaming establishment, facility and other property or assets ancillary or related thereto or used in connection therewith, including, without limitation, any casinos, hotels, resorts, theaters, parking facilities, timeshare operations, retail shops, restaurants, other buildings, land, golf courses and other recreation and entertainment facilities, marinas, vessels and related equipment.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Laws</w:t>
      </w:r>
      <w:r>
        <w:rPr>
          <w:rFonts w:ascii="Arial" w:cs="Arial" w:eastAsia="Arial" w:hAnsi="Arial"/>
          <w:sz w:val="18"/>
          <w:szCs w:val="18"/>
          <w:color w:val="auto"/>
        </w:rPr>
        <w:t>” shall mean all applicable provisions of all: (a) constitutions, treaties, statutes or laws governing Gaming Facilities (including, without limitation, card club casinos) and rules, regulations, codes and ordinances of, and all administrative or judicial orders or decrees or other laws pursuant to which, any Gaming Authority possesses regulatory, licensing, investigatory or permit authority over gambling, gaming or Gaming Facility activities conducted, operated or managed by Borrower or any of its Restricted Subsidiaries within its jurisdiction; (b) Gaming Approvals; and (c) orders, decisions, determinations, judgments, awards and decrees of any Gaming Authority.</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License</w:t>
      </w:r>
      <w:r>
        <w:rPr>
          <w:rFonts w:ascii="Arial" w:cs="Arial" w:eastAsia="Arial" w:hAnsi="Arial"/>
          <w:sz w:val="18"/>
          <w:szCs w:val="18"/>
          <w:color w:val="auto"/>
        </w:rPr>
        <w:t>” shall mean any Gaming Approval or other casino, gambling or gaming license issued by any Gaming Authority covering any Gaming Facility that permits the licensee to operate a gaming establishment.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government or political subdivision of the United States or any other country, whether federal, state, provincial or local, or any agency, authority, board, bureau, central bank, commission, office, division, department or instrumentality thereof or therein, including, without limitation, any court, tribunal, grand jury or arbitrator, in each case whether foreign or domestic, or any entity exercising executive, legislative, judicial, regulatory or administrative functions of or pertaining to such government or political subdivision including, without limitation, any Gaming Authority.</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Adjusted Revenues</w:t>
      </w:r>
      <w:r>
        <w:rPr>
          <w:rFonts w:ascii="Arial" w:cs="Arial" w:eastAsia="Arial" w:hAnsi="Arial"/>
          <w:sz w:val="18"/>
          <w:szCs w:val="18"/>
          <w:color w:val="auto"/>
        </w:rPr>
        <w:t xml:space="preserve">” shall mean, for any period, the Net Revenues for the relevant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promotions and discounts provided by Borrower and its Restricted Subsidiaries during such period calculated in accordance with GAAP.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shall mean the guarantee of each Guarantor pursuant to Article VI.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Obligations</w:t>
      </w:r>
      <w:r>
        <w:rPr>
          <w:rFonts w:ascii="Arial" w:cs="Arial" w:eastAsia="Arial" w:hAnsi="Arial"/>
          <w:sz w:val="18"/>
          <w:szCs w:val="18"/>
          <w:color w:val="auto"/>
        </w:rPr>
        <w:t>” has the meaning set forth in Section 6.01.</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Guarantors</w:t>
      </w:r>
      <w:r>
        <w:rPr>
          <w:rFonts w:ascii="Arial" w:cs="Arial" w:eastAsia="Arial" w:hAnsi="Arial"/>
          <w:sz w:val="17"/>
          <w:szCs w:val="17"/>
          <w:color w:val="auto"/>
        </w:rPr>
        <w:t xml:space="preserve">” shall mean each of the Persons listed on </w:t>
      </w:r>
      <w:r>
        <w:rPr>
          <w:rFonts w:ascii="Arial" w:cs="Arial" w:eastAsia="Arial" w:hAnsi="Arial"/>
          <w:sz w:val="17"/>
          <w:szCs w:val="17"/>
          <w:u w:val="single" w:color="auto"/>
          <w:color w:val="auto"/>
        </w:rPr>
        <w:t>Schedule 1.01(a)</w:t>
      </w:r>
      <w:r>
        <w:rPr>
          <w:rFonts w:ascii="Arial" w:cs="Arial" w:eastAsia="Arial" w:hAnsi="Arial"/>
          <w:sz w:val="17"/>
          <w:szCs w:val="17"/>
          <w:color w:val="auto"/>
        </w:rPr>
        <w:t xml:space="preserve"> attached hereto and each Wholly Owned Restricted Subsidiary that may hereafter execute a Joinder Agreement pursuant to Section 9.11, together with their successors and permitted assigns, and “</w:t>
      </w:r>
      <w:r>
        <w:rPr>
          <w:rFonts w:ascii="Arial" w:cs="Arial" w:eastAsia="Arial" w:hAnsi="Arial"/>
          <w:sz w:val="17"/>
          <w:szCs w:val="17"/>
          <w:b w:val="1"/>
          <w:bCs w:val="1"/>
          <w:color w:val="auto"/>
        </w:rPr>
        <w:t>Guarantor</w:t>
      </w:r>
      <w:r>
        <w:rPr>
          <w:rFonts w:ascii="Arial" w:cs="Arial" w:eastAsia="Arial" w:hAnsi="Arial"/>
          <w:sz w:val="17"/>
          <w:szCs w:val="17"/>
          <w:color w:val="auto"/>
        </w:rPr>
        <w:t xml:space="preserve">” shall mean any one of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Guarantors shall not include any Subsidiary of Borrower that is an Excluded Subsidiary or any Person that has been released as a Guarantor in accordance with the terms of the Credit Documents.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w:t>
      </w:r>
      <w:r>
        <w:rPr>
          <w:rFonts w:ascii="Arial" w:cs="Arial" w:eastAsia="Arial" w:hAnsi="Arial"/>
          <w:sz w:val="18"/>
          <w:szCs w:val="18"/>
          <w:color w:val="auto"/>
        </w:rPr>
        <w:t>” shall mean any material, substance, waste, constituent, compound, pollutant or contaminant including, without limitation, petroleum (including, without limitation, crude oil or any fraction thereof or any petroleum product or waste) subject to regulation or which could reasonably be expected to give rise to liability under Environmental Law.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96" w:right="239" w:bottom="1440" w:gutter="0" w:footer="0" w:header="0"/>
        </w:sectPr>
      </w:pPr>
    </w:p>
    <w:bookmarkStart w:id="109" w:name="page110"/>
    <w:bookmarkEnd w:id="109"/>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Immaterial Subsidiary</w:t>
      </w:r>
      <w:r>
        <w:rPr>
          <w:rFonts w:ascii="Arial" w:cs="Arial" w:eastAsia="Arial" w:hAnsi="Arial"/>
          <w:sz w:val="16"/>
          <w:szCs w:val="16"/>
          <w:color w:val="auto"/>
        </w:rPr>
        <w:t>” shall mean, at any time, any Restricted Subsidiary of Borrower having, together with all other Immaterial Subsidiaries, tangible assets with an aggregate fair market value of less than the Immaterial Subsidiary Threshold Amount as of the most recent Calculation Date.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Immaterial Subsidiary Threshold Amount</w:t>
      </w:r>
      <w:r>
        <w:rPr>
          <w:rFonts w:ascii="Arial" w:cs="Arial" w:eastAsia="Arial" w:hAnsi="Arial"/>
          <w:sz w:val="18"/>
          <w:szCs w:val="18"/>
          <w:color w:val="auto"/>
        </w:rPr>
        <w:t>” shall mean $75.0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Impacted Loans</w:t>
      </w:r>
      <w:r>
        <w:rPr>
          <w:rFonts w:ascii="Arial" w:cs="Arial" w:eastAsia="Arial" w:hAnsi="Arial"/>
          <w:sz w:val="18"/>
          <w:szCs w:val="18"/>
          <w:color w:val="auto"/>
        </w:rPr>
        <w:t>” has the meaning set forth in Section 5.02.</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Amount</w:t>
      </w:r>
      <w:r>
        <w:rPr>
          <w:rFonts w:ascii="Arial" w:cs="Arial" w:eastAsia="Arial" w:hAnsi="Arial"/>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the accretion of original issue discount or liquidation preference and increases in the amount of Indebtedness outstanding solely as a result of fluctuations in the exchange rate of currencies.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w:t>
      </w:r>
      <w:r>
        <w:rPr>
          <w:rFonts w:ascii="Arial" w:cs="Arial" w:eastAsia="Arial" w:hAnsi="Arial"/>
          <w:sz w:val="18"/>
          <w:szCs w:val="18"/>
          <w:color w:val="auto"/>
        </w:rPr>
        <w:t>” shall mean, with respect to any Indebtedness or other obligation of any Person, to create, issue, incur (including by conversion, exchange or otherwise), permit to exist, assume, guarantee or otherwise become liable in respect of such Indebtedness or other obligation (and “</w:t>
      </w:r>
      <w:r>
        <w:rPr>
          <w:rFonts w:ascii="Arial" w:cs="Arial" w:eastAsia="Arial" w:hAnsi="Arial"/>
          <w:sz w:val="18"/>
          <w:szCs w:val="18"/>
          <w:b w:val="1"/>
          <w:bCs w:val="1"/>
          <w:color w:val="auto"/>
        </w:rPr>
        <w:t>incurrence</w:t>
      </w:r>
      <w:r>
        <w:rPr>
          <w:rFonts w:ascii="Arial" w:cs="Arial" w:eastAsia="Arial" w:hAnsi="Arial"/>
          <w:sz w:val="18"/>
          <w:szCs w:val="18"/>
          <w:color w:val="auto"/>
        </w:rPr>
        <w:t>,” “</w:t>
      </w:r>
      <w:r>
        <w:rPr>
          <w:rFonts w:ascii="Arial" w:cs="Arial" w:eastAsia="Arial" w:hAnsi="Arial"/>
          <w:sz w:val="18"/>
          <w:szCs w:val="18"/>
          <w:b w:val="1"/>
          <w:bCs w:val="1"/>
          <w:color w:val="auto"/>
        </w:rPr>
        <w:t>incurred</w:t>
      </w:r>
      <w:r>
        <w:rPr>
          <w:rFonts w:ascii="Arial" w:cs="Arial" w:eastAsia="Arial" w:hAnsi="Arial"/>
          <w:sz w:val="18"/>
          <w:szCs w:val="18"/>
          <w:color w:val="auto"/>
        </w:rPr>
        <w:t>” and “</w:t>
      </w:r>
      <w:r>
        <w:rPr>
          <w:rFonts w:ascii="Arial" w:cs="Arial" w:eastAsia="Arial" w:hAnsi="Arial"/>
          <w:sz w:val="18"/>
          <w:szCs w:val="18"/>
          <w:b w:val="1"/>
          <w:bCs w:val="1"/>
          <w:color w:val="auto"/>
        </w:rPr>
        <w:t>incurring</w:t>
      </w:r>
      <w:r>
        <w:rPr>
          <w:rFonts w:ascii="Arial" w:cs="Arial" w:eastAsia="Arial" w:hAnsi="Arial"/>
          <w:sz w:val="18"/>
          <w:szCs w:val="18"/>
          <w:color w:val="auto"/>
        </w:rPr>
        <w:t>” shall have meanings correlative to the foregoing).</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(excluding (i) trade accounts payable and accrued obligations incurred in the ordinary course of business, (ii) the financing of insurance premiums,</w:t>
      </w:r>
    </w:p>
    <w:p>
      <w:pPr>
        <w:spacing w:after="0" w:line="3" w:lineRule="exact"/>
        <w:rPr>
          <w:sz w:val="20"/>
          <w:szCs w:val="20"/>
          <w:color w:val="auto"/>
        </w:rPr>
      </w:pPr>
    </w:p>
    <w:p>
      <w:pPr>
        <w:jc w:val="both"/>
        <w:ind w:firstLine="8"/>
        <w:spacing w:after="0" w:line="281" w:lineRule="auto"/>
        <w:tabs>
          <w:tab w:leader="none" w:pos="316"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any such obligations payable solely through the issuance of Equity Interests and (iv) any earn-out obligation until such obligation appears in the liabilities section of the balance sheet of such Person in accordance with GAAP (excluding disclosure on the notes and footnotes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earn-out obligation that appears in the liabilities section of the balance sheet of such Person shall be excluded, to the extent (x) such Person is indemnified for the payment thereof or (y) amounts to be applied to the payment therefor are in escrow); (e) all Indebtedness (excluding prepaid interest thereon) of others secured by any Lien on property owned or acquired by such Person, whether or not the obligations secured thereby have been assumed;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obligations have not been assumed, the amount of such Indebtedness included for the purposes of this definition will be the amount equal to the lesser of the fair market value of such property and the amount of the Indebtedness secured; (f) with respect to any Capital Lease Obligations of such Person, the capitalized amount thereof that would appear on a balance sheet of such Person prepared as of such date in accordance with GAAP; (g) all net obligations of such Person in respect of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five (5) Business Days of such drawing; (i) all obligations of such Person in respect of Disqualified Capital Stock; and (j) all Contingent Obligations of such Person in respect of Indebtedness of others of the kinds referred to in clauses</w:t>
      </w:r>
    </w:p>
    <w:p>
      <w:pPr>
        <w:spacing w:after="0" w:line="8" w:lineRule="exact"/>
        <w:rPr>
          <w:rFonts w:ascii="Arial" w:cs="Arial" w:eastAsia="Arial" w:hAnsi="Arial"/>
          <w:sz w:val="16"/>
          <w:szCs w:val="16"/>
          <w:color w:val="auto"/>
        </w:rPr>
      </w:pPr>
    </w:p>
    <w:p>
      <w:pPr>
        <w:jc w:val="both"/>
        <w:ind w:firstLine="8"/>
        <w:spacing w:after="0" w:line="252" w:lineRule="auto"/>
        <w:tabs>
          <w:tab w:leader="none" w:pos="2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(i) above.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clause (d) shall be calculated based on the net present value thereof. The amount of Indebtedness of the type referred to in clause (g) above of any Person shall be zero unless and until such Indebtedness shall be terminated, in which case the amount of such Indebtedness shall be the then termination payment due thereunder by such Person. For the avoidance of doubt, it is understood and agreed that (x) casino “chips” and gaming winnings of customers, (y) any obligations of such Person in respect of Cash Management Agreements and (z) any obligations of such Person in respect of employee deferred compensation and benefit plans shall not constitute Indebtedness.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set forth in Section 13.03(b).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Perfection Certificate</w:t>
      </w:r>
      <w:r>
        <w:rPr>
          <w:rFonts w:ascii="Arial" w:cs="Arial" w:eastAsia="Arial" w:hAnsi="Arial"/>
          <w:sz w:val="18"/>
          <w:szCs w:val="18"/>
          <w:color w:val="auto"/>
        </w:rPr>
        <w:t>” has the meaning set forth in the definition of “Perfection Certificate.”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96" w:right="2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Test Date</w:t>
      </w:r>
      <w:r>
        <w:rPr>
          <w:rFonts w:ascii="Arial" w:cs="Arial" w:eastAsia="Arial" w:hAnsi="Arial"/>
          <w:sz w:val="18"/>
          <w:szCs w:val="18"/>
          <w:color w:val="auto"/>
        </w:rPr>
        <w:t>” has the meaning set forth in Section 10.8.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set forth in Section 8.18.</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Contribution Indebtedness</w:t>
      </w:r>
      <w:r>
        <w:rPr>
          <w:rFonts w:ascii="Arial" w:cs="Arial" w:eastAsia="Arial" w:hAnsi="Arial"/>
          <w:sz w:val="18"/>
          <w:szCs w:val="18"/>
          <w:color w:val="auto"/>
        </w:rPr>
        <w:t>” shall mean unsecured Indebtedness (including unsecured Indebtedness convertible into or exchangeable or exercisable for any Equity Interests) of Borrower or all or any Restricted Subsidiaries owed to Wynn Resorts or any other Affiliate of Borrower (other than Borrower or a Subsidiary of Borrower) that (a) is subject to a Subordination Agreement or otherwise contains subordination provisions reasonably satisfactory to Administrative Agent and (b) shall not have a scheduled maturity date or any scheduled principal payments or be subject to any mandatory redemption, prepayment, or sinking fund or interest payment, fee payment or similar payment due prior to the date that is 91 days after the Final Maturity Date then in effect at the time of issuance.</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shall mean, as to each LIBOR Loan, the period commencing on the date such LIBOR Loan is disbursed or converted to or continued as a LIBOR Loan and, subject to Section 2.01(c)(ii), ending on the date one, two, three or six months thereafter, as selected by Borrower in its Notice of Borrowing or Notice of Continuation/Conversion, as applicable, or such other period that is twelve months or less requested by Borrower and consented to by, in the case of a period that is one month or less, the Administrative Agent and, in all cases of a period that is twelve months or less but greater than one month, all the applicable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8" w:lineRule="exact"/>
        <w:rPr>
          <w:sz w:val="20"/>
          <w:szCs w:val="20"/>
          <w:color w:val="auto"/>
        </w:rPr>
      </w:pPr>
    </w:p>
    <w:p>
      <w:pPr>
        <w:jc w:val="both"/>
        <w:ind w:left="660" w:firstLine="645"/>
        <w:spacing w:after="0" w:line="264" w:lineRule="auto"/>
        <w:tabs>
          <w:tab w:leader="none" w:pos="16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LIBOR Loan, such Business Day falls in another calendar month, in which case such Interest Period shall end on the next preceding Business Day;</w:t>
      </w:r>
    </w:p>
    <w:p>
      <w:pPr>
        <w:spacing w:after="0" w:line="181" w:lineRule="exact"/>
        <w:rPr>
          <w:rFonts w:ascii="Arial" w:cs="Arial" w:eastAsia="Arial" w:hAnsi="Arial"/>
          <w:sz w:val="18"/>
          <w:szCs w:val="18"/>
          <w:color w:val="auto"/>
        </w:rPr>
      </w:pPr>
    </w:p>
    <w:p>
      <w:pPr>
        <w:jc w:val="both"/>
        <w:ind w:left="660" w:right="20" w:firstLine="645"/>
        <w:spacing w:after="0" w:line="264" w:lineRule="auto"/>
        <w:tabs>
          <w:tab w:leader="none" w:pos="17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Interest Period pertaining to LIBOR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1760" w:hanging="455"/>
        <w:spacing w:after="0"/>
        <w:tabs>
          <w:tab w:leader="none" w:pos="1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Interest Period for a Class shall extend beyond the maturity date for such Class.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Notwithstanding the foregoing, (x) as to any LIBOR Loan made on a day that is not the last Business Day of a calendar month, Borrower may select an Interest Period that shall commence on the date on which such Loan is made and expire on the last Business Day of such calendar month and thereafter revert to the Interest Period selected in compliance with the foregoing, and (y) as to any LIBOR Loan made, or continued or converted pursuant to Section 2.09, prior to the expiration of the applicable Term Facility Availability Period </w:t>
      </w:r>
      <w:r>
        <w:rPr>
          <w:rFonts w:ascii="Arial" w:cs="Arial" w:eastAsia="Arial" w:hAnsi="Arial"/>
          <w:sz w:val="18"/>
          <w:szCs w:val="18"/>
          <w:b w:val="1"/>
          <w:bCs w:val="1"/>
          <w:u w:val="single" w:color="auto"/>
          <w:color w:val="0000FF"/>
        </w:rPr>
        <w:t>or Term Facility II Availability Period</w:t>
      </w:r>
      <w:r>
        <w:rPr>
          <w:rFonts w:ascii="Arial" w:cs="Arial" w:eastAsia="Arial" w:hAnsi="Arial"/>
          <w:sz w:val="18"/>
          <w:szCs w:val="18"/>
          <w:color w:val="auto"/>
        </w:rPr>
        <w:t xml:space="preserve">, Borrower may select an Interest Period that expires on the last Business Day of such Term Facility Availability Period </w:t>
      </w:r>
      <w:r>
        <w:rPr>
          <w:rFonts w:ascii="Arial" w:cs="Arial" w:eastAsia="Arial" w:hAnsi="Arial"/>
          <w:sz w:val="18"/>
          <w:szCs w:val="18"/>
          <w:b w:val="1"/>
          <w:bCs w:val="1"/>
          <w:u w:val="single" w:color="auto"/>
          <w:color w:val="0000FF"/>
        </w:rPr>
        <w:t>or Term Facility II Availability Period, as applicable,</w:t>
      </w:r>
      <w:r>
        <w:rPr>
          <w:rFonts w:ascii="Arial" w:cs="Arial" w:eastAsia="Arial" w:hAnsi="Arial"/>
          <w:sz w:val="18"/>
          <w:szCs w:val="18"/>
          <w:color w:val="auto"/>
        </w:rPr>
        <w:t xml:space="preserve"> and thereafter revert to the Interest Period selected in compliance with the foregoing.</w:t>
      </w:r>
    </w:p>
    <w:p>
      <w:pPr>
        <w:spacing w:after="0" w:line="18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Protection Agreement</w:t>
      </w:r>
      <w:r>
        <w:rPr>
          <w:rFonts w:ascii="Arial" w:cs="Arial" w:eastAsia="Arial" w:hAnsi="Arial"/>
          <w:sz w:val="16"/>
          <w:szCs w:val="16"/>
          <w:color w:val="auto"/>
        </w:rPr>
        <w:t>” shall mean, for any Person, an interest rate swap, cap or collar agreement or similar arrangement between such Person and one or more financial institutions providing for the transfer or mitigation of interest risks either generally or under specific contingencies.</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Investments</w:t>
      </w:r>
      <w:r>
        <w:rPr>
          <w:rFonts w:ascii="Arial" w:cs="Arial" w:eastAsia="Arial" w:hAnsi="Arial"/>
          <w:sz w:val="17"/>
          <w:szCs w:val="17"/>
          <w:color w:val="auto"/>
        </w:rPr>
        <w:t>” of any Person shall mean (a) any loan or advance of funds or credit by such Person to any other Person, (b) any Contingent Obligation by such Person in respect of the Indebtedness of any other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termination of any such Contingent Obligation, no Investment in respect thereof shall be deemed outstanding, except as contemplated in clause (e) below), (c) any purchase or other acquisition of any Equity Interests or indebtedness or other securities of any other Person, (d) any capital contribution by such Person to any other Person, (e) without duplication of any amounts included under clause (b) above, any payment under any Contingent Obligation by such Person in respect of the Indebtedness or other obligation of any other Person or (f) the purchase or other acquisition (in one transaction or a series of transaction) of all or substantially all of the property and assets or business of another Person or assets constituting a business unit, line of business or division of such Person. For purposes of the definition of “Unrestricted Subsidiary” and Section 10.04, “Investment” shall include the portion (proportionate to Borrower’s Equity Interest in such Subsidiary) of the fair market value of the net assets of any Subsidiary of Borrower at the time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96" w:right="239" w:bottom="1440" w:gutter="0" w:footer="0" w:header="0"/>
        </w:sectPr>
      </w:pPr>
    </w:p>
    <w:bookmarkStart w:id="111" w:name="page112"/>
    <w:bookmarkEnd w:id="111"/>
    <w:p>
      <w:pPr>
        <w:jc w:val="both"/>
        <w:spacing w:after="0" w:line="273" w:lineRule="auto"/>
        <w:rPr>
          <w:sz w:val="20"/>
          <w:szCs w:val="20"/>
          <w:color w:val="auto"/>
        </w:rPr>
      </w:pPr>
      <w:r>
        <w:rPr>
          <w:rFonts w:ascii="Arial" w:cs="Arial" w:eastAsia="Arial" w:hAnsi="Arial"/>
          <w:sz w:val="17"/>
          <w:szCs w:val="17"/>
          <w:color w:val="auto"/>
        </w:rPr>
        <w:t xml:space="preserve">of Designation of such Subsidiary as an Unrestricted Subsidiary pursuant to Section 9.12 (excluding any Subsidiaries designated as Unrestricted Subsidiaries on the Closing Date and set forth on </w:t>
      </w:r>
      <w:r>
        <w:rPr>
          <w:rFonts w:ascii="Arial" w:cs="Arial" w:eastAsia="Arial" w:hAnsi="Arial"/>
          <w:sz w:val="17"/>
          <w:szCs w:val="17"/>
          <w:u w:val="single" w:color="auto"/>
          <w:color w:val="auto"/>
        </w:rPr>
        <w:t>Schedule 9.12</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upon the Revocation of a Subsidiary that was Designated as an Unrestricted Subsidiary after the Closing Date, the amount of outstanding Investments in Unrestricted Subsidiaries shall be deemed to be reduced by the lesser of (x) the fair market value of such Subsidiary at the time of such Revocation and (y) the amount of Investments in such Subsidiary deemed to have been made (directly or indirectly) at the time of, and made (directly or indirectly) since, the Designation of such Subsidiary as an Unrestricted Subsidiary, to the extent that such amount constitutes an outstanding Investment under Section 10.04 at the time of such Revocation.</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IP Licensing Fees</w:t>
      </w:r>
      <w:r>
        <w:rPr>
          <w:rFonts w:ascii="Arial" w:cs="Arial" w:eastAsia="Arial" w:hAnsi="Arial"/>
          <w:sz w:val="17"/>
          <w:szCs w:val="17"/>
          <w:color w:val="auto"/>
        </w:rPr>
        <w:t>” shall mean any fees payable by Borrower or a Restricted Subsidiary to any Affiliate (other than Borrower or a Restricted Subsidiary) pursuant to (a) (i) that certain 2014 Intellectual Property Licensing Agreement, dated as of November 20, 2014, among Wynn Resorts Holdings, LLC, Wynn Resorts and Wynn Massachusetts and (ii) that certain Intellectual Property Licensing Agreement, dated as of December 14, 2004, among Wynn Resorts, Wynn Resorts Holdings, LLC and Wynn Las Vegas and (b) without duplication to any fees paid under any agreement described in clause (a), licensing agreements in form and substance substantially similar to any agreement described in clause (a).</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w:t>
      </w:r>
      <w:r>
        <w:rPr>
          <w:rFonts w:ascii="Arial" w:cs="Arial" w:eastAsia="Arial" w:hAnsi="Arial"/>
          <w:sz w:val="18"/>
          <w:szCs w:val="18"/>
          <w:color w:val="auto"/>
        </w:rPr>
        <w:t>” shall mean,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Agreements</w:t>
      </w:r>
      <w:r>
        <w:rPr>
          <w:rFonts w:ascii="Arial" w:cs="Arial" w:eastAsia="Arial" w:hAnsi="Arial"/>
          <w:sz w:val="18"/>
          <w:szCs w:val="18"/>
          <w:color w:val="auto"/>
        </w:rPr>
        <w:t xml:space="preserve">” shall mean each Joinder Agreement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attached hereto or such other form as is reasonably acceptable to Administrative Agent and each Joinder Agreement to be entered into pursuant to the Security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w:t>
      </w:r>
      <w:r>
        <w:rPr>
          <w:rFonts w:ascii="Arial" w:cs="Arial" w:eastAsia="Arial" w:hAnsi="Arial"/>
          <w:sz w:val="18"/>
          <w:szCs w:val="18"/>
          <w:color w:val="auto"/>
        </w:rPr>
        <w:t>” shall mean any Person, other than an individual or a Wholly Owned Subsidiary of Borrower, in which Borrower or a Restricted Subsidiary of Borrower (directly or indirectly) holds or acquires an ownership interest (whether by way of capital stock, partnership or limited liability company interest, or other evidence of ownership).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 Conversion Date</w:t>
      </w:r>
      <w:r>
        <w:rPr>
          <w:rFonts w:ascii="Arial" w:cs="Arial" w:eastAsia="Arial" w:hAnsi="Arial"/>
          <w:sz w:val="18"/>
          <w:szCs w:val="18"/>
          <w:color w:val="auto"/>
        </w:rPr>
        <w:t>” has the meaning set forth in Section 13.15(a).</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Junior Financing</w:t>
      </w:r>
      <w:r>
        <w:rPr>
          <w:rFonts w:ascii="Arial" w:cs="Arial" w:eastAsia="Arial" w:hAnsi="Arial"/>
          <w:sz w:val="16"/>
          <w:szCs w:val="16"/>
          <w:color w:val="auto"/>
        </w:rPr>
        <w:t>” shall mean unsecured Indebtedness (including unsecured Indebtedness convertible into or exchangeable or exercisable for any Equity Interests) of Borrower or all or any Restricted Subsidiaries (a) (i) that is subordinated in right of payment to the Loans and contains subordination provisions that are customary in the good faith determination of Borrower for senior subordinated notes or subordinated notes issued under Rule 144A of the Securities Act (or other corporate issuers in private placements or public offerings of securities) or (ii) that contains subordination provisions reasonably satisfactory to Administrative Agent and (b) that shall not have a scheduled maturity date or any scheduled principal payments or be subject to any mandatory redemption, prepayment, or sinking fund (except for customary change of control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 date that is 91 days after the Final Maturity Date then in effect at the time of issuance (excluding bridge facilities allowing extensions on customary terms to at least 91 days after such Final Maturity Date).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Prepayments</w:t>
      </w:r>
      <w:r>
        <w:rPr>
          <w:rFonts w:ascii="Arial" w:cs="Arial" w:eastAsia="Arial" w:hAnsi="Arial"/>
          <w:sz w:val="18"/>
          <w:szCs w:val="18"/>
          <w:color w:val="auto"/>
        </w:rPr>
        <w:t>” shall have the meaning provided in Section 10.09.</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Commitments</w:t>
      </w:r>
      <w:r>
        <w:rPr>
          <w:rFonts w:ascii="Arial" w:cs="Arial" w:eastAsia="Arial" w:hAnsi="Arial"/>
          <w:sz w:val="18"/>
          <w:szCs w:val="18"/>
          <w:color w:val="auto"/>
        </w:rPr>
        <w:t>” shall mean the commitments of the L/C Lender to issue Letters of Credit pursuant to Section 2.03. The L/C Commitments are part of, and not in addition to, the Revolving Commitments.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Disbursements</w:t>
      </w:r>
      <w:r>
        <w:rPr>
          <w:rFonts w:ascii="Arial" w:cs="Arial" w:eastAsia="Arial" w:hAnsi="Arial"/>
          <w:sz w:val="18"/>
          <w:szCs w:val="18"/>
          <w:color w:val="auto"/>
        </w:rPr>
        <w:t>” shall mean a payment or disbursement made by any L/C Lender pursuant to a Letter of Credit.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112" w:name="page113"/>
    <w:bookmarkEnd w:id="112"/>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Documents</w:t>
      </w:r>
      <w:r>
        <w:rPr>
          <w:rFonts w:ascii="Arial" w:cs="Arial" w:eastAsia="Arial" w:hAnsi="Arial"/>
          <w:sz w:val="18"/>
          <w:szCs w:val="18"/>
          <w:color w:val="auto"/>
        </w:rPr>
        <w:t>” shall mean, with respect to any Letter of Credit, collectively,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amended or modified and in effect from time to time.</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Interest</w:t>
      </w:r>
      <w:r>
        <w:rPr>
          <w:rFonts w:ascii="Arial" w:cs="Arial" w:eastAsia="Arial" w:hAnsi="Arial"/>
          <w:sz w:val="18"/>
          <w:szCs w:val="18"/>
          <w:color w:val="auto"/>
        </w:rPr>
        <w:t>” shall mean, for each Revolving Lender, such Lender’s participation interest (or, in the case of each L/C Lender, such L/C Lender’s retained interest) in each L/C Lender’s liability under Letters of Credit and such Lender’s rights and interests in Reimbursement Obligations and fees, interest and other amounts payable in connection with Letters of Credit and Reimbursement Obligations.</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Lender</w:t>
      </w:r>
      <w:r>
        <w:rPr>
          <w:rFonts w:ascii="Arial" w:cs="Arial" w:eastAsia="Arial" w:hAnsi="Arial"/>
          <w:sz w:val="18"/>
          <w:szCs w:val="18"/>
          <w:color w:val="auto"/>
        </w:rPr>
        <w:t>” shall mean, as the context may require: (a) each of DB (solely in respect of standby Letters of Credit), Bank of America, N.A., Credit Agricole Corporate and Investment Bank, Fifth Third Bank and BNP Paribas or any of their respective Affiliates, in its capacity as issuer of Letters of Credit issued by it hereunder, together with its successors and assigns in such capacity; and/or (b) any other Revolving Lender or Revolving Lenders selected by Borrower and reasonably acceptable to Administrative Agent (such approval not to be unreasonably withheld or delayed) that agrees to become an L/C Lender, in each case under this clause (b) in its capacity as issuer of Letters of Credit issued by such Lender hereunder, together with its successors and assigns in such capacity.</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Liability</w:t>
      </w:r>
      <w:r>
        <w:rPr>
          <w:rFonts w:ascii="Arial" w:cs="Arial" w:eastAsia="Arial" w:hAnsi="Arial"/>
          <w:sz w:val="18"/>
          <w:szCs w:val="18"/>
          <w:color w:val="auto"/>
        </w:rPr>
        <w:t>” shall mean, at any time, without duplication, the sum of (a) the Dollar Equivalent of the Stated Amount of all outstanding Letters of Credit at such time plus (b) the aggregate amount of all L/C Disbursements that have not yet been reimbursed at such time (expressed in Dollars in the amount of the Dollar Equivalent thereof in the case of any Letter of Credit denominated in an Alternate Currency) in respect of all Letters of Credit. The L/C Liability of any Revolving Lender at any time shall mean such Revolving Lender’s participations and obligations in respect of outstanding Letters of Credit at such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Payment Notice</w:t>
      </w:r>
      <w:r>
        <w:rPr>
          <w:rFonts w:ascii="Arial" w:cs="Arial" w:eastAsia="Arial" w:hAnsi="Arial"/>
          <w:sz w:val="18"/>
          <w:szCs w:val="18"/>
          <w:color w:val="auto"/>
        </w:rPr>
        <w:t>” has the meaning provided in Section 2.03(d).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Sublimit</w:t>
      </w:r>
      <w:r>
        <w:rPr>
          <w:rFonts w:ascii="Arial" w:cs="Arial" w:eastAsia="Arial" w:hAnsi="Arial"/>
          <w:sz w:val="18"/>
          <w:szCs w:val="18"/>
          <w:color w:val="auto"/>
        </w:rPr>
        <w:t>” shall mean an amount equal to the lesser of (a) $100.0 million and (b) the Total Revolving Commitments then in effect. With respect to any L/C Lender, such L/C Lender’s L/C Sublimit shall be the percentage of the L/C Sublimit under the preceding sentence set forth on Annex A-3 hereto. The L/C Sublimit is part of, and not in addition to, the Total Revolving Commitments.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shall mean, collectively, all common law and all international, foreign, federal, state and local statutes, treaties, rules, guidelines, regulations, ordinances, codes and administrative or judicial precedents, including without limitation the interpretation thereof by any Governmental Authority charged with the enforcement thereof.</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Lead Arrangers</w:t>
      </w:r>
      <w:r>
        <w:rPr>
          <w:rFonts w:ascii="Arial" w:cs="Arial" w:eastAsia="Arial" w:hAnsi="Arial"/>
          <w:sz w:val="17"/>
          <w:szCs w:val="17"/>
          <w:color w:val="auto"/>
        </w:rPr>
        <w:t>” shall mean, collectively, Deutsche Bank Securities, Inc., Merrill Lynch, Pierce, Fenner &amp; Smith, Incorporated, Credit Agricole Corporate and Investment Bank, Fifth Third Bank, SunTrust Robinson Humphrey, Inc., The Bank of Nova Scotia, BNP Paribas Securities Corp., Sumitomo Mitsui Banking Corporation and UBS Securities LLC, in their capacities as joint lead arrangers and joint bookrunners hereunder.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w:t>
      </w:r>
      <w:r>
        <w:rPr>
          <w:rFonts w:ascii="Arial" w:cs="Arial" w:eastAsia="Arial" w:hAnsi="Arial"/>
          <w:sz w:val="18"/>
          <w:szCs w:val="18"/>
          <w:color w:val="auto"/>
        </w:rPr>
        <w:t>” shall mean any lease, sublease, franchise agreement, license, occupancy or concession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 Insolvency Event</w:t>
      </w:r>
      <w:r>
        <w:rPr>
          <w:rFonts w:ascii="Arial" w:cs="Arial" w:eastAsia="Arial" w:hAnsi="Arial"/>
          <w:sz w:val="17"/>
          <w:szCs w:val="17"/>
          <w:color w:val="auto"/>
        </w:rPr>
        <w:t xml:space="preserve">” shall mean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proceeding under any Debtor Relief Law, or a receiver, trustee, conservator, intervenor, administrator, sequestrator, assignee for the benefit of creditors or similar Person charged with reorganization or liquidation of its business or assets (including the Federal Deposit Insurance Corporation or any other state or federal regulatory authority) has been appointed for such Lender or its Parent Company, or such Lender or its Parent Company has taken any action authorizing or indicating its consent to or acquiescence in any such proceeding or appointment;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Lender Insolvency Event shall not be deemed to exist solely as the result of the acquisition or maintenance of an ownership interest in such Lender or its Parent Company by a Governmental Authority or an instrumentality thereof so long as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96" w:right="239" w:bottom="1440" w:gutter="0" w:footer="0" w:header="0"/>
        </w:sectPr>
      </w:pPr>
    </w:p>
    <w:bookmarkStart w:id="113" w:name="page114"/>
    <w:bookmarkEnd w:id="113"/>
    <w:p>
      <w:pPr>
        <w:jc w:val="both"/>
        <w:spacing w:after="0" w:line="264" w:lineRule="auto"/>
        <w:rPr>
          <w:sz w:val="20"/>
          <w:szCs w:val="20"/>
          <w:color w:val="auto"/>
        </w:rPr>
      </w:pPr>
      <w:r>
        <w:rPr>
          <w:rFonts w:ascii="Arial" w:cs="Arial" w:eastAsia="Arial" w:hAnsi="Arial"/>
          <w:sz w:val="18"/>
          <w:szCs w:val="18"/>
          <w:color w:val="auto"/>
        </w:rPr>
        <w:t>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77"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xml:space="preserve">” shall mean (a) each Person listed on </w:t>
      </w:r>
      <w:r>
        <w:rPr>
          <w:rFonts w:ascii="Arial" w:cs="Arial" w:eastAsia="Arial" w:hAnsi="Arial"/>
          <w:sz w:val="18"/>
          <w:szCs w:val="18"/>
          <w:u w:val="single" w:color="auto"/>
          <w:color w:val="auto"/>
        </w:rPr>
        <w:t>Annexes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 (b) any Person that becomes a Lender from time to time party hereto pursuant to Section 2.15 and (c) any Person that becomes a “Lender” hereunder pursuant to an Assignment Agreement, in each case, other than any such Person that ceases to be a Lender pursuant to an Assignment Agreement or a Borrower Assignment Agreement. Unless the context requires otherwise, the term “Lenders” shall include the L/C Lender.</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Request</w:t>
      </w:r>
      <w:r>
        <w:rPr>
          <w:rFonts w:ascii="Arial" w:cs="Arial" w:eastAsia="Arial" w:hAnsi="Arial"/>
          <w:sz w:val="18"/>
          <w:szCs w:val="18"/>
          <w:color w:val="auto"/>
        </w:rPr>
        <w:t>” has the meaning set forth in Section 2.03(b).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Letters of Credit</w:t>
      </w:r>
      <w:r>
        <w:rPr>
          <w:rFonts w:ascii="Arial" w:cs="Arial" w:eastAsia="Arial" w:hAnsi="Arial"/>
          <w:sz w:val="18"/>
          <w:szCs w:val="18"/>
          <w:color w:val="auto"/>
        </w:rPr>
        <w:t>” shall have the meaning set forth in Section 2.03(a).</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 Base Rate</w:t>
      </w:r>
      <w:r>
        <w:rPr>
          <w:rFonts w:ascii="Arial" w:cs="Arial" w:eastAsia="Arial" w:hAnsi="Arial"/>
          <w:sz w:val="16"/>
          <w:szCs w:val="16"/>
          <w:color w:val="auto"/>
        </w:rPr>
        <w:t xml:space="preserve">” shall mean, with respect to any LIBOR Loan </w:t>
      </w:r>
      <w:r>
        <w:rPr>
          <w:rFonts w:ascii="Arial" w:cs="Arial" w:eastAsia="Arial" w:hAnsi="Arial"/>
          <w:sz w:val="15"/>
          <w:szCs w:val="15"/>
          <w:color w:val="auto"/>
        </w:rPr>
        <w:t>for any Interest Period, the rate per annum e</w:t>
      </w:r>
      <w:r>
        <w:rPr>
          <w:rFonts w:ascii="Arial" w:cs="Arial" w:eastAsia="Arial" w:hAnsi="Arial"/>
          <w:sz w:val="16"/>
          <w:szCs w:val="16"/>
          <w:color w:val="auto"/>
        </w:rPr>
        <w:t>qual to the Intercontinental Exchange Benchmark Administration Ltd. LIBOR (“</w:t>
      </w:r>
      <w:r>
        <w:rPr>
          <w:rFonts w:ascii="Arial" w:cs="Arial" w:eastAsia="Arial" w:hAnsi="Arial"/>
          <w:sz w:val="16"/>
          <w:szCs w:val="16"/>
          <w:b w:val="1"/>
          <w:bCs w:val="1"/>
          <w:color w:val="auto"/>
        </w:rPr>
        <w:t>ICE LIBOR</w:t>
      </w:r>
      <w:r>
        <w:rPr>
          <w:rFonts w:ascii="Arial" w:cs="Arial" w:eastAsia="Arial" w:hAnsi="Arial"/>
          <w:sz w:val="16"/>
          <w:szCs w:val="16"/>
          <w:color w:val="auto"/>
        </w:rPr>
        <w:t>”), as published by Reuters (or other commercially available source providing quotations of ICE LIBOR as designated by the Administrative Agent from time to time) at or about 11:00 a.m., London time, two Business Days prior to the commencement of such Interest Period, for Dollar deposits (for delivery on the first day of such Interest Period) with a term equivalent to such Interest Period. If such rate is not available at such time for any reason, then the “LIBO Base Rate” for such Interest Period shall be the rate per annum determined by the Administrative Agent to be the rate at which deposits in the relevant currency for delivery on the first day of such Interest Period in the approximate amount of the LIBOR Loan being made, continued or converted by the Administrative Agent and with a term equivalent to such Interest Period would be offered by the Administrative Agent’s London Branch (or other Administrative Agent branch or Affiliate) to major banks in the London or other offshore interbank market for such currency at their request at approximately 11:00 a.m. (London time) two Business Days prior to the commencement of such Interest Period.</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 Rate</w:t>
      </w:r>
      <w:r>
        <w:rPr>
          <w:rFonts w:ascii="Arial" w:cs="Arial" w:eastAsia="Arial" w:hAnsi="Arial"/>
          <w:sz w:val="17"/>
          <w:szCs w:val="17"/>
          <w:color w:val="auto"/>
        </w:rPr>
        <w:t xml:space="preserve">” shall mean, for any LIBOR Loan for any Interest Period therefor,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upwards, if necessary, to the nearest 1/100th of 1%) determined by Administrative Agent to be equal to the LIBO Base Rate for such Loan for such Interest Period divided by 1 minus the Reserve Requirement (if any) for such Loan for such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LIBO Rate shall not be less than 0%. Notwithstanding the foregoing, for purposes of clause (c) of the definition of Alternate Base Rate, the rates referred to above shall be the rates as of 11:00 a.m., London, England time, on the date of determination (rather than the second Business Day preceding the date of determination).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Loans</w:t>
      </w:r>
      <w:r>
        <w:rPr>
          <w:rFonts w:ascii="Arial" w:cs="Arial" w:eastAsia="Arial" w:hAnsi="Arial"/>
          <w:sz w:val="18"/>
          <w:szCs w:val="18"/>
          <w:color w:val="auto"/>
        </w:rPr>
        <w:t>” shall mean Loans that bear interest at rates based on rates referred to in the definition of “LIBO Rate.”</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 Revocation</w:t>
      </w:r>
      <w:r>
        <w:rPr>
          <w:rFonts w:ascii="Arial" w:cs="Arial" w:eastAsia="Arial" w:hAnsi="Arial"/>
          <w:sz w:val="16"/>
          <w:szCs w:val="16"/>
          <w:color w:val="auto"/>
        </w:rPr>
        <w:t>” shall mean the revocation, failure to renew or suspension of, or the appointment of a receiver, supervisor or similar official with respect to, any Gaming License covering any Gaming Facility owned, leased, operated or used by Borrower or any of its Restricted Subsidiaries.</w:t>
      </w:r>
    </w:p>
    <w:p>
      <w:pPr>
        <w:spacing w:after="0" w:line="1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shall mean, with respect to any Property, any mortgage, deed of trust, lien, pledge, security interest, or assignment, hypothecation or encumbrance for security of any kind, or any filing of any financing statement under the UCC or any other similar notice of lien under any similar notice or recording statute of any Governmental Authority (other than such financing statement or similar notices filed for informational or precautionary purposes only), or any conditional sale or other title retention agreement or any lease in the nature thereof.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Liquor Authority</w:t>
      </w:r>
      <w:r>
        <w:rPr>
          <w:rFonts w:ascii="Arial" w:cs="Arial" w:eastAsia="Arial" w:hAnsi="Arial"/>
          <w:sz w:val="18"/>
          <w:szCs w:val="18"/>
          <w:color w:val="auto"/>
        </w:rPr>
        <w:t>” has the meaning set forth in Section 13.13(a).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Liquor Laws</w:t>
      </w:r>
      <w:r>
        <w:rPr>
          <w:rFonts w:ascii="Arial" w:cs="Arial" w:eastAsia="Arial" w:hAnsi="Arial"/>
          <w:sz w:val="18"/>
          <w:szCs w:val="18"/>
          <w:color w:val="auto"/>
        </w:rPr>
        <w:t>” has the meaning set forth in Section 13.13(a).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shall mean the Revolving Loans and the Term Loans.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sectPr>
      </w:pPr>
    </w:p>
    <w:bookmarkStart w:id="114" w:name="page115"/>
    <w:bookmarkEnd w:id="114"/>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of any Person shall mean the losses, liabilities, claims (including those based upon negligence, strict or absolute liability and liability in tort), damages, reasonable expenses, obligations, penalties, actions, judgments, penalties, fines, suits, reasonable and documented costs or disbursements (including reasonable fees and expenses of one primary counsel for the Secured Parties collectively, and any local counsel reasonably required in any applicable jurisdiction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any Proceeding commenced or threatened in writing, whether or not such Person shall be designated a party thereto) at any time (including following the payment of the Obligations) incurred by, imposed on or asserted against such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Project</w:t>
      </w:r>
      <w:r>
        <w:rPr>
          <w:rFonts w:ascii="Arial" w:cs="Arial" w:eastAsia="Arial" w:hAnsi="Arial"/>
          <w:sz w:val="18"/>
          <w:szCs w:val="18"/>
          <w:color w:val="auto"/>
        </w:rPr>
        <w:t>” shall mean the hotel towers, casino facilities and retail and convention spaces that are owned and/or operated by Affiliates of Wynn Resorts, in the Macau Special Administrative Region of the People’s Republic of China, which include Wynn Macau, Wynn Encore and Wynn Palace hotel towers, casino facilities and retail and convention spaces adjacent thereto.</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Management Fees</w:t>
      </w:r>
      <w:r>
        <w:rPr>
          <w:rFonts w:ascii="Arial" w:cs="Arial" w:eastAsia="Arial" w:hAnsi="Arial"/>
          <w:sz w:val="17"/>
          <w:szCs w:val="17"/>
          <w:color w:val="auto"/>
        </w:rPr>
        <w:t>” shall mean (a) any fees, costs, expenses or reimbursements payable by Borrower or a Restricted Subsidiary to any Affiliate (other than Borrower or a Restricted Subsidiary) pursuant to (i) that certain Management Fee and Corporate Allocation Agreement, dated as of November 20, 2014, between Wynn Massachusetts and Wynn Resorts and (ii) that certain Management Agreement, dated December 14, 2004, between Wynn Las Vegas and Wynn Resorts and (b) without duplication to any fees, costs, expenses or reimbursements paid or made under any agreement described in clause (a), management agreements in form and substance substantially similar to any agreement described in clause (a).</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shall mean margin stock within the meaning of Regulation T, Regulation U and Regulation X.</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xml:space="preserve">” shall mean (a) a material adverse effect on the business, assets, financial condition or results of operations of Borrower and its Restricted Subsidiaries, taken as a whole and after giving effect to the Transactions, (b) a material adverse effect on the ability of the Credit Parties (taken as a whole) to satisfy their material payment Obligations under the Credit Documents or (c) a material adverse effect on the legality, binding effect or enforceability against any material Credit Party of the Credit Documents to which it is a party or any of the material rights and remedies of any Secured Party thereunder or the legality, priority or enforceability of the Liens on a material portion of the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litigation challenging the issuance of a Gaming License (whether in Massachusetts or otherwise) or any matters arising therefrom, related thereto or in connection therewith shall constitute, result or otherwise have (or reasonably be expected to constitute, result or otherwise have)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for the purposes of evaluating a material adverse effect on the business, assets, financial condition or results of operations of Borrower and its Restricted Subsidiaries, taken as a whole, prior to the Wynn Las Vegas Reorganization, the Restricted Subsidiaries shall be deemed to include the Wynn Las Vegas Entities for such evaluation.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has the meaning set forth in Section 13.19.</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Minimum Collateral Amount</w:t>
      </w:r>
      <w:r>
        <w:rPr>
          <w:rFonts w:ascii="Arial" w:cs="Arial" w:eastAsia="Arial" w:hAnsi="Arial"/>
          <w:sz w:val="17"/>
          <w:szCs w:val="17"/>
          <w:color w:val="auto"/>
        </w:rPr>
        <w:t>” shall mean, at any time, (i) with respect to Cash Collateral consisting of cash or deposit account balances provided to reduce or eliminate un-reallocated portions of L/C Liabilities during the existence of a Defaulting Lender, an amount equal to 103% of the un-reallocated L/C Liabilities at such time, (ii) with respect to Cash Collateral consisting of cash or deposit account balances provided in accordance with the provisions of Sections 2.03, 2.10(c), 2.10(d), 2.16(a)(i), 2.16(a)(ii) or 11.01, an amount equal to 103% of the aggregate L/C Liability, and (iii) otherwise, an amount determined by the Administrative Agent and the L/C Lenders in their reasonable discretion.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Investors Service, Inc., or any successor entity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shall mean an agreement, including, but not limited to, a mortgage, deed of trust or any other document, creating and evidencing a first Lien (subject only to the Liens permitted thereunder) in favor of Collateral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96" w:right="239" w:bottom="1440" w:gutter="0" w:footer="0" w:header="0"/>
        </w:sectPr>
      </w:pPr>
    </w:p>
    <w:bookmarkStart w:id="115" w:name="page116"/>
    <w:bookmarkEnd w:id="115"/>
    <w:p>
      <w:pPr>
        <w:jc w:val="both"/>
        <w:spacing w:after="0" w:line="259" w:lineRule="auto"/>
        <w:rPr>
          <w:sz w:val="20"/>
          <w:szCs w:val="20"/>
          <w:color w:val="auto"/>
        </w:rPr>
      </w:pPr>
      <w:r>
        <w:rPr>
          <w:rFonts w:ascii="Arial" w:cs="Arial" w:eastAsia="Arial" w:hAnsi="Arial"/>
          <w:sz w:val="18"/>
          <w:szCs w:val="18"/>
          <w:color w:val="auto"/>
        </w:rPr>
        <w:t xml:space="preserve">Agent on behalf of the Secured Parties on each Mortgaged Real Property, which shall be in substantially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or such other form as is reasonably acceptable to Administrative Agent, with such schedules and including such provisions as shall be necessary to conform such document to applicable or local law or as shall be customary under local law, as the same may at any time be amended in accordance with the terms thereof and hereof and such changes thereto as shall be reasonably acceptable to Administrative Agent.</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Real Property</w:t>
      </w:r>
      <w:r>
        <w:rPr>
          <w:rFonts w:ascii="Arial" w:cs="Arial" w:eastAsia="Arial" w:hAnsi="Arial"/>
          <w:sz w:val="18"/>
          <w:szCs w:val="18"/>
          <w:color w:val="auto"/>
        </w:rPr>
        <w:t>” shall mean each Real Property, if any, which shall be subject to a Mortgage delivered after the Closing Date pursuant to Section 9.08 or 9.11 (in each case, unless and until such Real Property is no longer subject to a Mortgage).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shall mean a multiemployer plan within the meaning of Section 4001(a)(3) of ERISA (a) to which any ERISA Entity is then making or accruing an obligation to make contributions, (b) to which any ERISA Entity has within the preceding five plan years made contributions, including any Person which ceased to be an ERISA Entity during such five year period or (c) with respect to which any Company is reasonably likely to incur liability under Title IV of ERISA.</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NAIC</w:t>
      </w:r>
      <w:r>
        <w:rPr>
          <w:rFonts w:ascii="Arial" w:cs="Arial" w:eastAsia="Arial" w:hAnsi="Arial"/>
          <w:sz w:val="18"/>
          <w:szCs w:val="18"/>
          <w:color w:val="auto"/>
        </w:rPr>
        <w:t>” shall mean the National Association of Insurance Commissioners.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Available Proceeds</w:t>
      </w:r>
      <w:r>
        <w:rPr>
          <w:rFonts w:ascii="Arial" w:cs="Arial" w:eastAsia="Arial" w:hAnsi="Arial"/>
          <w:sz w:val="18"/>
          <w:szCs w:val="18"/>
          <w:color w:val="auto"/>
        </w:rPr>
        <w:t>” shall mean:</w:t>
      </w:r>
    </w:p>
    <w:p>
      <w:pPr>
        <w:spacing w:after="0" w:line="229" w:lineRule="exact"/>
        <w:rPr>
          <w:sz w:val="20"/>
          <w:szCs w:val="20"/>
          <w:color w:val="auto"/>
        </w:rPr>
      </w:pPr>
    </w:p>
    <w:p>
      <w:pPr>
        <w:jc w:val="both"/>
        <w:ind w:left="660" w:firstLine="645"/>
        <w:spacing w:after="0" w:line="285" w:lineRule="auto"/>
        <w:tabs>
          <w:tab w:leader="none" w:pos="1701"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in the case of any Asset Sale pursuant to Section 10.05(c), the aggregate amount of all cash payments (including any cash payments received by way of deferred payment of principal pursuant to a note or otherwise, but only as and when received) received by Borrower or any Restricted Subsidiary directly or indirectly in connection with such Asset Sale, net (without duplication) of (A) the amount of all reasonable fees and expenses and transaction costs paid by or on behalf of Borrower or any Restricted Subsidiary in connection with such Asset Sale (including, without limitation, any underwriting, brokerage or other customary selling commissions and legal, advisory and other fees and expenses, including survey, title and recording expenses, transfer taxes and expenses incurred for preparing such assets for sale, associated therewith); (B) any Taxes paid or estimated in good faith to be payable by or on behalf of any Company as a result of such Asset Sale (after application of all credits and other offsets that arise from such Asset Sale); (C) any repayments by or on behalf of any Company of Indebtedness (other than the Obligations) to the extent that such Indebtedness is secured by a Permitted Lien on the subject Property required to be repaid as a condition to the purchase or sale of such Property; (D) amounts required to be paid to any Person (other than any Company) owning a beneficial interest in the subject Property; and (E) amounts reserved, in accordance with GAAP, against any liabilities associated with such Asset Sale and retained by Borrower or any of its Subsidiaries after such Asset Sale and related thereto, including pension and other post-employment benefit liabilities, purchase price adjustments, liabilities related to environmental matters and liabilities under any indemnification obligations associated with such Asset Sale, all as reflected in an Officer’s Certificate delivered to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Net Available Proceeds shall include any cash payments received upon the reversal (without the satisfaction of any applicable liabilities in cash in a corresponding amount) of any reserve described in clause (E) of this clause (i) or, if such liabilities have not been satisfied in cash and such reserve is not reversed within eighteen (18) months after such Asset Sale, the amount of such reserve;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for purposes of Section 2.10 only, Net Available Proceeds shall exclude any payments related to Asset Sales by any Wynn Las Vegas Entities so long as such Wynn Las Vegas Entity is an Excluded Subsidiary;</w:t>
      </w:r>
    </w:p>
    <w:p>
      <w:pPr>
        <w:spacing w:after="0" w:line="172" w:lineRule="exact"/>
        <w:rPr>
          <w:rFonts w:ascii="Arial" w:cs="Arial" w:eastAsia="Arial" w:hAnsi="Arial"/>
          <w:sz w:val="16"/>
          <w:szCs w:val="16"/>
          <w:color w:val="auto"/>
        </w:rPr>
      </w:pPr>
    </w:p>
    <w:p>
      <w:pPr>
        <w:jc w:val="both"/>
        <w:ind w:left="660" w:firstLine="645"/>
        <w:spacing w:after="0" w:line="286" w:lineRule="auto"/>
        <w:tabs>
          <w:tab w:leader="none" w:pos="17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in the case of any Casualty Event, the aggregate amount of cash proceeds of insurance, condemnation awards and other compensation (excluding proceeds constituting business interruption insurance or other similar compensation for loss of revenue, but including the proceeds of any disposition of Property pursuant to Section 10.05(l)) received by the Person whose Property was subject to such Casualty Event in respect of such Casualty Event net of (A) fees and expenses incurred by or on behalf of Borrower or any Restricted Subsidiary in connection with recovery thereof,</w:t>
      </w:r>
    </w:p>
    <w:p>
      <w:pPr>
        <w:spacing w:after="0" w:line="1" w:lineRule="exact"/>
        <w:rPr>
          <w:rFonts w:ascii="Arial" w:cs="Arial" w:eastAsia="Arial" w:hAnsi="Arial"/>
          <w:sz w:val="16"/>
          <w:szCs w:val="16"/>
          <w:color w:val="auto"/>
        </w:rPr>
      </w:pPr>
    </w:p>
    <w:p>
      <w:pPr>
        <w:jc w:val="both"/>
        <w:ind w:left="660" w:hanging="4"/>
        <w:spacing w:after="0" w:line="255" w:lineRule="auto"/>
        <w:tabs>
          <w:tab w:leader="none" w:pos="9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repayments of Indebtedness (other than Indebtedness hereunder) to the extent secured by a Lien on such Property that is permitted by the Credit Documents and that is not junior to the Lien thereon securing the Obligations, and (C) any Taxes paid or payable by or on behalf of Borrower or any Restricted Subsidiary in respect of the amount so recovered (after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116" w:name="page117"/>
    <w:bookmarkEnd w:id="116"/>
    <w:p>
      <w:pPr>
        <w:jc w:val="both"/>
        <w:ind w:left="660"/>
        <w:spacing w:after="0" w:line="270" w:lineRule="auto"/>
        <w:rPr>
          <w:sz w:val="20"/>
          <w:szCs w:val="20"/>
          <w:color w:val="auto"/>
        </w:rPr>
      </w:pPr>
      <w:r>
        <w:rPr>
          <w:rFonts w:ascii="Arial" w:cs="Arial" w:eastAsia="Arial" w:hAnsi="Arial"/>
          <w:sz w:val="17"/>
          <w:szCs w:val="17"/>
          <w:color w:val="auto"/>
        </w:rPr>
        <w:t xml:space="preserve">application of all credits and other offsets arising from such Casualty Event) and amounts required to be paid to any Person (other than any Company) owning a beneficial interest in the subject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 Casualty Event with respect to property that is subject to a lease entered into for the purpose of, or with respect to, operating or managing a Facility, such cash proceeds shall not constitute Net Available Proceeds to the extent, and for so long as, such cash proceeds are required, by the terms of such lease, (x) to be paid to the holder of any mortgage, deed of trust or other security agreement securing indebtedness of the lessor or (y) to be paid to, or for the account of, the lessor or deposited in an escrow account to fund rent and other amounts due with respect to such property and costs to preserve, stabilize, repair, replace or restore such property (in accordance with the provisions of the applicable lease);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for purposes of Section 2.10 only, Net Available Proceeds shall exclude any payments related to Casualty Events affecting any Wynn Las Vegas Entities so long as such Wynn Las Vegas Entity is an Excluded Subsidiary; and</w:t>
      </w:r>
    </w:p>
    <w:p>
      <w:pPr>
        <w:spacing w:after="0" w:line="182" w:lineRule="exact"/>
        <w:rPr>
          <w:sz w:val="20"/>
          <w:szCs w:val="20"/>
          <w:color w:val="auto"/>
        </w:rPr>
      </w:pPr>
    </w:p>
    <w:p>
      <w:pPr>
        <w:jc w:val="both"/>
        <w:ind w:left="660" w:firstLine="645"/>
        <w:spacing w:after="0" w:line="286" w:lineRule="auto"/>
        <w:tabs>
          <w:tab w:leader="none" w:pos="1769"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the case of any Debt Issuance, the aggregate amount of all cash received in respect thereof by the Person consummating such Debt Issuance in respect thereof net of all investment banking fees, discounts and commissions, legal fees, consulting fees, accountants’ fees, underwriting discounts and commissions and other fees and expenses, actually incurred in connection therewith.</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Revenues</w:t>
      </w:r>
      <w:r>
        <w:rPr>
          <w:rFonts w:ascii="Arial" w:cs="Arial" w:eastAsia="Arial" w:hAnsi="Arial"/>
          <w:sz w:val="18"/>
          <w:szCs w:val="18"/>
          <w:color w:val="auto"/>
        </w:rPr>
        <w:t>” shall mean, for any period, the net revenues of Borrower and its Restricted Subsidiaries, as set forth on Borrower’s income statement for the relevant period under the line item “net revenues,” calculated in accordance with GAAP and with Regulation S-X under the Securities Act and in a manner consistent with that customarily utilized in the gaming industry.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Facility</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xml:space="preserve">” shall have the meaning provided in Section </w:t>
      </w:r>
      <w:r>
        <w:rPr>
          <w:rFonts w:ascii="Arial" w:cs="Arial" w:eastAsia="Arial" w:hAnsi="Arial"/>
          <w:sz w:val="18"/>
          <w:szCs w:val="18"/>
          <w:b w:val="1"/>
          <w:bCs w:val="1"/>
          <w:color w:val="FF0000"/>
          <w:strike w:val="1"/>
        </w:rPr>
        <w:t>2.03</w:t>
      </w:r>
      <w:r>
        <w:rPr>
          <w:rFonts w:ascii="Arial" w:cs="Arial" w:eastAsia="Arial" w:hAnsi="Arial"/>
          <w:sz w:val="18"/>
          <w:szCs w:val="18"/>
          <w:b w:val="1"/>
          <w:bCs w:val="1"/>
          <w:u w:val="single" w:color="auto"/>
          <w:color w:val="0000FF"/>
        </w:rPr>
        <w:t>2.01</w:t>
      </w:r>
      <w:r>
        <w:rPr>
          <w:rFonts w:ascii="Arial" w:cs="Arial" w:eastAsia="Arial" w:hAnsi="Arial"/>
          <w:sz w:val="18"/>
          <w:szCs w:val="18"/>
          <w:color w:val="auto"/>
        </w:rPr>
        <w:t>(c)(ii).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shall mean each Lender other than a Defaulting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Non-Extension Notice Date</w:t>
      </w:r>
      <w:r>
        <w:rPr>
          <w:rFonts w:ascii="Arial" w:cs="Arial" w:eastAsia="Arial" w:hAnsi="Arial"/>
          <w:sz w:val="18"/>
          <w:szCs w:val="18"/>
          <w:color w:val="auto"/>
        </w:rPr>
        <w:t>” shall have the meaning provided by Section 2.03(b).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xml:space="preserve">” shall mean the Revolving Notes </w:t>
      </w:r>
      <w:r>
        <w:rPr>
          <w:rFonts w:ascii="Arial" w:cs="Arial" w:eastAsia="Arial" w:hAnsi="Arial"/>
          <w:sz w:val="18"/>
          <w:szCs w:val="18"/>
          <w:b w:val="1"/>
          <w:bCs w:val="1"/>
          <w:color w:val="FF0000"/>
          <w:strike w:val="1"/>
        </w:rPr>
        <w:t>and</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the Term Facility Notes </w:t>
      </w:r>
      <w:r>
        <w:rPr>
          <w:rFonts w:ascii="Arial" w:cs="Arial" w:eastAsia="Arial" w:hAnsi="Arial"/>
          <w:sz w:val="18"/>
          <w:szCs w:val="18"/>
          <w:b w:val="1"/>
          <w:bCs w:val="1"/>
          <w:u w:val="single" w:color="auto"/>
          <w:color w:val="0000FF"/>
        </w:rPr>
        <w:t>and the Term Facility II Notes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shall mean a notice of borrowing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is reasonably acceptable to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Continuation/Conversion</w:t>
      </w:r>
      <w:r>
        <w:rPr>
          <w:rFonts w:ascii="Arial" w:cs="Arial" w:eastAsia="Arial" w:hAnsi="Arial"/>
          <w:sz w:val="18"/>
          <w:szCs w:val="18"/>
          <w:color w:val="auto"/>
        </w:rPr>
        <w:t xml:space="preserve">” shall mean a notice of continuation/conversion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such other form as is reasonably acceptable to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Intent to Cure</w:t>
      </w:r>
      <w:r>
        <w:rPr>
          <w:rFonts w:ascii="Arial" w:cs="Arial" w:eastAsia="Arial" w:hAnsi="Arial"/>
          <w:sz w:val="18"/>
          <w:szCs w:val="18"/>
          <w:color w:val="auto"/>
        </w:rPr>
        <w:t>” has the meaning specified in Section 9.04(c).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 Currency</w:t>
      </w:r>
      <w:r>
        <w:rPr>
          <w:rFonts w:ascii="Arial" w:cs="Arial" w:eastAsia="Arial" w:hAnsi="Arial"/>
          <w:sz w:val="18"/>
          <w:szCs w:val="18"/>
          <w:color w:val="auto"/>
        </w:rPr>
        <w:t>” has the meaning set forth in Section 13.15(a).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shall mean all amounts, liabilities and obligations, direct or indirect, contingent or absolute, of every type or description, and at any time existing, owing by any Credit Party to any Secured Party or any of its Agent Related Parties or their respective successors, transferees or assignees pursuant to the terms of any Credit Document, any Credit Swap Contract or, with the prior written approval of Borrower, any Secured Cash Management Agreement (including in each case interest, fees, costs or charges accruing or obligations incurred during the pendency of any bankruptcy, insolvency, receivership or other similar proceeding, regardless of whether allowed or allowable in such proceeding), whether or not the right of such Person to payment in respect of such obligations and liabilities is reduced to judgment, liquidated, unliquidated, fixed, contingent, matured, unmatured, disputed, undisputed, legal, equitable, secured or unsecured and whether or not such claim is discharged, stayed or otherwise affected by any bankruptcy case or insolvency or liquidation proceeding.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has the meaning set forth in Section 8.22(b)(v).</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117" w:name="page118"/>
    <w:bookmarkEnd w:id="117"/>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shall mean, as applied to any entity, a certificate executed on behalf of such entity (or such entity’s manager or member or general partner, as applicable) by its chairman of the Board of Directors (or functional equivalent) (if an officer), its chief executive officer, its president, any of its vice presidents, its chief financial officer, its chief accounting officer or its treasurer or controller (in each case, or an equivalent officer) in their official (and not individual) capacities.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Market Assignment and Assumption Agreement</w:t>
      </w:r>
      <w:r>
        <w:rPr>
          <w:rFonts w:ascii="Arial" w:cs="Arial" w:eastAsia="Arial" w:hAnsi="Arial"/>
          <w:sz w:val="18"/>
          <w:szCs w:val="18"/>
          <w:color w:val="auto"/>
        </w:rPr>
        <w:t xml:space="preserve">” shall mean an Open Market Assignment and Assumption Agreement substantially in the form attached as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w:t>
      </w:r>
      <w:r>
        <w:rPr>
          <w:rFonts w:ascii="Arial" w:cs="Arial" w:eastAsia="Arial" w:hAnsi="Arial"/>
          <w:sz w:val="18"/>
          <w:szCs w:val="18"/>
          <w:color w:val="auto"/>
        </w:rPr>
        <w:t>” shall mean, relative to any Person, its certificate of incorporation, its certificate of formation or articles of organization, its certificate of partnership, its by-laws, its partnership agreement, its limited liability company or operating agreement, its memorandum or articles of association, share designations or similar organization documents and all shareholder agreements, voting trusts and similar arrangements applicable to any of its authorized Equity Interests.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Applicable Indebtedness</w:t>
      </w:r>
      <w:r>
        <w:rPr>
          <w:rFonts w:ascii="Arial" w:cs="Arial" w:eastAsia="Arial" w:hAnsi="Arial"/>
          <w:sz w:val="18"/>
          <w:szCs w:val="18"/>
          <w:color w:val="auto"/>
        </w:rPr>
        <w:t>” shall mean Indebtedness incurred pursuant to Section 10.01(c), (e), (h), (k), (n), (p), (q) and (u).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Commitments</w:t>
      </w:r>
      <w:r>
        <w:rPr>
          <w:rFonts w:ascii="Arial" w:cs="Arial" w:eastAsia="Arial" w:hAnsi="Arial"/>
          <w:sz w:val="18"/>
          <w:szCs w:val="18"/>
          <w:color w:val="auto"/>
        </w:rPr>
        <w:t>” shall mean the Other Term Loan Commitments and Other Revolving Commitments.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shall mean, with respect to any Agent or Lender, Taxes imposed as a result of a present or former connection between such Agent or Lender and the jurisdiction imposing such Tax (other than connections arising from such Agent or Lender having executed, delivered, become a party to, performed its obligations under, received payments under, received or perfected a security interest under, engaged in any other transaction pursuant to or enforced any Credit Document).</w:t>
      </w:r>
    </w:p>
    <w:p>
      <w:pPr>
        <w:spacing w:after="0" w:line="180"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First Lien Indebtedness</w:t>
      </w:r>
      <w:r>
        <w:rPr>
          <w:rFonts w:ascii="Arial" w:cs="Arial" w:eastAsia="Arial" w:hAnsi="Arial"/>
          <w:sz w:val="17"/>
          <w:szCs w:val="17"/>
          <w:color w:val="auto"/>
        </w:rPr>
        <w:t xml:space="preserve">” shall mean outstanding Indebtedness that is not incurred under this Agreement and that (a)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Obligations and (b) is Permitted First Priority Refinancing Debt or Permitted First Lien Indebtedness.</w:t>
      </w:r>
    </w:p>
    <w:p>
      <w:pPr>
        <w:spacing w:after="0" w:line="1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Junior Indebtedness</w:t>
      </w:r>
      <w:r>
        <w:rPr>
          <w:rFonts w:ascii="Arial" w:cs="Arial" w:eastAsia="Arial" w:hAnsi="Arial"/>
          <w:sz w:val="18"/>
          <w:szCs w:val="18"/>
          <w:color w:val="auto"/>
        </w:rPr>
        <w:t>” shall mean Permitted Unsecured Indebtedness, Permitted Second Lien Indebtedness, Permitted Unsecured Refinancing Debt or Permitted Second Priority Refinancing Debt that is secured by a Lien on Collateral junior to the Liens securing the Obligations or that is unsecured.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Revolving Commitments</w:t>
      </w:r>
      <w:r>
        <w:rPr>
          <w:rFonts w:ascii="Arial" w:cs="Arial" w:eastAsia="Arial" w:hAnsi="Arial"/>
          <w:sz w:val="18"/>
          <w:szCs w:val="18"/>
          <w:color w:val="auto"/>
        </w:rPr>
        <w:t>” shall mean one or more Tranches of revolving credit commitments hereunder that result from a Refinancing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Revolving Loans</w:t>
      </w:r>
      <w:r>
        <w:rPr>
          <w:rFonts w:ascii="Arial" w:cs="Arial" w:eastAsia="Arial" w:hAnsi="Arial"/>
          <w:sz w:val="18"/>
          <w:szCs w:val="18"/>
          <w:color w:val="auto"/>
        </w:rPr>
        <w:t>” shall mean one or more Tranches of Revolving Loans that result from a Refinancing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has the meaning set forth in Section 5.06(e).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Term Loan Commitments</w:t>
      </w:r>
      <w:r>
        <w:rPr>
          <w:rFonts w:ascii="Arial" w:cs="Arial" w:eastAsia="Arial" w:hAnsi="Arial"/>
          <w:sz w:val="18"/>
          <w:szCs w:val="18"/>
          <w:color w:val="auto"/>
        </w:rPr>
        <w:t>” shall mean one or more Tranches of term loan commitments hereunder that result from a Refinancing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Term Loans</w:t>
      </w:r>
      <w:r>
        <w:rPr>
          <w:rFonts w:ascii="Arial" w:cs="Arial" w:eastAsia="Arial" w:hAnsi="Arial"/>
          <w:sz w:val="18"/>
          <w:szCs w:val="18"/>
          <w:color w:val="auto"/>
        </w:rPr>
        <w:t>” shall mean one or more Tranches of Term Loans that result from a Refinancing Amendment.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Paid in Full</w:t>
      </w:r>
      <w:r>
        <w:rPr>
          <w:rFonts w:ascii="Arial" w:cs="Arial" w:eastAsia="Arial" w:hAnsi="Arial"/>
          <w:sz w:val="17"/>
          <w:szCs w:val="17"/>
          <w:color w:val="auto"/>
        </w:rPr>
        <w:t>” or “</w:t>
      </w:r>
      <w:r>
        <w:rPr>
          <w:rFonts w:ascii="Arial" w:cs="Arial" w:eastAsia="Arial" w:hAnsi="Arial"/>
          <w:sz w:val="17"/>
          <w:szCs w:val="17"/>
          <w:b w:val="1"/>
          <w:bCs w:val="1"/>
          <w:color w:val="auto"/>
        </w:rPr>
        <w:t>Payment in Full</w:t>
      </w:r>
      <w:r>
        <w:rPr>
          <w:rFonts w:ascii="Arial" w:cs="Arial" w:eastAsia="Arial" w:hAnsi="Arial"/>
          <w:sz w:val="17"/>
          <w:szCs w:val="17"/>
          <w:color w:val="auto"/>
        </w:rPr>
        <w:t>” and any other similar terms, expressions or phrases shall mean, at any time, (a) with respect to obligations other than the Obligations or the Secured Obligations (as defined in the Security Agreement), the payment in full of all of such obligations and (b) with respect to the Obligations or the Secured Obligations (as defined in the Security Agreement), the irrevocable termination of all Commitments, the payment in full in cash of all Obligations (except undrawn Letters of Credit and Unasserted Obligations), including principal,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96" w:right="239" w:bottom="1440" w:gutter="0" w:footer="0" w:header="0"/>
        </w:sectPr>
      </w:pPr>
    </w:p>
    <w:bookmarkStart w:id="118" w:name="page119"/>
    <w:bookmarkEnd w:id="118"/>
    <w:p>
      <w:pPr>
        <w:jc w:val="both"/>
        <w:spacing w:after="0" w:line="297" w:lineRule="auto"/>
        <w:rPr>
          <w:sz w:val="20"/>
          <w:szCs w:val="20"/>
          <w:color w:val="auto"/>
        </w:rPr>
      </w:pPr>
      <w:r>
        <w:rPr>
          <w:rFonts w:ascii="Arial" w:cs="Arial" w:eastAsia="Arial" w:hAnsi="Arial"/>
          <w:sz w:val="16"/>
          <w:szCs w:val="16"/>
          <w:color w:val="auto"/>
        </w:rPr>
        <w:t>interest, fees, costs (including post-petition interest, fees, costs and charges even if such interest, fees costs and charges are not an allowed claim enforceable against any Credit Party in a bankruptcy case under applicable law) and premium (if any), and the discharge or Cash Collateralization of all Letters of Credit outstanding in an amount equal to 103% of the greatest amount for which such Letters of Credit may be drawn (or receipt of backstop letters of credit reasonably satisfactory to the applicable L/C Lender and the Administrative Agent). For purposes of this definition, “</w:t>
      </w:r>
      <w:r>
        <w:rPr>
          <w:rFonts w:ascii="Arial" w:cs="Arial" w:eastAsia="Arial" w:hAnsi="Arial"/>
          <w:sz w:val="16"/>
          <w:szCs w:val="16"/>
          <w:b w:val="1"/>
          <w:bCs w:val="1"/>
          <w:color w:val="auto"/>
        </w:rPr>
        <w:t>Unasserted Obligations</w:t>
      </w:r>
      <w:r>
        <w:rPr>
          <w:rFonts w:ascii="Arial" w:cs="Arial" w:eastAsia="Arial" w:hAnsi="Arial"/>
          <w:sz w:val="16"/>
          <w:szCs w:val="16"/>
          <w:color w:val="auto"/>
        </w:rPr>
        <w:t>” shall mean, at any time, contingent indemnity obligations in respect of which no claim or demand for payment has been made at such time.</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shall mean, with respect to a Lender, the bank holding company (as defined in Federal Reserve Board Regulation Y), if any, of such Lender, and/or any Person owning, beneficially or of record, directly or indirectly, a majority of the shares of such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Pari Passu</w:t>
      </w:r>
      <w:r>
        <w:rPr>
          <w:rFonts w:ascii="Arial" w:cs="Arial" w:eastAsia="Arial" w:hAnsi="Arial"/>
          <w:sz w:val="18"/>
          <w:szCs w:val="18"/>
          <w:color w:val="auto"/>
        </w:rPr>
        <w:t xml:space="preserve"> </w:t>
      </w:r>
      <w:r>
        <w:rPr>
          <w:rFonts w:ascii="Arial" w:cs="Arial" w:eastAsia="Arial" w:hAnsi="Arial"/>
          <w:sz w:val="18"/>
          <w:szCs w:val="18"/>
          <w:b w:val="1"/>
          <w:bCs w:val="1"/>
          <w:color w:val="auto"/>
        </w:rPr>
        <w:t>Intercreditor Agreement</w:t>
      </w:r>
      <w:r>
        <w:rPr>
          <w:rFonts w:ascii="Arial" w:cs="Arial" w:eastAsia="Arial" w:hAnsi="Arial"/>
          <w:sz w:val="18"/>
          <w:szCs w:val="18"/>
          <w:color w:val="auto"/>
        </w:rPr>
        <w:t xml:space="preserve">” shall mean an intercreditor agreement substantially in the form of </w:t>
      </w:r>
      <w:r>
        <w:rPr>
          <w:rFonts w:ascii="Arial" w:cs="Arial" w:eastAsia="Arial" w:hAnsi="Arial"/>
          <w:sz w:val="18"/>
          <w:szCs w:val="18"/>
          <w:u w:val="single" w:color="auto"/>
          <w:color w:val="auto"/>
        </w:rPr>
        <w:t>Exhibit R</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“Participant Register</w:t>
      </w:r>
      <w:r>
        <w:rPr>
          <w:rFonts w:ascii="Arial" w:cs="Arial" w:eastAsia="Arial" w:hAnsi="Arial"/>
          <w:sz w:val="18"/>
          <w:szCs w:val="18"/>
          <w:color w:val="auto"/>
        </w:rPr>
        <w:t>” has the meaning set forth in Section 13.05(a).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Pass Through Entity</w:t>
      </w:r>
      <w:r>
        <w:rPr>
          <w:rFonts w:ascii="Arial" w:cs="Arial" w:eastAsia="Arial" w:hAnsi="Arial"/>
          <w:sz w:val="18"/>
          <w:szCs w:val="18"/>
          <w:color w:val="auto"/>
        </w:rPr>
        <w:t>” means an entity treated as a partnership or a disregarded entity for U.S. federal, state and/or local income tax purposes,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has the meaning set forth in Section 8.22(a).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 or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 employee pension benefit plan (other than a Multiemployer Plan) that is covered by Title IV of ERISA or subject to the minimum funding standards under Section 412 of the Code or Section 302 of ERISA and is maintained or contributed to by any ERISA Entity or with respect to which any Company is reasonably likely to incur liability under Title IV of ERISA.</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shall mean that certain Perfection Certificate, dated as of the Closing Date (the “</w:t>
      </w:r>
      <w:r>
        <w:rPr>
          <w:rFonts w:ascii="Arial" w:cs="Arial" w:eastAsia="Arial" w:hAnsi="Arial"/>
          <w:sz w:val="18"/>
          <w:szCs w:val="18"/>
          <w:b w:val="1"/>
          <w:bCs w:val="1"/>
          <w:color w:val="auto"/>
        </w:rPr>
        <w:t>Initial Perfection Certificate</w:t>
      </w:r>
      <w:r>
        <w:rPr>
          <w:rFonts w:ascii="Arial" w:cs="Arial" w:eastAsia="Arial" w:hAnsi="Arial"/>
          <w:sz w:val="18"/>
          <w:szCs w:val="18"/>
          <w:color w:val="auto"/>
        </w:rPr>
        <w:t xml:space="preserve">”), executed and delivered by Borrower on behalf of Borrower and each of the Guarantors existing on the initial Funding Date, and each other Perfection Certificate (which shall be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or such other form as is reasonably acceptable to Administrative Agent) executed and delivered by the applicable Credit Party from time to time, in each case, as the same may be amended, amended and restated, supplemented or otherwise modified from time to time in accordance with Section 9.04(h)(ii).</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has the meaning set forth in Section 8.15.</w:t>
      </w:r>
    </w:p>
    <w:p>
      <w:pPr>
        <w:spacing w:after="0" w:line="252"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Acquisition</w:t>
      </w:r>
      <w:r>
        <w:rPr>
          <w:rFonts w:ascii="Arial" w:cs="Arial" w:eastAsia="Arial" w:hAnsi="Arial"/>
          <w:sz w:val="16"/>
          <w:szCs w:val="16"/>
          <w:color w:val="auto"/>
        </w:rPr>
        <w:t>” shall mean (x) the acquisition of the Wynn Las Vegas Entities by Borrower pursuant to the Wynn Las Vegas Reorganization and (y) from and after the earlier of the Wynn Las Vegas Reorganization and the Wynn Massachusetts Project Opening Date, any other acquisition, whether by purchase, merger, consolidation or otherwise, by Borrower or any of its Restricted Subsidiaries of all or substantially all of the business, property or assets of, or Equity Interests in, a Person or any division or line of business of a Person so long as (with respect to this clause (y) only)</w:t>
      </w:r>
    </w:p>
    <w:p>
      <w:pPr>
        <w:spacing w:after="0" w:line="1" w:lineRule="exact"/>
        <w:rPr>
          <w:sz w:val="20"/>
          <w:szCs w:val="20"/>
          <w:color w:val="auto"/>
        </w:rPr>
      </w:pPr>
    </w:p>
    <w:p>
      <w:pPr>
        <w:jc w:val="both"/>
        <w:ind w:firstLine="8"/>
        <w:spacing w:after="0" w:line="322" w:lineRule="auto"/>
        <w:tabs>
          <w:tab w:leader="none" w:pos="249" w:val="left"/>
        </w:tabs>
        <w:numPr>
          <w:ilvl w:val="0"/>
          <w:numId w:val="52"/>
        </w:numPr>
        <w:rPr>
          <w:rFonts w:ascii="Arial" w:cs="Arial" w:eastAsia="Arial" w:hAnsi="Arial"/>
          <w:sz w:val="17"/>
          <w:szCs w:val="17"/>
          <w:color w:val="auto"/>
        </w:rPr>
      </w:pPr>
      <w:r>
        <w:rPr>
          <w:rFonts w:ascii="Arial" w:cs="Arial" w:eastAsia="Arial" w:hAnsi="Arial"/>
          <w:sz w:val="17"/>
          <w:szCs w:val="17"/>
          <w:color w:val="auto"/>
        </w:rPr>
        <w:t>immediately after a binding contract with respect thereto is entered into between Borrower or one of its Restricted Subsidiaries and the seller with respect thereto and after giving pro forma effect to such acquisition and related transactions, no Event of Default has occurred and is continuing or would result therefrom and (A) prior to the Initial Test Date, immediately after giving effect thereto the Consolidated Senior Secured Net Leverage Ratio calculated on a Pro Forma Basis shall not exceed 2.50 to 1.00 as of the most recent Calculation Date, and (B) from and after the Initial Test Date, immediately after giving effect thereto Borrower shall be in compliance on a Pro Forma Basis with the Financial Maintenance Covenant as of the most recent Calculation Date (whether or not then in effect), (b) immediately after giving effect thereto, Borrower shall be in compliance with Section 10.11, and (c) with respect to a Permitted Acquisition in excess of $50.0 million, Borrower has delivered to Administrative Agent an Officer’s Certificate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to the effect set forth in clauses (a) through (c) above, together with all relevant financial information for the Person or assets to be acquired.</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Business</w:t>
      </w:r>
      <w:r>
        <w:rPr>
          <w:rFonts w:ascii="Arial" w:cs="Arial" w:eastAsia="Arial" w:hAnsi="Arial"/>
          <w:sz w:val="17"/>
          <w:szCs w:val="17"/>
          <w:color w:val="auto"/>
        </w:rPr>
        <w:t>” shall mean any business of the type in which Borrower and its Restricted Subsidiaries are engaged or proposed to be engaged on the date of this Agreement, including any business, the primary focus of which, is in the hospitality, gaming, leisure or consumer industries, or any business reasonably related, incidental or ancillary thereto (including assets or businesses complementary thereto).</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Business Assets</w:t>
      </w:r>
      <w:r>
        <w:rPr>
          <w:rFonts w:ascii="Arial" w:cs="Arial" w:eastAsia="Arial" w:hAnsi="Arial"/>
          <w:sz w:val="16"/>
          <w:szCs w:val="16"/>
          <w:color w:val="auto"/>
        </w:rPr>
        <w:t>” shall mean (a) one or more Permitted Businesses, (b) a controlling equity interest in any Person whose assets consist primarily of one or more Permitted Businesses, (c) assets that are used or useful in a Permitted Business or (d) any combination of the preceding clauses (a),</w:t>
      </w:r>
    </w:p>
    <w:p>
      <w:pPr>
        <w:spacing w:after="0" w:line="1" w:lineRule="exact"/>
        <w:rPr>
          <w:sz w:val="20"/>
          <w:szCs w:val="20"/>
          <w:color w:val="auto"/>
        </w:rPr>
      </w:pPr>
    </w:p>
    <w:p>
      <w:pPr>
        <w:ind w:firstLine="8"/>
        <w:spacing w:after="0" w:line="261" w:lineRule="auto"/>
        <w:tabs>
          <w:tab w:leader="none" w:pos="27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and (c), in each case, as determined by Borrower’s Board of Directors or a Responsible Officer or other management of Borrower or the Restricted Subsidiary acquiring such assets, in each case, in its good faith judgment.</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First Lien Indebtedness</w:t>
      </w:r>
      <w:r>
        <w:rPr>
          <w:rFonts w:ascii="Arial" w:cs="Arial" w:eastAsia="Arial" w:hAnsi="Arial"/>
          <w:sz w:val="17"/>
          <w:szCs w:val="17"/>
          <w:color w:val="auto"/>
        </w:rPr>
        <w:t xml:space="preserve">” shall mean any Indebtedness of Borrower (and Contingent Obligations of the Guarantors in respect thereof) that (a)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to the Liens securing the Obligations and the obligations in respect of any Permitted First Priority Refinancing Debt and is not secured by any property or assets of Borrower or any Restricted Subsidiary other than the Collateral, (b) the holders of such Indebtedness (or their representative) and Administrative Agent shall be party to the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Intercreditor Agreement, (c) is not scheduled to mature prior to the Final Maturity Date then in effect at the time of issuance (excluding bridge facilities allowing extensions on customary terms to at least such Final Maturity Date), (d) is not at any time guaranteed by any Subsidiaries other than Subsidiaries that are Guarantors, (e) the terms (excluding pricing, fees, rate floors, premiums, optional prepayment or optional redemption provisions) of which are (as determined by Borrower in good faith), taken as a whole, not materially more restrictive than the terms set forth in this Agreement (other than, in the case of any bridge facility, covenants, defaults and remedy provisions customary for bridge financings) and (f) other than in the case of a revolving credit facility, does not have a Weighted Average Life to Maturity (excluding the effects of any prepayments of Term Loans reducing amortization) that is shorter than that of any outstanding Term Loans (excluding bridge facilities allowing extensions on customary terms at least to such Final Maturity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Weighted Average Life to Maturity may be shorter if the stated maturity of any principal payment (including any amortization payments) is not earlier than the earlier of (i) the stated maturity of any then-outstanding Term Loans or (ii) the Final Maturity Date then in effect at the time of issuance or incurrence) (excluding bridge facilities allowing extensions on customary terms at least to such Final Maturity Date).</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First Priority Refinancing Debt</w:t>
      </w:r>
      <w:r>
        <w:rPr>
          <w:rFonts w:ascii="Arial" w:cs="Arial" w:eastAsia="Arial" w:hAnsi="Arial"/>
          <w:sz w:val="17"/>
          <w:szCs w:val="17"/>
          <w:color w:val="auto"/>
        </w:rPr>
        <w:t xml:space="preserve">” shall mean any secured Indebtedness incurred by Borrower (and Contingent Obligations of the Guarantors in respect thereof) in the form of one or more series of senior secured notes or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Indebtedness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(but without regard to the control of remedies) with the Obligations and is not secured by any property or assets of Borrower or any Restricted Subsidiary other than the Collateral, (b) such Indebtedness constitutes Credit Agreement Refinancing Indebtedness, (c) such Indebtedness is not at any time guaranteed by any Subsidiaries other than Subsidiaries that are Guarantors, and (d) the holders of such Indebtedness (or their representative) and Administrative Agent shall be party to the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Intercreditor Agreement.</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Junior Debt Conditions</w:t>
      </w:r>
      <w:r>
        <w:rPr>
          <w:rFonts w:ascii="Arial" w:cs="Arial" w:eastAsia="Arial" w:hAnsi="Arial"/>
          <w:sz w:val="16"/>
          <w:szCs w:val="16"/>
          <w:color w:val="auto"/>
        </w:rPr>
        <w:t>” shall mean that such applicable debt (i) does not have a scheduled maturity date prior to the date that is 91 days after the Final Maturity Date then in effect at the time of issuance (excluding bridge facilities allowing extensions on customary terms to at least 91 days after such Final Maturity Date), (ii) does not have a Weighted Average Life to Maturity (excluding the effects of any prepayments of Term Loans reducing amortization) that is shorter than that of any outstanding Term Loans (excluding bridge facilities allowing extensions on customary terms to at least ninety-one (91) days after the Final Maturity Date), (iii) shall not have any scheduled principal payments or be subject to any mandatory redemption, prepayment, or sinking fund (except for customary change of control (and, in the case of convertible or exchangeable debt instruments, delisting)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 date that is ninety-one (91) days after the Final Maturity Date then in effect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120" w:name="page121"/>
    <w:bookmarkEnd w:id="120"/>
    <w:p>
      <w:pPr>
        <w:jc w:val="both"/>
        <w:spacing w:after="0" w:line="277" w:lineRule="auto"/>
        <w:rPr>
          <w:sz w:val="20"/>
          <w:szCs w:val="20"/>
          <w:color w:val="auto"/>
        </w:rPr>
      </w:pPr>
      <w:r>
        <w:rPr>
          <w:rFonts w:ascii="Arial" w:cs="Arial" w:eastAsia="Arial" w:hAnsi="Arial"/>
          <w:sz w:val="18"/>
          <w:szCs w:val="18"/>
          <w:color w:val="auto"/>
        </w:rPr>
        <w:t>at the time of issuance (excluding bridge facilities allowing extensions on customary terms to at least ninety-one (91) days after such Final Maturity Date) and (iv) is not at any time guaranteed by any Subsidiaries other than Subsidiaries that are Guarantors.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has the meaning set forth in Section 10.02.</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w:t>
      </w:r>
      <w:r>
        <w:rPr>
          <w:rFonts w:ascii="Arial" w:cs="Arial" w:eastAsia="Arial" w:hAnsi="Arial"/>
          <w:sz w:val="16"/>
          <w:szCs w:val="16"/>
          <w:color w:val="auto"/>
        </w:rPr>
        <w:t xml:space="preserve">” shall mean, with respect to any Indebtedness, any refinancing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 Default or Event of Default shall have occurred and be continuing or would arise therefrom; (b) any such refinancing Indebtedness shall (i) not have a stated maturity or, other than in the case of a revolving credit facility, a Weighted Average Life to Maturity that is shorter than that of the Indebtedness being refinanced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stated maturity or Weighted Average Life to Maturity may be shorter if the stated maturity of any principal payment (including any amortization payments) is not earlier than the earlier of (1) the stated maturity of such Indebtedness in effect prior to such refinancing or (2) 91 days after the Final Maturity Date in effect at the time of issuance), (ii) if the Indebtedness being refinanced is subordinated to the Obligations by its terms or by the terms of any agreement or instrument relating to such Indebtedness, be at least as subordinate to the Obligations as the Indebtedness being refinanced (and unsecured if the refinanced Indebtedness is unsecured) and (iii) be in a principal amount that does not exceed the principal amount so refinanced,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premium or other payment required to be paid in connection with such refinancing,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of fees and expenses of Borrower or any of its Restricted Subsidiaries incurred in connection with such refinancing,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unutilized commitments thereunder; and (c) the obligors on such refinancing Indebtedness shall be the obligors on such Indebtedness being refinanced (other than in the case of the Wynn Las Vegas Notes, in which case the obligors may be Borrower or any of its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the borrower of the refinancing indebtedness shall be Borrower or the borrower of the indebtedness being refinanced and (ii) any Credit Party shall be permitted to guarantee any such refinancing Indebtedness of any other Credit Party</w:t>
      </w:r>
    </w:p>
    <w:p>
      <w:pPr>
        <w:spacing w:after="0" w:line="16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Second Lien Indebtedness</w:t>
      </w:r>
      <w:r>
        <w:rPr>
          <w:rFonts w:ascii="Arial" w:cs="Arial" w:eastAsia="Arial" w:hAnsi="Arial"/>
          <w:sz w:val="16"/>
          <w:szCs w:val="16"/>
          <w:color w:val="auto"/>
        </w:rPr>
        <w:t>” shall mean any Indebtedness of Borrower (and Contingent Obligations of the Guarantors in respect thereof) that (a) is secured by the Collateral on a second priority (or other junior priority) basis to the Liens securing the Obligations and the obligations in respect of any Permitted First Priority Refinancing Debt and any Permitted First Lien Indebtedness and is not secured by any property or assets of Borrower or any Restricted Subsidiary other than the Collateral, (b) meets the Permitted Junior Debt Conditions and (c) the holders of such Indebtedness (or their representative) shall be party to the Second Lien Intercreditor Agreement (as “Second Priority Debt Parties”) with the Administrative Agent.</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Second Priority Refinancing Debt</w:t>
      </w:r>
      <w:r>
        <w:rPr>
          <w:rFonts w:ascii="Arial" w:cs="Arial" w:eastAsia="Arial" w:hAnsi="Arial"/>
          <w:sz w:val="16"/>
          <w:szCs w:val="16"/>
          <w:color w:val="auto"/>
        </w:rPr>
        <w:t xml:space="preserve">” shall mean secured Indebtedness incurred by Borrower (and Contingent Obligations of the Guarantors in respect thereof) in the form of one or more series of second lien (or other junior lien) secured notes or second lien (or other junior lien) secured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Indebtedness is secured by the Collateral on a second priority (or other junior priority) basis to the liens securing the Obligations and the obligations in respect of any Permitted First Priority Refinancing Debt and any Permitted First Lien Indebtedness and is not secured by any property or assets of Borrower or any Restricted Subsidiary other than the Collateral, (b) such Indebtedness constitutes Credit Agreement Refinancing Indebtedness (</w:t>
      </w:r>
      <w:r>
        <w:rPr>
          <w:rFonts w:ascii="Arial" w:cs="Arial" w:eastAsia="Arial" w:hAnsi="Arial"/>
          <w:sz w:val="16"/>
          <w:szCs w:val="16"/>
          <w:i w:val="1"/>
          <w:iCs w:val="1"/>
          <w:color w:val="auto"/>
        </w:rPr>
        <w:t>provided</w:t>
      </w:r>
      <w:r>
        <w:rPr>
          <w:rFonts w:ascii="Arial" w:cs="Arial" w:eastAsia="Arial" w:hAnsi="Arial"/>
          <w:sz w:val="16"/>
          <w:szCs w:val="16"/>
          <w:color w:val="auto"/>
        </w:rPr>
        <w:t>, that such Indebtedness may be secured by a Lien on the Collateral that is junior to the Liens securing the Obligations and the obligations in respect of any Permitted First Priority Refinancing Debt and Permitted First Lien Indebtedness, notwithstanding any provision to the contrary contained in the definition of “Credit Agreement Refinancing Indebtedness”), (c) the holders of such Indebtedness (or their representative) shall be party to the Second Lien Intercreditor Agreement (as “Second Priority Debt Parties”) with the Administrative Agent and (d) meets the Permitted Junior Debt Conditions.</w:t>
      </w:r>
    </w:p>
    <w:p>
      <w:pPr>
        <w:spacing w:after="0" w:line="1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Unsecured Indebtedness</w:t>
      </w:r>
      <w:r>
        <w:rPr>
          <w:rFonts w:ascii="Arial" w:cs="Arial" w:eastAsia="Arial" w:hAnsi="Arial"/>
          <w:sz w:val="18"/>
          <w:szCs w:val="18"/>
          <w:color w:val="auto"/>
        </w:rPr>
        <w:t>” shall mean any unsecured Indebtedness of Borrower (and Contingent Obligations of the Guarantors in respect thereof) that meets the Permitted Junior Debt Conditions or is Junior Financing. For the avoidance of doubt, Disqualified Capital Stock shall not constitute Permitted Unsecured Indebtedness.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Unsecured Refinancing Debt</w:t>
      </w:r>
      <w:r>
        <w:rPr>
          <w:rFonts w:ascii="Arial" w:cs="Arial" w:eastAsia="Arial" w:hAnsi="Arial"/>
          <w:sz w:val="18"/>
          <w:szCs w:val="18"/>
          <w:color w:val="auto"/>
        </w:rPr>
        <w:t xml:space="preserve">” shall mean unsecured Indebtedness incurred by Borrower or its Restricted Subsidiaries in the form of one or more series of senior unsecured notes or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Indebtedness constitutes Credit Agreement Refinancing Indebtedness and (b) meets the Permitted Junior Debt Conditions.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121" w:name="page122"/>
    <w:bookmarkEnd w:id="121"/>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corporation, company, association, partnership, limited liability company, joint venture, trust, unincorporated organization or Governmental Authority or any other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Collateral</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Post-Closing Equity Contribution</w:t>
      </w:r>
      <w:r>
        <w:rPr>
          <w:rFonts w:ascii="Arial" w:cs="Arial" w:eastAsia="Arial" w:hAnsi="Arial"/>
          <w:sz w:val="17"/>
          <w:szCs w:val="17"/>
          <w:color w:val="auto"/>
        </w:rPr>
        <w:t>” shall mean all equity contributions and/or Intercompany Contribution Indebtedness made by Wynn Resorts or any of its Affiliates (other than Borrower or its Restricted Subsidiaries) to Borrower and its Restricted Subsidiaries on or after the Closing Date and all amounts distributed from the Wynn Las Vegas Entities to the Credit Parties on or after the Wynn Las Vegas Reorganization.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Post-Increase Revolving Lenders</w:t>
      </w:r>
      <w:r>
        <w:rPr>
          <w:rFonts w:ascii="Arial" w:cs="Arial" w:eastAsia="Arial" w:hAnsi="Arial"/>
          <w:sz w:val="18"/>
          <w:szCs w:val="18"/>
          <w:color w:val="auto"/>
        </w:rPr>
        <w:t>” has the meaning set forth in Section 2.12(d).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Post-Refinancing Revolving Lenders</w:t>
      </w:r>
      <w:r>
        <w:rPr>
          <w:rFonts w:ascii="Arial" w:cs="Arial" w:eastAsia="Arial" w:hAnsi="Arial"/>
          <w:sz w:val="18"/>
          <w:szCs w:val="18"/>
          <w:color w:val="auto"/>
        </w:rPr>
        <w:t>” has the meaning set forth in Section 2.15(f).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Equity Contributions</w:t>
      </w:r>
      <w:r>
        <w:rPr>
          <w:rFonts w:ascii="Arial" w:cs="Arial" w:eastAsia="Arial" w:hAnsi="Arial"/>
          <w:sz w:val="18"/>
          <w:szCs w:val="18"/>
          <w:color w:val="auto"/>
        </w:rPr>
        <w:t>” shall mean equity contributions and/or Intercompany Contribution Indebtedness made by Wynn Resorts or any of its Affiliates (other than Borrower or its Restricted Subsidiaries) to Borrower and its Restricted Subsidiaries prior to the Closing Date in the amount of $260.0 million.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Pre-Increase Revolving Lenders</w:t>
      </w:r>
      <w:r>
        <w:rPr>
          <w:rFonts w:ascii="Arial" w:cs="Arial" w:eastAsia="Arial" w:hAnsi="Arial"/>
          <w:sz w:val="18"/>
          <w:szCs w:val="18"/>
          <w:color w:val="auto"/>
        </w:rPr>
        <w:t>” has the meaning set forth in Section 2.12(d).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Pre-Opening Expenses</w:t>
      </w:r>
      <w:r>
        <w:rPr>
          <w:rFonts w:ascii="Arial" w:cs="Arial" w:eastAsia="Arial" w:hAnsi="Arial"/>
          <w:sz w:val="18"/>
          <w:szCs w:val="18"/>
          <w:color w:val="auto"/>
        </w:rPr>
        <w:t>” shall mean, with respect to any fiscal period, the amount of expenses (including Consolidated Interest Expense) incurred with respect to capital projects which are appropriately classified as “pre-opening expenses” on the applicable financial statements of Borrower and its Subsidiaries for such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Pre-Refinancing Revolving Lenders</w:t>
      </w:r>
      <w:r>
        <w:rPr>
          <w:rFonts w:ascii="Arial" w:cs="Arial" w:eastAsia="Arial" w:hAnsi="Arial"/>
          <w:sz w:val="18"/>
          <w:szCs w:val="18"/>
          <w:color w:val="auto"/>
        </w:rPr>
        <w:t>” has the meaning set forth in Section 2.15(f).</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Asset</w:t>
      </w:r>
      <w:r>
        <w:rPr>
          <w:rFonts w:ascii="Arial" w:cs="Arial" w:eastAsia="Arial" w:hAnsi="Arial"/>
          <w:sz w:val="18"/>
          <w:szCs w:val="18"/>
          <w:color w:val="auto"/>
        </w:rPr>
        <w:t>” shall mean each of the Wynn Massachusetts Project and, from and after the Wynn Las Vegas Reorganization, the Wynn Las Vegas Resort and the Encore at Wynn Las Vegas.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Office</w:t>
      </w:r>
      <w:r>
        <w:rPr>
          <w:rFonts w:ascii="Arial" w:cs="Arial" w:eastAsia="Arial" w:hAnsi="Arial"/>
          <w:sz w:val="18"/>
          <w:szCs w:val="18"/>
          <w:color w:val="auto"/>
        </w:rPr>
        <w:t>” shall mean the principal office of Administrative Agent, located on the Closing Date at 60 Wall Street, New York, NY 10005, or such other office as may be designated in writing by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Mortgage Liens</w:t>
      </w:r>
      <w:r>
        <w:rPr>
          <w:rFonts w:ascii="Arial" w:cs="Arial" w:eastAsia="Arial" w:hAnsi="Arial"/>
          <w:sz w:val="18"/>
          <w:szCs w:val="18"/>
          <w:color w:val="auto"/>
        </w:rPr>
        <w:t>” shall mean, with respect to each Mortgaged Real Property, the Liens identified in Schedule B annexed to the applicable Mortgage as such Schedule B may be amended from time to time to the reasonable satisfaction of Administrative Agent.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Basis</w:t>
      </w:r>
      <w:r>
        <w:rPr>
          <w:rFonts w:ascii="Arial" w:cs="Arial" w:eastAsia="Arial" w:hAnsi="Arial"/>
          <w:sz w:val="17"/>
          <w:szCs w:val="17"/>
          <w:color w:val="auto"/>
        </w:rPr>
        <w:t>” shall mean, with respect to compliance with any test or covenant or calculation of any ratio hereunder, the determination or calculation of such test, covenant or ratio (including in connection with Specified Transactions) in accordance with Section 1.06.</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shall mean any claim, counterclaim, action, judgment, suit, hearing, governmental investigation, arbitration or proceeding, including by or before any Governmental Authority and whether judicial or administrative.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shall mean any right, title or interest in or to property or assets of any kind whatsoever, whether real, personal or 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has the meaning set forth in Section 9.04.</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Money Obligation</w:t>
      </w:r>
      <w:r>
        <w:rPr>
          <w:rFonts w:ascii="Arial" w:cs="Arial" w:eastAsia="Arial" w:hAnsi="Arial"/>
          <w:sz w:val="18"/>
          <w:szCs w:val="18"/>
          <w:color w:val="auto"/>
        </w:rPr>
        <w:t>” shall mean, for any Person, the obligations of such Person in respect of Indebtedness incurred for the purpose of financing all or any part of the purchase price of any Property (including Equity Interests of any Person) or the cost of installation, construction or improvement of any property or assets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96" w:right="239" w:bottom="1440" w:gutter="0" w:footer="0" w:header="0"/>
        </w:sectPr>
      </w:pPr>
    </w:p>
    <w:bookmarkStart w:id="122" w:name="page123"/>
    <w:bookmarkEnd w:id="122"/>
    <w:p>
      <w:pPr>
        <w:jc w:val="both"/>
        <w:spacing w:after="0" w:line="277" w:lineRule="auto"/>
        <w:rPr>
          <w:sz w:val="20"/>
          <w:szCs w:val="20"/>
          <w:color w:val="auto"/>
        </w:rPr>
      </w:pPr>
      <w:r>
        <w:rPr>
          <w:rFonts w:ascii="Arial" w:cs="Arial" w:eastAsia="Arial" w:hAnsi="Arial"/>
          <w:sz w:val="18"/>
          <w:szCs w:val="18"/>
          <w:color w:val="auto"/>
        </w:rPr>
        <w:t xml:space="preserve">any refinancing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incurred (except in the case of a refinancing) within 270 days after such acquisition of such Property or the incurrence of such costs by such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Capital Stock</w:t>
      </w:r>
      <w:r>
        <w:rPr>
          <w:rFonts w:ascii="Arial" w:cs="Arial" w:eastAsia="Arial" w:hAnsi="Arial"/>
          <w:sz w:val="17"/>
          <w:szCs w:val="17"/>
          <w:color w:val="auto"/>
        </w:rPr>
        <w:t>” shall mean, with respect to any Person, any Equity Interests of such Person which is not Disqualified Capital Stock.</w:t>
      </w:r>
    </w:p>
    <w:p>
      <w:pPr>
        <w:spacing w:after="0" w:line="23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Contingent Obligation</w:t>
      </w:r>
      <w:r>
        <w:rPr>
          <w:rFonts w:ascii="Arial" w:cs="Arial" w:eastAsia="Arial" w:hAnsi="Arial"/>
          <w:sz w:val="18"/>
          <w:szCs w:val="18"/>
          <w:color w:val="auto"/>
        </w:rPr>
        <w:t>” shall mean Contingent Obligations permitted by Section 10.04 in respect of (a) Indebtedness of any Joint Venture in which Borrower or any of its Restricted Subsidiaries owns (directly or indirectly) at least 25% of the Equity Interest of such Joint Venture or (b) Indebtedness of Facilities (and properties ancillary or related thereto) with respect to which Borrower or any of its Restricted Subsidiaries has (directly or indirectly through Subsidiaries) entered into a management or similar contract and such contract remains in full force and effect at the time such Contingent Obligations are incurred.</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ECP Guarantor</w:t>
      </w:r>
      <w:r>
        <w:rPr>
          <w:rFonts w:ascii="Arial" w:cs="Arial" w:eastAsia="Arial" w:hAnsi="Arial"/>
          <w:sz w:val="16"/>
          <w:szCs w:val="16"/>
          <w:color w:val="auto"/>
        </w:rPr>
        <w:t>” shall mean, in respect of any Swap Obligations, each Credit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Act of Terrorism</w:t>
      </w:r>
      <w:r>
        <w:rPr>
          <w:rFonts w:ascii="Arial" w:cs="Arial" w:eastAsia="Arial" w:hAnsi="Arial"/>
          <w:sz w:val="18"/>
          <w:szCs w:val="18"/>
          <w:color w:val="auto"/>
        </w:rPr>
        <w:t>” shall mean (a) any Act of Terrorism which occurs on any property of Borrower or its Affiliates or in which Borrower or any of its Affiliates, or any property of any of them, is the target or (b) any Act of Terrorism which occurs at any gaming facility or material hospitality establishment in any market in which Borrower or any of its Affiliates operates a Facility.</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Project</w:t>
      </w:r>
      <w:r>
        <w:rPr>
          <w:rFonts w:ascii="Arial" w:cs="Arial" w:eastAsia="Arial" w:hAnsi="Arial"/>
          <w:sz w:val="18"/>
          <w:szCs w:val="18"/>
          <w:color w:val="auto"/>
        </w:rPr>
        <w:t>” shall mean the Facilities of Wynn Resorts and its Subsidiaries which are operating or for which the financing for the development, construction and opening thereof has been obtained. For purposes of this definition, each of the Wynn Las Vegas Resort, Encore at Wynn Las Vegas, the Macau Project and the Wynn Massachusetts Project shall count as separate projects.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w:t>
      </w:r>
      <w:r>
        <w:rPr>
          <w:rFonts w:ascii="Arial" w:cs="Arial" w:eastAsia="Arial" w:hAnsi="Arial"/>
          <w:sz w:val="18"/>
          <w:szCs w:val="18"/>
          <w:color w:val="auto"/>
        </w:rPr>
        <w:t>” shall mean each three month period ending on March 31, June 30, September 30 and December 31.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Dates</w:t>
      </w:r>
      <w:r>
        <w:rPr>
          <w:rFonts w:ascii="Arial" w:cs="Arial" w:eastAsia="Arial" w:hAnsi="Arial"/>
          <w:sz w:val="18"/>
          <w:szCs w:val="18"/>
          <w:color w:val="auto"/>
        </w:rPr>
        <w:t>” shall mean the last Business Day of each Quarter in each year, commencing with the last Business Day of the first full Quarter after the Closing Date.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 Maturity Date</w:t>
      </w:r>
      <w:r>
        <w:rPr>
          <w:rFonts w:ascii="Arial" w:cs="Arial" w:eastAsia="Arial" w:hAnsi="Arial"/>
          <w:sz w:val="18"/>
          <w:szCs w:val="18"/>
          <w:color w:val="auto"/>
        </w:rPr>
        <w:t>” shall mean, (a) with respect to the Closing Date Revolving Commitments, the date that is the fifth anniversary of the Closing Date and (b) with respect to any other Tranche of Revolving Commitments and Revolving Loans, the maturity date set forth therefor in the applicable Extension Amendment or Refinancing Amendment.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 Percentage</w:t>
      </w:r>
      <w:r>
        <w:rPr>
          <w:rFonts w:ascii="Arial" w:cs="Arial" w:eastAsia="Arial" w:hAnsi="Arial"/>
          <w:sz w:val="18"/>
          <w:szCs w:val="18"/>
          <w:color w:val="auto"/>
        </w:rPr>
        <w:t xml:space="preserve">” of any Revolving Lender at any time shall mean a fraction (expressed as a percentage) the numerator of which is the Revolving Commitment of such Revolving Lender at such time and the denominator of which is the Total Revolving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R/C Percentage of any Revolving Lender is to be determined after the Total Revolving Commitments have been terminated, then the R/C Percentage of such Revolving Lender shall be determined immediately prior (and without giving effect) to such termination but after giving effect to any assignments after termination of the Revolving Commitments.</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shall mean, as to any Person, all the right, title and interest of such Person in and to land, improvements and appurtenant fixtures, including leaseholds.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redeem</w:t>
      </w:r>
      <w:r>
        <w:rPr>
          <w:rFonts w:ascii="Arial" w:cs="Arial" w:eastAsia="Arial" w:hAnsi="Arial"/>
          <w:sz w:val="18"/>
          <w:szCs w:val="18"/>
          <w:color w:val="auto"/>
        </w:rPr>
        <w:t>” shall mean redeem, repurchase, repay, defease (covenant or legal), Discharge or otherwise acquire or retire for value; and “</w:t>
      </w:r>
      <w:r>
        <w:rPr>
          <w:rFonts w:ascii="Arial" w:cs="Arial" w:eastAsia="Arial" w:hAnsi="Arial"/>
          <w:sz w:val="18"/>
          <w:szCs w:val="18"/>
          <w:b w:val="1"/>
          <w:bCs w:val="1"/>
          <w:color w:val="auto"/>
        </w:rPr>
        <w:t>redemption</w:t>
      </w:r>
      <w:r>
        <w:rPr>
          <w:rFonts w:ascii="Arial" w:cs="Arial" w:eastAsia="Arial" w:hAnsi="Arial"/>
          <w:sz w:val="18"/>
          <w:szCs w:val="18"/>
          <w:color w:val="auto"/>
        </w:rPr>
        <w:t>” and “</w:t>
      </w:r>
      <w:r>
        <w:rPr>
          <w:rFonts w:ascii="Arial" w:cs="Arial" w:eastAsia="Arial" w:hAnsi="Arial"/>
          <w:sz w:val="18"/>
          <w:szCs w:val="18"/>
          <w:b w:val="1"/>
          <w:bCs w:val="1"/>
          <w:color w:val="auto"/>
        </w:rPr>
        <w:t>redeemed</w:t>
      </w:r>
      <w:r>
        <w:rPr>
          <w:rFonts w:ascii="Arial" w:cs="Arial" w:eastAsia="Arial" w:hAnsi="Arial"/>
          <w:sz w:val="18"/>
          <w:szCs w:val="18"/>
          <w:color w:val="auto"/>
        </w:rPr>
        <w:t>” have correlative meanings.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Redesignation</w:t>
      </w:r>
      <w:r>
        <w:rPr>
          <w:rFonts w:ascii="Arial" w:cs="Arial" w:eastAsia="Arial" w:hAnsi="Arial"/>
          <w:sz w:val="18"/>
          <w:szCs w:val="18"/>
          <w:color w:val="auto"/>
        </w:rPr>
        <w:t>” has the meaning set forth in Section 9.13(a).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123" w:name="page124"/>
    <w:bookmarkEnd w:id="123"/>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w:t>
      </w:r>
      <w:r>
        <w:rPr>
          <w:rFonts w:ascii="Arial" w:cs="Arial" w:eastAsia="Arial" w:hAnsi="Arial"/>
          <w:sz w:val="18"/>
          <w:szCs w:val="18"/>
          <w:color w:val="auto"/>
        </w:rPr>
        <w:t>” shall mean refinance, renew, extend, exchange, replace, defease (covenant or legal) (with proceeds of Indebtedness), Discharge (with proceeds of Indebtedness) or refund (with proceeds of Indebtedness), in whole or in part, including successively; and “</w:t>
      </w:r>
      <w:r>
        <w:rPr>
          <w:rFonts w:ascii="Arial" w:cs="Arial" w:eastAsia="Arial" w:hAnsi="Arial"/>
          <w:sz w:val="18"/>
          <w:szCs w:val="18"/>
          <w:b w:val="1"/>
          <w:bCs w:val="1"/>
          <w:color w:val="auto"/>
        </w:rPr>
        <w:t>refinancing</w:t>
      </w:r>
      <w:r>
        <w:rPr>
          <w:rFonts w:ascii="Arial" w:cs="Arial" w:eastAsia="Arial" w:hAnsi="Arial"/>
          <w:sz w:val="18"/>
          <w:szCs w:val="18"/>
          <w:color w:val="auto"/>
        </w:rPr>
        <w:t>” and “</w:t>
      </w:r>
      <w:r>
        <w:rPr>
          <w:rFonts w:ascii="Arial" w:cs="Arial" w:eastAsia="Arial" w:hAnsi="Arial"/>
          <w:sz w:val="18"/>
          <w:szCs w:val="18"/>
          <w:b w:val="1"/>
          <w:bCs w:val="1"/>
          <w:color w:val="auto"/>
        </w:rPr>
        <w:t>refinanced</w:t>
      </w:r>
      <w:r>
        <w:rPr>
          <w:rFonts w:ascii="Arial" w:cs="Arial" w:eastAsia="Arial" w:hAnsi="Arial"/>
          <w:sz w:val="18"/>
          <w:szCs w:val="18"/>
          <w:color w:val="auto"/>
        </w:rPr>
        <w:t>” have correlative meanings.</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Refinancing Amendment</w:t>
      </w:r>
      <w:r>
        <w:rPr>
          <w:rFonts w:ascii="Arial" w:cs="Arial" w:eastAsia="Arial" w:hAnsi="Arial"/>
          <w:sz w:val="17"/>
          <w:szCs w:val="17"/>
          <w:color w:val="auto"/>
        </w:rPr>
        <w:t>” shall mean an amendment to this Agreement in form and substance reasonably satisfactory to Administrative Agent and Borrower executed by each of (a) Borrower, (b) Administrative Agent, (c) each additional Lender and each existing Lender that agrees to provide any portion of the Credit Agreement Refinancing Indebtedness being incurred pursuant thereto, in accordance with Section 2.15.</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set forth in Section 2.08(c).</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D</w:t>
      </w:r>
      <w:r>
        <w:rPr>
          <w:rFonts w:ascii="Arial" w:cs="Arial" w:eastAsia="Arial" w:hAnsi="Arial"/>
          <w:sz w:val="18"/>
          <w:szCs w:val="18"/>
          <w:color w:val="auto"/>
        </w:rPr>
        <w:t>” shall mean Regulation D (12 C.F.R. Part 204)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shall mean Regulation T (12 C.F.R. Part 220)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shall mean Regulation U (12 C.F.R. Part 221)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X</w:t>
      </w:r>
      <w:r>
        <w:rPr>
          <w:rFonts w:ascii="Arial" w:cs="Arial" w:eastAsia="Arial" w:hAnsi="Arial"/>
          <w:sz w:val="18"/>
          <w:szCs w:val="18"/>
          <w:color w:val="auto"/>
        </w:rPr>
        <w:t>” shall mean Regulation X (12 C.F.R. Part 224)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Reimbursement Obligations</w:t>
      </w:r>
      <w:r>
        <w:rPr>
          <w:rFonts w:ascii="Arial" w:cs="Arial" w:eastAsia="Arial" w:hAnsi="Arial"/>
          <w:sz w:val="17"/>
          <w:szCs w:val="17"/>
          <w:color w:val="auto"/>
        </w:rPr>
        <w:t>” shall mean the obligations of Borrower to reimburse L/C Disbursements in respect of any Letter of Credit.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Indemnified Person</w:t>
      </w:r>
      <w:r>
        <w:rPr>
          <w:rFonts w:ascii="Arial" w:cs="Arial" w:eastAsia="Arial" w:hAnsi="Arial"/>
          <w:sz w:val="18"/>
          <w:szCs w:val="18"/>
          <w:color w:val="auto"/>
        </w:rPr>
        <w:t>” has the meaning set forth in Section 13.03(b).</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shall mean,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mean any spilling, leaking, pumping, pouring, emitting, emptying, discharging, injecting, escaping, leaching, dumping, disposing, depositing, dispersing, emanating or migrating of any Hazardous Material in, into, onto or through the Environment.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Four Fiscal Quarter Period</w:t>
      </w:r>
      <w:r>
        <w:rPr>
          <w:rFonts w:ascii="Arial" w:cs="Arial" w:eastAsia="Arial" w:hAnsi="Arial"/>
          <w:sz w:val="17"/>
          <w:szCs w:val="17"/>
          <w:color w:val="auto"/>
        </w:rPr>
        <w:t>” means, with respect to any requested Specified Equity Contribution, the four-fiscal quarter period ending on (and including) the fiscal quarter in which Consolidated EBITDA will be increased as a result of such Specified Equity Contribution.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has the meaning set forth in Section 12.06(b).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Replaced Lender</w:t>
      </w:r>
      <w:r>
        <w:rPr>
          <w:rFonts w:ascii="Arial" w:cs="Arial" w:eastAsia="Arial" w:hAnsi="Arial"/>
          <w:sz w:val="18"/>
          <w:szCs w:val="18"/>
          <w:color w:val="auto"/>
        </w:rPr>
        <w:t>” has the meaning set forth in Section 2.11(a).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Lender</w:t>
      </w:r>
      <w:r>
        <w:rPr>
          <w:rFonts w:ascii="Arial" w:cs="Arial" w:eastAsia="Arial" w:hAnsi="Arial"/>
          <w:sz w:val="18"/>
          <w:szCs w:val="18"/>
          <w:color w:val="auto"/>
        </w:rPr>
        <w:t>” has the meaning set forth in Section 2.11(a).</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shall mean, as of any date of determination: (a) prior to the Closing Date, Lenders holding more than 50% of the aggregate amount of the Commitments; and (b) thereafter, Non-Defaulting Lenders the sum of whose outstanding Term Loans, unutilized Term Loan Commitments, Revolving Loans, Unutilized R/C Commitments and L/C Liabilities then outstanding represents more than 50% of the aggregate sum (without duplication)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96" w:right="239" w:bottom="1440" w:gutter="0" w:footer="0" w:header="0"/>
        </w:sectPr>
      </w:pPr>
    </w:p>
    <w:bookmarkStart w:id="124" w:name="page125"/>
    <w:bookmarkEnd w:id="124"/>
    <w:p>
      <w:pPr>
        <w:jc w:val="both"/>
        <w:spacing w:after="0" w:line="264" w:lineRule="auto"/>
        <w:rPr>
          <w:sz w:val="20"/>
          <w:szCs w:val="20"/>
          <w:color w:val="auto"/>
        </w:rPr>
      </w:pPr>
      <w:r>
        <w:rPr>
          <w:rFonts w:ascii="Arial" w:cs="Arial" w:eastAsia="Arial" w:hAnsi="Arial"/>
          <w:sz w:val="18"/>
          <w:szCs w:val="18"/>
          <w:color w:val="auto"/>
        </w:rPr>
        <w:t>of (i) all outstanding Term Loans of all Non-Defaulting Lenders and all unutilized Term Loan Commitments of all Non-Defaulting Lenders, (ii) all outstanding Revolving Loans of all Non-Defaulting Lenders, (iii) the aggregate Unutilized R/C Commitments of all Non-Defaulting Lenders and (iv) the L/C Liabilities of all Non-Defaulting Lenders.</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Revolving Lenders</w:t>
      </w:r>
      <w:r>
        <w:rPr>
          <w:rFonts w:ascii="Arial" w:cs="Arial" w:eastAsia="Arial" w:hAnsi="Arial"/>
          <w:sz w:val="18"/>
          <w:szCs w:val="18"/>
          <w:color w:val="auto"/>
        </w:rPr>
        <w:t>” shall mean, as of any date of determination: (a) at any time prior to the Closing Date, Lenders holding more than 50% of the aggregate amount of the Revolving Commitments and (b) thereafter, Non-Defaulting Lenders holding more than 50% of the aggregate sum of (without duplication) (i) the aggregate principal amount of outstanding Revolving Loans of all Non-Defaulting Lenders, (ii) the aggregate Unutilized R/C Commitments of all Non-Defaulting Lenders and (iii) the L/C Liabilities of all Non-Defaulting Lenders.</w:t>
      </w:r>
    </w:p>
    <w:p>
      <w:pPr>
        <w:spacing w:after="0" w:line="18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Tranche Lenders</w:t>
      </w:r>
      <w:r>
        <w:rPr>
          <w:rFonts w:ascii="Arial" w:cs="Arial" w:eastAsia="Arial" w:hAnsi="Arial"/>
          <w:sz w:val="16"/>
          <w:szCs w:val="16"/>
          <w:color w:val="auto"/>
        </w:rPr>
        <w:t xml:space="preserve">” shall mean: (a) with respect to Revolving Commitments or Revolving Loans of any particular Tranche, Non-Defaulting Lenders having more than 50% of the aggregate sum of the Unutilized R/C Commitments, Revolving Loans and L/C Liabilities of all Non-Defaulting Lenders, in each case, in respect of such Tranche and then outstanding; (b) with respect to Term </w:t>
      </w:r>
      <w:r>
        <w:rPr>
          <w:rFonts w:ascii="Arial" w:cs="Arial" w:eastAsia="Arial" w:hAnsi="Arial"/>
          <w:sz w:val="16"/>
          <w:szCs w:val="16"/>
          <w:b w:val="1"/>
          <w:bCs w:val="1"/>
          <w:color w:val="FF0000"/>
          <w:strike w:val="1"/>
        </w:rPr>
        <w:t>Facility Loans,</w:t>
      </w:r>
      <w:r>
        <w:rPr>
          <w:rFonts w:ascii="Arial" w:cs="Arial" w:eastAsia="Arial" w:hAnsi="Arial"/>
          <w:sz w:val="16"/>
          <w:szCs w:val="16"/>
          <w:b w:val="1"/>
          <w:bCs w:val="1"/>
          <w:u w:val="single" w:color="auto"/>
          <w:color w:val="0000FF"/>
        </w:rPr>
        <w:t>Loans, Non-Defaulting Lenders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having more than 50% of the aggregate sum of the Term Facility Loans, Term Facility II Loans, unutilized Term Facility Commitments and unutilized Term Facility II Commitments of all Non-Defaulting Lenders then outstanding; (c) with respect to Term Facility Loans,</w:t>
      </w:r>
      <w:r>
        <w:rPr>
          <w:rFonts w:ascii="Arial" w:cs="Arial" w:eastAsia="Arial" w:hAnsi="Arial"/>
          <w:sz w:val="16"/>
          <w:szCs w:val="16"/>
          <w:b w:val="1"/>
          <w:bCs w:val="1"/>
          <w:color w:val="0000FF"/>
        </w:rPr>
        <w:t xml:space="preserve"> </w:t>
      </w:r>
      <w:r>
        <w:rPr>
          <w:rFonts w:ascii="Arial" w:cs="Arial" w:eastAsia="Arial" w:hAnsi="Arial"/>
          <w:sz w:val="16"/>
          <w:szCs w:val="16"/>
          <w:color w:val="000000"/>
        </w:rPr>
        <w:t>Non-Defaulting</w:t>
      </w:r>
      <w:r>
        <w:rPr>
          <w:rFonts w:ascii="Arial" w:cs="Arial" w:eastAsia="Arial" w:hAnsi="Arial"/>
          <w:sz w:val="16"/>
          <w:szCs w:val="16"/>
          <w:b w:val="1"/>
          <w:bCs w:val="1"/>
          <w:color w:val="0000FF"/>
        </w:rPr>
        <w:t xml:space="preserve"> </w:t>
      </w:r>
      <w:r>
        <w:rPr>
          <w:rFonts w:ascii="Arial" w:cs="Arial" w:eastAsia="Arial" w:hAnsi="Arial"/>
          <w:sz w:val="16"/>
          <w:szCs w:val="16"/>
          <w:color w:val="000000"/>
        </w:rPr>
        <w:t>Lenders having more than 50% of the aggregate sum of the Term Facility Loans and unutilized Term Facility Commitments of all Non-Defaulting Lenders then outstanding; (</w:t>
      </w:r>
      <w:r>
        <w:rPr>
          <w:rFonts w:ascii="Arial" w:cs="Arial" w:eastAsia="Arial" w:hAnsi="Arial"/>
          <w:sz w:val="16"/>
          <w:szCs w:val="16"/>
          <w:b w:val="1"/>
          <w:bCs w:val="1"/>
          <w:color w:val="FF0000"/>
          <w:strike w:val="1"/>
        </w:rPr>
        <w:t>c) with respect to Tranche A Term Facility Commitments, Non-Defaulting Lenders having more than 50% of the aggregate sum of</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the unutilized Tranche A Term Facility Commitments of all Non-Defaulting Lenders then outstanding; (d) with respect to Tranche B Term Facility Commitments, Non-Defaulting Lenders having more than 50% of the aggregate sum of the unutilized Tranche B Term Facility Commitments of all Non-Defaulting Lenders then outstanding; (e) with respect to Tranche C Term Facility Commitments, Non-Defaulting Lenders having more than 50% of the aggregate sum of the unutilized Tranche C Term Facility Commitments of all Non-Defaulting Lenders then outstanding; (f) with respect</w:t>
      </w:r>
      <w:r>
        <w:rPr>
          <w:rFonts w:ascii="Arial" w:cs="Arial" w:eastAsia="Arial" w:hAnsi="Arial"/>
          <w:sz w:val="16"/>
          <w:szCs w:val="16"/>
          <w:b w:val="1"/>
          <w:bCs w:val="1"/>
          <w:u w:val="single" w:color="auto"/>
          <w:color w:val="0000FF"/>
          <w:strike w:val="1"/>
        </w:rPr>
        <w:t>d) with respect</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to Tranche D Term Facility Commitments, Non-Defaulting Lenders having more than 50% of the aggregate sum of the unutilized</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Tranche D Term Facility Commitments of all Non-Defaulting Lenders then outstanding; (</w:t>
      </w:r>
      <w:r>
        <w:rPr>
          <w:rFonts w:ascii="Arial" w:cs="Arial" w:eastAsia="Arial" w:hAnsi="Arial"/>
          <w:sz w:val="16"/>
          <w:szCs w:val="16"/>
          <w:b w:val="1"/>
          <w:bCs w:val="1"/>
          <w:color w:val="FF0000"/>
          <w:strike w:val="1"/>
        </w:rPr>
        <w:t>g</w:t>
      </w:r>
      <w:r>
        <w:rPr>
          <w:rFonts w:ascii="Arial" w:cs="Arial" w:eastAsia="Arial" w:hAnsi="Arial"/>
          <w:sz w:val="16"/>
          <w:szCs w:val="16"/>
          <w:b w:val="1"/>
          <w:bCs w:val="1"/>
          <w:u w:val="single" w:color="auto"/>
          <w:color w:val="0000FF"/>
          <w:strike w:val="1"/>
        </w:rPr>
        <w:t>e) with respect to Term Facility II Loans, Non-Defaulting</w:t>
      </w:r>
    </w:p>
    <w:p>
      <w:pPr>
        <w:spacing w:after="0" w:line="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u w:val="single" w:color="auto"/>
          <w:color w:val="0000FF"/>
        </w:rPr>
        <w:t>Lenders having more than 50% of the aggregate sum of the Term Facility II Loans and unutilized Term Facility II Commitments of all Non-Defaulting Lenders then outstanding; (f</w:t>
      </w:r>
      <w:r>
        <w:rPr>
          <w:rFonts w:ascii="Arial" w:cs="Arial" w:eastAsia="Arial" w:hAnsi="Arial"/>
          <w:sz w:val="18"/>
          <w:szCs w:val="18"/>
          <w:color w:val="000000"/>
        </w:rPr>
        <w:t>) for each Extension Tranche, if applicable, with respect to Lenders having Extended Revolving Loans or Extended</w:t>
      </w:r>
      <w:r>
        <w:rPr>
          <w:rFonts w:ascii="Arial" w:cs="Arial" w:eastAsia="Arial" w:hAnsi="Arial"/>
          <w:sz w:val="18"/>
          <w:szCs w:val="18"/>
          <w:b w:val="1"/>
          <w:bCs w:val="1"/>
          <w:color w:val="0000FF"/>
        </w:rPr>
        <w:t xml:space="preserve"> </w:t>
      </w:r>
      <w:r>
        <w:rPr>
          <w:rFonts w:ascii="Arial" w:cs="Arial" w:eastAsia="Arial" w:hAnsi="Arial"/>
          <w:sz w:val="18"/>
          <w:szCs w:val="18"/>
          <w:color w:val="000000"/>
        </w:rPr>
        <w:t>Revolving Commitments or Extended Term Loans or commitments in respect of Extended Term Loans, in each case, in respect of such Extension Tranche, Non-Defaulting Lenders having more than 50% of the aggregate sum of such Extended Revolving Loans and Extended Revolving Commitments or Extended Term Loans and commitments of all Non-Defaulting Lenders in respect thereof, as applicable, then outstanding; and (</w:t>
      </w:r>
      <w:r>
        <w:rPr>
          <w:rFonts w:ascii="Arial" w:cs="Arial" w:eastAsia="Arial" w:hAnsi="Arial"/>
          <w:sz w:val="18"/>
          <w:szCs w:val="18"/>
          <w:b w:val="1"/>
          <w:bCs w:val="1"/>
          <w:color w:val="FF0000"/>
          <w:strike w:val="1"/>
        </w:rPr>
        <w:t>h</w:t>
      </w:r>
      <w:r>
        <w:rPr>
          <w:rFonts w:ascii="Arial" w:cs="Arial" w:eastAsia="Arial" w:hAnsi="Arial"/>
          <w:sz w:val="18"/>
          <w:szCs w:val="18"/>
          <w:b w:val="1"/>
          <w:bCs w:val="1"/>
          <w:u w:val="single" w:color="auto"/>
          <w:color w:val="0000FF"/>
        </w:rPr>
        <w:t>g</w:t>
      </w:r>
      <w:r>
        <w:rPr>
          <w:rFonts w:ascii="Arial" w:cs="Arial" w:eastAsia="Arial" w:hAnsi="Arial"/>
          <w:sz w:val="18"/>
          <w:szCs w:val="18"/>
          <w:color w:val="000000"/>
        </w:rPr>
        <w:t>) for each Tranche of Other Term Loans, Non-Defaulting Lenders having more than 50% of the aggregate sum of such Other Term Loans and unutilized Other Term Loan Commitments of all Non-Defaulting Lenders then outstanding.</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shall mean, as to any Person, any Law or determination of an arbitrator or any Governmental Authority, in each case applicable to or binding upon such Person or any of its Property or to which such Person or any of its Property is subject.</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 Requirement</w:t>
      </w:r>
      <w:r>
        <w:rPr>
          <w:rFonts w:ascii="Arial" w:cs="Arial" w:eastAsia="Arial" w:hAnsi="Arial"/>
          <w:sz w:val="16"/>
          <w:szCs w:val="16"/>
          <w:color w:val="auto"/>
        </w:rPr>
        <w:t>” shall mean, for any day during any Interest Period, the reserve percentage (expressed as a decimal, carried out to five decimal places) in effect on such day, whether or not applicable to any Lender, under regulations issued from time to time by the Board of Governors of the Federal Reserve System of the United States for determining the maximum reserve requirement (including any emergency, supplemental or other marginal reserve requirement) with respect to LIBOR funding by member banks (currently referred to as “Eurocurrency liabilities”). The LIBO Rate for each outstanding LIBOR Loan shall be adjusted automatically as of the effective date of any change in the Reserve Requirement.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Resignation Effective Date</w:t>
      </w:r>
      <w:r>
        <w:rPr>
          <w:rFonts w:ascii="Arial" w:cs="Arial" w:eastAsia="Arial" w:hAnsi="Arial"/>
          <w:sz w:val="18"/>
          <w:szCs w:val="18"/>
          <w:color w:val="auto"/>
        </w:rPr>
        <w:t>” has the meaning set forth in Section 12.06(a).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shall mean the chief executive officer of Borrower, the president of Borrower (if not the chief executive officer), any senior or executive vice president of Borrower, the chief financial officer, the chief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00" w:right="239" w:bottom="1440" w:gutter="0" w:footer="0" w:header="0"/>
        </w:sectPr>
      </w:pPr>
    </w:p>
    <w:bookmarkStart w:id="125" w:name="page126"/>
    <w:bookmarkEnd w:id="125"/>
    <w:p>
      <w:pPr>
        <w:jc w:val="both"/>
        <w:ind w:right="20"/>
        <w:spacing w:after="0" w:line="277" w:lineRule="auto"/>
        <w:rPr>
          <w:sz w:val="20"/>
          <w:szCs w:val="20"/>
          <w:color w:val="auto"/>
        </w:rPr>
      </w:pPr>
      <w:r>
        <w:rPr>
          <w:rFonts w:ascii="Arial" w:cs="Arial" w:eastAsia="Arial" w:hAnsi="Arial"/>
          <w:sz w:val="18"/>
          <w:szCs w:val="18"/>
          <w:color w:val="auto"/>
        </w:rPr>
        <w:t>accounting officer or treasurer of Borrower or, with respect to financial matters, the chief financial officer, chief accounting officer, senior financial officer or treasurer of Borrower.</w:t>
      </w:r>
    </w:p>
    <w:p>
      <w:pPr>
        <w:spacing w:after="0" w:line="1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Payment</w:t>
      </w:r>
      <w:r>
        <w:rPr>
          <w:rFonts w:ascii="Arial" w:cs="Arial" w:eastAsia="Arial" w:hAnsi="Arial"/>
          <w:sz w:val="17"/>
          <w:szCs w:val="17"/>
          <w:color w:val="auto"/>
        </w:rPr>
        <w:t>” shall mean dividends (in cash, Property or obligations) on, or other payments or distributions (including return of capital) on account of, or the setting apart of money for a sinking or other analogous fund for, or the purchase, redemption, retirement, defeasance, termination, repurchase or other acquisition of, any Equity Interests or Equity Rights (other than any payment made relating to any Transfer Agreement) in Borrower or any of its Restricted Subsidiaries, but excluding dividends, payments or distributions paid through the issuance of additional shares of Qualified Capital Stock and any redemption, retirement or exchange of any Qualified Capital Stock in Borrower or such Restricted Subsidiary through, or with the proceeds of, the issuance of Qualified Capital Stock in Borrower or any of its Restricted Subsidiaries.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Subsidiaries</w:t>
      </w:r>
      <w:r>
        <w:rPr>
          <w:rFonts w:ascii="Arial" w:cs="Arial" w:eastAsia="Arial" w:hAnsi="Arial"/>
          <w:sz w:val="18"/>
          <w:szCs w:val="18"/>
          <w:color w:val="auto"/>
        </w:rPr>
        <w:t>” shall mean all existing and future Subsidiaries of Borrower other than the Unrestricted Subsidiaries.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Revaluation Date</w:t>
      </w:r>
      <w:r>
        <w:rPr>
          <w:rFonts w:ascii="Arial" w:cs="Arial" w:eastAsia="Arial" w:hAnsi="Arial"/>
          <w:sz w:val="18"/>
          <w:szCs w:val="18"/>
          <w:color w:val="auto"/>
        </w:rPr>
        <w:t>” shall mean, with respect to any Letter of Credit, each of the following: (i) each date of issuance of a Letter of Credit denominated in an Alternate Currency, (ii) each date of an amendment of any such Letter of Credit having the effect of increasing the amount thereof, (iii) each date of any payment by an L/C Lender under any Letter of Credit denominated in an Alternate Currency, and (iv) such additional dates as the Administrative Agent or the applicable L/C Lender shall reasonably determine or the Required Lenders shall require.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Reverse Trigger Event</w:t>
      </w:r>
      <w:r>
        <w:rPr>
          <w:rFonts w:ascii="Arial" w:cs="Arial" w:eastAsia="Arial" w:hAnsi="Arial"/>
          <w:sz w:val="18"/>
          <w:szCs w:val="18"/>
          <w:color w:val="auto"/>
        </w:rPr>
        <w:t>” shall mean the transfer of Equity Interests of any Restricted Subsidiary or any Gaming Facility from trust or other similar arrangement to Borrower or any of its Restricted Subsidiaries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Revocation</w:t>
      </w:r>
      <w:r>
        <w:rPr>
          <w:rFonts w:ascii="Arial" w:cs="Arial" w:eastAsia="Arial" w:hAnsi="Arial"/>
          <w:sz w:val="18"/>
          <w:szCs w:val="18"/>
          <w:color w:val="auto"/>
        </w:rPr>
        <w:t>” has the meaning set forth in Section 9.12(b).</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Availability Period</w:t>
      </w:r>
      <w:r>
        <w:rPr>
          <w:rFonts w:ascii="Arial" w:cs="Arial" w:eastAsia="Arial" w:hAnsi="Arial"/>
          <w:sz w:val="17"/>
          <w:szCs w:val="17"/>
          <w:color w:val="auto"/>
        </w:rPr>
        <w:t>” shall mean, (i) with respect to the Revolving Commitments under the Closing Date Revolving Facility, the period from and including the Closing Date to but excluding the earlier of the applicable R/C Maturity Date and the date of termination of such Revolving Commitments, and (ii) with respect to any other Tranche of Revolving Commitments, the period from and including the date such Tranche of Revolving Commitments is established to but excluding the earlier of the applicable R/C Maturity Date and the date of termination of such Tranche of Revolving Commitments. Unless the context otherwise requires, references in this Agreement to the Revolving Availability Period shall mean with respect to each Tranche of Revolving Commitments, the Revolving Availability Period applicable to such Tranche.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Borrowing</w:t>
      </w:r>
      <w:r>
        <w:rPr>
          <w:rFonts w:ascii="Arial" w:cs="Arial" w:eastAsia="Arial" w:hAnsi="Arial"/>
          <w:sz w:val="18"/>
          <w:szCs w:val="18"/>
          <w:color w:val="auto"/>
        </w:rPr>
        <w:t>” shall mean a Borrowing comprised of Revolving Loans.</w:t>
      </w:r>
    </w:p>
    <w:p>
      <w:pPr>
        <w:spacing w:after="0" w:line="225"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Commitment</w:t>
      </w:r>
      <w:r>
        <w:rPr>
          <w:rFonts w:ascii="Arial" w:cs="Arial" w:eastAsia="Arial" w:hAnsi="Arial"/>
          <w:sz w:val="16"/>
          <w:szCs w:val="16"/>
          <w:color w:val="auto"/>
        </w:rPr>
        <w:t xml:space="preserve">” shall mean, for each Revolving Lender, the obligation of such Lender to make Revolving Loans in an aggregate principal amount at any one time outstanding up to but not exceeding the amount set opposite the name of such Lender on </w:t>
      </w:r>
      <w:r>
        <w:rPr>
          <w:rFonts w:ascii="Arial" w:cs="Arial" w:eastAsia="Arial" w:hAnsi="Arial"/>
          <w:sz w:val="16"/>
          <w:szCs w:val="16"/>
          <w:u w:val="single" w:color="auto"/>
          <w:color w:val="auto"/>
        </w:rPr>
        <w:t>Annex A</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1</w:t>
      </w:r>
      <w:r>
        <w:rPr>
          <w:rFonts w:ascii="Arial" w:cs="Arial" w:eastAsia="Arial" w:hAnsi="Arial"/>
          <w:sz w:val="16"/>
          <w:szCs w:val="16"/>
          <w:color w:val="auto"/>
        </w:rPr>
        <w:t xml:space="preserve"> under the caption “Revolving Commitment,” or in the Assignment Agreement pursuant to which such Lender assumed its Revolving Commitment or in any Refinancing Amendment, as applicable, as the same may be (a) changed pursuant to Section 13.05(b), (b) reduced or terminated from time to time pursuant to Sections 2.04 and/or 11.01, as applicable, or (c) increased or otherwise adjusted from time to time in accordance with this Agreement, including pursuant to Section</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2.12 and Section 2.15; it being understood that a Revolving Lender’s Revolving Commitment shall include any Extended Revolving Commitments and Other Revolving Commitments of such Revolving Lender.</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Exposure</w:t>
      </w:r>
      <w:r>
        <w:rPr>
          <w:rFonts w:ascii="Arial" w:cs="Arial" w:eastAsia="Arial" w:hAnsi="Arial"/>
          <w:sz w:val="18"/>
          <w:szCs w:val="18"/>
          <w:color w:val="auto"/>
        </w:rPr>
        <w:t xml:space="preserve">” shall mean, with respect to any Lender at any time, the aggregate principal amount at such time of all outstanding Revolving Loans of such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amount at such time of such Lender’s L/C Liability.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Extension Request</w:t>
      </w:r>
      <w:r>
        <w:rPr>
          <w:rFonts w:ascii="Arial" w:cs="Arial" w:eastAsia="Arial" w:hAnsi="Arial"/>
          <w:sz w:val="18"/>
          <w:szCs w:val="18"/>
          <w:color w:val="auto"/>
        </w:rPr>
        <w:t>” shall have the meaning provided in Section 2.13(b).</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0" w:right="239" w:bottom="1440" w:gutter="0" w:footer="0" w:header="0"/>
        </w:sectPr>
      </w:pPr>
    </w:p>
    <w:bookmarkStart w:id="126" w:name="page127"/>
    <w:bookmarkEnd w:id="12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Facility</w:t>
      </w:r>
      <w:r>
        <w:rPr>
          <w:rFonts w:ascii="Arial" w:cs="Arial" w:eastAsia="Arial" w:hAnsi="Arial"/>
          <w:sz w:val="18"/>
          <w:szCs w:val="18"/>
          <w:color w:val="auto"/>
        </w:rPr>
        <w:t>” shall mean each credit facility comprising Revolving Commitments of a particular Tranche.</w:t>
      </w:r>
    </w:p>
    <w:p>
      <w:pPr>
        <w:spacing w:after="0" w:line="225" w:lineRule="exact"/>
        <w:rPr>
          <w:sz w:val="20"/>
          <w:szCs w:val="20"/>
          <w:color w:val="auto"/>
        </w:rPr>
      </w:pPr>
    </w:p>
    <w:p>
      <w:pPr>
        <w:jc w:val="both"/>
        <w:ind w:firstLine="648"/>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Lenders</w:t>
      </w:r>
      <w:r>
        <w:rPr>
          <w:rFonts w:ascii="Arial" w:cs="Arial" w:eastAsia="Arial" w:hAnsi="Arial"/>
          <w:sz w:val="18"/>
          <w:szCs w:val="18"/>
          <w:color w:val="auto"/>
        </w:rPr>
        <w:t xml:space="preserve">” shall mean (a) on the Closing Date, the Lenders having a Revolving Commitment on </w:t>
      </w:r>
      <w:r>
        <w:rPr>
          <w:rFonts w:ascii="Arial" w:cs="Arial" w:eastAsia="Arial" w:hAnsi="Arial"/>
          <w:sz w:val="18"/>
          <w:szCs w:val="18"/>
          <w:u w:val="single" w:color="auto"/>
          <w:color w:val="auto"/>
        </w:rPr>
        <w:t>Annex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hereof and (b) thereafter, the Lenders from time to time holding Revolving Loans and/or a Revolving Commitment as in effect from time to time.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Loans</w:t>
      </w:r>
      <w:r>
        <w:rPr>
          <w:rFonts w:ascii="Arial" w:cs="Arial" w:eastAsia="Arial" w:hAnsi="Arial"/>
          <w:sz w:val="18"/>
          <w:szCs w:val="18"/>
          <w:color w:val="auto"/>
        </w:rPr>
        <w:t>” has the meaning set forth in Section 2.01(a).</w:t>
      </w:r>
    </w:p>
    <w:p>
      <w:pPr>
        <w:spacing w:after="0" w:line="22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Notes</w:t>
      </w:r>
      <w:r>
        <w:rPr>
          <w:rFonts w:ascii="Arial" w:cs="Arial" w:eastAsia="Arial" w:hAnsi="Arial"/>
          <w:sz w:val="18"/>
          <w:szCs w:val="18"/>
          <w:color w:val="auto"/>
        </w:rPr>
        <w:t xml:space="preserve">” shall mean the promissory notes substantially in the form of </w:t>
      </w:r>
      <w:r>
        <w:rPr>
          <w:rFonts w:ascii="Arial" w:cs="Arial" w:eastAsia="Arial" w:hAnsi="Arial"/>
          <w:sz w:val="18"/>
          <w:szCs w:val="18"/>
          <w:u w:val="single" w:color="auto"/>
          <w:color w:val="auto"/>
        </w:rPr>
        <w:t>Exhibit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Tranche Exposure</w:t>
      </w:r>
      <w:r>
        <w:rPr>
          <w:rFonts w:ascii="Arial" w:cs="Arial" w:eastAsia="Arial" w:hAnsi="Arial"/>
          <w:sz w:val="18"/>
          <w:szCs w:val="18"/>
          <w:color w:val="auto"/>
        </w:rPr>
        <w:t xml:space="preserve">” shall mean with respect to any Lender and Tranche of Revolving Commitments at any time, the aggregate principal amount at such time of all outstanding Revolving Loans of such Tranche of such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amount at such time of such Lender’s L/C Liability under its Revolving Commitment of such Tranche.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 Services, a division of The McGraw-Hill Companies, or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shall mean any economic or trade or financial sanction or restrictive measures or trade embargo enacted, administered, imposed or enforced by the United States Government (including, without limitation, OFAC and the U.S. Department of State), the United Nations Security Council, the European Union or any member state thereof, Her Majesty’s Treasury or other relevant sanctions authority.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of the United States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Intercreditor Agreement</w:t>
      </w:r>
      <w:r>
        <w:rPr>
          <w:rFonts w:ascii="Arial" w:cs="Arial" w:eastAsia="Arial" w:hAnsi="Arial"/>
          <w:sz w:val="18"/>
          <w:szCs w:val="18"/>
          <w:color w:val="auto"/>
        </w:rPr>
        <w:t xml:space="preserve">” shall mean an intercreditor agreement substantially in the form of </w:t>
      </w:r>
      <w:r>
        <w:rPr>
          <w:rFonts w:ascii="Arial" w:cs="Arial" w:eastAsia="Arial" w:hAnsi="Arial"/>
          <w:sz w:val="18"/>
          <w:szCs w:val="18"/>
          <w:u w:val="single" w:color="auto"/>
          <w:color w:val="auto"/>
        </w:rPr>
        <w:t>Exhibit S</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9.04 Financials</w:t>
      </w:r>
      <w:r>
        <w:rPr>
          <w:rFonts w:ascii="Arial" w:cs="Arial" w:eastAsia="Arial" w:hAnsi="Arial"/>
          <w:sz w:val="17"/>
          <w:szCs w:val="17"/>
          <w:color w:val="auto"/>
        </w:rPr>
        <w:t>” shall mean the financial statements delivered, or required to be delivered, pursuant to Section 9.04(a) or (b), together with the accompanying certificate of a Responsible Officer of Borrower delivered, or required to be delivered, pursuant to Section 9.04(c).</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Agreement</w:t>
      </w:r>
      <w:r>
        <w:rPr>
          <w:rFonts w:ascii="Arial" w:cs="Arial" w:eastAsia="Arial" w:hAnsi="Arial"/>
          <w:sz w:val="18"/>
          <w:szCs w:val="18"/>
          <w:color w:val="auto"/>
        </w:rPr>
        <w:t>” shall mean any Cash Management Agreement that is entered into by and between Borrower and/or any or all of its Restricted Subsidiaries and any Cash Management Bank.</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shall mean the Agents, the Lenders, any Swap Provider that is party to a Credit Swap Contract and any Cash Management Bank that is a party to a Secured Cash Management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 and all rules and regulations of the SEC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xml:space="preserve">” shall mean a security agreement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among the Credit Parties and Collateral Agent, as the same may be amended in accordance with the terms thereof and hereof.</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Documents</w:t>
      </w:r>
      <w:r>
        <w:rPr>
          <w:rFonts w:ascii="Arial" w:cs="Arial" w:eastAsia="Arial" w:hAnsi="Arial"/>
          <w:sz w:val="17"/>
          <w:szCs w:val="17"/>
          <w:color w:val="auto"/>
        </w:rPr>
        <w:t>” shall mean the Security Agreement, the Mortgages and each other security document or pledge agreement, instrument or other document required by applicable local law or otherwise executed and delivered by a Credit Party to grant or perfect a security interest in any Property acquired or developed that is of the kind and nature that would constitute Collateral on the Closing Date, and any other document, agreement or instrument utilized to pledge or grant as collateral for the Obligations any Property of whatever kind or nature.</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and “</w:t>
      </w:r>
      <w:r>
        <w:rPr>
          <w:rFonts w:ascii="Arial" w:cs="Arial" w:eastAsia="Arial" w:hAnsi="Arial"/>
          <w:sz w:val="18"/>
          <w:szCs w:val="18"/>
          <w:b w:val="1"/>
          <w:bCs w:val="1"/>
          <w:color w:val="auto"/>
        </w:rPr>
        <w:t>Solvency</w:t>
      </w:r>
      <w:r>
        <w:rPr>
          <w:rFonts w:ascii="Arial" w:cs="Arial" w:eastAsia="Arial" w:hAnsi="Arial"/>
          <w:sz w:val="18"/>
          <w:szCs w:val="18"/>
          <w:color w:val="auto"/>
        </w:rPr>
        <w:t>” shall mean, for any Person on a particular date, that on such date (a) the fair value of the Property of such Person is greater than the total amount of liabilities, including, without limitation, contingent liabilities, of such Person, (b) the present fair salable value of the assets of such Person is not less than the amount that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96" w:right="239" w:bottom="1440" w:gutter="0" w:footer="0" w:header="0"/>
        </w:sectPr>
      </w:pPr>
    </w:p>
    <w:bookmarkStart w:id="127" w:name="page128"/>
    <w:bookmarkEnd w:id="127"/>
    <w:p>
      <w:pPr>
        <w:jc w:val="both"/>
        <w:spacing w:after="0" w:line="273" w:lineRule="auto"/>
        <w:rPr>
          <w:sz w:val="20"/>
          <w:szCs w:val="20"/>
          <w:color w:val="auto"/>
        </w:rPr>
      </w:pPr>
      <w:r>
        <w:rPr>
          <w:rFonts w:ascii="Arial" w:cs="Arial" w:eastAsia="Arial" w:hAnsi="Arial"/>
          <w:sz w:val="17"/>
          <w:szCs w:val="17"/>
          <w:color w:val="auto"/>
        </w:rPr>
        <w:t>will be required to pay the probable liability of such Person on its debts as they become absolute and matured, (c) such Person does not intend to, and does not believe that it will, incur debts and liabilities beyond such Person’s ability to pay as such debts and liabilities mature, (d) such Person is not engaged in a business or a transaction, and is not about to engage in a business or a transaction, for which such Person’s Property would constitute an unreasonably small capital and (e) such Person is able to pay its debts as they become due and payable.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 without duplication.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Equity Contribution</w:t>
      </w:r>
      <w:r>
        <w:rPr>
          <w:rFonts w:ascii="Arial" w:cs="Arial" w:eastAsia="Arial" w:hAnsi="Arial"/>
          <w:sz w:val="18"/>
          <w:szCs w:val="18"/>
          <w:color w:val="auto"/>
        </w:rPr>
        <w:t>” has the meaning specified in Section 11.03.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Equity Issuance Proceeds</w:t>
      </w:r>
      <w:r>
        <w:rPr>
          <w:rFonts w:ascii="Arial" w:cs="Arial" w:eastAsia="Arial" w:hAnsi="Arial"/>
          <w:sz w:val="17"/>
          <w:szCs w:val="17"/>
          <w:color w:val="auto"/>
        </w:rPr>
        <w:t xml:space="preserve">” shall mean Equity Issuance Proceeds received by Borrower prior to the Wynn Las Vegas Reorganization to the extent financed by distributions made by the Wynn Las Vegas Entities to Wynn Resorts (except to the extent such distributions by Wynn Las Vegas to Wynn Resorts were related to Management Fees (as defined in the Wynn Las Vegas Notes) or fees payable by the Wynn Las Vegas Entities to Wynn Resorts and its Affiliates for the licensing of intellectual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Equity Insurance Proceeds shall be classified as Specified Equity Issuance Proceeds unless certified by a Responsible Officer of Borrower to Agent acting in good faith.</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Letters of Credit</w:t>
      </w:r>
      <w:r>
        <w:rPr>
          <w:rFonts w:ascii="Arial" w:cs="Arial" w:eastAsia="Arial" w:hAnsi="Arial"/>
          <w:sz w:val="18"/>
          <w:szCs w:val="18"/>
          <w:color w:val="auto"/>
        </w:rPr>
        <w:t>” shall mean those Letters of Credit described on Schedule 2.03.</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Transaction</w:t>
      </w:r>
      <w:r>
        <w:rPr>
          <w:rFonts w:ascii="Arial" w:cs="Arial" w:eastAsia="Arial" w:hAnsi="Arial"/>
          <w:sz w:val="16"/>
          <w:szCs w:val="16"/>
          <w:color w:val="auto"/>
        </w:rPr>
        <w:t>” shall mean any (a) incurrence or repayment of Indebtedness (other than for working capital purposes or under a Revolving Facility), (b) Investment that results in a Person becoming a Restricted Subsidiary or an Unrestricted Subsidiary, (c) Permitted Acquisition or other Acquisition, (d) Asset Sale, designation or redesignation of a Restricted Subsidiary that results in a Restricted Subsidiary ceasing to be a Restricted Subsidiary of Borrower and (e) Acquisition or Investment constituting an acquisition of assets constituting a business unit, line of business or division of another Person.</w:t>
      </w:r>
    </w:p>
    <w:p>
      <w:pPr>
        <w:spacing w:after="0" w:line="1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w:t>
      </w:r>
      <w:r>
        <w:rPr>
          <w:rFonts w:ascii="Arial" w:cs="Arial" w:eastAsia="Arial" w:hAnsi="Arial"/>
          <w:sz w:val="18"/>
          <w:szCs w:val="18"/>
          <w:color w:val="auto"/>
        </w:rPr>
        <w:t xml:space="preserve">” for a currency shall mean the rate determined by the Administrative Agent or the applicable L/C Lender,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or such L/C Lender may obtain such spot rate from another financial institution designated by the Administrative Agent or such L/C Lender if the Person acting in such capacity does not have as of the date of determination a spot buying rate for any such currency;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such L/C Lender may use such spot rate quoted on the date as of which the foreign exchange computation is made in the case of any Letter of Credit denominated in an Alternate Currency.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Amount</w:t>
      </w:r>
      <w:r>
        <w:rPr>
          <w:rFonts w:ascii="Arial" w:cs="Arial" w:eastAsia="Arial" w:hAnsi="Arial"/>
          <w:sz w:val="18"/>
          <w:szCs w:val="18"/>
          <w:color w:val="auto"/>
        </w:rPr>
        <w:t>” of each Letter of Credit shall mean, at any time, the maximum amount available to be drawn thereunder (in each case determined without regard to whether any conditions to drawing could then be met).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Agreement</w:t>
      </w:r>
      <w:r>
        <w:rPr>
          <w:rFonts w:ascii="Arial" w:cs="Arial" w:eastAsia="Arial" w:hAnsi="Arial"/>
          <w:sz w:val="18"/>
          <w:szCs w:val="18"/>
          <w:color w:val="auto"/>
        </w:rPr>
        <w:t xml:space="preserve">” shall mean each Subordination Agreement, substantially in the form of </w:t>
      </w:r>
      <w:r>
        <w:rPr>
          <w:rFonts w:ascii="Arial" w:cs="Arial" w:eastAsia="Arial" w:hAnsi="Arial"/>
          <w:sz w:val="18"/>
          <w:szCs w:val="18"/>
          <w:u w:val="single" w:color="auto"/>
          <w:color w:val="auto"/>
        </w:rPr>
        <w:t>Exhibit T</w:t>
      </w:r>
      <w:r>
        <w:rPr>
          <w:rFonts w:ascii="Arial" w:cs="Arial" w:eastAsia="Arial" w:hAnsi="Arial"/>
          <w:sz w:val="18"/>
          <w:szCs w:val="18"/>
          <w:color w:val="auto"/>
        </w:rPr>
        <w:t>, among the Administrative Agent, the applicable Credit Parties and the providers of any Intercompany Contribution Indebtedness.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in this Agreement shall refer to a Subsidiary or Subsidiaries of Borrower.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0" w:right="239" w:bottom="1440" w:gutter="0" w:footer="0" w:header="0"/>
        </w:sectPr>
      </w:pPr>
    </w:p>
    <w:bookmarkStart w:id="128" w:name="page129"/>
    <w:bookmarkEnd w:id="128"/>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Substituted Consolidated EBITDA</w:t>
      </w:r>
      <w:r>
        <w:rPr>
          <w:rFonts w:ascii="Arial" w:cs="Arial" w:eastAsia="Arial" w:hAnsi="Arial"/>
          <w:sz w:val="16"/>
          <w:szCs w:val="16"/>
          <w:color w:val="auto"/>
        </w:rPr>
        <w:t>” shall mean with respect to any fiscal quarter, the greater of Consolidated EBITDA for the fiscal quarter (a) during the immediately preceding fiscal year corresponding to such fiscal quarter and (b) immediately preceding the fiscal quarter in which the applicable Qualifying Act of Terrorism shall have occurred, in each case subject to customary seasonal adjustments (as determined in good faith by Borrower).</w:t>
      </w:r>
    </w:p>
    <w:p>
      <w:pPr>
        <w:spacing w:after="0" w:line="14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Contract</w:t>
      </w:r>
      <w:r>
        <w:rPr>
          <w:rFonts w:ascii="Arial" w:cs="Arial" w:eastAsia="Arial" w:hAnsi="Arial"/>
          <w:sz w:val="17"/>
          <w:szCs w:val="17"/>
          <w:color w:val="auto"/>
        </w:rPr>
        <w:t>” shall mean any agreement entered into in the ordinary course of business (as a bona fide hedge and not for speculative purposes) (including any master agreement and any schedule or agreement, whether or not in writing, relating to any single transaction) that is an interest rate swap agreement, basis swap, forward rate agreement, commodity swap, commodity option, equity or equity index swap or option, bond option, interest rate option, foreign exchange agreement, rate cap, collar or floor agreement, currency swap agreement, cross-currency rate swap agreement, swap option, currency option or any other similar agreement (including any option to enter into any of the foregoing) and is designed to protect any Company against fluctuations in interest rates, currency exchange rates, commodity prices, or similar risks (including any Interest Rate Protection Agreement). For the avoidance of doubt, the term “Swap Contract” includes, without limitation, any call options, warrants and capped calls entered into as part of, or in connection with, an issuance of convertible or exchangeable debt by Borrower or its Restricted Subsidiaries.</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Provider</w:t>
      </w:r>
      <w:r>
        <w:rPr>
          <w:rFonts w:ascii="Arial" w:cs="Arial" w:eastAsia="Arial" w:hAnsi="Arial"/>
          <w:sz w:val="17"/>
          <w:szCs w:val="17"/>
          <w:color w:val="auto"/>
        </w:rPr>
        <w:t>” shall mean any Person that is a party to a Swap Contract with Borrower and/or any of its Restricted Subsidiaries if such Person was, at the date of entering into such Swap Contract, a Lender or Agent or Affiliate of a Lender or Agent,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Section 12.03.</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Agents</w:t>
      </w:r>
      <w:r>
        <w:rPr>
          <w:rFonts w:ascii="Arial" w:cs="Arial" w:eastAsia="Arial" w:hAnsi="Arial"/>
          <w:sz w:val="18"/>
          <w:szCs w:val="18"/>
          <w:color w:val="auto"/>
        </w:rPr>
        <w:t>” shall mean, collectively, Merrill Lynch, Pierce, Fenner &amp; Smith, Incorporated, Credit Agricole Corporate and Investment Bank, Fifth Third Bank, SunTrust Bank, The Bank of Nova Scotia, BNP Paribas Securities Corp., Sumitomo Mitsui Banking Corporation and UBS Securities LLC, in their capacities as syndication agents hereunder.</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T/C Percentage</w:t>
      </w:r>
      <w:r>
        <w:rPr>
          <w:rFonts w:ascii="Arial" w:cs="Arial" w:eastAsia="Arial" w:hAnsi="Arial"/>
          <w:sz w:val="18"/>
          <w:szCs w:val="18"/>
          <w:color w:val="auto"/>
        </w:rPr>
        <w:t xml:space="preserve">” of any Term Facility Lender with respect to a Tranche of Term Facility Commitments at any time shall mean a fraction (expressed as a percentage) the numerator of which is the Term Facility Commitment under such Tranche of such Term Facility Lender at such time and the denominator of which is the total Term Facility Commitments under such Tranche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T/C Percentage of any Term Facility Lender with respect to a Tranche of Term Facility Commitments is to be determined after the total Term Facility Commitments under such Tranche have been terminated, then the T/C Percentage of such Term Facility Lender under such Tranche of Term Facility Commitments shall be determined immediately prior (and without giving effect) to such termination but after giving effect to any assignments after termination of the Term Facility Commitments under such Tranche.</w:t>
      </w:r>
    </w:p>
    <w:p>
      <w:pPr>
        <w:spacing w:after="0" w:line="18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u w:val="single" w:color="auto"/>
          <w:color w:val="0000FF"/>
        </w:rPr>
        <w:t xml:space="preserve">“T/C Term Facility II Percentage” of any Term Facility II Lender with respect to a Tranche of Term Facility II Commitments at any time shall mean a fraction (expressed as a percentage) the numerator of which is the Term Facility II Commitment under such Tranche of such Term Facility II Lender at such time and the denominator of which is the total Term Facility II Commitments under such Tranche at such time; </w:t>
      </w:r>
      <w:r>
        <w:rPr>
          <w:rFonts w:ascii="Arial" w:cs="Arial" w:eastAsia="Arial" w:hAnsi="Arial"/>
          <w:sz w:val="16"/>
          <w:szCs w:val="16"/>
          <w:b w:val="1"/>
          <w:bCs w:val="1"/>
          <w:i w:val="1"/>
          <w:iCs w:val="1"/>
          <w:u w:val="single" w:color="auto"/>
          <w:color w:val="0000FF"/>
        </w:rPr>
        <w:t>provided</w:t>
      </w:r>
      <w:r>
        <w:rPr>
          <w:rFonts w:ascii="Arial" w:cs="Arial" w:eastAsia="Arial" w:hAnsi="Arial"/>
          <w:sz w:val="16"/>
          <w:szCs w:val="16"/>
          <w:b w:val="1"/>
          <w:bCs w:val="1"/>
          <w:u w:val="single" w:color="auto"/>
          <w:color w:val="0000FF"/>
        </w:rPr>
        <w:t xml:space="preserve">, </w:t>
      </w:r>
      <w:r>
        <w:rPr>
          <w:rFonts w:ascii="Arial" w:cs="Arial" w:eastAsia="Arial" w:hAnsi="Arial"/>
          <w:sz w:val="16"/>
          <w:szCs w:val="16"/>
          <w:b w:val="1"/>
          <w:bCs w:val="1"/>
          <w:i w:val="1"/>
          <w:iCs w:val="1"/>
          <w:u w:val="single" w:color="auto"/>
          <w:color w:val="0000FF"/>
        </w:rPr>
        <w:t>however</w:t>
      </w:r>
      <w:r>
        <w:rPr>
          <w:rFonts w:ascii="Arial" w:cs="Arial" w:eastAsia="Arial" w:hAnsi="Arial"/>
          <w:sz w:val="16"/>
          <w:szCs w:val="16"/>
          <w:b w:val="1"/>
          <w:bCs w:val="1"/>
          <w:u w:val="single" w:color="auto"/>
          <w:color w:val="0000FF"/>
        </w:rPr>
        <w:t>, that if the T/C Term Facility II Percentage of any Term Facility II Lender with respect to a Tranche of Term Facility II Commitments is to</w:t>
      </w:r>
      <w:r>
        <w:rPr>
          <w:rFonts w:ascii="Arial" w:cs="Arial" w:eastAsia="Arial" w:hAnsi="Arial"/>
          <w:sz w:val="16"/>
          <w:szCs w:val="16"/>
          <w:b w:val="1"/>
          <w:bCs w:val="1"/>
          <w:i w:val="1"/>
          <w:iCs w:val="1"/>
          <w:u w:val="single" w:color="auto"/>
          <w:color w:val="0000FF"/>
        </w:rPr>
        <w:t xml:space="preserve"> </w:t>
      </w:r>
      <w:r>
        <w:rPr>
          <w:rFonts w:ascii="Arial" w:cs="Arial" w:eastAsia="Arial" w:hAnsi="Arial"/>
          <w:sz w:val="16"/>
          <w:szCs w:val="16"/>
          <w:b w:val="1"/>
          <w:bCs w:val="1"/>
          <w:u w:val="single" w:color="auto"/>
          <w:color w:val="0000FF"/>
        </w:rPr>
        <w:t>be determined after the total Term Facility II Commitments under such Tranche have been terminated, then the T/C Term Facility II Percentage of such Term Facility II Lender under such Tranche of Term Facility II Commitments shall be determined immediately prior (and without giving effect) to such termination but after giving effect to any assignments after termination of the Term Facility II Commitments under such Tranche.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Taking</w:t>
      </w:r>
      <w:r>
        <w:rPr>
          <w:rFonts w:ascii="Arial" w:cs="Arial" w:eastAsia="Arial" w:hAnsi="Arial"/>
          <w:sz w:val="18"/>
          <w:szCs w:val="18"/>
          <w:color w:val="auto"/>
        </w:rPr>
        <w:t>” shall mean a taking or voluntary conveyance during the term of this Agreement of all or part of any Mortgaged Real Property, or any interest therein or right accruing thereto or use thereof, as the result of, or in settlement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6" w:right="239" w:bottom="1440" w:gutter="0" w:footer="0" w:header="0"/>
        </w:sectPr>
      </w:pPr>
    </w:p>
    <w:bookmarkStart w:id="129" w:name="page130"/>
    <w:bookmarkEnd w:id="129"/>
    <w:p>
      <w:pPr>
        <w:jc w:val="both"/>
        <w:ind w:right="20"/>
        <w:spacing w:after="0" w:line="277" w:lineRule="auto"/>
        <w:rPr>
          <w:sz w:val="20"/>
          <w:szCs w:val="20"/>
          <w:color w:val="auto"/>
        </w:rPr>
      </w:pPr>
      <w:r>
        <w:rPr>
          <w:rFonts w:ascii="Arial" w:cs="Arial" w:eastAsia="Arial" w:hAnsi="Arial"/>
          <w:sz w:val="18"/>
          <w:szCs w:val="18"/>
          <w:color w:val="auto"/>
        </w:rPr>
        <w:t>of, any condemnation or other eminent domain proceeding by any Governmental Authority affecting any Mortgaged Real Property or any portion thereof, whether or not the same shall have actually been commenced.</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Payments</w:t>
      </w:r>
      <w:r>
        <w:rPr>
          <w:rFonts w:ascii="Arial" w:cs="Arial" w:eastAsia="Arial" w:hAnsi="Arial"/>
          <w:sz w:val="16"/>
          <w:szCs w:val="16"/>
          <w:color w:val="auto"/>
        </w:rPr>
        <w:t>” shall mean, with respect to any taxable period (i) for which Borrower and/or any of its Subsidiaries are members of a consolidated, combined or similar income tax group for applicable federal, state and/or local income tax purposes of which a direct or indirect parent of Borrower is the common parent (a “</w:t>
      </w:r>
      <w:r>
        <w:rPr>
          <w:rFonts w:ascii="Arial" w:cs="Arial" w:eastAsia="Arial" w:hAnsi="Arial"/>
          <w:sz w:val="16"/>
          <w:szCs w:val="16"/>
          <w:b w:val="1"/>
          <w:bCs w:val="1"/>
          <w:color w:val="auto"/>
        </w:rPr>
        <w:t>Tax Group</w:t>
      </w:r>
      <w:r>
        <w:rPr>
          <w:rFonts w:ascii="Arial" w:cs="Arial" w:eastAsia="Arial" w:hAnsi="Arial"/>
          <w:sz w:val="16"/>
          <w:szCs w:val="16"/>
          <w:color w:val="auto"/>
        </w:rPr>
        <w:t>”) or (ii) for which Borrower is a disregarded entity or a partnership with a direct or indirect corporate parent (a “</w:t>
      </w:r>
      <w:r>
        <w:rPr>
          <w:rFonts w:ascii="Arial" w:cs="Arial" w:eastAsia="Arial" w:hAnsi="Arial"/>
          <w:sz w:val="16"/>
          <w:szCs w:val="16"/>
          <w:b w:val="1"/>
          <w:bCs w:val="1"/>
          <w:color w:val="auto"/>
        </w:rPr>
        <w:t>Corporate</w:t>
      </w:r>
      <w:r>
        <w:rPr>
          <w:rFonts w:ascii="Arial" w:cs="Arial" w:eastAsia="Arial" w:hAnsi="Arial"/>
          <w:sz w:val="16"/>
          <w:szCs w:val="16"/>
          <w:color w:val="auto"/>
        </w:rPr>
        <w:t xml:space="preserve"> </w:t>
      </w:r>
      <w:r>
        <w:rPr>
          <w:rFonts w:ascii="Arial" w:cs="Arial" w:eastAsia="Arial" w:hAnsi="Arial"/>
          <w:sz w:val="16"/>
          <w:szCs w:val="16"/>
          <w:b w:val="1"/>
          <w:bCs w:val="1"/>
          <w:color w:val="auto"/>
        </w:rPr>
        <w:t>Parent</w:t>
      </w:r>
      <w:r>
        <w:rPr>
          <w:rFonts w:ascii="Arial" w:cs="Arial" w:eastAsia="Arial" w:hAnsi="Arial"/>
          <w:sz w:val="16"/>
          <w:szCs w:val="16"/>
          <w:color w:val="auto"/>
        </w:rPr>
        <w:t>”), (a) payments equal to the portion of any consolidated, combined or similar federal, state and/or local income taxes (as applicable) of such Tax</w:t>
      </w:r>
      <w:r>
        <w:rPr>
          <w:rFonts w:ascii="Arial" w:cs="Arial" w:eastAsia="Arial" w:hAnsi="Arial"/>
          <w:sz w:val="16"/>
          <w:szCs w:val="16"/>
          <w:b w:val="1"/>
          <w:bCs w:val="1"/>
          <w:color w:val="auto"/>
        </w:rPr>
        <w:t xml:space="preserve"> </w:t>
      </w:r>
      <w:r>
        <w:rPr>
          <w:rFonts w:ascii="Arial" w:cs="Arial" w:eastAsia="Arial" w:hAnsi="Arial"/>
          <w:sz w:val="16"/>
          <w:szCs w:val="16"/>
          <w:color w:val="auto"/>
        </w:rPr>
        <w:t>Group, or the portion of the federal, state and/or local income taxes of such Corporate Parent (or, where such Corporate Parent owns some of its equity interest in Borrower indirectly through one or more corporate subsidiaries, such corporate subsidiaries (the “</w:t>
      </w:r>
      <w:r>
        <w:rPr>
          <w:rFonts w:ascii="Arial" w:cs="Arial" w:eastAsia="Arial" w:hAnsi="Arial"/>
          <w:sz w:val="16"/>
          <w:szCs w:val="16"/>
          <w:b w:val="1"/>
          <w:bCs w:val="1"/>
          <w:color w:val="auto"/>
        </w:rPr>
        <w:t>Corporate Parent Subsidiaries</w:t>
      </w:r>
      <w:r>
        <w:rPr>
          <w:rFonts w:ascii="Arial" w:cs="Arial" w:eastAsia="Arial" w:hAnsi="Arial"/>
          <w:sz w:val="16"/>
          <w:szCs w:val="16"/>
          <w:color w:val="auto"/>
        </w:rPr>
        <w:t xml:space="preserve">”), for such taxable period, that, in each case, is attributable to the income of Borrower, the applicable Restricted Subsidiaries or, to the extent of the amount actually received from its applicable Unrestricted Subsidiaries, such Unrestricted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amount of such payments with respect to any taxable period does not exceed the amount that Borrower, the applicable Restricted Subsidiaries and (to the extent described above) the applicable Unrestricted Subsidiaries would have been required to pay in respect of such federal, state and local income taxes for such taxable period had Borrower, the applicable Restricted Subsidiaries and (to the extent described above) the applicable Unrestricted Subsidiaries been a stand-alone corporate taxpayer or stand-alone corporate tax group for all taxable periods ending after the Closing Date and (b) for any such taxable period with respect to which the portion of the actual Massachusetts income tax liability of the Tax Group or Corporate Parent (or any applicable Corporate Parent Subsidiaries) that is attributable to Borrower or its applicable Restricted Subsidiaries (or, to the extent of the amount actually received from any applicable Unrestricted Subsidiaries in respect thereof, such Unrestricted Subsidiaries) exceeds the maximum payment permitted under clause (a) for such taxable period in respect of Massachusetts income tax, a payment equal to the amount of such excess (reduced, to the extent such excess is not deducted under clause (a) in computing the permitted distribution under clause (a) for federal income taxes for such period, by any actual federal income tax benefit derived by the Tax Group or Corporate Parent (or any applicable Corporate Parent Subsidiaries) in respect of the deduction of such excess).</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Indemnification Agreement</w:t>
      </w:r>
      <w:r>
        <w:rPr>
          <w:rFonts w:ascii="Arial" w:cs="Arial" w:eastAsia="Arial" w:hAnsi="Arial"/>
          <w:sz w:val="17"/>
          <w:szCs w:val="17"/>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58"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Facilities</w:t>
      </w:r>
      <w:r>
        <w:rPr>
          <w:rFonts w:ascii="Arial" w:cs="Arial" w:eastAsia="Arial" w:hAnsi="Arial"/>
          <w:sz w:val="18"/>
          <w:szCs w:val="18"/>
          <w:color w:val="auto"/>
        </w:rPr>
        <w:t xml:space="preserve">” shall mean, collectively, the credit facilities comprising the Term Facility Commitments, the Term Facility Loans, </w:t>
      </w:r>
      <w:r>
        <w:rPr>
          <w:rFonts w:ascii="Arial" w:cs="Arial" w:eastAsia="Arial" w:hAnsi="Arial"/>
          <w:sz w:val="18"/>
          <w:szCs w:val="18"/>
          <w:b w:val="1"/>
          <w:bCs w:val="1"/>
          <w:u w:val="single" w:color="auto"/>
          <w:color w:val="0000FF"/>
        </w:rPr>
        <w:t>the Term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Facility II Commitments, the Term Facility II Loans,</w:t>
      </w:r>
      <w:r>
        <w:rPr>
          <w:rFonts w:ascii="Arial" w:cs="Arial" w:eastAsia="Arial" w:hAnsi="Arial"/>
          <w:sz w:val="18"/>
          <w:szCs w:val="18"/>
          <w:b w:val="1"/>
          <w:bCs w:val="1"/>
          <w:color w:val="0000FF"/>
        </w:rPr>
        <w:t xml:space="preserve"> </w:t>
      </w:r>
      <w:r>
        <w:rPr>
          <w:rFonts w:ascii="Arial" w:cs="Arial" w:eastAsia="Arial" w:hAnsi="Arial"/>
          <w:sz w:val="18"/>
          <w:szCs w:val="18"/>
          <w:color w:val="000000"/>
        </w:rPr>
        <w:t>any Extended Term Loans and any Other Term Loans.</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Facility Availability Period</w:t>
      </w:r>
      <w:r>
        <w:rPr>
          <w:rFonts w:ascii="Arial" w:cs="Arial" w:eastAsia="Arial" w:hAnsi="Arial"/>
          <w:sz w:val="16"/>
          <w:szCs w:val="16"/>
          <w:color w:val="auto"/>
        </w:rPr>
        <w:t xml:space="preserve">” shall mean </w:t>
      </w:r>
      <w:r>
        <w:rPr>
          <w:rFonts w:ascii="Arial" w:cs="Arial" w:eastAsia="Arial" w:hAnsi="Arial"/>
          <w:sz w:val="16"/>
          <w:szCs w:val="16"/>
          <w:b w:val="1"/>
          <w:bCs w:val="1"/>
          <w:color w:val="FF0000"/>
          <w:strike w:val="1"/>
        </w:rPr>
        <w:t>(a)</w:t>
      </w:r>
      <w:r>
        <w:rPr>
          <w:rFonts w:ascii="Arial" w:cs="Arial" w:eastAsia="Arial" w:hAnsi="Arial"/>
          <w:sz w:val="16"/>
          <w:szCs w:val="16"/>
          <w:color w:val="auto"/>
        </w:rPr>
        <w:t xml:space="preserve"> with respect to the Tranche </w:t>
      </w:r>
      <w:r>
        <w:rPr>
          <w:rFonts w:ascii="Arial" w:cs="Arial" w:eastAsia="Arial" w:hAnsi="Arial"/>
          <w:sz w:val="16"/>
          <w:szCs w:val="16"/>
          <w:b w:val="1"/>
          <w:bCs w:val="1"/>
          <w:color w:val="FF0000"/>
          <w:strike w:val="1"/>
        </w:rPr>
        <w:t>A</w:t>
      </w:r>
      <w:r>
        <w:rPr>
          <w:rFonts w:ascii="Arial" w:cs="Arial" w:eastAsia="Arial" w:hAnsi="Arial"/>
          <w:sz w:val="16"/>
          <w:szCs w:val="16"/>
          <w:b w:val="1"/>
          <w:bCs w:val="1"/>
          <w:u w:val="single" w:color="auto"/>
          <w:color w:val="0000FF"/>
        </w:rPr>
        <w:t>D</w:t>
      </w:r>
      <w:r>
        <w:rPr>
          <w:rFonts w:ascii="Arial" w:cs="Arial" w:eastAsia="Arial" w:hAnsi="Arial"/>
          <w:sz w:val="16"/>
          <w:szCs w:val="16"/>
          <w:color w:val="auto"/>
        </w:rPr>
        <w:t xml:space="preserve"> Term Facility Commitments, the period from and including the Closing Date through but excluding the earlier of </w:t>
      </w:r>
      <w:r>
        <w:rPr>
          <w:rFonts w:ascii="Arial" w:cs="Arial" w:eastAsia="Arial" w:hAnsi="Arial"/>
          <w:sz w:val="16"/>
          <w:szCs w:val="16"/>
          <w:b w:val="1"/>
          <w:bCs w:val="1"/>
          <w:color w:val="FF0000"/>
          <w:strike w:val="1"/>
        </w:rPr>
        <w:t>November 21, 2015 and the date of termination of the Tranche A Term Facility Commitments, (b)</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with respect to the Tranche B Term Facility Commitments, the period from and including the Closing Date through but excluding the earlier of March 30</w:t>
      </w:r>
      <w:r>
        <w:rPr>
          <w:rFonts w:ascii="Arial" w:cs="Arial" w:eastAsia="Arial" w:hAnsi="Arial"/>
          <w:sz w:val="16"/>
          <w:szCs w:val="16"/>
          <w:b w:val="1"/>
          <w:bCs w:val="1"/>
          <w:u w:val="single" w:color="auto"/>
          <w:color w:val="0000FF"/>
          <w:strike w:val="1"/>
        </w:rPr>
        <w:t>December 31</w:t>
      </w:r>
      <w:r>
        <w:rPr>
          <w:rFonts w:ascii="Arial" w:cs="Arial" w:eastAsia="Arial" w:hAnsi="Arial"/>
          <w:sz w:val="16"/>
          <w:szCs w:val="16"/>
          <w:color w:val="000000"/>
          <w:strike w:val="1"/>
        </w:rPr>
        <w:t>, 2016 and the date of termination of the Tranche</w:t>
      </w:r>
      <w:r>
        <w:rPr>
          <w:rFonts w:ascii="Arial" w:cs="Arial" w:eastAsia="Arial" w:hAnsi="Arial"/>
          <w:sz w:val="16"/>
          <w:szCs w:val="16"/>
          <w:b w:val="1"/>
          <w:bCs w:val="1"/>
          <w:color w:val="FF0000"/>
          <w:strike w:val="1"/>
        </w:rPr>
        <w:t xml:space="preserve"> B</w:t>
      </w:r>
      <w:r>
        <w:rPr>
          <w:rFonts w:ascii="Arial" w:cs="Arial" w:eastAsia="Arial" w:hAnsi="Arial"/>
          <w:sz w:val="16"/>
          <w:szCs w:val="16"/>
          <w:b w:val="1"/>
          <w:bCs w:val="1"/>
          <w:u w:val="single" w:color="auto"/>
          <w:color w:val="0000FF"/>
          <w:strike w:val="1"/>
        </w:rPr>
        <w:t>D</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Term Facility Commitments</w:t>
      </w:r>
      <w:r>
        <w:rPr>
          <w:rFonts w:ascii="Arial" w:cs="Arial" w:eastAsia="Arial" w:hAnsi="Arial"/>
          <w:sz w:val="16"/>
          <w:szCs w:val="16"/>
          <w:b w:val="1"/>
          <w:bCs w:val="1"/>
          <w:color w:val="FF0000"/>
          <w:strike w:val="1"/>
        </w:rPr>
        <w:t>, (c) with respect to the Tranche C Term Facility</w:t>
      </w:r>
    </w:p>
    <w:p>
      <w:pPr>
        <w:spacing w:after="0" w:line="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FF0000"/>
          <w:strike w:val="1"/>
        </w:rPr>
        <w:t>Commitments, the period from and including the Closing Date through but excluding the earlier of June 30, 2016 and the date of termination of the Tranche C Term Facility Commitments and (d) with respect to the Tranche D</w:t>
      </w:r>
      <w:r>
        <w:rPr>
          <w:rFonts w:ascii="Arial" w:cs="Arial" w:eastAsia="Arial" w:hAnsi="Arial"/>
          <w:sz w:val="18"/>
          <w:szCs w:val="18"/>
          <w:b w:val="1"/>
          <w:bCs w:val="1"/>
          <w:u w:val="single" w:color="auto"/>
          <w:color w:val="0000FF"/>
          <w:strike w:val="1"/>
        </w:rPr>
        <w:t>.</w:t>
      </w:r>
    </w:p>
    <w:p>
      <w:pPr>
        <w:spacing w:after="0" w:line="180"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u w:val="single" w:color="auto"/>
          <w:color w:val="0000FF"/>
        </w:rPr>
        <w:t>“Term Facility Commitment” shall mean, for each Term Facility Lender, its Tranche D Term Facility Commitment. The aggregate principal amount of the Term Facility Commitments of all Term Facility Lenders on the Fourth Amendment Effective Date is $649,666,666.66.</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1" w:right="239" w:bottom="1440" w:gutter="0" w:footer="0" w:header="0"/>
        </w:sectPr>
      </w:pPr>
    </w:p>
    <w:bookmarkStart w:id="130" w:name="page131"/>
    <w:bookmarkEnd w:id="130"/>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0000FF"/>
        </w:rPr>
        <w:t>“Term Facility Lenders” shall mean (a) in respect of any unutilized Term Facility Commitments, the Tranche D Term Facility Lenders, as applicable, and (b) in respect of any Term Facility Loans, the Lenders from time to time holding any Term Facility Loans after giving effect to any assignments thereof permitted by Section 13.05(b).</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0000FF"/>
        </w:rPr>
        <w:t>“Term Facility Loans” shall mean collectively, delayed draw term loans made pursuant to Section 2.01(b). The aggregate principal amount of the Term Facility Loans on the Fourth Amendment Effective Date is $225,333,333.34.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“Term Facility Maturity Date” shall mean the date that is the sixth anniversary of the Closing Date.</w:t>
      </w:r>
    </w:p>
    <w:p>
      <w:pPr>
        <w:spacing w:after="0" w:line="22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u w:val="single" w:color="auto"/>
          <w:color w:val="0000FF"/>
        </w:rPr>
        <w:t>“Term Facility Notes” shall mean the promissory notes substantially in the form of Exhibit A</w:t>
      </w:r>
      <w:r>
        <w:rPr>
          <w:rFonts w:ascii="MS PGothic" w:cs="MS PGothic" w:eastAsia="MS PGothic" w:hAnsi="MS PGothic"/>
          <w:sz w:val="18"/>
          <w:szCs w:val="18"/>
          <w:b w:val="1"/>
          <w:bCs w:val="1"/>
          <w:u w:val="single" w:color="auto"/>
          <w:color w:val="0000FF"/>
        </w:rPr>
        <w:t>‑</w:t>
      </w:r>
      <w:r>
        <w:rPr>
          <w:rFonts w:ascii="Arial" w:cs="Arial" w:eastAsia="Arial" w:hAnsi="Arial"/>
          <w:sz w:val="18"/>
          <w:szCs w:val="18"/>
          <w:b w:val="1"/>
          <w:bCs w:val="1"/>
          <w:u w:val="single" w:color="auto"/>
          <w:color w:val="0000FF"/>
        </w:rPr>
        <w:t>2.</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u w:val="single" w:color="auto"/>
          <w:color w:val="0000FF"/>
        </w:rPr>
        <w:t>“</w:t>
      </w:r>
      <w:r>
        <w:rPr>
          <w:rFonts w:ascii="Arial" w:cs="Arial" w:eastAsia="Arial" w:hAnsi="Arial"/>
          <w:sz w:val="17"/>
          <w:szCs w:val="17"/>
          <w:b w:val="1"/>
          <w:bCs w:val="1"/>
          <w:color w:val="000000"/>
        </w:rPr>
        <w:t>Term Facility</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Commitments,</w:t>
      </w:r>
      <w:r>
        <w:rPr>
          <w:rFonts w:ascii="Arial" w:cs="Arial" w:eastAsia="Arial" w:hAnsi="Arial"/>
          <w:sz w:val="17"/>
          <w:szCs w:val="17"/>
          <w:b w:val="1"/>
          <w:bCs w:val="1"/>
          <w:u w:val="single" w:color="auto"/>
          <w:color w:val="0000FF"/>
        </w:rPr>
        <w:t>II Availability Period” shall mean</w:t>
      </w:r>
      <w:r>
        <w:rPr>
          <w:rFonts w:ascii="Arial" w:cs="Arial" w:eastAsia="Arial" w:hAnsi="Arial"/>
          <w:sz w:val="17"/>
          <w:szCs w:val="17"/>
          <w:b w:val="1"/>
          <w:bCs w:val="1"/>
          <w:color w:val="0000FF"/>
        </w:rPr>
        <w:t xml:space="preserve"> </w:t>
      </w:r>
      <w:r>
        <w:rPr>
          <w:rFonts w:ascii="Arial" w:cs="Arial" w:eastAsia="Arial" w:hAnsi="Arial"/>
          <w:sz w:val="17"/>
          <w:szCs w:val="17"/>
          <w:color w:val="000000"/>
        </w:rPr>
        <w:t>the period from and including the</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Closing</w:t>
      </w:r>
      <w:r>
        <w:rPr>
          <w:rFonts w:ascii="Arial" w:cs="Arial" w:eastAsia="Arial" w:hAnsi="Arial"/>
          <w:sz w:val="17"/>
          <w:szCs w:val="17"/>
          <w:b w:val="1"/>
          <w:bCs w:val="1"/>
          <w:u w:val="single" w:color="auto"/>
          <w:color w:val="0000FF"/>
        </w:rPr>
        <w:t>Fourth Amendment Effective</w:t>
      </w:r>
      <w:r>
        <w:rPr>
          <w:rFonts w:ascii="Arial" w:cs="Arial" w:eastAsia="Arial" w:hAnsi="Arial"/>
          <w:sz w:val="17"/>
          <w:szCs w:val="17"/>
          <w:b w:val="1"/>
          <w:bCs w:val="1"/>
          <w:color w:val="0000FF"/>
        </w:rPr>
        <w:t xml:space="preserve"> </w:t>
      </w:r>
      <w:r>
        <w:rPr>
          <w:rFonts w:ascii="Arial" w:cs="Arial" w:eastAsia="Arial" w:hAnsi="Arial"/>
          <w:sz w:val="17"/>
          <w:szCs w:val="17"/>
          <w:color w:val="000000"/>
        </w:rPr>
        <w:t>Date</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through but excluding the earlier of December 31, 2016 and the date of termination of the </w:t>
      </w:r>
      <w:r>
        <w:rPr>
          <w:rFonts w:ascii="Arial" w:cs="Arial" w:eastAsia="Arial" w:hAnsi="Arial"/>
          <w:sz w:val="17"/>
          <w:szCs w:val="17"/>
          <w:b w:val="1"/>
          <w:bCs w:val="1"/>
          <w:color w:val="FF0000"/>
          <w:strike w:val="1"/>
        </w:rPr>
        <w:t>Tranche D</w:t>
      </w:r>
      <w:r>
        <w:rPr>
          <w:rFonts w:ascii="Arial" w:cs="Arial" w:eastAsia="Arial" w:hAnsi="Arial"/>
          <w:sz w:val="17"/>
          <w:szCs w:val="17"/>
          <w:color w:val="000000"/>
        </w:rPr>
        <w:t xml:space="preserve"> Term Facility </w:t>
      </w:r>
      <w:r>
        <w:rPr>
          <w:rFonts w:ascii="Arial" w:cs="Arial" w:eastAsia="Arial" w:hAnsi="Arial"/>
          <w:sz w:val="17"/>
          <w:szCs w:val="17"/>
          <w:b w:val="1"/>
          <w:bCs w:val="1"/>
          <w:u w:val="single" w:color="auto"/>
          <w:color w:val="0000FF"/>
        </w:rPr>
        <w:t>II</w:t>
      </w:r>
      <w:r>
        <w:rPr>
          <w:rFonts w:ascii="Arial" w:cs="Arial" w:eastAsia="Arial" w:hAnsi="Arial"/>
          <w:sz w:val="17"/>
          <w:szCs w:val="17"/>
          <w:color w:val="000000"/>
        </w:rPr>
        <w:t xml:space="preserve"> Commitments.</w:t>
      </w:r>
    </w:p>
    <w:p>
      <w:pPr>
        <w:spacing w:after="0" w:line="1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Facility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II</w:t>
      </w:r>
      <w:r>
        <w:rPr>
          <w:rFonts w:ascii="Arial" w:cs="Arial" w:eastAsia="Arial" w:hAnsi="Arial"/>
          <w:sz w:val="17"/>
          <w:szCs w:val="17"/>
          <w:color w:val="auto"/>
        </w:rPr>
        <w:t xml:space="preserve"> </w:t>
      </w:r>
      <w:r>
        <w:rPr>
          <w:rFonts w:ascii="Arial" w:cs="Arial" w:eastAsia="Arial" w:hAnsi="Arial"/>
          <w:sz w:val="17"/>
          <w:szCs w:val="17"/>
          <w:b w:val="1"/>
          <w:bCs w:val="1"/>
          <w:color w:val="auto"/>
        </w:rPr>
        <w:t>Commitment</w:t>
      </w:r>
      <w:r>
        <w:rPr>
          <w:rFonts w:ascii="Arial" w:cs="Arial" w:eastAsia="Arial" w:hAnsi="Arial"/>
          <w:sz w:val="17"/>
          <w:szCs w:val="17"/>
          <w:color w:val="auto"/>
        </w:rPr>
        <w:t xml:space="preserve">” shall mean, for each Term Facility </w:t>
      </w:r>
      <w:r>
        <w:rPr>
          <w:rFonts w:ascii="Arial" w:cs="Arial" w:eastAsia="Arial" w:hAnsi="Arial"/>
          <w:sz w:val="17"/>
          <w:szCs w:val="17"/>
          <w:b w:val="1"/>
          <w:bCs w:val="1"/>
          <w:u w:val="single" w:color="auto"/>
          <w:color w:val="0000FF"/>
        </w:rPr>
        <w:t>II</w:t>
      </w:r>
      <w:r>
        <w:rPr>
          <w:rFonts w:ascii="Arial" w:cs="Arial" w:eastAsia="Arial" w:hAnsi="Arial"/>
          <w:sz w:val="17"/>
          <w:szCs w:val="17"/>
          <w:color w:val="auto"/>
        </w:rPr>
        <w:t xml:space="preserve"> Lender, </w:t>
      </w:r>
      <w:r>
        <w:rPr>
          <w:rFonts w:ascii="Arial" w:cs="Arial" w:eastAsia="Arial" w:hAnsi="Arial"/>
          <w:sz w:val="17"/>
          <w:szCs w:val="17"/>
          <w:b w:val="1"/>
          <w:bCs w:val="1"/>
          <w:color w:val="FF0000"/>
          <w:strike w:val="1"/>
        </w:rPr>
        <w:t>its Tranche A</w:t>
      </w:r>
      <w:r>
        <w:rPr>
          <w:rFonts w:ascii="Arial" w:cs="Arial" w:eastAsia="Arial" w:hAnsi="Arial"/>
          <w:sz w:val="17"/>
          <w:szCs w:val="17"/>
          <w:b w:val="1"/>
          <w:bCs w:val="1"/>
          <w:u w:val="single" w:color="auto"/>
          <w:color w:val="0000FF"/>
        </w:rPr>
        <w:t>the obligation of such Lender to make</w:t>
      </w:r>
      <w:r>
        <w:rPr>
          <w:rFonts w:ascii="Arial" w:cs="Arial" w:eastAsia="Arial" w:hAnsi="Arial"/>
          <w:sz w:val="17"/>
          <w:szCs w:val="17"/>
          <w:color w:val="auto"/>
        </w:rPr>
        <w:t xml:space="preserve"> Term Facility </w:t>
      </w:r>
      <w:r>
        <w:rPr>
          <w:rFonts w:ascii="Arial" w:cs="Arial" w:eastAsia="Arial" w:hAnsi="Arial"/>
          <w:sz w:val="17"/>
          <w:szCs w:val="17"/>
          <w:b w:val="1"/>
          <w:bCs w:val="1"/>
          <w:color w:val="FF0000"/>
          <w:strike w:val="1"/>
        </w:rPr>
        <w:t>Commitment, Tranche B</w:t>
      </w:r>
      <w:r>
        <w:rPr>
          <w:rFonts w:ascii="Arial" w:cs="Arial" w:eastAsia="Arial" w:hAnsi="Arial"/>
          <w:sz w:val="17"/>
          <w:szCs w:val="17"/>
          <w:b w:val="1"/>
          <w:bCs w:val="1"/>
          <w:u w:val="single" w:color="auto"/>
          <w:color w:val="0000FF"/>
        </w:rPr>
        <w:t>II Loans pursuant to Section 2.01(d) hereof during the</w:t>
      </w:r>
      <w:r>
        <w:rPr>
          <w:rFonts w:ascii="Arial" w:cs="Arial" w:eastAsia="Arial" w:hAnsi="Arial"/>
          <w:sz w:val="17"/>
          <w:szCs w:val="17"/>
          <w:b w:val="1"/>
          <w:bCs w:val="1"/>
          <w:color w:val="FF0000"/>
        </w:rPr>
        <w:t xml:space="preserve"> </w:t>
      </w:r>
      <w:r>
        <w:rPr>
          <w:rFonts w:ascii="Arial" w:cs="Arial" w:eastAsia="Arial" w:hAnsi="Arial"/>
          <w:sz w:val="17"/>
          <w:szCs w:val="17"/>
          <w:color w:val="000000"/>
        </w:rPr>
        <w:t>Term Facility</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Commitment, Tranche C</w:t>
      </w:r>
      <w:r>
        <w:rPr>
          <w:rFonts w:ascii="Arial" w:cs="Arial" w:eastAsia="Arial" w:hAnsi="Arial"/>
          <w:sz w:val="17"/>
          <w:szCs w:val="17"/>
          <w:b w:val="1"/>
          <w:bCs w:val="1"/>
          <w:u w:val="single" w:color="auto"/>
          <w:color w:val="0000FF"/>
        </w:rPr>
        <w:t>II Availability Period in a</w:t>
      </w:r>
      <w:r>
        <w:rPr>
          <w:rFonts w:ascii="Arial" w:cs="Arial" w:eastAsia="Arial" w:hAnsi="Arial"/>
          <w:sz w:val="17"/>
          <w:szCs w:val="17"/>
          <w:b w:val="1"/>
          <w:bCs w:val="1"/>
          <w:color w:val="FF0000"/>
        </w:rPr>
        <w:t xml:space="preserve"> </w:t>
      </w:r>
      <w:r>
        <w:rPr>
          <w:rFonts w:ascii="Arial" w:cs="Arial" w:eastAsia="Arial" w:hAnsi="Arial"/>
          <w:sz w:val="17"/>
          <w:szCs w:val="17"/>
          <w:b w:val="1"/>
          <w:bCs w:val="1"/>
          <w:u w:val="single" w:color="auto"/>
          <w:color w:val="0000FF"/>
        </w:rPr>
        <w:t>principal amount not to exceed the amount of such</w:t>
      </w:r>
      <w:r>
        <w:rPr>
          <w:rFonts w:ascii="Arial" w:cs="Arial" w:eastAsia="Arial" w:hAnsi="Arial"/>
          <w:sz w:val="17"/>
          <w:szCs w:val="17"/>
          <w:b w:val="1"/>
          <w:bCs w:val="1"/>
          <w:color w:val="0000FF"/>
        </w:rPr>
        <w:t xml:space="preserve"> </w:t>
      </w:r>
      <w:r>
        <w:rPr>
          <w:rFonts w:ascii="Arial" w:cs="Arial" w:eastAsia="Arial" w:hAnsi="Arial"/>
          <w:sz w:val="17"/>
          <w:szCs w:val="17"/>
          <w:color w:val="000000"/>
        </w:rPr>
        <w:t>Term Facility</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Commitment and/or Tranche D</w:t>
      </w:r>
      <w:r>
        <w:rPr>
          <w:rFonts w:ascii="Arial" w:cs="Arial" w:eastAsia="Arial" w:hAnsi="Arial"/>
          <w:sz w:val="17"/>
          <w:szCs w:val="17"/>
          <w:b w:val="1"/>
          <w:bCs w:val="1"/>
          <w:u w:val="single" w:color="auto"/>
          <w:color w:val="0000FF"/>
        </w:rPr>
        <w:t>II Lender’s</w:t>
      </w:r>
      <w:r>
        <w:rPr>
          <w:rFonts w:ascii="Arial" w:cs="Arial" w:eastAsia="Arial" w:hAnsi="Arial"/>
          <w:sz w:val="17"/>
          <w:szCs w:val="17"/>
          <w:b w:val="1"/>
          <w:bCs w:val="1"/>
          <w:color w:val="0000FF"/>
        </w:rPr>
        <w:t xml:space="preserve"> </w:t>
      </w:r>
      <w:r>
        <w:rPr>
          <w:rFonts w:ascii="Arial" w:cs="Arial" w:eastAsia="Arial" w:hAnsi="Arial"/>
          <w:sz w:val="17"/>
          <w:szCs w:val="17"/>
          <w:color w:val="000000"/>
        </w:rPr>
        <w:t>Term Facility</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Commitment, as</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applicable</w:t>
      </w:r>
      <w:r>
        <w:rPr>
          <w:rFonts w:ascii="Arial" w:cs="Arial" w:eastAsia="Arial" w:hAnsi="Arial"/>
          <w:sz w:val="17"/>
          <w:szCs w:val="17"/>
          <w:b w:val="1"/>
          <w:bCs w:val="1"/>
          <w:u w:val="single" w:color="auto"/>
          <w:color w:val="0000FF"/>
          <w:strike w:val="1"/>
        </w:rPr>
        <w:t>II Commitments as set forth in the Fourth Amendment or as set forth in the Assignment Agreement pursuant to which such Lender</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u w:val="single" w:color="auto"/>
          <w:color w:val="0000FF"/>
          <w:strike w:val="1"/>
        </w:rPr>
        <w:t>assumed its Term Facility II Commitment, as applicable, as the same may be (a) changed pursuant to Section 13.05(b) or (b) reduced or terminated from time to time pursuant to Section 2.04 or Section 11.01</w:t>
      </w:r>
      <w:r>
        <w:rPr>
          <w:rFonts w:ascii="Arial" w:cs="Arial" w:eastAsia="Arial" w:hAnsi="Arial"/>
          <w:sz w:val="17"/>
          <w:szCs w:val="17"/>
          <w:color w:val="000000"/>
          <w:strike w:val="1"/>
        </w:rPr>
        <w:t>. The aggregate principal amount of the Term Facility</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u w:val="single" w:color="auto"/>
          <w:color w:val="0000FF"/>
          <w:strike w:val="1"/>
        </w:rPr>
        <w:t>II</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Commitments of all Term Facility</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u w:val="single" w:color="auto"/>
          <w:color w:val="0000FF"/>
          <w:strike w:val="1"/>
        </w:rPr>
        <w:t>II</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 xml:space="preserve">Lenders on the </w:t>
      </w:r>
      <w:r>
        <w:rPr>
          <w:rFonts w:ascii="Arial" w:cs="Arial" w:eastAsia="Arial" w:hAnsi="Arial"/>
          <w:sz w:val="17"/>
          <w:szCs w:val="17"/>
          <w:b w:val="1"/>
          <w:bCs w:val="1"/>
          <w:color w:val="FF0000"/>
          <w:strike w:val="1"/>
        </w:rPr>
        <w:t>Third</w:t>
      </w:r>
      <w:r>
        <w:rPr>
          <w:rFonts w:ascii="Arial" w:cs="Arial" w:eastAsia="Arial" w:hAnsi="Arial"/>
          <w:sz w:val="17"/>
          <w:szCs w:val="17"/>
          <w:b w:val="1"/>
          <w:bCs w:val="1"/>
          <w:u w:val="single" w:color="auto"/>
          <w:color w:val="0000FF"/>
          <w:strike w:val="1"/>
        </w:rPr>
        <w:t>Fourth</w:t>
      </w:r>
      <w:r>
        <w:rPr>
          <w:rFonts w:ascii="Arial" w:cs="Arial" w:eastAsia="Arial" w:hAnsi="Arial"/>
          <w:sz w:val="17"/>
          <w:szCs w:val="17"/>
          <w:color w:val="000000"/>
          <w:strike w:val="1"/>
        </w:rPr>
        <w:t xml:space="preserve"> Amendment Effective Date is $</w:t>
      </w:r>
      <w:r>
        <w:rPr>
          <w:rFonts w:ascii="Arial" w:cs="Arial" w:eastAsia="Arial" w:hAnsi="Arial"/>
          <w:sz w:val="17"/>
          <w:szCs w:val="17"/>
          <w:b w:val="1"/>
          <w:bCs w:val="1"/>
          <w:color w:val="FF0000"/>
          <w:strike w:val="1"/>
        </w:rPr>
        <w:t>875.0 million</w:t>
      </w:r>
      <w:r>
        <w:rPr>
          <w:rFonts w:ascii="Arial" w:cs="Arial" w:eastAsia="Arial" w:hAnsi="Arial"/>
          <w:sz w:val="17"/>
          <w:szCs w:val="17"/>
          <w:b w:val="1"/>
          <w:bCs w:val="1"/>
          <w:u w:val="single" w:color="auto"/>
          <w:color w:val="0000FF"/>
          <w:strike w:val="1"/>
        </w:rPr>
        <w:t>125,000,000</w:t>
      </w:r>
      <w:r>
        <w:rPr>
          <w:rFonts w:ascii="Arial" w:cs="Arial" w:eastAsia="Arial" w:hAnsi="Arial"/>
          <w:sz w:val="17"/>
          <w:szCs w:val="17"/>
          <w:color w:val="000000"/>
          <w:strike w:val="1"/>
        </w:rPr>
        <w:t>.</w:t>
      </w:r>
    </w:p>
    <w:p>
      <w:pPr>
        <w:spacing w:after="0" w:line="17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Facility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II</w:t>
      </w:r>
      <w:r>
        <w:rPr>
          <w:rFonts w:ascii="Arial" w:cs="Arial" w:eastAsia="Arial" w:hAnsi="Arial"/>
          <w:sz w:val="17"/>
          <w:szCs w:val="17"/>
          <w:color w:val="auto"/>
        </w:rPr>
        <w:t xml:space="preserve"> </w:t>
      </w:r>
      <w:r>
        <w:rPr>
          <w:rFonts w:ascii="Arial" w:cs="Arial" w:eastAsia="Arial" w:hAnsi="Arial"/>
          <w:sz w:val="17"/>
          <w:szCs w:val="17"/>
          <w:b w:val="1"/>
          <w:bCs w:val="1"/>
          <w:color w:val="auto"/>
        </w:rPr>
        <w:t>Lenders</w:t>
      </w:r>
      <w:r>
        <w:rPr>
          <w:rFonts w:ascii="Arial" w:cs="Arial" w:eastAsia="Arial" w:hAnsi="Arial"/>
          <w:sz w:val="17"/>
          <w:szCs w:val="17"/>
          <w:color w:val="auto"/>
        </w:rPr>
        <w:t>” shall mean (</w:t>
      </w:r>
      <w:r>
        <w:rPr>
          <w:rFonts w:ascii="Arial" w:cs="Arial" w:eastAsia="Arial" w:hAnsi="Arial"/>
          <w:sz w:val="17"/>
          <w:szCs w:val="17"/>
          <w:b w:val="1"/>
          <w:bCs w:val="1"/>
          <w:color w:val="FF0000"/>
          <w:strike w:val="1"/>
        </w:rPr>
        <w:t>a</w:t>
      </w:r>
      <w:r>
        <w:rPr>
          <w:rFonts w:ascii="Arial" w:cs="Arial" w:eastAsia="Arial" w:hAnsi="Arial"/>
          <w:sz w:val="17"/>
          <w:szCs w:val="17"/>
          <w:b w:val="1"/>
          <w:bCs w:val="1"/>
          <w:u w:val="single" w:color="auto"/>
          <w:color w:val="0000FF"/>
        </w:rPr>
        <w:t>i</w:t>
      </w:r>
      <w:r>
        <w:rPr>
          <w:rFonts w:ascii="Arial" w:cs="Arial" w:eastAsia="Arial" w:hAnsi="Arial"/>
          <w:sz w:val="17"/>
          <w:szCs w:val="17"/>
          <w:color w:val="auto"/>
        </w:rPr>
        <w:t xml:space="preserve">) in respect of </w:t>
      </w:r>
      <w:r>
        <w:rPr>
          <w:rFonts w:ascii="Arial" w:cs="Arial" w:eastAsia="Arial" w:hAnsi="Arial"/>
          <w:sz w:val="17"/>
          <w:szCs w:val="17"/>
          <w:b w:val="1"/>
          <w:bCs w:val="1"/>
          <w:color w:val="FF0000"/>
          <w:strike w:val="1"/>
        </w:rPr>
        <w:t>any unutilized</w:t>
      </w:r>
      <w:r>
        <w:rPr>
          <w:rFonts w:ascii="Arial" w:cs="Arial" w:eastAsia="Arial" w:hAnsi="Arial"/>
          <w:sz w:val="17"/>
          <w:szCs w:val="17"/>
          <w:color w:val="auto"/>
        </w:rPr>
        <w:t xml:space="preserve"> Term Facility </w:t>
      </w:r>
      <w:r>
        <w:rPr>
          <w:rFonts w:ascii="Arial" w:cs="Arial" w:eastAsia="Arial" w:hAnsi="Arial"/>
          <w:sz w:val="17"/>
          <w:szCs w:val="17"/>
          <w:b w:val="1"/>
          <w:bCs w:val="1"/>
          <w:u w:val="single" w:color="auto"/>
          <w:color w:val="0000FF"/>
        </w:rPr>
        <w:t>II</w:t>
      </w:r>
      <w:r>
        <w:rPr>
          <w:rFonts w:ascii="Arial" w:cs="Arial" w:eastAsia="Arial" w:hAnsi="Arial"/>
          <w:sz w:val="17"/>
          <w:szCs w:val="17"/>
          <w:color w:val="auto"/>
        </w:rPr>
        <w:t xml:space="preserve"> Commitments</w:t>
      </w:r>
      <w:r>
        <w:rPr>
          <w:rFonts w:ascii="Arial" w:cs="Arial" w:eastAsia="Arial" w:hAnsi="Arial"/>
          <w:sz w:val="17"/>
          <w:szCs w:val="17"/>
          <w:b w:val="1"/>
          <w:bCs w:val="1"/>
          <w:color w:val="FF0000"/>
          <w:strike w:val="1"/>
        </w:rPr>
        <w:t>, the Tranche 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 as of the Fourth</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Amendment Effective Date, the</w:t>
      </w:r>
      <w:r>
        <w:rPr>
          <w:rFonts w:ascii="Arial" w:cs="Arial" w:eastAsia="Arial" w:hAnsi="Arial"/>
          <w:sz w:val="17"/>
          <w:szCs w:val="17"/>
          <w:b w:val="1"/>
          <w:bCs w:val="1"/>
          <w:color w:val="0000FF"/>
        </w:rPr>
        <w:t xml:space="preserve"> </w:t>
      </w:r>
      <w:r>
        <w:rPr>
          <w:rFonts w:ascii="Arial" w:cs="Arial" w:eastAsia="Arial" w:hAnsi="Arial"/>
          <w:sz w:val="17"/>
          <w:szCs w:val="17"/>
          <w:color w:val="000000"/>
        </w:rPr>
        <w:t>Term Facility</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II</w:t>
      </w:r>
      <w:r>
        <w:rPr>
          <w:rFonts w:ascii="Arial" w:cs="Arial" w:eastAsia="Arial" w:hAnsi="Arial"/>
          <w:sz w:val="17"/>
          <w:szCs w:val="17"/>
          <w:b w:val="1"/>
          <w:bCs w:val="1"/>
          <w:color w:val="0000FF"/>
        </w:rPr>
        <w:t xml:space="preserve"> </w:t>
      </w:r>
      <w:r>
        <w:rPr>
          <w:rFonts w:ascii="Arial" w:cs="Arial" w:eastAsia="Arial" w:hAnsi="Arial"/>
          <w:sz w:val="17"/>
          <w:szCs w:val="17"/>
          <w:color w:val="000000"/>
        </w:rPr>
        <w:t>Lenders</w:t>
      </w:r>
      <w:r>
        <w:rPr>
          <w:rFonts w:ascii="Arial" w:cs="Arial" w:eastAsia="Arial" w:hAnsi="Arial"/>
          <w:sz w:val="17"/>
          <w:szCs w:val="17"/>
          <w:b w:val="1"/>
          <w:bCs w:val="1"/>
          <w:color w:val="FF0000"/>
          <w:strike w:val="1"/>
        </w:rPr>
        <w:t>, the Tranche B Term Facility Lenders, the Tranche C Term Facility Lenders and/or the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FF0000"/>
          <w:strike w:val="1"/>
        </w:rPr>
        <w:t xml:space="preserve">Tranche D Term Facility Lenders, as applicable, and (b) in respect of any Term Facility Loans, </w:t>
      </w:r>
      <w:r>
        <w:rPr>
          <w:rFonts w:ascii="Arial" w:cs="Arial" w:eastAsia="Arial" w:hAnsi="Arial"/>
          <w:sz w:val="18"/>
          <w:szCs w:val="18"/>
          <w:b w:val="1"/>
          <w:bCs w:val="1"/>
          <w:u w:val="single" w:color="auto"/>
          <w:color w:val="0000FF"/>
          <w:strike w:val="1"/>
        </w:rPr>
        <w:t>(as defined in the Fourth Amendment) and (b)</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0000FF"/>
          <w:strike w:val="1"/>
        </w:rPr>
        <w:t>thereafter,</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the Lenders from time to time holding any</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u w:val="single" w:color="auto"/>
          <w:color w:val="0000FF"/>
          <w:strike w:val="1"/>
        </w:rPr>
        <w:t>unutilized</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Term Facility</w:t>
      </w:r>
      <w:r>
        <w:rPr>
          <w:rFonts w:ascii="Arial" w:cs="Arial" w:eastAsia="Arial" w:hAnsi="Arial"/>
          <w:sz w:val="18"/>
          <w:szCs w:val="18"/>
          <w:b w:val="1"/>
          <w:bCs w:val="1"/>
          <w:color w:val="0000FF"/>
          <w:strike w:val="1"/>
        </w:rPr>
        <w:t xml:space="preserve"> </w:t>
      </w:r>
      <w:r>
        <w:rPr>
          <w:rFonts w:ascii="Arial" w:cs="Arial" w:eastAsia="Arial" w:hAnsi="Arial"/>
          <w:sz w:val="18"/>
          <w:szCs w:val="18"/>
          <w:b w:val="1"/>
          <w:bCs w:val="1"/>
          <w:color w:val="FF0000"/>
          <w:strike w:val="1"/>
        </w:rPr>
        <w:t>Loans</w:t>
      </w:r>
      <w:r>
        <w:rPr>
          <w:rFonts w:ascii="Arial" w:cs="Arial" w:eastAsia="Arial" w:hAnsi="Arial"/>
          <w:sz w:val="18"/>
          <w:szCs w:val="18"/>
          <w:b w:val="1"/>
          <w:bCs w:val="1"/>
          <w:u w:val="single" w:color="auto"/>
          <w:color w:val="0000FF"/>
          <w:strike w:val="1"/>
        </w:rPr>
        <w:t>II Commitments</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after giving effect to any assignments thereof</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permitted by Section 13.05(b)</w:t>
      </w:r>
      <w:r>
        <w:rPr>
          <w:rFonts w:ascii="Arial" w:cs="Arial" w:eastAsia="Arial" w:hAnsi="Arial"/>
          <w:sz w:val="18"/>
          <w:szCs w:val="18"/>
          <w:b w:val="1"/>
          <w:bCs w:val="1"/>
          <w:u w:val="single" w:color="auto"/>
          <w:color w:val="0000FF"/>
          <w:strike w:val="1"/>
        </w:rPr>
        <w:t>, and (ii) in respect of any Term Facility II Loans, the Lenders from time to time holding any Term Facility II Loans</w:t>
      </w:r>
      <w:r>
        <w:rPr>
          <w:rFonts w:ascii="Arial" w:cs="Arial" w:eastAsia="Arial" w:hAnsi="Arial"/>
          <w:sz w:val="18"/>
          <w:szCs w:val="18"/>
          <w:color w:val="000000"/>
          <w:strike w:val="1"/>
        </w:rPr>
        <w:t xml:space="preserve"> </w:t>
      </w:r>
      <w:r>
        <w:rPr>
          <w:rFonts w:ascii="Arial" w:cs="Arial" w:eastAsia="Arial" w:hAnsi="Arial"/>
          <w:sz w:val="18"/>
          <w:szCs w:val="18"/>
          <w:b w:val="1"/>
          <w:bCs w:val="1"/>
          <w:u w:val="single" w:color="auto"/>
          <w:color w:val="0000FF"/>
          <w:strike w:val="1"/>
        </w:rPr>
        <w:t>after giving effect to any assignments permitted by Section 13.05(b)</w:t>
      </w:r>
      <w:r>
        <w:rPr>
          <w:rFonts w:ascii="Arial" w:cs="Arial" w:eastAsia="Arial" w:hAnsi="Arial"/>
          <w:sz w:val="18"/>
          <w:szCs w:val="18"/>
          <w:color w:val="000000"/>
          <w:strike w:val="1"/>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II</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shall mean collectively, delayed draw term loans made pursuant to Section 2.01(</w:t>
      </w:r>
      <w:r>
        <w:rPr>
          <w:rFonts w:ascii="Arial" w:cs="Arial" w:eastAsia="Arial" w:hAnsi="Arial"/>
          <w:sz w:val="18"/>
          <w:szCs w:val="18"/>
          <w:b w:val="1"/>
          <w:bCs w:val="1"/>
          <w:color w:val="FF0000"/>
          <w:strike w:val="1"/>
        </w:rPr>
        <w:t>b</w:t>
      </w:r>
      <w:r>
        <w:rPr>
          <w:rFonts w:ascii="Arial" w:cs="Arial" w:eastAsia="Arial" w:hAnsi="Arial"/>
          <w:sz w:val="18"/>
          <w:szCs w:val="18"/>
          <w:b w:val="1"/>
          <w:bCs w:val="1"/>
          <w:u w:val="single" w:color="auto"/>
          <w:color w:val="0000FF"/>
        </w:rPr>
        <w:t>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0000"/>
          <w:strike w:val="1"/>
        </w:rPr>
        <w:t>“Term Facility Maturity Date” shall mean the date that is the sixth anniversary of the Closing Date.</w:t>
      </w:r>
    </w:p>
    <w:p>
      <w:pPr>
        <w:spacing w:after="0" w:line="22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II</w:t>
      </w:r>
      <w:r>
        <w:rPr>
          <w:rFonts w:ascii="Arial" w:cs="Arial" w:eastAsia="Arial" w:hAnsi="Arial"/>
          <w:sz w:val="18"/>
          <w:szCs w:val="18"/>
          <w:color w:val="auto"/>
        </w:rPr>
        <w:t xml:space="preserve"> </w:t>
      </w:r>
      <w:r>
        <w:rPr>
          <w:rFonts w:ascii="Arial" w:cs="Arial" w:eastAsia="Arial" w:hAnsi="Arial"/>
          <w:sz w:val="18"/>
          <w:szCs w:val="18"/>
          <w:b w:val="1"/>
          <w:bCs w:val="1"/>
          <w:color w:val="auto"/>
        </w:rPr>
        <w:t>Notes</w:t>
      </w:r>
      <w:r>
        <w:rPr>
          <w:rFonts w:ascii="Arial" w:cs="Arial" w:eastAsia="Arial" w:hAnsi="Arial"/>
          <w:sz w:val="18"/>
          <w:szCs w:val="18"/>
          <w:color w:val="auto"/>
        </w:rPr>
        <w:t xml:space="preserve">” shall mean the promissory notes substantially in the form of </w:t>
      </w:r>
      <w:r>
        <w:rPr>
          <w:rFonts w:ascii="Arial" w:cs="Arial" w:eastAsia="Arial" w:hAnsi="Arial"/>
          <w:sz w:val="18"/>
          <w:szCs w:val="18"/>
          <w:u w:val="single" w:color="auto"/>
          <w:color w:val="auto"/>
        </w:rPr>
        <w:t>Exhibit A</w:t>
      </w:r>
      <w:r>
        <w:rPr>
          <w:rFonts w:ascii="MS PGothic" w:cs="MS PGothic" w:eastAsia="MS PGothic" w:hAnsi="MS PGothic"/>
          <w:sz w:val="18"/>
          <w:szCs w:val="18"/>
          <w:u w:val="single" w:color="auto"/>
          <w:color w:val="auto"/>
        </w:rPr>
        <w:t>‑</w:t>
      </w:r>
      <w:r>
        <w:rPr>
          <w:rFonts w:ascii="Arial" w:cs="Arial" w:eastAsia="Arial" w:hAnsi="Arial"/>
          <w:sz w:val="18"/>
          <w:szCs w:val="18"/>
          <w:b w:val="1"/>
          <w:bCs w:val="1"/>
          <w:u w:val="single" w:color="auto"/>
          <w:color w:val="FF0000"/>
          <w:strike w:val="1"/>
        </w:rPr>
        <w:t>2</w:t>
      </w:r>
      <w:r>
        <w:rPr>
          <w:rFonts w:ascii="Arial" w:cs="Arial" w:eastAsia="Arial" w:hAnsi="Arial"/>
          <w:sz w:val="18"/>
          <w:szCs w:val="18"/>
          <w:b w:val="1"/>
          <w:bCs w:val="1"/>
          <w:u w:val="single" w:color="auto"/>
          <w:color w:val="0000FF"/>
        </w:rPr>
        <w:t>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u w:val="single" w:color="auto"/>
          <w:color w:val="0000FF"/>
        </w:rPr>
        <w:t>“Term Facility II Proportion” shall mean, on any day, a percentage equal to the aggregate amount of Term Facility II Loans outstanding on such date divided by the aggregate amount of Term Loans outstanding on such date.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Commitments</w:t>
      </w:r>
      <w:r>
        <w:rPr>
          <w:rFonts w:ascii="Arial" w:cs="Arial" w:eastAsia="Arial" w:hAnsi="Arial"/>
          <w:sz w:val="18"/>
          <w:szCs w:val="18"/>
          <w:color w:val="auto"/>
        </w:rPr>
        <w:t xml:space="preserve">” shall mean, collectively, (a) the Term Facility Commitments </w:t>
      </w:r>
      <w:r>
        <w:rPr>
          <w:rFonts w:ascii="Arial" w:cs="Arial" w:eastAsia="Arial" w:hAnsi="Arial"/>
          <w:sz w:val="18"/>
          <w:szCs w:val="18"/>
          <w:b w:val="1"/>
          <w:bCs w:val="1"/>
          <w:color w:val="FF0000"/>
          <w:strike w:val="1"/>
        </w:rPr>
        <w:t>and</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(b) </w:t>
      </w:r>
      <w:r>
        <w:rPr>
          <w:rFonts w:ascii="Arial" w:cs="Arial" w:eastAsia="Arial" w:hAnsi="Arial"/>
          <w:sz w:val="18"/>
          <w:szCs w:val="18"/>
          <w:b w:val="1"/>
          <w:bCs w:val="1"/>
          <w:u w:val="single" w:color="auto"/>
          <w:color w:val="0000FF"/>
        </w:rPr>
        <w:t>Term Facility II Commitments and (c)</w:t>
      </w:r>
      <w:r>
        <w:rPr>
          <w:rFonts w:ascii="Arial" w:cs="Arial" w:eastAsia="Arial" w:hAnsi="Arial"/>
          <w:sz w:val="18"/>
          <w:szCs w:val="18"/>
          <w:color w:val="auto"/>
        </w:rPr>
        <w:t xml:space="preserve"> any Other Term Loan Commitments.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Extension Request</w:t>
      </w:r>
      <w:r>
        <w:rPr>
          <w:rFonts w:ascii="Arial" w:cs="Arial" w:eastAsia="Arial" w:hAnsi="Arial"/>
          <w:sz w:val="18"/>
          <w:szCs w:val="18"/>
          <w:color w:val="auto"/>
        </w:rPr>
        <w:t>” shall have the meaning provided in Section 2.13(a).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Loans</w:t>
      </w:r>
      <w:r>
        <w:rPr>
          <w:rFonts w:ascii="Arial" w:cs="Arial" w:eastAsia="Arial" w:hAnsi="Arial"/>
          <w:sz w:val="16"/>
          <w:szCs w:val="16"/>
          <w:color w:val="auto"/>
        </w:rPr>
        <w:t xml:space="preserve">” shall mean, collectively, the Term Facility Loans, </w:t>
      </w:r>
      <w:r>
        <w:rPr>
          <w:rFonts w:ascii="Arial" w:cs="Arial" w:eastAsia="Arial" w:hAnsi="Arial"/>
          <w:sz w:val="16"/>
          <w:szCs w:val="16"/>
          <w:b w:val="1"/>
          <w:bCs w:val="1"/>
          <w:u w:val="single" w:color="auto"/>
          <w:color w:val="0000FF"/>
        </w:rPr>
        <w:t>the Term Facility II Loans,</w:t>
      </w:r>
      <w:r>
        <w:rPr>
          <w:rFonts w:ascii="Arial" w:cs="Arial" w:eastAsia="Arial" w:hAnsi="Arial"/>
          <w:sz w:val="16"/>
          <w:szCs w:val="16"/>
          <w:color w:val="auto"/>
        </w:rPr>
        <w:t xml:space="preserve"> any Extended Term Loans and any Other Term Loans.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96" w:right="239" w:bottom="1440" w:gutter="0" w:footer="0" w:header="0"/>
        </w:sectPr>
      </w:pPr>
    </w:p>
    <w:bookmarkStart w:id="131" w:name="page132"/>
    <w:bookmarkEnd w:id="131"/>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shall mean, for any date of determination, the period of the four most recently ended consecutive fiscal quarters of Borrower and its Restricted Subsidiaries for which quarterly or annual financial statements have been delivered or are required to have been delivered to Administrative Agent or have been filed with the SEC.</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Amendment</w:t>
      </w:r>
      <w:r>
        <w:rPr>
          <w:rFonts w:ascii="Arial" w:cs="Arial" w:eastAsia="Arial" w:hAnsi="Arial"/>
          <w:sz w:val="18"/>
          <w:szCs w:val="18"/>
          <w:color w:val="auto"/>
        </w:rPr>
        <w:t>” shall mean that certain Third Amendment to Credit Agreement, dated as of June 21, 2016, by and among Borrower, the Guarantors party thereto, Administrative Agent, Collateral Agent and the other parties party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Amendment Effective Date</w:t>
      </w:r>
      <w:r>
        <w:rPr>
          <w:rFonts w:ascii="Arial" w:cs="Arial" w:eastAsia="Arial" w:hAnsi="Arial"/>
          <w:sz w:val="18"/>
          <w:szCs w:val="18"/>
          <w:color w:val="auto"/>
        </w:rPr>
        <w:t>” shall mean the “Agreement Effective Date” as defined in the Third Amendment.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Revolving Commitments</w:t>
      </w:r>
      <w:r>
        <w:rPr>
          <w:rFonts w:ascii="Arial" w:cs="Arial" w:eastAsia="Arial" w:hAnsi="Arial"/>
          <w:sz w:val="18"/>
          <w:szCs w:val="18"/>
          <w:color w:val="auto"/>
        </w:rPr>
        <w:t>” shall mean, at any time, the Revolving Commitments of all the Revolving Lenders at such time. The Total Revolving Commitments on the Closing Date are $375.0 million.</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w:t>
      </w:r>
      <w:r>
        <w:rPr>
          <w:rFonts w:ascii="Arial" w:cs="Arial" w:eastAsia="Arial" w:hAnsi="Arial"/>
          <w:sz w:val="17"/>
          <w:szCs w:val="17"/>
          <w:color w:val="auto"/>
        </w:rPr>
        <w:t xml:space="preserve">” shall mean (i) when used with respect to the Lenders, each of the following classes of Lenders: (a) Lenders having Revolving Loans incurred pursuant to the Closing Date Revolving Commitment or Closing Date Revolving Commitments, (b) Lenders having such other Tranche of Revolving Loans or Revolving Commitments created pursuant to an Extension Amendment, (c) Lenders having Term Facility Loans, (d) Lenders having </w:t>
      </w:r>
      <w:r>
        <w:rPr>
          <w:rFonts w:ascii="Arial" w:cs="Arial" w:eastAsia="Arial" w:hAnsi="Arial"/>
          <w:sz w:val="17"/>
          <w:szCs w:val="17"/>
          <w:b w:val="1"/>
          <w:bCs w:val="1"/>
          <w:color w:val="FF0000"/>
          <w:strike w:val="1"/>
        </w:rPr>
        <w:t>Tranche A</w:t>
      </w:r>
      <w:r>
        <w:rPr>
          <w:rFonts w:ascii="Arial" w:cs="Arial" w:eastAsia="Arial" w:hAnsi="Arial"/>
          <w:sz w:val="17"/>
          <w:szCs w:val="17"/>
          <w:color w:val="auto"/>
        </w:rPr>
        <w:t xml:space="preserve"> Term Facility </w:t>
      </w:r>
      <w:r>
        <w:rPr>
          <w:rFonts w:ascii="Arial" w:cs="Arial" w:eastAsia="Arial" w:hAnsi="Arial"/>
          <w:sz w:val="17"/>
          <w:szCs w:val="17"/>
          <w:b w:val="1"/>
          <w:bCs w:val="1"/>
          <w:color w:val="FF0000"/>
          <w:strike w:val="1"/>
        </w:rPr>
        <w:t>Commitments</w:t>
      </w:r>
      <w:r>
        <w:rPr>
          <w:rFonts w:ascii="Arial" w:cs="Arial" w:eastAsia="Arial" w:hAnsi="Arial"/>
          <w:sz w:val="17"/>
          <w:szCs w:val="17"/>
          <w:b w:val="1"/>
          <w:bCs w:val="1"/>
          <w:u w:val="single" w:color="auto"/>
          <w:color w:val="0000FF"/>
        </w:rPr>
        <w:t>II Loans</w:t>
      </w:r>
      <w:r>
        <w:rPr>
          <w:rFonts w:ascii="Arial" w:cs="Arial" w:eastAsia="Arial" w:hAnsi="Arial"/>
          <w:sz w:val="17"/>
          <w:szCs w:val="17"/>
          <w:color w:val="auto"/>
        </w:rPr>
        <w:t xml:space="preserve">, (e) Lenders having Tranche </w:t>
      </w:r>
      <w:r>
        <w:rPr>
          <w:rFonts w:ascii="Arial" w:cs="Arial" w:eastAsia="Arial" w:hAnsi="Arial"/>
          <w:sz w:val="17"/>
          <w:szCs w:val="17"/>
          <w:b w:val="1"/>
          <w:bCs w:val="1"/>
          <w:color w:val="FF0000"/>
          <w:strike w:val="1"/>
        </w:rPr>
        <w:t>B</w:t>
      </w:r>
      <w:r>
        <w:rPr>
          <w:rFonts w:ascii="Arial" w:cs="Arial" w:eastAsia="Arial" w:hAnsi="Arial"/>
          <w:sz w:val="17"/>
          <w:szCs w:val="17"/>
          <w:b w:val="1"/>
          <w:bCs w:val="1"/>
          <w:u w:val="single" w:color="auto"/>
          <w:color w:val="0000FF"/>
        </w:rPr>
        <w:t>D</w:t>
      </w:r>
      <w:r>
        <w:rPr>
          <w:rFonts w:ascii="Arial" w:cs="Arial" w:eastAsia="Arial" w:hAnsi="Arial"/>
          <w:sz w:val="17"/>
          <w:szCs w:val="17"/>
          <w:color w:val="auto"/>
        </w:rPr>
        <w:t xml:space="preserve"> Term Facility Commitments, (f) Lenders having </w:t>
      </w:r>
      <w:r>
        <w:rPr>
          <w:rFonts w:ascii="Arial" w:cs="Arial" w:eastAsia="Arial" w:hAnsi="Arial"/>
          <w:sz w:val="17"/>
          <w:szCs w:val="17"/>
          <w:b w:val="1"/>
          <w:bCs w:val="1"/>
          <w:color w:val="FF0000"/>
          <w:strike w:val="1"/>
        </w:rPr>
        <w:t>Tranche C</w:t>
      </w:r>
      <w:r>
        <w:rPr>
          <w:rFonts w:ascii="Arial" w:cs="Arial" w:eastAsia="Arial" w:hAnsi="Arial"/>
          <w:sz w:val="17"/>
          <w:szCs w:val="17"/>
          <w:color w:val="auto"/>
        </w:rPr>
        <w:t xml:space="preserve"> Term Facility </w:t>
      </w:r>
      <w:r>
        <w:rPr>
          <w:rFonts w:ascii="Arial" w:cs="Arial" w:eastAsia="Arial" w:hAnsi="Arial"/>
          <w:sz w:val="17"/>
          <w:szCs w:val="17"/>
          <w:b w:val="1"/>
          <w:bCs w:val="1"/>
          <w:color w:val="FF0000"/>
          <w:strike w:val="1"/>
        </w:rPr>
        <w:t>Commitments, (g) Lenders having Tranche D Term Facility</w:t>
      </w:r>
      <w:r>
        <w:rPr>
          <w:rFonts w:ascii="Arial" w:cs="Arial" w:eastAsia="Arial" w:hAnsi="Arial"/>
          <w:sz w:val="17"/>
          <w:szCs w:val="17"/>
          <w:b w:val="1"/>
          <w:bCs w:val="1"/>
          <w:u w:val="single" w:color="auto"/>
          <w:color w:val="0000FF"/>
        </w:rPr>
        <w:t>II</w:t>
      </w:r>
      <w:r>
        <w:rPr>
          <w:rFonts w:ascii="Arial" w:cs="Arial" w:eastAsia="Arial" w:hAnsi="Arial"/>
          <w:sz w:val="17"/>
          <w:szCs w:val="17"/>
          <w:b w:val="1"/>
          <w:bCs w:val="1"/>
          <w:color w:val="FF0000"/>
        </w:rPr>
        <w:t xml:space="preserve"> </w:t>
      </w:r>
      <w:r>
        <w:rPr>
          <w:rFonts w:ascii="Arial" w:cs="Arial" w:eastAsia="Arial" w:hAnsi="Arial"/>
          <w:sz w:val="17"/>
          <w:szCs w:val="17"/>
          <w:color w:val="000000"/>
        </w:rPr>
        <w:t>Commitments and (</w:t>
      </w:r>
      <w:r>
        <w:rPr>
          <w:rFonts w:ascii="Arial" w:cs="Arial" w:eastAsia="Arial" w:hAnsi="Arial"/>
          <w:sz w:val="17"/>
          <w:szCs w:val="17"/>
          <w:b w:val="1"/>
          <w:bCs w:val="1"/>
          <w:color w:val="FF0000"/>
          <w:strike w:val="1"/>
        </w:rPr>
        <w:t>h</w:t>
      </w:r>
      <w:r>
        <w:rPr>
          <w:rFonts w:ascii="Arial" w:cs="Arial" w:eastAsia="Arial" w:hAnsi="Arial"/>
          <w:sz w:val="17"/>
          <w:szCs w:val="17"/>
          <w:b w:val="1"/>
          <w:bCs w:val="1"/>
          <w:u w:val="single" w:color="auto"/>
          <w:color w:val="0000FF"/>
        </w:rPr>
        <w:t>g</w:t>
      </w:r>
      <w:r>
        <w:rPr>
          <w:rFonts w:ascii="Arial" w:cs="Arial" w:eastAsia="Arial" w:hAnsi="Arial"/>
          <w:sz w:val="17"/>
          <w:szCs w:val="17"/>
          <w:color w:val="000000"/>
        </w:rPr>
        <w:t>) Lenders having such other Tranche of Term Loans or Term Loan</w:t>
      </w:r>
      <w:r>
        <w:rPr>
          <w:rFonts w:ascii="Arial" w:cs="Arial" w:eastAsia="Arial" w:hAnsi="Arial"/>
          <w:sz w:val="17"/>
          <w:szCs w:val="17"/>
          <w:b w:val="1"/>
          <w:bCs w:val="1"/>
          <w:color w:val="FF0000"/>
        </w:rPr>
        <w:t xml:space="preserve"> </w:t>
      </w:r>
      <w:r>
        <w:rPr>
          <w:rFonts w:ascii="Arial" w:cs="Arial" w:eastAsia="Arial" w:hAnsi="Arial"/>
          <w:sz w:val="17"/>
          <w:szCs w:val="17"/>
          <w:color w:val="000000"/>
        </w:rPr>
        <w:t xml:space="preserve">Commitments created pursuant to an Extension Amendment or Refinancing Amendment, and (ii) when used with respect to Loans or Commitments, each of the following classes of Loans or Commitments: (a) Revolving Loans incurred pursuant to the Closing Date Revolving Commitment or Closing Date Revolving Commitments, (b) such other Tranche of Revolving Loans or Revolving Commitments created pursuant to an Extension Amendment, (c) Term Facility Loans, (d) </w:t>
      </w:r>
      <w:r>
        <w:rPr>
          <w:rFonts w:ascii="Arial" w:cs="Arial" w:eastAsia="Arial" w:hAnsi="Arial"/>
          <w:sz w:val="17"/>
          <w:szCs w:val="17"/>
          <w:b w:val="1"/>
          <w:bCs w:val="1"/>
          <w:color w:val="FF0000"/>
          <w:strike w:val="1"/>
        </w:rPr>
        <w:t>Tranche A</w:t>
      </w:r>
      <w:r>
        <w:rPr>
          <w:rFonts w:ascii="Arial" w:cs="Arial" w:eastAsia="Arial" w:hAnsi="Arial"/>
          <w:sz w:val="17"/>
          <w:szCs w:val="17"/>
          <w:color w:val="000000"/>
        </w:rPr>
        <w:t xml:space="preserve"> Term Facility </w:t>
      </w:r>
      <w:r>
        <w:rPr>
          <w:rFonts w:ascii="Arial" w:cs="Arial" w:eastAsia="Arial" w:hAnsi="Arial"/>
          <w:sz w:val="17"/>
          <w:szCs w:val="17"/>
          <w:b w:val="1"/>
          <w:bCs w:val="1"/>
          <w:color w:val="FF0000"/>
          <w:strike w:val="1"/>
        </w:rPr>
        <w:t>Commitments</w:t>
      </w:r>
      <w:r>
        <w:rPr>
          <w:rFonts w:ascii="Arial" w:cs="Arial" w:eastAsia="Arial" w:hAnsi="Arial"/>
          <w:sz w:val="17"/>
          <w:szCs w:val="17"/>
          <w:b w:val="1"/>
          <w:bCs w:val="1"/>
          <w:u w:val="single" w:color="auto"/>
          <w:color w:val="0000FF"/>
        </w:rPr>
        <w:t>II Loans</w:t>
      </w:r>
      <w:r>
        <w:rPr>
          <w:rFonts w:ascii="Arial" w:cs="Arial" w:eastAsia="Arial" w:hAnsi="Arial"/>
          <w:sz w:val="17"/>
          <w:szCs w:val="17"/>
          <w:color w:val="000000"/>
        </w:rPr>
        <w:t xml:space="preserve">, (e) </w:t>
      </w:r>
      <w:r>
        <w:rPr>
          <w:rFonts w:ascii="Arial" w:cs="Arial" w:eastAsia="Arial" w:hAnsi="Arial"/>
          <w:sz w:val="17"/>
          <w:szCs w:val="17"/>
          <w:b w:val="1"/>
          <w:bCs w:val="1"/>
          <w:color w:val="FF0000"/>
          <w:strike w:val="1"/>
        </w:rPr>
        <w:t>Tranche B</w:t>
      </w:r>
      <w:r>
        <w:rPr>
          <w:rFonts w:ascii="Arial" w:cs="Arial" w:eastAsia="Arial" w:hAnsi="Arial"/>
          <w:sz w:val="17"/>
          <w:szCs w:val="17"/>
          <w:color w:val="000000"/>
        </w:rPr>
        <w:t xml:space="preserve"> Term Facility </w:t>
      </w:r>
      <w:r>
        <w:rPr>
          <w:rFonts w:ascii="Arial" w:cs="Arial" w:eastAsia="Arial" w:hAnsi="Arial"/>
          <w:sz w:val="17"/>
          <w:szCs w:val="17"/>
          <w:b w:val="1"/>
          <w:bCs w:val="1"/>
          <w:u w:val="single" w:color="auto"/>
          <w:color w:val="0000FF"/>
        </w:rPr>
        <w:t>II</w:t>
      </w:r>
      <w:r>
        <w:rPr>
          <w:rFonts w:ascii="Arial" w:cs="Arial" w:eastAsia="Arial" w:hAnsi="Arial"/>
          <w:sz w:val="17"/>
          <w:szCs w:val="17"/>
          <w:color w:val="000000"/>
        </w:rPr>
        <w:t xml:space="preserve"> Commitments, (f</w:t>
      </w:r>
      <w:r>
        <w:rPr>
          <w:rFonts w:ascii="Arial" w:cs="Arial" w:eastAsia="Arial" w:hAnsi="Arial"/>
          <w:sz w:val="17"/>
          <w:szCs w:val="17"/>
          <w:b w:val="1"/>
          <w:bCs w:val="1"/>
          <w:color w:val="FF0000"/>
          <w:strike w:val="1"/>
        </w:rPr>
        <w:t>) Tranche C Term Facility</w:t>
      </w:r>
      <w:r>
        <w:rPr>
          <w:rFonts w:ascii="Arial" w:cs="Arial" w:eastAsia="Arial" w:hAnsi="Arial"/>
          <w:sz w:val="17"/>
          <w:szCs w:val="17"/>
          <w:color w:val="000000"/>
        </w:rPr>
        <w:t xml:space="preserve"> </w:t>
      </w:r>
      <w:r>
        <w:rPr>
          <w:rFonts w:ascii="Arial" w:cs="Arial" w:eastAsia="Arial" w:hAnsi="Arial"/>
          <w:sz w:val="17"/>
          <w:szCs w:val="17"/>
          <w:b w:val="1"/>
          <w:bCs w:val="1"/>
          <w:color w:val="FF0000"/>
          <w:strike w:val="1"/>
        </w:rPr>
        <w:t>Commitments, (g</w:t>
      </w:r>
      <w:r>
        <w:rPr>
          <w:rFonts w:ascii="Arial" w:cs="Arial" w:eastAsia="Arial" w:hAnsi="Arial"/>
          <w:sz w:val="17"/>
          <w:szCs w:val="17"/>
          <w:color w:val="000000"/>
        </w:rPr>
        <w:t>) Tranche D Term Facility Commitments and (</w:t>
      </w:r>
      <w:r>
        <w:rPr>
          <w:rFonts w:ascii="Arial" w:cs="Arial" w:eastAsia="Arial" w:hAnsi="Arial"/>
          <w:sz w:val="17"/>
          <w:szCs w:val="17"/>
          <w:b w:val="1"/>
          <w:bCs w:val="1"/>
          <w:color w:val="FF0000"/>
          <w:strike w:val="1"/>
        </w:rPr>
        <w:t>h</w:t>
      </w:r>
      <w:r>
        <w:rPr>
          <w:rFonts w:ascii="Arial" w:cs="Arial" w:eastAsia="Arial" w:hAnsi="Arial"/>
          <w:sz w:val="17"/>
          <w:szCs w:val="17"/>
          <w:b w:val="1"/>
          <w:bCs w:val="1"/>
          <w:u w:val="single" w:color="auto"/>
          <w:color w:val="0000FF"/>
        </w:rPr>
        <w:t>g</w:t>
      </w:r>
      <w:r>
        <w:rPr>
          <w:rFonts w:ascii="Arial" w:cs="Arial" w:eastAsia="Arial" w:hAnsi="Arial"/>
          <w:sz w:val="17"/>
          <w:szCs w:val="17"/>
          <w:color w:val="000000"/>
        </w:rPr>
        <w:t>) such other Tranche of Term Loans or Term Loan Commitments created pursuant to an</w:t>
      </w:r>
      <w:r>
        <w:rPr>
          <w:rFonts w:ascii="Arial" w:cs="Arial" w:eastAsia="Arial" w:hAnsi="Arial"/>
          <w:sz w:val="17"/>
          <w:szCs w:val="17"/>
          <w:b w:val="1"/>
          <w:bCs w:val="1"/>
          <w:color w:val="FF0000"/>
        </w:rPr>
        <w:t xml:space="preserve"> </w:t>
      </w:r>
      <w:r>
        <w:rPr>
          <w:rFonts w:ascii="Arial" w:cs="Arial" w:eastAsia="Arial" w:hAnsi="Arial"/>
          <w:sz w:val="17"/>
          <w:szCs w:val="17"/>
          <w:color w:val="000000"/>
        </w:rPr>
        <w:t>Extension Amendment or Refinancing Amendment.</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FF0000"/>
          <w:strike w:val="1"/>
        </w:rPr>
        <w:t>“Tranche A Term Facility Commitment” shall mean, for each Tranche A Term Facility Lender, the obligation of such Lender to make Term Facility Loans pursuant to Section 2.01(b)(i) hereof during the applicable Term Facility Availability Period in a principal amount not to exceed the amount of such Tranche A Term Facility Lender’s Term Facility Commitments (as defined in the Existing Credit Agreement) immediately prior to the First Amendment Effective Date or as set forth in the Assignment Agreement pursuant to which such Lender assumed its Tranche A Term Facility Commitment, as applicable, as the same may be (a) changed pursuant to Section 13.05(b) or (b) reduced or terminated from time to time pursuant to Section 2.04 or Section 11.01. The aggregate principal amount of the Tranche A Term Facility Commitments of all Tranche A Term Facility Lenders on the First Amendment Effective Date is $70,000,000.00.</w:t>
      </w:r>
    </w:p>
    <w:p>
      <w:pPr>
        <w:spacing w:after="0" w:line="17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FF0000"/>
          <w:strike w:val="1"/>
        </w:rPr>
        <w:t>“Tranche A Term Facility Lenders” shall mean (a) as of the First Amendment Effective Date, the Lenders having Term Facility Commitments other than the Tranche B Term Facility Lenders and the Tranche C Term Facility Lenders and (b) thereafter, the Lenders from time to time holding any unutilized Tranche A Term Facility Commitments after giving effect to any assignments thereof permitted by Section 13.05(b).</w:t>
      </w:r>
    </w:p>
    <w:p>
      <w:pPr>
        <w:spacing w:after="0" w:line="1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FF0000"/>
          <w:strike w:val="1"/>
        </w:rPr>
        <w:t>“Tranche B Term Facility Commitment” shall mean, for each Tranche B Term Facility Lender, the obligation of such Lender to make Term Facility Loans pursuant to Section 2.01(b)(ii) hereof during the applicable Term Facility Availability Period in a principal amount not to exceed the amount of such Tranche B Term Facility Lender’s Term Facility Commitments (as defined in the Existing Credit Agreement) immediately prior to the First Amendment Effective Date or as set forth in the Assignment Agreement pursuant to which such Lender assumed its Tranche B Term Facility Commitment, as applicable, as the same may be (a) changed pursuant to Section 13.05(b) or (b) reduced or terminated from time to time pursuant to Section 2.04 or Section 11.01. The aggregate principal amount of the Tranche B Term Facility Commitments of all Tranche B Term Facility Lenders on the First Amendment Effective Date is $100,333,333.34.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96" w:right="239" w:bottom="1440" w:gutter="0" w:footer="0" w:header="0"/>
        </w:sectPr>
      </w:pPr>
    </w:p>
    <w:bookmarkStart w:id="132" w:name="page133"/>
    <w:bookmarkEnd w:id="132"/>
    <w:p>
      <w:pPr>
        <w:jc w:val="both"/>
        <w:ind w:firstLine="648"/>
        <w:spacing w:after="0" w:line="255" w:lineRule="auto"/>
        <w:rPr>
          <w:sz w:val="20"/>
          <w:szCs w:val="20"/>
          <w:color w:val="auto"/>
        </w:rPr>
      </w:pPr>
      <w:r>
        <w:rPr>
          <w:rFonts w:ascii="Arial" w:cs="Arial" w:eastAsia="Arial" w:hAnsi="Arial"/>
          <w:sz w:val="18"/>
          <w:szCs w:val="18"/>
          <w:b w:val="1"/>
          <w:bCs w:val="1"/>
          <w:color w:val="FF0000"/>
          <w:strike w:val="1"/>
        </w:rPr>
        <w:t>“Tranche B Term Facility Lenders” shall mean (a) as of the First Amendment Effective Date, the Consenting Lenders (as defined in the First Amendment) electing “Extension Option 1” in their respective Consenting Lender Agreements (as defined in the First Amendment) and (b) thereafter, the Lenders from time to time holding any unutilized Tranche B Term Facility Commitments after giving effect to any assignments thereof permitted by Section 13.05(b).</w:t>
      </w:r>
    </w:p>
    <w:p>
      <w:pPr>
        <w:spacing w:after="0" w:line="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FF0000"/>
          <w:strike w:val="1"/>
        </w:rPr>
        <w:t xml:space="preserve">“Tranche C Term Facility Commitment” shall mean, for each Tranche C Term Facility Lender, the obligation of such Lender to make Term Facility Loans pursuant to Section 2.01(b)(iii) hereof during the applicable Term Facility Availability Period in a principal amount not to exceed the amount of such Tranche C Term Facility Lender’s Tranche C Term Facility Commitments (as defined in the Existing Credit Agreement) immediately prior to the Third Amendment Effective Date (or, in a principal amount not to exceed the amount of such Tranche C Term Facility Lender’s Tranche C Term Facility Commitments (as defined in the Existing Credit Agreement) immediately prior to the Third Amendment Effective Date </w:t>
      </w:r>
      <w:r>
        <w:rPr>
          <w:rFonts w:ascii="Arial" w:cs="Arial" w:eastAsia="Arial" w:hAnsi="Arial"/>
          <w:sz w:val="17"/>
          <w:szCs w:val="17"/>
          <w:b w:val="1"/>
          <w:bCs w:val="1"/>
          <w:i w:val="1"/>
          <w:iCs w:val="1"/>
          <w:color w:val="FF0000"/>
          <w:strike w:val="1"/>
        </w:rPr>
        <w:t>minus</w:t>
      </w:r>
      <w:r>
        <w:rPr>
          <w:rFonts w:ascii="Arial" w:cs="Arial" w:eastAsia="Arial" w:hAnsi="Arial"/>
          <w:sz w:val="17"/>
          <w:szCs w:val="17"/>
          <w:b w:val="1"/>
          <w:bCs w:val="1"/>
          <w:color w:val="FF0000"/>
          <w:strike w:val="1"/>
        </w:rPr>
        <w:t xml:space="preserve"> such Lender’s Partial Tranche D Term Facility Commitment Amount) or as set forth in the Assignment Agreement pursuant to which such Lender assumed its Tranche C Term Facility Commitment, as applicable, as the same may be (a) changed pursuant to Section 13.05(b) or (b) reduced or terminated from time to time pursuant to Section 2.04 or Section 11.01. The aggregate principal amount of the Tranche C Term Facility Commitments of all Tranche C Term Facility Lenders as of the Third Amendment Effective Date is $135,333,333.33 </w:t>
      </w:r>
      <w:r>
        <w:rPr>
          <w:rFonts w:ascii="Arial" w:cs="Arial" w:eastAsia="Arial" w:hAnsi="Arial"/>
          <w:sz w:val="17"/>
          <w:szCs w:val="17"/>
          <w:b w:val="1"/>
          <w:bCs w:val="1"/>
          <w:i w:val="1"/>
          <w:iCs w:val="1"/>
          <w:color w:val="FF0000"/>
          <w:strike w:val="1"/>
        </w:rPr>
        <w:t>minus</w:t>
      </w:r>
      <w:r>
        <w:rPr>
          <w:rFonts w:ascii="Arial" w:cs="Arial" w:eastAsia="Arial" w:hAnsi="Arial"/>
          <w:sz w:val="17"/>
          <w:szCs w:val="17"/>
          <w:b w:val="1"/>
          <w:bCs w:val="1"/>
          <w:color w:val="FF0000"/>
          <w:strike w:val="1"/>
        </w:rPr>
        <w:t>, if provided after the Third Amendment Effective Date in accordance with the terms of the Third Amendment, any Partial Tranche D Term Facility Commitment Amount.</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FF0000"/>
          <w:strike w:val="1"/>
        </w:rPr>
        <w:t>“Tranche C Term Facility Lenders” shall mean (a) as of the Third Amendment Effective Date, the Tranche C Term Facility Lenders (as defined in the Existing Credit Agreement) that were not Consenting Lenders (as defined in the Third Amendment) and (b) thereafter, the Lenders from time to time holding any unutilized Tranche C Term Facility Commitments after giving effect to any assignments thereof permitted by Section 13.05(b).</w:t>
      </w:r>
    </w:p>
    <w:p>
      <w:pPr>
        <w:spacing w:after="0" w:line="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Tranche D Term Facility Commitment”</w:t>
      </w:r>
      <w:r>
        <w:rPr>
          <w:rFonts w:ascii="Arial" w:cs="Arial" w:eastAsia="Arial" w:hAnsi="Arial"/>
          <w:sz w:val="17"/>
          <w:szCs w:val="17"/>
          <w:color w:val="auto"/>
        </w:rPr>
        <w:t xml:space="preserve"> shall mean, for each Tranche D Term Facility Lender, the obligation of such Lender to make Term Facility Loans pursuant to Section 2.01(b)(iv) hereof during the applicable Term Facility Availability Period in a principal amount not to exceed the amount of such Tranche D Term Facility Lender’s Tranche C Term Facility Commitments (as defined in the Existing Credit Agreement) immediately prior to the Third Amendment Effective Date (or, in a principal amount not to exceed the partial amount of such Tranche D Term Facility Lender’s Tranche C Term Facility Commitments (as defined in the Existing Credit Agreement) immediately prior to the Third Amendment Effective Date as expressly indicated on such Lender’s signature page delivered in connection with and in accordance with the terms of the Third Amendment </w:t>
      </w:r>
      <w:r>
        <w:rPr>
          <w:rFonts w:ascii="Arial" w:cs="Arial" w:eastAsia="Arial" w:hAnsi="Arial"/>
          <w:sz w:val="17"/>
          <w:szCs w:val="17"/>
          <w:b w:val="1"/>
          <w:bCs w:val="1"/>
          <w:color w:val="FF0000"/>
          <w:strike w:val="1"/>
        </w:rPr>
        <w:t>(the aggregate amount of all such</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partially extended Tranche C Term Facility Commitments, the “Partial Tranche D Term Facility Commitment Amount”)</w:t>
      </w:r>
      <w:r>
        <w:rPr>
          <w:rFonts w:ascii="Arial" w:cs="Arial" w:eastAsia="Arial" w:hAnsi="Arial"/>
          <w:sz w:val="17"/>
          <w:szCs w:val="17"/>
          <w:color w:val="000000"/>
        </w:rPr>
        <w:t>) or as set forth in the</w:t>
      </w:r>
      <w:r>
        <w:rPr>
          <w:rFonts w:ascii="Arial" w:cs="Arial" w:eastAsia="Arial" w:hAnsi="Arial"/>
          <w:sz w:val="17"/>
          <w:szCs w:val="17"/>
          <w:b w:val="1"/>
          <w:bCs w:val="1"/>
          <w:color w:val="FF0000"/>
        </w:rPr>
        <w:t xml:space="preserve"> </w:t>
      </w:r>
      <w:r>
        <w:rPr>
          <w:rFonts w:ascii="Arial" w:cs="Arial" w:eastAsia="Arial" w:hAnsi="Arial"/>
          <w:sz w:val="17"/>
          <w:szCs w:val="17"/>
          <w:color w:val="000000"/>
        </w:rPr>
        <w:t xml:space="preserve">Assignment Agreement pursuant to which such Lender assumed its Tranche D Term Facility Commitment, as applicable, as the same may be (a) changed pursuant to Section 13.05(b) or (b) reduced or terminated from time to time pursuant to Section 2.04 or Section 11.01. The aggregate principal amount of the Tranche D Term Facility Commitments of all Tranche D Term Facility Lenders as of the </w:t>
      </w:r>
      <w:r>
        <w:rPr>
          <w:rFonts w:ascii="Arial" w:cs="Arial" w:eastAsia="Arial" w:hAnsi="Arial"/>
          <w:sz w:val="17"/>
          <w:szCs w:val="17"/>
          <w:b w:val="1"/>
          <w:bCs w:val="1"/>
          <w:color w:val="FF0000"/>
          <w:strike w:val="1"/>
        </w:rPr>
        <w:t>Third</w:t>
      </w:r>
      <w:r>
        <w:rPr>
          <w:rFonts w:ascii="Arial" w:cs="Arial" w:eastAsia="Arial" w:hAnsi="Arial"/>
          <w:sz w:val="17"/>
          <w:szCs w:val="17"/>
          <w:b w:val="1"/>
          <w:bCs w:val="1"/>
          <w:u w:val="single" w:color="auto"/>
          <w:color w:val="0000FF"/>
        </w:rPr>
        <w:t>Fourth</w:t>
      </w:r>
      <w:r>
        <w:rPr>
          <w:rFonts w:ascii="Arial" w:cs="Arial" w:eastAsia="Arial" w:hAnsi="Arial"/>
          <w:sz w:val="17"/>
          <w:szCs w:val="17"/>
          <w:color w:val="000000"/>
        </w:rPr>
        <w:t xml:space="preserve"> Amendment Effective Date is $</w:t>
      </w:r>
      <w:r>
        <w:rPr>
          <w:rFonts w:ascii="Arial" w:cs="Arial" w:eastAsia="Arial" w:hAnsi="Arial"/>
          <w:sz w:val="17"/>
          <w:szCs w:val="17"/>
          <w:b w:val="1"/>
          <w:bCs w:val="1"/>
          <w:color w:val="FF0000"/>
          <w:strike w:val="1"/>
        </w:rPr>
        <w:t>569,333,333.33</w:t>
      </w:r>
      <w:r>
        <w:rPr>
          <w:rFonts w:ascii="Arial" w:cs="Arial" w:eastAsia="Arial" w:hAnsi="Arial"/>
          <w:sz w:val="17"/>
          <w:szCs w:val="17"/>
          <w:color w:val="000000"/>
        </w:rPr>
        <w:t xml:space="preserve"> </w:t>
      </w:r>
      <w:r>
        <w:rPr>
          <w:rFonts w:ascii="Arial" w:cs="Arial" w:eastAsia="Arial" w:hAnsi="Arial"/>
          <w:sz w:val="17"/>
          <w:szCs w:val="17"/>
          <w:b w:val="1"/>
          <w:bCs w:val="1"/>
          <w:i w:val="1"/>
          <w:iCs w:val="1"/>
          <w:color w:val="FF0000"/>
          <w:strike w:val="1"/>
        </w:rPr>
        <w:t>plus</w:t>
      </w:r>
      <w:r>
        <w:rPr>
          <w:rFonts w:ascii="Arial" w:cs="Arial" w:eastAsia="Arial" w:hAnsi="Arial"/>
          <w:sz w:val="17"/>
          <w:szCs w:val="17"/>
          <w:b w:val="1"/>
          <w:bCs w:val="1"/>
          <w:color w:val="FF0000"/>
          <w:strike w:val="1"/>
        </w:rPr>
        <w:t>, if</w:t>
      </w:r>
      <w:r>
        <w:rPr>
          <w:rFonts w:ascii="Arial" w:cs="Arial" w:eastAsia="Arial" w:hAnsi="Arial"/>
          <w:sz w:val="17"/>
          <w:szCs w:val="17"/>
          <w:color w:val="000000"/>
        </w:rPr>
        <w:t xml:space="preserve"> </w:t>
      </w:r>
      <w:r>
        <w:rPr>
          <w:rFonts w:ascii="Arial" w:cs="Arial" w:eastAsia="Arial" w:hAnsi="Arial"/>
          <w:sz w:val="17"/>
          <w:szCs w:val="17"/>
          <w:b w:val="1"/>
          <w:bCs w:val="1"/>
          <w:color w:val="FF0000"/>
          <w:strike w:val="1"/>
        </w:rPr>
        <w:t>provided after the Third Amendment Effective Date in accordance with the terms of the Third Amendment, any Partial Tranche D Term Facility Commitment Amount</w:t>
      </w:r>
      <w:r>
        <w:rPr>
          <w:rFonts w:ascii="Arial" w:cs="Arial" w:eastAsia="Arial" w:hAnsi="Arial"/>
          <w:sz w:val="17"/>
          <w:szCs w:val="17"/>
          <w:b w:val="1"/>
          <w:bCs w:val="1"/>
          <w:u w:val="single" w:color="auto"/>
          <w:color w:val="0000FF"/>
          <w:strike w:val="1"/>
        </w:rPr>
        <w:t>649,666,666.66</w:t>
      </w:r>
      <w:r>
        <w:rPr>
          <w:rFonts w:ascii="Arial" w:cs="Arial" w:eastAsia="Arial" w:hAnsi="Arial"/>
          <w:sz w:val="17"/>
          <w:szCs w:val="17"/>
          <w:color w:val="000000"/>
          <w:strike w:val="1"/>
        </w:rPr>
        <w:t>.</w:t>
      </w:r>
    </w:p>
    <w:p>
      <w:pPr>
        <w:spacing w:after="0" w:line="18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D Term Facility Lenders</w:t>
      </w:r>
      <w:r>
        <w:rPr>
          <w:rFonts w:ascii="Arial" w:cs="Arial" w:eastAsia="Arial" w:hAnsi="Arial"/>
          <w:sz w:val="18"/>
          <w:szCs w:val="18"/>
          <w:color w:val="auto"/>
        </w:rPr>
        <w:t>” shall mean (a) as of the Third Amendment Effective Date, the Consenting Lenders (as defined in the Third Amendment) and (b) thereafter, the Lenders from time to time holding any unutilized Tranche D Term Facility Commitments after giving effect to any assignments thereof permitted by Section 13.05(b).</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shall mean, collectively, (a) the entering into of this Agreement and the other Credit Documents and the borrowings hereunder, if any, on the Closing Date, (b) the making of the Pre-Closing Equity Contribution prior to the Closing Date, and (c) the payment of fees and expenses in connection with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Agreement</w:t>
      </w:r>
      <w:r>
        <w:rPr>
          <w:rFonts w:ascii="Arial" w:cs="Arial" w:eastAsia="Arial" w:hAnsi="Arial"/>
          <w:sz w:val="18"/>
          <w:szCs w:val="18"/>
          <w:color w:val="auto"/>
        </w:rPr>
        <w:t>” shall mean any trust or similar arrangement required by any Gaming Authority from time to time with respect to the Equity Interests of any Restricted Subsidiary (or any Person that was a Restricted Subsidiary) or any Gaming Facility.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96" w:right="239" w:bottom="1440" w:gutter="0" w:footer="0" w:header="0"/>
        </w:sectPr>
      </w:pPr>
    </w:p>
    <w:bookmarkStart w:id="133" w:name="page134"/>
    <w:bookmarkEnd w:id="133"/>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shall mean the transfer of shares of Equity Interests of any Restricted Subsidiary or any Gaming Facility into trust or other similar arrangement required by any Gaming Authority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has the meaning set forth in Section 1.03.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shall mean the Uniform Commercial Code as from time to time in effect in the applicable state or other jurisdiction.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UCP</w:t>
      </w:r>
      <w:r>
        <w:rPr>
          <w:rFonts w:ascii="Arial" w:cs="Arial" w:eastAsia="Arial" w:hAnsi="Arial"/>
          <w:sz w:val="18"/>
          <w:szCs w:val="18"/>
          <w:color w:val="auto"/>
        </w:rPr>
        <w:t>” shall mean, with respect to any Letter of Credit, the Uniform Customs and Practice for Documentary Credits, International Chamber of Commerce (“</w:t>
      </w:r>
      <w:r>
        <w:rPr>
          <w:rFonts w:ascii="Arial" w:cs="Arial" w:eastAsia="Arial" w:hAnsi="Arial"/>
          <w:sz w:val="18"/>
          <w:szCs w:val="18"/>
          <w:b w:val="1"/>
          <w:bCs w:val="1"/>
          <w:color w:val="auto"/>
        </w:rPr>
        <w:t>ICC</w:t>
      </w:r>
      <w:r>
        <w:rPr>
          <w:rFonts w:ascii="Arial" w:cs="Arial" w:eastAsia="Arial" w:hAnsi="Arial"/>
          <w:sz w:val="18"/>
          <w:szCs w:val="18"/>
          <w:color w:val="auto"/>
        </w:rPr>
        <w:t>”) Publication No. 600 (or such later version thereof as may be in effect at the time of issuance).</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Unaffiliated Joint Ventures</w:t>
      </w:r>
      <w:r>
        <w:rPr>
          <w:rFonts w:ascii="Arial" w:cs="Arial" w:eastAsia="Arial" w:hAnsi="Arial"/>
          <w:sz w:val="18"/>
          <w:szCs w:val="18"/>
          <w:color w:val="auto"/>
        </w:rPr>
        <w:t xml:space="preserve">” shall mean any joint venture of Borrower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all Investments in, and other transactions entered into with, such joint venture by Borrower or any of its Restricted Subsidiaries were made in compliance with this Agreement and (ii) no Affiliate (other than Borrower or any Subsidiary or any other Unaffiliated Joint Venture) or officer or director of Borrower or any of its Subsidiaries owns any Equity Interest, or has any material economic interest, in such joint venture (other than through Borrower (directly or indirectly through its Subsidiaries)). No Subsidiary of Borrower shall be an Unaffiliated Joint Venture.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shall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un-reallocated portion</w:t>
      </w:r>
      <w:r>
        <w:rPr>
          <w:rFonts w:ascii="Arial" w:cs="Arial" w:eastAsia="Arial" w:hAnsi="Arial"/>
          <w:sz w:val="18"/>
          <w:szCs w:val="18"/>
          <w:color w:val="auto"/>
        </w:rPr>
        <w:t>” has the meaning set forth in Section 2.14(a).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Unreimbursed Amount</w:t>
      </w:r>
      <w:r>
        <w:rPr>
          <w:rFonts w:ascii="Arial" w:cs="Arial" w:eastAsia="Arial" w:hAnsi="Arial"/>
          <w:sz w:val="18"/>
          <w:szCs w:val="18"/>
          <w:color w:val="auto"/>
        </w:rPr>
        <w:t>” has the meaning set forth in Section 2.03(e).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Cash</w:t>
      </w:r>
      <w:r>
        <w:rPr>
          <w:rFonts w:ascii="Arial" w:cs="Arial" w:eastAsia="Arial" w:hAnsi="Arial"/>
          <w:sz w:val="18"/>
          <w:szCs w:val="18"/>
          <w:color w:val="auto"/>
        </w:rPr>
        <w:t>” shall mean cash and Cash Equivalents of Borrower and its Restricted Subsidiaries that would not appear as “restricted” on a combined or consolidated balance sheet of the Consolidated Companies.</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Unrestricted Subsidiaries</w:t>
      </w:r>
      <w:r>
        <w:rPr>
          <w:rFonts w:ascii="Arial" w:cs="Arial" w:eastAsia="Arial" w:hAnsi="Arial"/>
          <w:sz w:val="16"/>
          <w:szCs w:val="16"/>
          <w:color w:val="auto"/>
        </w:rPr>
        <w:t xml:space="preserve">” shall mean (a) as of the Closing Date, the Subsidiaries listed on </w:t>
      </w:r>
      <w:r>
        <w:rPr>
          <w:rFonts w:ascii="Arial" w:cs="Arial" w:eastAsia="Arial" w:hAnsi="Arial"/>
          <w:sz w:val="16"/>
          <w:szCs w:val="16"/>
          <w:u w:val="single" w:color="auto"/>
          <w:color w:val="auto"/>
        </w:rPr>
        <w:t>Schedule 8.12(c)</w:t>
      </w:r>
      <w:r>
        <w:rPr>
          <w:rFonts w:ascii="Arial" w:cs="Arial" w:eastAsia="Arial" w:hAnsi="Arial"/>
          <w:sz w:val="16"/>
          <w:szCs w:val="16"/>
          <w:color w:val="auto"/>
        </w:rPr>
        <w:t>, (b) any Subsidiary of Borrower designated as an “Unrestricted Subsidiary” pursuant to and in compliance with Section 9.12 and (c) any Subsidiary of an Unrestricted Subsidiary (in each case, unless such Subsidiary is no longer a Subsidiary of Borrower or is subsequently designated as a Restricted Subsidiary pursuant to this Agreement).</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Unutilized R/C Commitment</w:t>
      </w:r>
      <w:r>
        <w:rPr>
          <w:rFonts w:ascii="Arial" w:cs="Arial" w:eastAsia="Arial" w:hAnsi="Arial"/>
          <w:sz w:val="18"/>
          <w:szCs w:val="18"/>
          <w:color w:val="auto"/>
        </w:rPr>
        <w:t>” shall mean, for any Revolving Lender, at any time, the excess of such Revolving Lender’s Revolving Commitment at such time over the sum of (i) the aggregate outstanding principal amount of all Revolving Loans made by such Revolving Lender and (ii) such Revolving Lender’s L/C Liability at such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shall mean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has the meaning set forth in Section 5.06(b)(ii).</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shall mean, with respect to any Person, the Equity Interests, participations, rights in, or other equivalents of, such Equity Interests, and any and all rights, warrants or options exchangeable for or convertible into such Equity Interests of such Person, in each case, that ordinarily has voting power for the election of directors (or Persons performing similar functions) of such Person, whether at all times or only as long as no senior class of Equity Interests has such voting power by reason of any contingency.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Weighted Average Life to Maturity</w:t>
      </w:r>
      <w:r>
        <w:rPr>
          <w:rFonts w:ascii="Arial" w:cs="Arial" w:eastAsia="Arial" w:hAnsi="Arial"/>
          <w:sz w:val="18"/>
          <w:szCs w:val="18"/>
          <w:color w:val="auto"/>
        </w:rPr>
        <w:t>” shall mean, on any date and with respect to the aggregate amount of the Term Loans (or any applicable portion thereof), an amount equal to (a) the scheduled repayments of such Term Loans to be made after such date, multiplied by the number of days from such date to the date of such scheduled repayments divided by (b) the aggregate principal amount of such Term Loans.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96" w:right="239" w:bottom="1440" w:gutter="0" w:footer="0" w:header="0"/>
        </w:sectPr>
      </w:pPr>
    </w:p>
    <w:bookmarkStart w:id="134" w:name="page135"/>
    <w:bookmarkEnd w:id="134"/>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Restricted Subsidiary</w:t>
      </w:r>
      <w:r>
        <w:rPr>
          <w:rFonts w:ascii="Arial" w:cs="Arial" w:eastAsia="Arial" w:hAnsi="Arial"/>
          <w:sz w:val="18"/>
          <w:szCs w:val="18"/>
          <w:color w:val="auto"/>
        </w:rPr>
        <w:t>” shall mean, with respect to any Person, any Wholly Owned Subsidiary of such Person that is a Restricted Subsidiary. Unless the context clearly requires otherwise, all references to any Wholly Owned Restricted Subsidiary shall mean a Wholly Owned Restricted Subsidiary of Borrower.</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Subsidiary</w:t>
      </w:r>
      <w:r>
        <w:rPr>
          <w:rFonts w:ascii="Arial" w:cs="Arial" w:eastAsia="Arial" w:hAnsi="Arial"/>
          <w:sz w:val="17"/>
          <w:szCs w:val="17"/>
          <w:color w:val="auto"/>
        </w:rPr>
        <w:t>” shall mean, with respect to any Person, any corporation, partnership, limited liability company or other entity of which all of the Equity Interests (other than, in the case of a corporation, directors’ qualifying shares or nominee shares required under applicable law) are directly or indirectly owned or controlled by such Person and/or one or more Wholly Owned Subsidiaries of such Person. Unless the context clearly requires otherwise, all references to any Wholly Owned Subsidiary shall mean a Wholly Owned Subsidiary of Borrower.</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by an ERISA Entity to a Multiemployer Plan as a result of a complete or partial withdrawal from such Multiemployer Plan, as such terms are defined in Part 1 of Subtitle E of Title IV of ERISA.</w:t>
      </w:r>
    </w:p>
    <w:p>
      <w:pPr>
        <w:spacing w:after="0" w:line="1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Working Capital</w:t>
      </w:r>
      <w:r>
        <w:rPr>
          <w:rFonts w:ascii="Arial" w:cs="Arial" w:eastAsia="Arial" w:hAnsi="Arial"/>
          <w:sz w:val="17"/>
          <w:szCs w:val="17"/>
          <w:color w:val="auto"/>
        </w:rPr>
        <w:t xml:space="preserve">” means, for any Person at any date, the amount (which may be a negative number) of the Consolidated Current Assets of such Person minus the Consolidated Current Liabilities of such Person at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calculating Working Capital, increases or decreases in Working Capital shall be calculated without regard to any changes in Consolidated Current Assets or Consolidated Current Liabilities as a result of (a) any reclassification in accordance with GAAP of assets or liabilities, as applicable, between current and noncurrent, (b) the effects of purchase accounting or (c) the impact of non-cash items on Consolidated Current Assets and Consolidated Current Liabilities. For purposes of calculating Working Capital (i) for any period in which a Permitted Acquisition or other Acquisition occurs (other than with respect to any Unrestricted Subsidiary) or any Unrestricted Subsidiary is revoked and converted into a Restricted Subsidiary, the “consolidated current assets” and “consolidated current liabilities” of any Person, property, business or asset so acquired or Unrestricted Subsidiary so revoked, as the case may be (determined on a basis consistent with the corresponding definitions herein, with appropriate reference changes) shall be excluded and (ii) for any period in which any Person, property, business or asset (other than an Unrestricted Subsidiary) is sold, transferred or otherwise disposed of, closed or classified as discontinued operations by Borrower or any Restricted Subsidiary or any Restricted Subsidiary is designated as an Unrestricted Subsidiary, the “consolidated current assets” and “consolidated current liabilities” of any Person, property, business or asset so sold, transferred or otherwise disposed of, closed or classified as discontinued operations or Restricted Subsidiary so designated, as the case may be (determined on a basis consistent with the corresponding definitions herein, with appropriate reference changes) shall be excluded.</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0000FF"/>
        </w:rPr>
        <w:t>“Write-Down and Conversion Powers”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w:t>
      </w:r>
      <w:r>
        <w:rPr>
          <w:rFonts w:ascii="Arial" w:cs="Arial" w:eastAsia="Arial" w:hAnsi="Arial"/>
          <w:sz w:val="18"/>
          <w:szCs w:val="18"/>
          <w:color w:val="auto"/>
        </w:rPr>
        <w:t>” shall mean Wynn Las Vegas LLC, a Nevada limited liability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2020 Notes</w:t>
      </w:r>
      <w:r>
        <w:rPr>
          <w:rFonts w:ascii="Arial" w:cs="Arial" w:eastAsia="Arial" w:hAnsi="Arial"/>
          <w:sz w:val="18"/>
          <w:szCs w:val="18"/>
          <w:color w:val="auto"/>
        </w:rPr>
        <w:t>” shall mean each of (a) the 7.875% First Mortgage Notes of Wynn Las Vegas due 2020 and (b) the 7.750% First Mortgage Notes of Wynn Las Vegas due 2020.</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Wynn Las Vegas 2020 and 2022 Note Repayment</w:t>
      </w:r>
      <w:r>
        <w:rPr>
          <w:rFonts w:ascii="Arial" w:cs="Arial" w:eastAsia="Arial" w:hAnsi="Arial"/>
          <w:sz w:val="16"/>
          <w:szCs w:val="16"/>
          <w:color w:val="auto"/>
        </w:rPr>
        <w:t>” shall mean the repayment in full of the Wynn Las Vegas 2020 Notes and the Wynn Las Vegas 2022 Notes, whether pursuant to purchase, redemption or other acquisition for value of, or retirement, defeasance, discharge, refinancing or otherwise.</w:t>
      </w:r>
    </w:p>
    <w:p>
      <w:pPr>
        <w:spacing w:after="0" w:line="1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2022 Notes</w:t>
      </w:r>
      <w:r>
        <w:rPr>
          <w:rFonts w:ascii="Arial" w:cs="Arial" w:eastAsia="Arial" w:hAnsi="Arial"/>
          <w:sz w:val="18"/>
          <w:szCs w:val="18"/>
          <w:color w:val="auto"/>
        </w:rPr>
        <w:t>” shall mean the 5.375% First Mortgage Notes of Wynn Las Vegas due 2022 in the in the original aggregate principal amount of $900.0 million.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2023 Notes</w:t>
      </w:r>
      <w:r>
        <w:rPr>
          <w:rFonts w:ascii="Arial" w:cs="Arial" w:eastAsia="Arial" w:hAnsi="Arial"/>
          <w:sz w:val="18"/>
          <w:szCs w:val="18"/>
          <w:color w:val="auto"/>
        </w:rPr>
        <w:t>” shall mean the 4.250% Senior Notes of Wynn Las Vegas due 2023 in the in the original aggregate principal amount of $500.0 million.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Entities</w:t>
      </w:r>
      <w:r>
        <w:rPr>
          <w:rFonts w:ascii="Arial" w:cs="Arial" w:eastAsia="Arial" w:hAnsi="Arial"/>
          <w:sz w:val="18"/>
          <w:szCs w:val="18"/>
          <w:color w:val="auto"/>
        </w:rPr>
        <w:t>” shall mean Wynn Las Vegas and each of its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96" w:right="239" w:bottom="1440" w:gutter="0" w:footer="0" w:header="0"/>
        </w:sectPr>
      </w:pPr>
    </w:p>
    <w:bookmarkStart w:id="135" w:name="page136"/>
    <w:bookmarkEnd w:id="135"/>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Notes</w:t>
      </w:r>
      <w:r>
        <w:rPr>
          <w:rFonts w:ascii="Arial" w:cs="Arial" w:eastAsia="Arial" w:hAnsi="Arial"/>
          <w:sz w:val="18"/>
          <w:szCs w:val="18"/>
          <w:color w:val="auto"/>
        </w:rPr>
        <w:t>” shall mean each of the Wynn Las Vegas 2020 Notes, the Wynn Las Vegas 2022 Notes and the Wynn Las Vegas 2023 Notes, together with, without duplication, any other Indebtedness permitted to be Incurred under Section 10.01(e) (for purposes of the definition of Permitted Refinancing, including under Section 10.01(e), the Wynn Las Vegas Entities shall be deemed to be Restricted Subsidiaries prior to the Wynn Las Vegas Reorganization).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Pledge</w:t>
      </w:r>
      <w:r>
        <w:rPr>
          <w:rFonts w:ascii="Arial" w:cs="Arial" w:eastAsia="Arial" w:hAnsi="Arial"/>
          <w:sz w:val="18"/>
          <w:szCs w:val="18"/>
          <w:color w:val="auto"/>
        </w:rPr>
        <w:t>” shall mean the direct pledge of the Equity Interests in Wynn Las Vegas and related ancillary rights as collateral security in favor of the holders of the Wynn Las Vegas Notes.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Reorganization</w:t>
      </w:r>
      <w:r>
        <w:rPr>
          <w:rFonts w:ascii="Arial" w:cs="Arial" w:eastAsia="Arial" w:hAnsi="Arial"/>
          <w:sz w:val="18"/>
          <w:szCs w:val="18"/>
          <w:color w:val="auto"/>
        </w:rPr>
        <w:t>” shall mean a series of corporate restructurings and related transactions, including receipt of Gaming Approvals from relevant Gaming Authorities, pursuant to which the Wynn Las Vegas Entities become Subsidiaries of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Resort</w:t>
      </w:r>
      <w:r>
        <w:rPr>
          <w:rFonts w:ascii="Arial" w:cs="Arial" w:eastAsia="Arial" w:hAnsi="Arial"/>
          <w:sz w:val="18"/>
          <w:szCs w:val="18"/>
          <w:color w:val="auto"/>
        </w:rPr>
        <w:t>” means the Wynn Las Vegas hotel and casino resort.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Macau</w:t>
      </w:r>
      <w:r>
        <w:rPr>
          <w:rFonts w:ascii="Arial" w:cs="Arial" w:eastAsia="Arial" w:hAnsi="Arial"/>
          <w:sz w:val="18"/>
          <w:szCs w:val="18"/>
          <w:color w:val="auto"/>
        </w:rPr>
        <w:t>” shall mean Wynn Resorts (Macau), S.A., a company incorporated under the laws of Macau.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w:t>
      </w:r>
      <w:r>
        <w:rPr>
          <w:rFonts w:ascii="Arial" w:cs="Arial" w:eastAsia="Arial" w:hAnsi="Arial"/>
          <w:sz w:val="18"/>
          <w:szCs w:val="18"/>
          <w:color w:val="auto"/>
        </w:rPr>
        <w:t>” shall mean Wynn MA LLC, a Nevada limited liability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 Project</w:t>
      </w:r>
      <w:r>
        <w:rPr>
          <w:rFonts w:ascii="Arial" w:cs="Arial" w:eastAsia="Arial" w:hAnsi="Arial"/>
          <w:sz w:val="18"/>
          <w:szCs w:val="18"/>
          <w:color w:val="auto"/>
        </w:rPr>
        <w:t>” shall mean the casino resort and related amenities to be developed by Borrower and its Subsidiaries in Everett, Massachusetts.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 Project Opening Date</w:t>
      </w:r>
      <w:r>
        <w:rPr>
          <w:rFonts w:ascii="Arial" w:cs="Arial" w:eastAsia="Arial" w:hAnsi="Arial"/>
          <w:sz w:val="18"/>
          <w:szCs w:val="18"/>
          <w:color w:val="auto"/>
        </w:rPr>
        <w:t>” shall mean the date the Wynn Massachusetts Project is open to the general public.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w:t>
      </w:r>
      <w:r>
        <w:rPr>
          <w:rFonts w:ascii="Arial" w:cs="Arial" w:eastAsia="Arial" w:hAnsi="Arial"/>
          <w:sz w:val="18"/>
          <w:szCs w:val="18"/>
          <w:color w:val="auto"/>
        </w:rPr>
        <w:t>” shall mean Wynn Resorts, Limited, a Nevada corporation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1.02. Accounting Terms and Determinations</w:t>
      </w:r>
      <w:r>
        <w:rPr>
          <w:rFonts w:ascii="Arial" w:cs="Arial" w:eastAsia="Arial" w:hAnsi="Arial"/>
          <w:sz w:val="17"/>
          <w:szCs w:val="17"/>
          <w:color w:val="auto"/>
        </w:rPr>
        <w:t>. Except as otherwise provided in this Agreement, all computations and determinations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as to accounting or financial matters (including financial covenants) shall be made in accordance with GAAP as in effect on the Closing Date consistently applied for all applicable periods, and all accounting or financial terms shall have the meanings ascribed to such terms by GAAP. If at any time any change in GAAP would affect the computation of any financial ratio or requirement set forth in any Credit Document, and Borrower notifies Administrative Agent that Borrower requests an amendment to any provision hereof to eliminate the effect of any change occurring after the date hereof in GAAP or in the application thereof on the operation of such provision (or if Administrative Agent notifies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Credit Document, and Borrower, Administrative Agent or the Required Lenders shall so request, Administrative Agent, the Lenders and Borrower shall negotiate in good faith to amend such ratio or requirement to preserve the original intent thereof in light of such change in GAAP (subject to the approval of the Required Lenders, not to be unreasonably withheld).</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1.03. Classes and Types of Loans</w:t>
      </w:r>
      <w:r>
        <w:rPr>
          <w:rFonts w:ascii="Arial" w:cs="Arial" w:eastAsia="Arial" w:hAnsi="Arial"/>
          <w:sz w:val="17"/>
          <w:szCs w:val="17"/>
          <w:color w:val="auto"/>
        </w:rPr>
        <w:t>. Loans hereunder are distinguished by “Class” and by “Type.” The “Class” of a Loan (or of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Commitment to make a Loan) refers to whether such Loan is a Revolving Loan of any particular Tranche, a Term Facility Loan (or, in the case of a commitment to make a Term Facility Loan, a Tranche </w:t>
      </w:r>
      <w:r>
        <w:rPr>
          <w:rFonts w:ascii="Arial" w:cs="Arial" w:eastAsia="Arial" w:hAnsi="Arial"/>
          <w:sz w:val="17"/>
          <w:szCs w:val="17"/>
          <w:b w:val="1"/>
          <w:bCs w:val="1"/>
          <w:color w:val="FF0000"/>
          <w:strike w:val="1"/>
        </w:rPr>
        <w:t>A Term Facility Commitment, a Tranche B Term Facility Commitment, a Tranche C Term</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Facility Commitment or a Tranche</w:t>
      </w:r>
      <w:r>
        <w:rPr>
          <w:rFonts w:ascii="Arial" w:cs="Arial" w:eastAsia="Arial" w:hAnsi="Arial"/>
          <w:sz w:val="17"/>
          <w:szCs w:val="17"/>
          <w:b w:val="1"/>
          <w:bCs w:val="1"/>
          <w:color w:val="FF0000"/>
        </w:rPr>
        <w:t xml:space="preserve"> </w:t>
      </w:r>
      <w:r>
        <w:rPr>
          <w:rFonts w:ascii="Arial" w:cs="Arial" w:eastAsia="Arial" w:hAnsi="Arial"/>
          <w:sz w:val="17"/>
          <w:szCs w:val="17"/>
          <w:color w:val="000000"/>
        </w:rPr>
        <w:t>D Term Facility Commitment</w:t>
      </w:r>
      <w:r>
        <w:rPr>
          <w:rFonts w:ascii="Arial" w:cs="Arial" w:eastAsia="Arial" w:hAnsi="Arial"/>
          <w:sz w:val="17"/>
          <w:szCs w:val="17"/>
          <w:b w:val="1"/>
          <w:bCs w:val="1"/>
          <w:color w:val="FF0000"/>
          <w:strike w:val="1"/>
        </w:rPr>
        <w:t>, as applicable)</w:t>
      </w:r>
      <w:r>
        <w:rPr>
          <w:rFonts w:ascii="Arial" w:cs="Arial" w:eastAsia="Arial" w:hAnsi="Arial"/>
          <w:sz w:val="17"/>
          <w:szCs w:val="17"/>
          <w:b w:val="1"/>
          <w:bCs w:val="1"/>
          <w:u w:val="single" w:color="auto"/>
          <w:color w:val="0000FF"/>
        </w:rPr>
        <w:t>), a Term Facility II Loan</w:t>
      </w:r>
      <w:r>
        <w:rPr>
          <w:rFonts w:ascii="Arial" w:cs="Arial" w:eastAsia="Arial" w:hAnsi="Arial"/>
          <w:sz w:val="17"/>
          <w:szCs w:val="17"/>
          <w:color w:val="000000"/>
        </w:rPr>
        <w:t>, or a Term Loan of any particular Tranche of</w:t>
      </w:r>
      <w:r>
        <w:rPr>
          <w:rFonts w:ascii="Arial" w:cs="Arial" w:eastAsia="Arial" w:hAnsi="Arial"/>
          <w:sz w:val="17"/>
          <w:szCs w:val="17"/>
          <w:b w:val="1"/>
          <w:bCs w:val="1"/>
          <w:color w:val="FF0000"/>
        </w:rPr>
        <w:t xml:space="preserve"> </w:t>
      </w:r>
      <w:r>
        <w:rPr>
          <w:rFonts w:ascii="Arial" w:cs="Arial" w:eastAsia="Arial" w:hAnsi="Arial"/>
          <w:sz w:val="17"/>
          <w:szCs w:val="17"/>
          <w:color w:val="000000"/>
        </w:rPr>
        <w:t>Term Loans created pursuant to an Extension Amendment or a Refinancing Amendment, each of which constitutes a Class. The “Type” of a Loan refers to whether such Loan is an ABR Loan or a LIBOR Loan, each of which constitutes a Type. Loans may be identified by both Class and Type.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96" w:right="239" w:bottom="1440" w:gutter="0" w:footer="0" w:header="0"/>
        </w:sectPr>
      </w:pPr>
    </w:p>
    <w:bookmarkStart w:id="136" w:name="page137"/>
    <w:bookmarkEnd w:id="136"/>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6"/>
          <w:szCs w:val="16"/>
          <w:b w:val="1"/>
          <w:bCs w:val="1"/>
          <w:color w:val="auto"/>
        </w:rPr>
        <w:t>Rules of Construction</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088" w:val="left"/>
        </w:tabs>
        <w:numPr>
          <w:ilvl w:val="1"/>
          <w:numId w:val="54"/>
        </w:numPr>
        <w:rPr>
          <w:rFonts w:ascii="Arial" w:cs="Arial" w:eastAsia="Arial" w:hAnsi="Arial"/>
          <w:sz w:val="17"/>
          <w:szCs w:val="17"/>
          <w:color w:val="auto"/>
        </w:rPr>
      </w:pPr>
      <w:r>
        <w:rPr>
          <w:rFonts w:ascii="Arial" w:cs="Arial" w:eastAsia="Arial" w:hAnsi="Arial"/>
          <w:sz w:val="17"/>
          <w:szCs w:val="17"/>
          <w:color w:val="auto"/>
        </w:rPr>
        <w:t>In each Credit Document, unless the context clearly requires otherwise (or such other Credit Document clearly provides otherwise), references to (i) the plural include the singular, the singular include the plural and the part include the whole; (ii) Persons include their respective permitted successors and assigns or, in the case of governmental Persons, Persons succeeding to the relevant functions of such Persons; (iii) statutes and regulations include any amendments, supplements or modifications of the same from time to time and any successor statutes and regulations; (iv) unless otherwise expressly provided, any reference to any action of any Secured Party by way of consent, approval or waiver shall be deemed modified by the phrase “in its/their reasonable discretion”; (v) time shall be a reference to time of day New York, New York; (vi) Obligations (other than L/C Liabilities) shall not be deemed “outstanding” if such Obligations have been Paid in Full; and (vii) except as expressly provided in any Credit Document any item required to be delivered or performed on a day that is not a Business Day shall not be required until the next succeeding Business Day.</w:t>
      </w:r>
    </w:p>
    <w:p>
      <w:pPr>
        <w:spacing w:after="0" w:line="178" w:lineRule="exact"/>
        <w:rPr>
          <w:rFonts w:ascii="Arial" w:cs="Arial" w:eastAsia="Arial" w:hAnsi="Arial"/>
          <w:sz w:val="17"/>
          <w:szCs w:val="17"/>
          <w:color w:val="auto"/>
        </w:rPr>
      </w:pPr>
    </w:p>
    <w:p>
      <w:pPr>
        <w:ind w:left="1220" w:hanging="564"/>
        <w:spacing w:after="0"/>
        <w:tabs>
          <w:tab w:leader="none" w:pos="1220" w:val="left"/>
        </w:tabs>
        <w:numPr>
          <w:ilvl w:val="1"/>
          <w:numId w:val="54"/>
        </w:numPr>
        <w:rPr>
          <w:rFonts w:ascii="Arial" w:cs="Arial" w:eastAsia="Arial" w:hAnsi="Arial"/>
          <w:sz w:val="17"/>
          <w:szCs w:val="17"/>
          <w:color w:val="auto"/>
        </w:rPr>
      </w:pPr>
      <w:r>
        <w:rPr>
          <w:rFonts w:ascii="Arial" w:cs="Arial" w:eastAsia="Arial" w:hAnsi="Arial"/>
          <w:sz w:val="17"/>
          <w:szCs w:val="17"/>
          <w:color w:val="auto"/>
        </w:rPr>
        <w:t>In each Credit Document, unless the context clearly requires otherwise (or such other Credit Document clearly provides otherwise),</w:t>
      </w:r>
    </w:p>
    <w:p>
      <w:pPr>
        <w:spacing w:after="0" w:line="34" w:lineRule="exact"/>
        <w:rPr>
          <w:rFonts w:ascii="Arial" w:cs="Arial" w:eastAsia="Arial" w:hAnsi="Arial"/>
          <w:sz w:val="17"/>
          <w:szCs w:val="17"/>
          <w:color w:val="auto"/>
        </w:rPr>
      </w:pPr>
    </w:p>
    <w:p>
      <w:pPr>
        <w:jc w:val="both"/>
        <w:ind w:firstLine="8"/>
        <w:spacing w:after="0" w:line="281" w:lineRule="auto"/>
        <w:tabs>
          <w:tab w:leader="none" w:pos="2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amend</w:t>
      </w:r>
      <w:r>
        <w:rPr>
          <w:rFonts w:ascii="Arial" w:cs="Arial" w:eastAsia="Arial" w:hAnsi="Arial"/>
          <w:sz w:val="16"/>
          <w:szCs w:val="16"/>
          <w:color w:val="auto"/>
        </w:rPr>
        <w:t>” shall mean “amend, restate, amend and restate, supplement or modify”; and “</w:t>
      </w:r>
      <w:r>
        <w:rPr>
          <w:rFonts w:ascii="Arial" w:cs="Arial" w:eastAsia="Arial" w:hAnsi="Arial"/>
          <w:sz w:val="16"/>
          <w:szCs w:val="16"/>
          <w:b w:val="1"/>
          <w:bCs w:val="1"/>
          <w:color w:val="auto"/>
        </w:rPr>
        <w:t>amended</w:t>
      </w:r>
      <w:r>
        <w:rPr>
          <w:rFonts w:ascii="Arial" w:cs="Arial" w:eastAsia="Arial" w:hAnsi="Arial"/>
          <w:sz w:val="16"/>
          <w:szCs w:val="16"/>
          <w:color w:val="auto"/>
        </w:rPr>
        <w:t>,” “</w:t>
      </w:r>
      <w:r>
        <w:rPr>
          <w:rFonts w:ascii="Arial" w:cs="Arial" w:eastAsia="Arial" w:hAnsi="Arial"/>
          <w:sz w:val="16"/>
          <w:szCs w:val="16"/>
          <w:b w:val="1"/>
          <w:bCs w:val="1"/>
          <w:color w:val="auto"/>
        </w:rPr>
        <w:t>amending</w:t>
      </w:r>
      <w:r>
        <w:rPr>
          <w:rFonts w:ascii="Arial" w:cs="Arial" w:eastAsia="Arial" w:hAnsi="Arial"/>
          <w:sz w:val="16"/>
          <w:szCs w:val="16"/>
          <w:color w:val="auto"/>
        </w:rPr>
        <w:t>” and “</w:t>
      </w:r>
      <w:r>
        <w:rPr>
          <w:rFonts w:ascii="Arial" w:cs="Arial" w:eastAsia="Arial" w:hAnsi="Arial"/>
          <w:sz w:val="16"/>
          <w:szCs w:val="16"/>
          <w:b w:val="1"/>
          <w:bCs w:val="1"/>
          <w:color w:val="auto"/>
        </w:rPr>
        <w:t>amendment</w:t>
      </w:r>
      <w:r>
        <w:rPr>
          <w:rFonts w:ascii="Arial" w:cs="Arial" w:eastAsia="Arial" w:hAnsi="Arial"/>
          <w:sz w:val="16"/>
          <w:szCs w:val="16"/>
          <w:color w:val="auto"/>
        </w:rPr>
        <w:t>” shall have meanings correlative to the foregoing; (ii) in the computation of periods of time from a specified date to a later specified date, “</w:t>
      </w:r>
      <w:r>
        <w:rPr>
          <w:rFonts w:ascii="Arial" w:cs="Arial" w:eastAsia="Arial" w:hAnsi="Arial"/>
          <w:sz w:val="16"/>
          <w:szCs w:val="16"/>
          <w:b w:val="1"/>
          <w:bCs w:val="1"/>
          <w:color w:val="auto"/>
        </w:rPr>
        <w:t>from</w:t>
      </w:r>
      <w:r>
        <w:rPr>
          <w:rFonts w:ascii="Arial" w:cs="Arial" w:eastAsia="Arial" w:hAnsi="Arial"/>
          <w:sz w:val="16"/>
          <w:szCs w:val="16"/>
          <w:color w:val="auto"/>
        </w:rPr>
        <w:t>” shall mean “from and including”; “</w:t>
      </w:r>
      <w:r>
        <w:rPr>
          <w:rFonts w:ascii="Arial" w:cs="Arial" w:eastAsia="Arial" w:hAnsi="Arial"/>
          <w:sz w:val="16"/>
          <w:szCs w:val="16"/>
          <w:b w:val="1"/>
          <w:bCs w:val="1"/>
          <w:color w:val="auto"/>
        </w:rPr>
        <w:t>to</w:t>
      </w:r>
      <w:r>
        <w:rPr>
          <w:rFonts w:ascii="Arial" w:cs="Arial" w:eastAsia="Arial" w:hAnsi="Arial"/>
          <w:sz w:val="16"/>
          <w:szCs w:val="16"/>
          <w:color w:val="auto"/>
        </w:rPr>
        <w:t>” and “</w:t>
      </w:r>
      <w:r>
        <w:rPr>
          <w:rFonts w:ascii="Arial" w:cs="Arial" w:eastAsia="Arial" w:hAnsi="Arial"/>
          <w:sz w:val="16"/>
          <w:szCs w:val="16"/>
          <w:b w:val="1"/>
          <w:bCs w:val="1"/>
          <w:color w:val="auto"/>
        </w:rPr>
        <w:t>until</w:t>
      </w:r>
      <w:r>
        <w:rPr>
          <w:rFonts w:ascii="Arial" w:cs="Arial" w:eastAsia="Arial" w:hAnsi="Arial"/>
          <w:sz w:val="16"/>
          <w:szCs w:val="16"/>
          <w:color w:val="auto"/>
        </w:rPr>
        <w:t>” shall mean “to but excluding”; and “</w:t>
      </w:r>
      <w:r>
        <w:rPr>
          <w:rFonts w:ascii="Arial" w:cs="Arial" w:eastAsia="Arial" w:hAnsi="Arial"/>
          <w:sz w:val="16"/>
          <w:szCs w:val="16"/>
          <w:b w:val="1"/>
          <w:bCs w:val="1"/>
          <w:color w:val="auto"/>
        </w:rPr>
        <w:t>through</w:t>
      </w:r>
      <w:r>
        <w:rPr>
          <w:rFonts w:ascii="Arial" w:cs="Arial" w:eastAsia="Arial" w:hAnsi="Arial"/>
          <w:sz w:val="16"/>
          <w:szCs w:val="16"/>
          <w:color w:val="auto"/>
        </w:rPr>
        <w:t>” shall mean “to and including”; (iii)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herein</w:t>
      </w:r>
      <w:r>
        <w:rPr>
          <w:rFonts w:ascii="Arial" w:cs="Arial" w:eastAsia="Arial" w:hAnsi="Arial"/>
          <w:sz w:val="16"/>
          <w:szCs w:val="16"/>
          <w:color w:val="auto"/>
        </w:rPr>
        <w:t>” and “</w:t>
      </w:r>
      <w:r>
        <w:rPr>
          <w:rFonts w:ascii="Arial" w:cs="Arial" w:eastAsia="Arial" w:hAnsi="Arial"/>
          <w:sz w:val="16"/>
          <w:szCs w:val="16"/>
          <w:b w:val="1"/>
          <w:bCs w:val="1"/>
          <w:color w:val="auto"/>
        </w:rPr>
        <w:t>hereunder</w:t>
      </w:r>
      <w:r>
        <w:rPr>
          <w:rFonts w:ascii="Arial" w:cs="Arial" w:eastAsia="Arial" w:hAnsi="Arial"/>
          <w:sz w:val="16"/>
          <w:szCs w:val="16"/>
          <w:color w:val="auto"/>
        </w:rPr>
        <w:t>” (and similar terms) in any Credit Document refer to such Credit Document as a whole and not to any particular provision of such Credit Document; (iv) “</w:t>
      </w:r>
      <w:r>
        <w:rPr>
          <w:rFonts w:ascii="Arial" w:cs="Arial" w:eastAsia="Arial" w:hAnsi="Arial"/>
          <w:sz w:val="16"/>
          <w:szCs w:val="16"/>
          <w:b w:val="1"/>
          <w:bCs w:val="1"/>
          <w:color w:val="auto"/>
        </w:rPr>
        <w:t>including</w:t>
      </w:r>
      <w:r>
        <w:rPr>
          <w:rFonts w:ascii="Arial" w:cs="Arial" w:eastAsia="Arial" w:hAnsi="Arial"/>
          <w:sz w:val="16"/>
          <w:szCs w:val="16"/>
          <w:color w:val="auto"/>
        </w:rPr>
        <w:t>” (and similar terms) shall mean “including without limitation” (and similarly for similar terms); (v) “</w:t>
      </w:r>
      <w:r>
        <w:rPr>
          <w:rFonts w:ascii="Arial" w:cs="Arial" w:eastAsia="Arial" w:hAnsi="Arial"/>
          <w:sz w:val="16"/>
          <w:szCs w:val="16"/>
          <w:b w:val="1"/>
          <w:bCs w:val="1"/>
          <w:color w:val="auto"/>
        </w:rPr>
        <w:t>or</w:t>
      </w:r>
      <w:r>
        <w:rPr>
          <w:rFonts w:ascii="Arial" w:cs="Arial" w:eastAsia="Arial" w:hAnsi="Arial"/>
          <w:sz w:val="16"/>
          <w:szCs w:val="16"/>
          <w:color w:val="auto"/>
        </w:rPr>
        <w:t>” has the inclusive meaning represented by the phrase “and/or”;</w:t>
      </w:r>
    </w:p>
    <w:p>
      <w:pPr>
        <w:spacing w:after="0" w:line="3" w:lineRule="exact"/>
        <w:rPr>
          <w:rFonts w:ascii="Arial" w:cs="Arial" w:eastAsia="Arial" w:hAnsi="Arial"/>
          <w:sz w:val="16"/>
          <w:szCs w:val="16"/>
          <w:color w:val="auto"/>
        </w:rPr>
      </w:pPr>
    </w:p>
    <w:p>
      <w:pPr>
        <w:jc w:val="both"/>
        <w:ind w:firstLine="8"/>
        <w:spacing w:after="0" w:line="255" w:lineRule="auto"/>
        <w:tabs>
          <w:tab w:leader="none" w:pos="3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the date hereof</w:t>
      </w:r>
      <w:r>
        <w:rPr>
          <w:rFonts w:ascii="Arial" w:cs="Arial" w:eastAsia="Arial" w:hAnsi="Arial"/>
          <w:sz w:val="18"/>
          <w:szCs w:val="18"/>
          <w:color w:val="auto"/>
        </w:rPr>
        <w:t>” shall mean the date first set forth above; (vii) “</w:t>
      </w:r>
      <w:r>
        <w:rPr>
          <w:rFonts w:ascii="Arial" w:cs="Arial" w:eastAsia="Arial" w:hAnsi="Arial"/>
          <w:sz w:val="18"/>
          <w:szCs w:val="18"/>
          <w:b w:val="1"/>
          <w:bCs w:val="1"/>
          <w:color w:val="auto"/>
        </w:rPr>
        <w:t>asset</w:t>
      </w:r>
      <w:r>
        <w:rPr>
          <w:rFonts w:ascii="Arial" w:cs="Arial" w:eastAsia="Arial" w:hAnsi="Arial"/>
          <w:sz w:val="18"/>
          <w:szCs w:val="18"/>
          <w:color w:val="auto"/>
        </w:rPr>
        <w:t>” and “</w:t>
      </w:r>
      <w:r>
        <w:rPr>
          <w:rFonts w:ascii="Arial" w:cs="Arial" w:eastAsia="Arial" w:hAnsi="Arial"/>
          <w:sz w:val="18"/>
          <w:szCs w:val="18"/>
          <w:b w:val="1"/>
          <w:bCs w:val="1"/>
          <w:color w:val="auto"/>
        </w:rPr>
        <w:t>property</w:t>
      </w:r>
      <w:r>
        <w:rPr>
          <w:rFonts w:ascii="Arial" w:cs="Arial" w:eastAsia="Arial" w:hAnsi="Arial"/>
          <w:sz w:val="18"/>
          <w:szCs w:val="18"/>
          <w:color w:val="auto"/>
        </w:rPr>
        <w:t>” shall have the same meaning and effect and refer to all tangible and intangible assets and property, whether real, personal or mixed and of every type and description; and (viii) a “</w:t>
      </w:r>
      <w:r>
        <w:rPr>
          <w:rFonts w:ascii="Arial" w:cs="Arial" w:eastAsia="Arial" w:hAnsi="Arial"/>
          <w:sz w:val="18"/>
          <w:szCs w:val="18"/>
          <w:b w:val="1"/>
          <w:bCs w:val="1"/>
          <w:color w:val="auto"/>
        </w:rPr>
        <w:t>fiscal year</w:t>
      </w:r>
      <w:r>
        <w:rPr>
          <w:rFonts w:ascii="Arial" w:cs="Arial" w:eastAsia="Arial" w:hAnsi="Arial"/>
          <w:sz w:val="18"/>
          <w:szCs w:val="18"/>
          <w:color w:val="auto"/>
        </w:rPr>
        <w:t>” or a “</w:t>
      </w:r>
      <w:r>
        <w:rPr>
          <w:rFonts w:ascii="Arial" w:cs="Arial" w:eastAsia="Arial" w:hAnsi="Arial"/>
          <w:sz w:val="18"/>
          <w:szCs w:val="18"/>
          <w:b w:val="1"/>
          <w:bCs w:val="1"/>
          <w:color w:val="auto"/>
        </w:rPr>
        <w:t>fiscal</w:t>
      </w:r>
      <w:r>
        <w:rPr>
          <w:rFonts w:ascii="Arial" w:cs="Arial" w:eastAsia="Arial" w:hAnsi="Arial"/>
          <w:sz w:val="18"/>
          <w:szCs w:val="18"/>
          <w:color w:val="auto"/>
        </w:rPr>
        <w:t xml:space="preserve"> </w:t>
      </w:r>
      <w:r>
        <w:rPr>
          <w:rFonts w:ascii="Arial" w:cs="Arial" w:eastAsia="Arial" w:hAnsi="Arial"/>
          <w:sz w:val="18"/>
          <w:szCs w:val="18"/>
          <w:b w:val="1"/>
          <w:bCs w:val="1"/>
          <w:color w:val="auto"/>
        </w:rPr>
        <w:t>quarter</w:t>
      </w:r>
      <w:r>
        <w:rPr>
          <w:rFonts w:ascii="Arial" w:cs="Arial" w:eastAsia="Arial" w:hAnsi="Arial"/>
          <w:sz w:val="18"/>
          <w:szCs w:val="18"/>
          <w:color w:val="auto"/>
        </w:rPr>
        <w:t>” is a reference to a fiscal year or fiscal quarter of Borrower.</w:t>
      </w:r>
    </w:p>
    <w:p>
      <w:pPr>
        <w:spacing w:after="0" w:line="190" w:lineRule="exact"/>
        <w:rPr>
          <w:rFonts w:ascii="Arial" w:cs="Arial" w:eastAsia="Arial" w:hAnsi="Arial"/>
          <w:sz w:val="18"/>
          <w:szCs w:val="18"/>
          <w:color w:val="auto"/>
        </w:rPr>
      </w:pPr>
    </w:p>
    <w:p>
      <w:pPr>
        <w:jc w:val="both"/>
        <w:ind w:firstLine="656"/>
        <w:spacing w:after="0" w:line="264" w:lineRule="auto"/>
        <w:tabs>
          <w:tab w:leader="none" w:pos="10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this Agreement unless the context clearly requires otherwise, any reference to (i) an Annex, Exhibit or Schedule is to an Annex, Exhibit or Schedule, as the case may be, attached to this Agreement and constituting a part hereof, and (ii) a Section or other subdivision is to a Section or such other subdivision of this Agreement.</w:t>
      </w:r>
    </w:p>
    <w:p>
      <w:pPr>
        <w:spacing w:after="0" w:line="181" w:lineRule="exact"/>
        <w:rPr>
          <w:rFonts w:ascii="Arial" w:cs="Arial" w:eastAsia="Arial" w:hAnsi="Arial"/>
          <w:sz w:val="18"/>
          <w:szCs w:val="18"/>
          <w:color w:val="auto"/>
        </w:rPr>
      </w:pPr>
    </w:p>
    <w:p>
      <w:pPr>
        <w:jc w:val="both"/>
        <w:ind w:firstLine="656"/>
        <w:spacing w:after="0" w:line="297" w:lineRule="auto"/>
        <w:tabs>
          <w:tab w:leader="none" w:pos="1109" w:val="left"/>
        </w:tabs>
        <w:numPr>
          <w:ilvl w:val="1"/>
          <w:numId w:val="56"/>
        </w:numPr>
        <w:rPr>
          <w:rFonts w:ascii="Arial" w:cs="Arial" w:eastAsia="Arial" w:hAnsi="Arial"/>
          <w:sz w:val="16"/>
          <w:szCs w:val="16"/>
          <w:color w:val="auto"/>
        </w:rPr>
      </w:pPr>
      <w:r>
        <w:rPr>
          <w:rFonts w:ascii="Arial" w:cs="Arial" w:eastAsia="Arial" w:hAnsi="Arial"/>
          <w:sz w:val="16"/>
          <w:szCs w:val="16"/>
          <w:color w:val="auto"/>
        </w:rPr>
        <w:t>Unless otherwise expressly provided herein, (i) references to Organizational Documents, agreements (including the Credit Documents) and other contractual instruments shall be deemed to include all subsequent amendments, restatements, amendments and restatements, extensions, supplements, reaffirmations, replacements and other modifications thereto, but only to the extent that such amendments, restatements, amendments and restatements, extensions, supplements, reaffirmations, replacements and other modifications are permitted by the Credit Documents; and (ii) references to any Requirement of Law shall include all statutory and regulatory provisions consolidating, amending, replacing, supplementing or interpreting such Requirement of Law.</w:t>
      </w:r>
    </w:p>
    <w:p>
      <w:pPr>
        <w:spacing w:after="0" w:line="158" w:lineRule="exact"/>
        <w:rPr>
          <w:rFonts w:ascii="Arial" w:cs="Arial" w:eastAsia="Arial" w:hAnsi="Arial"/>
          <w:sz w:val="16"/>
          <w:szCs w:val="16"/>
          <w:color w:val="auto"/>
        </w:rPr>
      </w:pPr>
    </w:p>
    <w:p>
      <w:pPr>
        <w:jc w:val="both"/>
        <w:ind w:firstLine="656"/>
        <w:spacing w:after="0" w:line="264" w:lineRule="auto"/>
        <w:tabs>
          <w:tab w:leader="none" w:pos="1044"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This Agreement and the other Credit Documents are the result of negotiations among and have been reviewed by counsel to Agents, Borrower and the other parties, and are the products of all parties. Accordingly, they shall not be construed against the Lenders or Agents merely because of Agents’ or the Lenders’ involvement in their preparation.</w:t>
      </w:r>
    </w:p>
    <w:p>
      <w:pPr>
        <w:spacing w:after="0" w:line="177"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6"/>
          <w:szCs w:val="16"/>
          <w:b w:val="1"/>
          <w:bCs w:val="1"/>
          <w:color w:val="auto"/>
        </w:rPr>
        <w:t>Exchange Rates; Currency Equivalents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3"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Administrative Agent or the applicable L/C Lender, as applicable, shall determine the Spot Rates as of each Revaluation Date to be used for calculating Dollar Equivalent amounts of extensions of credit hereunder and Obligations denominated in Alternate Currencies. Such Spot Rates shall become effective as of such Revaluation Date and shall be the Spot Rates employed in converting any amounts between the applicable currencies until the next Revaluation Date to occur. Except for purposes of financial statements delivered by Credit Parties hereunder or calculating financial covenants or financial ratios hereunder or except as otherwise provided herein, the applicable amount of any currency (other than Dollars) for purposes of calculating the Dollar Equivalent of the amount of extensions of credit hereunder and of Obligations denominated in an Alternate Currency under the Credit Documents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97"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shall be such Dollar Equivalent amount as so determined by the Administrative Agent or the applicable L/C Lender, as applicable.</w:t>
      </w:r>
    </w:p>
    <w:p>
      <w:pPr>
        <w:spacing w:after="0" w:line="225" w:lineRule="exact"/>
        <w:rPr>
          <w:sz w:val="20"/>
          <w:szCs w:val="20"/>
          <w:color w:val="auto"/>
        </w:rPr>
      </w:pPr>
    </w:p>
    <w:p>
      <w:pPr>
        <w:jc w:val="both"/>
        <w:ind w:firstLine="656"/>
        <w:spacing w:after="0" w:line="279" w:lineRule="auto"/>
        <w:tabs>
          <w:tab w:leader="none" w:pos="1103" w:val="left"/>
        </w:tabs>
        <w:numPr>
          <w:ilvl w:val="0"/>
          <w:numId w:val="58"/>
        </w:numPr>
        <w:rPr>
          <w:rFonts w:ascii="Arial" w:cs="Arial" w:eastAsia="Arial" w:hAnsi="Arial"/>
          <w:sz w:val="17"/>
          <w:szCs w:val="17"/>
          <w:color w:val="auto"/>
        </w:rPr>
      </w:pPr>
      <w:r>
        <w:rPr>
          <w:rFonts w:ascii="Arial" w:cs="Arial" w:eastAsia="Arial" w:hAnsi="Arial"/>
          <w:sz w:val="17"/>
          <w:szCs w:val="17"/>
          <w:color w:val="auto"/>
        </w:rPr>
        <w:t>Wherever in this Agreement in connection with the issuance, amendment or extension of a Letter of Credit, an amount, such as a required minimum or multiple amount, is expressed in Dollars, but such Borrowing, LIBOR Loan or Letter of Credit is denominated in an Alternate Currency, such amount shall be the relevant Alternative Currency Equivalent of such Dollar amount (rounded to the nearest unit of such Alternate Currency, with 0.5 of a unit being rounded upward), as determined by the Administrative Agent or the applicable L/C Lender, as the case may be.</w:t>
      </w:r>
    </w:p>
    <w:p>
      <w:pPr>
        <w:spacing w:after="0" w:line="171" w:lineRule="exact"/>
        <w:rPr>
          <w:sz w:val="20"/>
          <w:szCs w:val="20"/>
          <w:color w:val="auto"/>
        </w:rPr>
      </w:pPr>
    </w:p>
    <w:p>
      <w:pPr>
        <w:jc w:val="both"/>
        <w:ind w:firstLine="656"/>
        <w:spacing w:after="0" w:line="264" w:lineRule="auto"/>
        <w:tabs>
          <w:tab w:leader="none" w:pos="10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w:t>
      </w:r>
    </w:p>
    <w:p>
      <w:pPr>
        <w:spacing w:after="0" w:line="177"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1.06.</w:t>
      </w:r>
      <w:r>
        <w:rPr>
          <w:sz w:val="20"/>
          <w:szCs w:val="20"/>
          <w:color w:val="auto"/>
        </w:rPr>
        <w:tab/>
      </w:r>
      <w:r>
        <w:rPr>
          <w:rFonts w:ascii="Arial" w:cs="Arial" w:eastAsia="Arial" w:hAnsi="Arial"/>
          <w:sz w:val="16"/>
          <w:szCs w:val="16"/>
          <w:b w:val="1"/>
          <w:bCs w:val="1"/>
          <w:color w:val="auto"/>
        </w:rPr>
        <w:t>Pro Forma Calculations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1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Consolidated EBITDA and the Consolidated Senior Secured Net Leverage Ratio shall be calculated in the manner prescribed by this Section 1.06;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to the contrary in clauses (b), (c) or (d) of this Section 1.06, when calculating Consolidated EBITDA and the Consolidated Senior Secured Net Leverage Ratio for purposes of determining actual compliance (and not compliance on a Pro Forma Basis) with the covenant pursuant to Section 10.08, the events described in this Section 1.06 that occurred subsequent to the end of the applicable Test Period shall not be given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w:t>
      </w:r>
    </w:p>
    <w:p>
      <w:pPr>
        <w:spacing w:after="0" w:line="188" w:lineRule="exact"/>
        <w:rPr>
          <w:rFonts w:ascii="Arial" w:cs="Arial" w:eastAsia="Arial" w:hAnsi="Arial"/>
          <w:sz w:val="18"/>
          <w:szCs w:val="18"/>
          <w:color w:val="auto"/>
        </w:rPr>
      </w:pPr>
    </w:p>
    <w:p>
      <w:pPr>
        <w:jc w:val="both"/>
        <w:ind w:firstLine="656"/>
        <w:spacing w:after="0" w:line="253" w:lineRule="auto"/>
        <w:tabs>
          <w:tab w:leader="none" w:pos="1074"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For purposes of calculating Consolidated EBITDA and the Consolidated Senior Secured Net Leverage Ratio, Specified Transactions (and the incurrence or repayment of any Indebtedness in connection therewith) that have been made (i) during the applicable Test Period and (ii) subsequent to such Test Period and prior to or simultaneously with the event for which the calculation of any such ratio is made shall be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Borrower or any of its Restricted Subsidiaries since the beginning of such Test Period shall have made any Specified Transaction that would have required adjustment pursuant to this Section 1.06, then Consolidated EBITDA and the Consolidated Senior Secured Net Leverage Ratio shall be calculated to give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in accordance with this Section 1.06.</w:t>
      </w:r>
    </w:p>
    <w:p>
      <w:pPr>
        <w:spacing w:after="0" w:line="197" w:lineRule="exact"/>
        <w:rPr>
          <w:rFonts w:ascii="Arial" w:cs="Arial" w:eastAsia="Arial" w:hAnsi="Arial"/>
          <w:sz w:val="18"/>
          <w:szCs w:val="18"/>
          <w:color w:val="auto"/>
        </w:rPr>
      </w:pPr>
    </w:p>
    <w:p>
      <w:pPr>
        <w:jc w:val="both"/>
        <w:ind w:firstLine="656"/>
        <w:spacing w:after="0" w:line="269" w:lineRule="auto"/>
        <w:tabs>
          <w:tab w:leader="none" w:pos="1057"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Whenever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is to be given to a Specified Transaction, the pro forma calculations shall be made in good faith by a Responsible Officer of Borrower and include, for the avoidance of doubt, the amount of cost savings, operating expense reductions and synergies projected by Borrower in good faith to be realized as a result of specified actions taken or with respect to which steps have been initiated, or are reasonably expected to be initiated within fifteen (15) months of the closing date of such Specified Transaction (in the good faith determination of Borrower)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though such cost savings, operating expense reductions and synergies had been realized during the entirety of the applicable period), net of the amount of actual benefits realized during such period from such 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such cost savings, operating expense reductions and synergies, the limitations and requirements set forth in clause (c) of the definitions of Consolidated EBITDA (other than the requirement set forth in clause (c) of Consolidated EBITDA that steps have been initiated or taken) shall apply;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aggregate amount of additions made to Consolidated EBITDA for any Test Period pursuant to this clause (c) and clause (c) of the definition of “Consolidated EBITDA” shall not (i) exceed 20.0% of Consolidated EBITDA for such Test Period (after giving effect to this clause (c) and clause (c) of the definition of “Consolidated EBITDA”) or (ii) be duplicative of one another.</w:t>
      </w:r>
    </w:p>
    <w:p>
      <w:pPr>
        <w:spacing w:after="0" w:line="182" w:lineRule="exact"/>
        <w:rPr>
          <w:rFonts w:ascii="Arial" w:cs="Arial" w:eastAsia="Arial" w:hAnsi="Arial"/>
          <w:sz w:val="17"/>
          <w:szCs w:val="17"/>
          <w:color w:val="auto"/>
        </w:rPr>
      </w:pPr>
    </w:p>
    <w:p>
      <w:pPr>
        <w:jc w:val="both"/>
        <w:ind w:firstLine="656"/>
        <w:spacing w:after="0" w:line="312" w:lineRule="auto"/>
        <w:tabs>
          <w:tab w:leader="none" w:pos="10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the event that Borrower or any Restricted Subsidiary incurs (including by assumption or guarantees) or repays (including by redemption, repayment, prepayment, retirement, exchange or extinguishment) any Indebtedness included in the calculations of Consolidated EBITDA and the Consolidated Senior Secured Net Leverage Ratio, as the case may be (in each case, other than Indebtedness incurred or repaid under any revolving credit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00" w:right="239" w:bottom="1440" w:gutter="0" w:footer="0" w:header="0"/>
        </w:sectPr>
      </w:pPr>
    </w:p>
    <w:bookmarkStart w:id="138" w:name="page139"/>
    <w:bookmarkEnd w:id="138"/>
    <w:p>
      <w:pPr>
        <w:jc w:val="both"/>
        <w:spacing w:after="0" w:line="279" w:lineRule="auto"/>
        <w:rPr>
          <w:sz w:val="20"/>
          <w:szCs w:val="20"/>
          <w:color w:val="auto"/>
        </w:rPr>
      </w:pPr>
      <w:r>
        <w:rPr>
          <w:rFonts w:ascii="Arial" w:cs="Arial" w:eastAsia="Arial" w:hAnsi="Arial"/>
          <w:sz w:val="17"/>
          <w:szCs w:val="17"/>
          <w:color w:val="auto"/>
        </w:rPr>
        <w:t xml:space="preserve">facility), (i) during the applicable Test Period and/or (ii) subsequent to the end of the applicable Test Period and prior to or simultaneously with the event for which the calculation of any such ratio is made, then Consolidated EBITDA and the Consolidated Senior Secured Net Leverage Ratio shall be calculated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incurrence or repayment of Indebtedness, to the extent required, as if the same had occurred on the last day of the applicable Test Period in the case of Consolidated EBITDA or the Consolidated Senior Secured Net Leverage Ratio.</w:t>
      </w:r>
    </w:p>
    <w:p>
      <w:pPr>
        <w:spacing w:after="0" w:line="16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1.07. Letter of Credit Amounts</w:t>
      </w:r>
      <w:r>
        <w:rPr>
          <w:rFonts w:ascii="Arial" w:cs="Arial" w:eastAsia="Arial" w:hAnsi="Arial"/>
          <w:sz w:val="18"/>
          <w:szCs w:val="18"/>
          <w:color w:val="auto"/>
        </w:rPr>
        <w:t>. Unless otherwise specified herein, the amount of a Letter of Credit at any time shall be deemed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Dollar Equivalent of the stated amount of such Letter of Credit in effect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CREDITS</w:t>
      </w:r>
    </w:p>
    <w:p>
      <w:pPr>
        <w:spacing w:after="0" w:line="22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6"/>
          <w:szCs w:val="16"/>
          <w:b w:val="1"/>
          <w:bCs w:val="1"/>
          <w:color w:val="auto"/>
        </w:rPr>
        <w:t>Loans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9" w:lineRule="auto"/>
        <w:tabs>
          <w:tab w:leader="none" w:pos="1041"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Revolving Loans</w:t>
      </w:r>
      <w:r>
        <w:rPr>
          <w:rFonts w:ascii="Arial" w:cs="Arial" w:eastAsia="Arial" w:hAnsi="Arial"/>
          <w:sz w:val="17"/>
          <w:szCs w:val="17"/>
          <w:color w:val="auto"/>
        </w:rPr>
        <w:t>. Each Revolving Lender agrees, severally and not jointly, on the terms and conditions of this Agreement, to make revolving</w:t>
      </w:r>
      <w:r>
        <w:rPr>
          <w:rFonts w:ascii="Arial" w:cs="Arial" w:eastAsia="Arial" w:hAnsi="Arial"/>
          <w:sz w:val="17"/>
          <w:szCs w:val="17"/>
          <w:b w:val="1"/>
          <w:bCs w:val="1"/>
          <w:color w:val="auto"/>
        </w:rPr>
        <w:t xml:space="preserve"> </w:t>
      </w:r>
      <w:r>
        <w:rPr>
          <w:rFonts w:ascii="Arial" w:cs="Arial" w:eastAsia="Arial" w:hAnsi="Arial"/>
          <w:sz w:val="17"/>
          <w:szCs w:val="17"/>
          <w:color w:val="auto"/>
        </w:rPr>
        <w:t>loans (the “</w:t>
      </w:r>
      <w:r>
        <w:rPr>
          <w:rFonts w:ascii="Arial" w:cs="Arial" w:eastAsia="Arial" w:hAnsi="Arial"/>
          <w:sz w:val="17"/>
          <w:szCs w:val="17"/>
          <w:b w:val="1"/>
          <w:bCs w:val="1"/>
          <w:color w:val="auto"/>
        </w:rPr>
        <w:t>Revolving Loans</w:t>
      </w:r>
      <w:r>
        <w:rPr>
          <w:rFonts w:ascii="Arial" w:cs="Arial" w:eastAsia="Arial" w:hAnsi="Arial"/>
          <w:sz w:val="17"/>
          <w:szCs w:val="17"/>
          <w:color w:val="auto"/>
        </w:rPr>
        <w:t xml:space="preserve">”) to Borrower in Dollars from time to time, on any Business Day during, with respect to any Revolving Commitment of such Revolving Lender, the Revolving Availability Period applicable to such Revolving Commitment, in an aggregate principal amount at any one time outstanding not exceeding the amount of the Revolving Commitment of such Revolving Lender as in effect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after giving effect to any Borrowing of Revolving Loans, (i) the sum of the aggregate principal amount of (without duplication) all Revolving Loans then outstanding plus the aggregate amount of all L/C Liabilities shall not exceed the Total Revolving Commitments as in effect at such time, (ii) the Revolving Exposure of such Revolving Lender shall not exceed such Revolving Lender’s Revolving Commitments in effect at such time, (iii) the Revolving Tranche Exposure of such Revolving Lender in respect of any Tranche of Revolving Commitments shall not exceed such Revolving Lender’s Revolving Commitment of such Tranche in effect at such time and (iv) the Revolving Tranche Exposure of all Revolving Lenders in respect of any Tranche of Revolving Commitments shall not exceed the aggregate Revolving Commitments of such Tranche in effect at such time. Subject to the terms and conditions of this Agreement, during the applicable Revolving Availability Period, Borrower may borrow, repay and re-borrow the amount of the Revolving Commitments by means of ABR Loans and LIBOR Loans.</w:t>
      </w:r>
    </w:p>
    <w:p>
      <w:pPr>
        <w:spacing w:after="0" w:line="179" w:lineRule="exact"/>
        <w:rPr>
          <w:rFonts w:ascii="Arial" w:cs="Arial" w:eastAsia="Arial" w:hAnsi="Arial"/>
          <w:sz w:val="17"/>
          <w:szCs w:val="17"/>
          <w:color w:val="auto"/>
        </w:rPr>
      </w:pPr>
    </w:p>
    <w:p>
      <w:pPr>
        <w:ind w:left="1040" w:hanging="384"/>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Term Facility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00" w:hanging="352"/>
        <w:spacing w:after="0"/>
        <w:tabs>
          <w:tab w:leader="none" w:pos="1900" w:val="left"/>
        </w:tabs>
        <w:numPr>
          <w:ilvl w:val="1"/>
          <w:numId w:val="61"/>
        </w:numPr>
        <w:rPr>
          <w:rFonts w:ascii="Arial" w:cs="Arial" w:eastAsia="Arial" w:hAnsi="Arial"/>
          <w:sz w:val="18"/>
          <w:szCs w:val="18"/>
          <w:color w:val="auto"/>
        </w:rPr>
      </w:pPr>
      <w:r>
        <w:rPr>
          <w:rFonts w:ascii="Arial" w:cs="Arial" w:eastAsia="Arial" w:hAnsi="Arial"/>
          <w:sz w:val="18"/>
          <w:szCs w:val="18"/>
          <w:b w:val="1"/>
          <w:bCs w:val="1"/>
          <w:u w:val="single" w:color="auto"/>
          <w:color w:val="0000FF"/>
        </w:rPr>
        <w:t>[Reserved].</w:t>
      </w:r>
    </w:p>
    <w:p>
      <w:pPr>
        <w:spacing w:after="0" w:line="225" w:lineRule="exact"/>
        <w:rPr>
          <w:rFonts w:ascii="Arial" w:cs="Arial" w:eastAsia="Arial" w:hAnsi="Arial"/>
          <w:sz w:val="18"/>
          <w:szCs w:val="18"/>
          <w:color w:val="auto"/>
        </w:rPr>
      </w:pPr>
    </w:p>
    <w:p>
      <w:pPr>
        <w:ind w:left="1940" w:hanging="392"/>
        <w:spacing w:after="0"/>
        <w:tabs>
          <w:tab w:leader="none" w:pos="1940" w:val="left"/>
        </w:tabs>
        <w:numPr>
          <w:ilvl w:val="1"/>
          <w:numId w:val="61"/>
        </w:numPr>
        <w:rPr>
          <w:rFonts w:ascii="Arial" w:cs="Arial" w:eastAsia="Arial" w:hAnsi="Arial"/>
          <w:sz w:val="18"/>
          <w:szCs w:val="18"/>
          <w:color w:val="auto"/>
        </w:rPr>
      </w:pPr>
      <w:r>
        <w:rPr>
          <w:rFonts w:ascii="Arial" w:cs="Arial" w:eastAsia="Arial" w:hAnsi="Arial"/>
          <w:sz w:val="18"/>
          <w:szCs w:val="18"/>
          <w:b w:val="1"/>
          <w:bCs w:val="1"/>
          <w:u w:val="single" w:color="auto"/>
          <w:color w:val="0000FF"/>
        </w:rPr>
        <w:t>[Reserved].</w:t>
      </w:r>
    </w:p>
    <w:p>
      <w:pPr>
        <w:spacing w:after="0" w:line="225" w:lineRule="exact"/>
        <w:rPr>
          <w:rFonts w:ascii="Arial" w:cs="Arial" w:eastAsia="Arial" w:hAnsi="Arial"/>
          <w:sz w:val="18"/>
          <w:szCs w:val="18"/>
          <w:color w:val="auto"/>
        </w:rPr>
      </w:pPr>
    </w:p>
    <w:p>
      <w:pPr>
        <w:ind w:left="2000" w:hanging="452"/>
        <w:spacing w:after="0"/>
        <w:tabs>
          <w:tab w:leader="none" w:pos="2000" w:val="left"/>
        </w:tabs>
        <w:numPr>
          <w:ilvl w:val="1"/>
          <w:numId w:val="61"/>
        </w:numPr>
        <w:rPr>
          <w:rFonts w:ascii="Arial" w:cs="Arial" w:eastAsia="Arial" w:hAnsi="Arial"/>
          <w:sz w:val="18"/>
          <w:szCs w:val="18"/>
          <w:color w:val="auto"/>
        </w:rPr>
      </w:pPr>
      <w:r>
        <w:rPr>
          <w:rFonts w:ascii="Arial" w:cs="Arial" w:eastAsia="Arial" w:hAnsi="Arial"/>
          <w:sz w:val="18"/>
          <w:szCs w:val="18"/>
          <w:b w:val="1"/>
          <w:bCs w:val="1"/>
          <w:u w:val="single" w:color="auto"/>
          <w:color w:val="0000FF"/>
        </w:rPr>
        <w:t>[Reserved].</w:t>
      </w:r>
    </w:p>
    <w:p>
      <w:pPr>
        <w:spacing w:after="0" w:line="225" w:lineRule="exact"/>
        <w:rPr>
          <w:sz w:val="20"/>
          <w:szCs w:val="20"/>
          <w:color w:val="auto"/>
        </w:rPr>
      </w:pPr>
    </w:p>
    <w:p>
      <w:pPr>
        <w:jc w:val="both"/>
        <w:ind w:left="660" w:firstLine="888"/>
        <w:spacing w:after="0" w:line="261" w:lineRule="auto"/>
        <w:tabs>
          <w:tab w:leader="none" w:pos="1778" w:val="left"/>
        </w:tabs>
        <w:numPr>
          <w:ilvl w:val="0"/>
          <w:numId w:val="62"/>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Each Lender with a Tranche A Term Facility Commitment agrees, severally and not jointly, on the terms and conditions of this Agreement, to make Term Facility Loans to Borrower in Dollars from time to time, on any Business Day during the applicable Term Facility Availability Period, in an aggregate principal amount at any one time outstanding not exceeding the amount of the Tranche A Term Facility Commitment of such Term Facility Lender as in effect from time to time.</w:t>
      </w:r>
    </w:p>
    <w:p>
      <w:pPr>
        <w:spacing w:after="0" w:line="180" w:lineRule="exact"/>
        <w:rPr>
          <w:rFonts w:ascii="Arial" w:cs="Arial" w:eastAsia="Arial" w:hAnsi="Arial"/>
          <w:sz w:val="18"/>
          <w:szCs w:val="18"/>
          <w:b w:val="1"/>
          <w:bCs w:val="1"/>
          <w:color w:val="FF0000"/>
          <w:strike w:val="1"/>
        </w:rPr>
      </w:pPr>
    </w:p>
    <w:p>
      <w:pPr>
        <w:jc w:val="both"/>
        <w:ind w:left="660" w:firstLine="888"/>
        <w:spacing w:after="0" w:line="266" w:lineRule="auto"/>
        <w:tabs>
          <w:tab w:leader="none" w:pos="1827" w:val="left"/>
        </w:tabs>
        <w:numPr>
          <w:ilvl w:val="0"/>
          <w:numId w:val="62"/>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Each Lender with a Tranche B Term Facility Commitment agrees, severally and not jointly, on the terms and conditions of this Agreement, to make Term Facility Loans to Borrower in Dollars from time to time, on any Business Day during the applicable Term Facility Availability Period,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00" w:right="239" w:bottom="1440" w:gutter="0" w:footer="0" w:header="0"/>
        </w:sectPr>
      </w:pPr>
    </w:p>
    <w:bookmarkStart w:id="139" w:name="page140"/>
    <w:bookmarkEnd w:id="139"/>
    <w:p>
      <w:pPr>
        <w:ind w:left="660"/>
        <w:spacing w:after="0" w:line="282" w:lineRule="auto"/>
        <w:rPr>
          <w:sz w:val="20"/>
          <w:szCs w:val="20"/>
          <w:color w:val="auto"/>
        </w:rPr>
      </w:pPr>
      <w:r>
        <w:rPr>
          <w:rFonts w:ascii="Arial" w:cs="Arial" w:eastAsia="Arial" w:hAnsi="Arial"/>
          <w:sz w:val="18"/>
          <w:szCs w:val="18"/>
          <w:b w:val="1"/>
          <w:bCs w:val="1"/>
          <w:color w:val="FF0000"/>
          <w:strike w:val="1"/>
        </w:rPr>
        <w:t>in an aggregate principal amount at any one time outstanding not exceeding the amount of the Tranche B Term Facility Commitment of such Term Facility Lender as in effect from time to time.</w:t>
      </w:r>
    </w:p>
    <w:p>
      <w:pPr>
        <w:spacing w:after="0" w:line="162" w:lineRule="exact"/>
        <w:rPr>
          <w:sz w:val="20"/>
          <w:szCs w:val="20"/>
          <w:color w:val="auto"/>
        </w:rPr>
      </w:pPr>
    </w:p>
    <w:p>
      <w:pPr>
        <w:jc w:val="both"/>
        <w:ind w:left="660" w:firstLine="888"/>
        <w:spacing w:after="0" w:line="261" w:lineRule="auto"/>
        <w:tabs>
          <w:tab w:leader="none" w:pos="1874" w:val="left"/>
        </w:tabs>
        <w:numPr>
          <w:ilvl w:val="1"/>
          <w:numId w:val="63"/>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Each Lender with a Tranche C Term Facility Commitment agrees, severally and not jointly, on the terms and conditions of this Agreement, to make Term Facility Loans to Borrower in Dollars from time to time, on any Business Day during the applicable Term Facility Availability Period, in an aggregate principal amount at any one time outstanding not exceeding the amount of the Tranche C Term Facility Commitment of such Term Facility Lender as in effect from time to time.</w:t>
      </w:r>
    </w:p>
    <w:p>
      <w:pPr>
        <w:spacing w:after="0" w:line="184" w:lineRule="exact"/>
        <w:rPr>
          <w:rFonts w:ascii="Arial" w:cs="Arial" w:eastAsia="Arial" w:hAnsi="Arial"/>
          <w:sz w:val="18"/>
          <w:szCs w:val="18"/>
          <w:b w:val="1"/>
          <w:bCs w:val="1"/>
          <w:color w:val="FF0000"/>
          <w:strike w:val="1"/>
        </w:rPr>
      </w:pPr>
    </w:p>
    <w:p>
      <w:pPr>
        <w:jc w:val="both"/>
        <w:ind w:left="660" w:firstLine="645"/>
        <w:spacing w:after="0" w:line="259" w:lineRule="auto"/>
        <w:tabs>
          <w:tab w:leader="none" w:pos="1838"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Lender with a Tranche D Term Facility Commitment agrees, severally and not jointly, on the terms and conditions of this Agreement, to make Term Facility Loans to Borrower in Dollars from time to time, on any Business Day during the applicable Term Facility Availability Period, in an aggregate principal amount at any one time outstanding not exceeding the amount of the Tranche D Term Facility Commitment of such Term Facility Lender as in effect from time to time.</w:t>
      </w:r>
    </w:p>
    <w:p>
      <w:pPr>
        <w:spacing w:after="0" w:line="18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It is the understanding, agreement and intention that once made pursuant to this Section 2.01(b), any Term Facility Loans shall be part of the same Tranche, indistinguishable from one another.</w:t>
      </w:r>
    </w:p>
    <w:p>
      <w:pPr>
        <w:spacing w:after="0" w:line="166" w:lineRule="exact"/>
        <w:rPr>
          <w:sz w:val="20"/>
          <w:szCs w:val="20"/>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LIBOR Loans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645"/>
        <w:spacing w:after="0" w:line="277" w:lineRule="auto"/>
        <w:tabs>
          <w:tab w:leader="none" w:pos="1748"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 more than twenty (20) separate Interest Periods in respect of LIBOR Loans may be outstanding at any one time in the aggregate under all of the facilities.</w:t>
      </w:r>
    </w:p>
    <w:p>
      <w:pPr>
        <w:spacing w:after="0" w:line="166" w:lineRule="exact"/>
        <w:rPr>
          <w:rFonts w:ascii="Arial" w:cs="Arial" w:eastAsia="Arial" w:hAnsi="Arial"/>
          <w:sz w:val="18"/>
          <w:szCs w:val="18"/>
          <w:color w:val="auto"/>
        </w:rPr>
      </w:pPr>
    </w:p>
    <w:p>
      <w:pPr>
        <w:jc w:val="both"/>
        <w:ind w:left="660" w:firstLine="645"/>
        <w:spacing w:after="0" w:line="270" w:lineRule="auto"/>
        <w:tabs>
          <w:tab w:leader="none" w:pos="1766" w:val="left"/>
        </w:tabs>
        <w:numPr>
          <w:ilvl w:val="1"/>
          <w:numId w:val="65"/>
        </w:numPr>
        <w:rPr>
          <w:rFonts w:ascii="Arial" w:cs="Arial" w:eastAsia="Arial" w:hAnsi="Arial"/>
          <w:sz w:val="17"/>
          <w:szCs w:val="17"/>
          <w:color w:val="auto"/>
        </w:rPr>
      </w:pPr>
      <w:r>
        <w:rPr>
          <w:rFonts w:ascii="Arial" w:cs="Arial" w:eastAsia="Arial" w:hAnsi="Arial"/>
          <w:sz w:val="17"/>
          <w:szCs w:val="17"/>
          <w:color w:val="auto"/>
        </w:rPr>
        <w:t xml:space="preserve">With respect to Term </w:t>
      </w:r>
      <w:r>
        <w:rPr>
          <w:rFonts w:ascii="Arial" w:cs="Arial" w:eastAsia="Arial" w:hAnsi="Arial"/>
          <w:sz w:val="17"/>
          <w:szCs w:val="17"/>
          <w:b w:val="1"/>
          <w:bCs w:val="1"/>
          <w:color w:val="FF0000"/>
          <w:strike w:val="1"/>
        </w:rPr>
        <w:t>Facility</w:t>
      </w:r>
      <w:r>
        <w:rPr>
          <w:rFonts w:ascii="Arial" w:cs="Arial" w:eastAsia="Arial" w:hAnsi="Arial"/>
          <w:sz w:val="17"/>
          <w:szCs w:val="17"/>
          <w:color w:val="auto"/>
        </w:rPr>
        <w:t xml:space="preserve"> Loans made under a Tranche of Term Facility Commitments </w:t>
      </w:r>
      <w:r>
        <w:rPr>
          <w:rFonts w:ascii="Arial" w:cs="Arial" w:eastAsia="Arial" w:hAnsi="Arial"/>
          <w:sz w:val="17"/>
          <w:szCs w:val="17"/>
          <w:b w:val="1"/>
          <w:bCs w:val="1"/>
          <w:u w:val="single" w:color="auto"/>
          <w:color w:val="0000FF"/>
        </w:rPr>
        <w:t>or Term Facility II Commitments</w:t>
      </w:r>
      <w:r>
        <w:rPr>
          <w:rFonts w:ascii="Arial" w:cs="Arial" w:eastAsia="Arial" w:hAnsi="Arial"/>
          <w:sz w:val="17"/>
          <w:szCs w:val="17"/>
          <w:color w:val="auto"/>
        </w:rPr>
        <w:t xml:space="preserve"> as LIBOR Loans, if at the time such Term </w:t>
      </w:r>
      <w:r>
        <w:rPr>
          <w:rFonts w:ascii="Arial" w:cs="Arial" w:eastAsia="Arial" w:hAnsi="Arial"/>
          <w:sz w:val="17"/>
          <w:szCs w:val="17"/>
          <w:b w:val="1"/>
          <w:bCs w:val="1"/>
          <w:color w:val="FF0000"/>
          <w:strike w:val="1"/>
        </w:rPr>
        <w:t>Facility</w:t>
      </w:r>
      <w:r>
        <w:rPr>
          <w:rFonts w:ascii="Arial" w:cs="Arial" w:eastAsia="Arial" w:hAnsi="Arial"/>
          <w:sz w:val="17"/>
          <w:szCs w:val="17"/>
          <w:color w:val="auto"/>
        </w:rPr>
        <w:t xml:space="preserve"> Loans (the “</w:t>
      </w:r>
      <w:r>
        <w:rPr>
          <w:rFonts w:ascii="Arial" w:cs="Arial" w:eastAsia="Arial" w:hAnsi="Arial"/>
          <w:sz w:val="17"/>
          <w:szCs w:val="17"/>
          <w:b w:val="1"/>
          <w:bCs w:val="1"/>
          <w:color w:val="auto"/>
        </w:rPr>
        <w:t>New Term</w:t>
      </w:r>
      <w:r>
        <w:rPr>
          <w:rFonts w:ascii="Arial" w:cs="Arial" w:eastAsia="Arial" w:hAnsi="Arial"/>
          <w:sz w:val="17"/>
          <w:szCs w:val="17"/>
          <w:color w:val="auto"/>
        </w:rPr>
        <w:t xml:space="preserve"> </w:t>
      </w:r>
      <w:r>
        <w:rPr>
          <w:rFonts w:ascii="Arial" w:cs="Arial" w:eastAsia="Arial" w:hAnsi="Arial"/>
          <w:sz w:val="17"/>
          <w:szCs w:val="17"/>
          <w:b w:val="1"/>
          <w:bCs w:val="1"/>
          <w:color w:val="FF0000"/>
          <w:strike w:val="1"/>
        </w:rPr>
        <w:t>Facility</w:t>
      </w:r>
      <w:r>
        <w:rPr>
          <w:rFonts w:ascii="Arial" w:cs="Arial" w:eastAsia="Arial" w:hAnsi="Arial"/>
          <w:sz w:val="17"/>
          <w:szCs w:val="17"/>
          <w:color w:val="auto"/>
        </w:rPr>
        <w:t xml:space="preserve"> </w:t>
      </w:r>
      <w:r>
        <w:rPr>
          <w:rFonts w:ascii="Arial" w:cs="Arial" w:eastAsia="Arial" w:hAnsi="Arial"/>
          <w:sz w:val="17"/>
          <w:szCs w:val="17"/>
          <w:b w:val="1"/>
          <w:bCs w:val="1"/>
          <w:color w:val="auto"/>
        </w:rPr>
        <w:t>Loans</w:t>
      </w:r>
      <w:r>
        <w:rPr>
          <w:rFonts w:ascii="Arial" w:cs="Arial" w:eastAsia="Arial" w:hAnsi="Arial"/>
          <w:sz w:val="17"/>
          <w:szCs w:val="17"/>
          <w:color w:val="auto"/>
        </w:rPr>
        <w:t xml:space="preserve">”) are made, there are outstanding Term </w:t>
      </w:r>
      <w:r>
        <w:rPr>
          <w:rFonts w:ascii="Arial" w:cs="Arial" w:eastAsia="Arial" w:hAnsi="Arial"/>
          <w:sz w:val="17"/>
          <w:szCs w:val="17"/>
          <w:b w:val="1"/>
          <w:bCs w:val="1"/>
          <w:color w:val="FF0000"/>
          <w:strike w:val="1"/>
        </w:rPr>
        <w:t>Facility</w:t>
      </w:r>
      <w:r>
        <w:rPr>
          <w:rFonts w:ascii="Arial" w:cs="Arial" w:eastAsia="Arial" w:hAnsi="Arial"/>
          <w:sz w:val="17"/>
          <w:szCs w:val="17"/>
          <w:color w:val="auto"/>
        </w:rPr>
        <w:t xml:space="preserve"> Loans which were made under </w:t>
      </w:r>
      <w:r>
        <w:rPr>
          <w:rFonts w:ascii="Arial" w:cs="Arial" w:eastAsia="Arial" w:hAnsi="Arial"/>
          <w:sz w:val="17"/>
          <w:szCs w:val="17"/>
          <w:b w:val="1"/>
          <w:bCs w:val="1"/>
          <w:u w:val="single" w:color="auto"/>
          <w:color w:val="0000FF"/>
        </w:rPr>
        <w:t>(A) in respect of Term Facility Loans, the same or</w:t>
      </w:r>
      <w:r>
        <w:rPr>
          <w:rFonts w:ascii="Arial" w:cs="Arial" w:eastAsia="Arial" w:hAnsi="Arial"/>
          <w:sz w:val="17"/>
          <w:szCs w:val="17"/>
          <w:color w:val="auto"/>
        </w:rPr>
        <w:t xml:space="preserve"> any other Tranche of Term Facility Commitments </w:t>
      </w:r>
      <w:r>
        <w:rPr>
          <w:rFonts w:ascii="Arial" w:cs="Arial" w:eastAsia="Arial" w:hAnsi="Arial"/>
          <w:sz w:val="17"/>
          <w:szCs w:val="17"/>
          <w:b w:val="1"/>
          <w:bCs w:val="1"/>
          <w:u w:val="single" w:color="auto"/>
          <w:color w:val="0000FF"/>
        </w:rPr>
        <w:t>and (B) in the case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of Term Facility II Loans, the Term Facility II Commitments, as applicable</w:t>
      </w:r>
      <w:r>
        <w:rPr>
          <w:rFonts w:ascii="Arial" w:cs="Arial" w:eastAsia="Arial" w:hAnsi="Arial"/>
          <w:sz w:val="17"/>
          <w:szCs w:val="17"/>
          <w:b w:val="1"/>
          <w:bCs w:val="1"/>
          <w:color w:val="0000FF"/>
        </w:rPr>
        <w:t xml:space="preserve"> </w:t>
      </w:r>
      <w:r>
        <w:rPr>
          <w:rFonts w:ascii="Arial" w:cs="Arial" w:eastAsia="Arial" w:hAnsi="Arial"/>
          <w:sz w:val="17"/>
          <w:szCs w:val="17"/>
          <w:color w:val="000000"/>
        </w:rPr>
        <w:t>(the “</w:t>
      </w:r>
      <w:r>
        <w:rPr>
          <w:rFonts w:ascii="Arial" w:cs="Arial" w:eastAsia="Arial" w:hAnsi="Arial"/>
          <w:sz w:val="17"/>
          <w:szCs w:val="17"/>
          <w:b w:val="1"/>
          <w:bCs w:val="1"/>
          <w:color w:val="000000"/>
        </w:rPr>
        <w:t>Existing Term</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FF0000"/>
          <w:strike w:val="1"/>
        </w:rPr>
        <w:t>Facility</w:t>
      </w:r>
      <w:r>
        <w:rPr>
          <w:rFonts w:ascii="Arial" w:cs="Arial" w:eastAsia="Arial" w:hAnsi="Arial"/>
          <w:sz w:val="17"/>
          <w:szCs w:val="17"/>
          <w:b w:val="1"/>
          <w:bCs w:val="1"/>
          <w:color w:val="0000FF"/>
        </w:rPr>
        <w:t xml:space="preserve"> </w:t>
      </w:r>
      <w:r>
        <w:rPr>
          <w:rFonts w:ascii="Arial" w:cs="Arial" w:eastAsia="Arial" w:hAnsi="Arial"/>
          <w:sz w:val="17"/>
          <w:szCs w:val="17"/>
          <w:b w:val="1"/>
          <w:bCs w:val="1"/>
          <w:color w:val="000000"/>
        </w:rPr>
        <w:t>Loans</w:t>
      </w:r>
      <w:r>
        <w:rPr>
          <w:rFonts w:ascii="Arial" w:cs="Arial" w:eastAsia="Arial" w:hAnsi="Arial"/>
          <w:sz w:val="17"/>
          <w:szCs w:val="17"/>
          <w:color w:val="000000"/>
        </w:rPr>
        <w:t>”), then (i) the initial Interest</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Period(s) for all such New Term </w:t>
      </w:r>
      <w:r>
        <w:rPr>
          <w:rFonts w:ascii="Arial" w:cs="Arial" w:eastAsia="Arial" w:hAnsi="Arial"/>
          <w:sz w:val="17"/>
          <w:szCs w:val="17"/>
          <w:b w:val="1"/>
          <w:bCs w:val="1"/>
          <w:color w:val="FF0000"/>
          <w:strike w:val="1"/>
        </w:rPr>
        <w:t>Facility</w:t>
      </w:r>
      <w:r>
        <w:rPr>
          <w:rFonts w:ascii="Arial" w:cs="Arial" w:eastAsia="Arial" w:hAnsi="Arial"/>
          <w:sz w:val="17"/>
          <w:szCs w:val="17"/>
          <w:color w:val="000000"/>
        </w:rPr>
        <w:t xml:space="preserve"> Loans hereunder shall commence upon the making of such New Term </w:t>
      </w:r>
      <w:r>
        <w:rPr>
          <w:rFonts w:ascii="Arial" w:cs="Arial" w:eastAsia="Arial" w:hAnsi="Arial"/>
          <w:sz w:val="17"/>
          <w:szCs w:val="17"/>
          <w:b w:val="1"/>
          <w:bCs w:val="1"/>
          <w:color w:val="FF0000"/>
          <w:strike w:val="1"/>
        </w:rPr>
        <w:t>Facility</w:t>
      </w:r>
      <w:r>
        <w:rPr>
          <w:rFonts w:ascii="Arial" w:cs="Arial" w:eastAsia="Arial" w:hAnsi="Arial"/>
          <w:sz w:val="17"/>
          <w:szCs w:val="17"/>
          <w:color w:val="000000"/>
        </w:rPr>
        <w:t xml:space="preserve"> Loan and end on the last day of the Interest Period(s) applicable to the </w:t>
      </w:r>
      <w:r>
        <w:rPr>
          <w:rFonts w:ascii="Arial" w:cs="Arial" w:eastAsia="Arial" w:hAnsi="Arial"/>
          <w:sz w:val="17"/>
          <w:szCs w:val="17"/>
          <w:b w:val="1"/>
          <w:bCs w:val="1"/>
          <w:u w:val="single" w:color="auto"/>
          <w:color w:val="0000FF"/>
        </w:rPr>
        <w:t>applicable</w:t>
      </w:r>
      <w:r>
        <w:rPr>
          <w:rFonts w:ascii="Arial" w:cs="Arial" w:eastAsia="Arial" w:hAnsi="Arial"/>
          <w:sz w:val="17"/>
          <w:szCs w:val="17"/>
          <w:color w:val="000000"/>
        </w:rPr>
        <w:t xml:space="preserve"> Existing Term </w:t>
      </w:r>
      <w:r>
        <w:rPr>
          <w:rFonts w:ascii="Arial" w:cs="Arial" w:eastAsia="Arial" w:hAnsi="Arial"/>
          <w:sz w:val="17"/>
          <w:szCs w:val="17"/>
          <w:b w:val="1"/>
          <w:bCs w:val="1"/>
          <w:color w:val="FF0000"/>
          <w:strike w:val="1"/>
        </w:rPr>
        <w:t>Facility</w:t>
      </w:r>
      <w:r>
        <w:rPr>
          <w:rFonts w:ascii="Arial" w:cs="Arial" w:eastAsia="Arial" w:hAnsi="Arial"/>
          <w:sz w:val="17"/>
          <w:szCs w:val="17"/>
          <w:color w:val="000000"/>
        </w:rPr>
        <w:t xml:space="preserve"> Loans (as of the date of the making of </w:t>
      </w:r>
      <w:r>
        <w:rPr>
          <w:rFonts w:ascii="Arial" w:cs="Arial" w:eastAsia="Arial" w:hAnsi="Arial"/>
          <w:sz w:val="17"/>
          <w:szCs w:val="17"/>
          <w:b w:val="1"/>
          <w:bCs w:val="1"/>
          <w:color w:val="FF0000"/>
          <w:strike w:val="1"/>
        </w:rPr>
        <w:t>the</w:t>
      </w:r>
      <w:r>
        <w:rPr>
          <w:rFonts w:ascii="Arial" w:cs="Arial" w:eastAsia="Arial" w:hAnsi="Arial"/>
          <w:sz w:val="17"/>
          <w:szCs w:val="17"/>
          <w:b w:val="1"/>
          <w:bCs w:val="1"/>
          <w:u w:val="single" w:color="auto"/>
          <w:color w:val="0000FF"/>
        </w:rPr>
        <w:t>such</w:t>
      </w:r>
      <w:r>
        <w:rPr>
          <w:rFonts w:ascii="Arial" w:cs="Arial" w:eastAsia="Arial" w:hAnsi="Arial"/>
          <w:sz w:val="17"/>
          <w:szCs w:val="17"/>
          <w:color w:val="000000"/>
        </w:rPr>
        <w:t xml:space="preserve"> New Term </w:t>
      </w:r>
      <w:r>
        <w:rPr>
          <w:rFonts w:ascii="Arial" w:cs="Arial" w:eastAsia="Arial" w:hAnsi="Arial"/>
          <w:sz w:val="17"/>
          <w:szCs w:val="17"/>
          <w:b w:val="1"/>
          <w:bCs w:val="1"/>
          <w:color w:val="FF0000"/>
          <w:strike w:val="1"/>
        </w:rPr>
        <w:t>Facility</w:t>
      </w:r>
      <w:r>
        <w:rPr>
          <w:rFonts w:ascii="Arial" w:cs="Arial" w:eastAsia="Arial" w:hAnsi="Arial"/>
          <w:sz w:val="17"/>
          <w:szCs w:val="17"/>
          <w:color w:val="000000"/>
        </w:rPr>
        <w:t xml:space="preserve"> Loans) and (ii) such New Term </w:t>
      </w:r>
      <w:r>
        <w:rPr>
          <w:rFonts w:ascii="Arial" w:cs="Arial" w:eastAsia="Arial" w:hAnsi="Arial"/>
          <w:sz w:val="17"/>
          <w:szCs w:val="17"/>
          <w:b w:val="1"/>
          <w:bCs w:val="1"/>
          <w:color w:val="FF0000"/>
          <w:strike w:val="1"/>
        </w:rPr>
        <w:t>Facility</w:t>
      </w:r>
      <w:r>
        <w:rPr>
          <w:rFonts w:ascii="Arial" w:cs="Arial" w:eastAsia="Arial" w:hAnsi="Arial"/>
          <w:sz w:val="17"/>
          <w:szCs w:val="17"/>
          <w:color w:val="000000"/>
        </w:rPr>
        <w:t xml:space="preserve"> Loans shall have the same LIBO Rate as the corresponding Existing Term </w:t>
      </w:r>
      <w:r>
        <w:rPr>
          <w:rFonts w:ascii="Arial" w:cs="Arial" w:eastAsia="Arial" w:hAnsi="Arial"/>
          <w:sz w:val="17"/>
          <w:szCs w:val="17"/>
          <w:b w:val="1"/>
          <w:bCs w:val="1"/>
          <w:color w:val="FF0000"/>
          <w:strike w:val="1"/>
        </w:rPr>
        <w:t>Facility</w:t>
      </w:r>
      <w:r>
        <w:rPr>
          <w:rFonts w:ascii="Arial" w:cs="Arial" w:eastAsia="Arial" w:hAnsi="Arial"/>
          <w:sz w:val="17"/>
          <w:szCs w:val="17"/>
          <w:color w:val="000000"/>
        </w:rPr>
        <w:t xml:space="preserve"> Loans (and, if there are multiple Interest Periods and/or multiple LIBO Rates applicable to the </w:t>
      </w:r>
      <w:r>
        <w:rPr>
          <w:rFonts w:ascii="Arial" w:cs="Arial" w:eastAsia="Arial" w:hAnsi="Arial"/>
          <w:sz w:val="17"/>
          <w:szCs w:val="17"/>
          <w:b w:val="1"/>
          <w:bCs w:val="1"/>
          <w:u w:val="single" w:color="auto"/>
          <w:color w:val="0000FF"/>
        </w:rPr>
        <w:t>applicable</w:t>
      </w:r>
      <w:r>
        <w:rPr>
          <w:rFonts w:ascii="Arial" w:cs="Arial" w:eastAsia="Arial" w:hAnsi="Arial"/>
          <w:sz w:val="17"/>
          <w:szCs w:val="17"/>
          <w:color w:val="000000"/>
        </w:rPr>
        <w:t xml:space="preserve"> Existing Term </w:t>
      </w:r>
      <w:r>
        <w:rPr>
          <w:rFonts w:ascii="Arial" w:cs="Arial" w:eastAsia="Arial" w:hAnsi="Arial"/>
          <w:sz w:val="17"/>
          <w:szCs w:val="17"/>
          <w:b w:val="1"/>
          <w:bCs w:val="1"/>
          <w:color w:val="FF0000"/>
          <w:strike w:val="1"/>
        </w:rPr>
        <w:t>Facility</w:t>
      </w:r>
      <w:r>
        <w:rPr>
          <w:rFonts w:ascii="Arial" w:cs="Arial" w:eastAsia="Arial" w:hAnsi="Arial"/>
          <w:sz w:val="17"/>
          <w:szCs w:val="17"/>
          <w:color w:val="000000"/>
        </w:rPr>
        <w:t xml:space="preserve"> Loans as of such date of the making of </w:t>
      </w:r>
      <w:r>
        <w:rPr>
          <w:rFonts w:ascii="Arial" w:cs="Arial" w:eastAsia="Arial" w:hAnsi="Arial"/>
          <w:sz w:val="17"/>
          <w:szCs w:val="17"/>
          <w:b w:val="1"/>
          <w:bCs w:val="1"/>
          <w:color w:val="FF0000"/>
          <w:strike w:val="1"/>
        </w:rPr>
        <w:t>the</w:t>
      </w:r>
      <w:r>
        <w:rPr>
          <w:rFonts w:ascii="Arial" w:cs="Arial" w:eastAsia="Arial" w:hAnsi="Arial"/>
          <w:sz w:val="17"/>
          <w:szCs w:val="17"/>
          <w:b w:val="1"/>
          <w:bCs w:val="1"/>
          <w:u w:val="single" w:color="auto"/>
          <w:color w:val="0000FF"/>
        </w:rPr>
        <w:t>such</w:t>
      </w:r>
      <w:r>
        <w:rPr>
          <w:rFonts w:ascii="Arial" w:cs="Arial" w:eastAsia="Arial" w:hAnsi="Arial"/>
          <w:sz w:val="17"/>
          <w:szCs w:val="17"/>
          <w:b w:val="1"/>
          <w:bCs w:val="1"/>
          <w:color w:val="FF0000"/>
        </w:rPr>
        <w:t xml:space="preserve"> </w:t>
      </w:r>
      <w:r>
        <w:rPr>
          <w:rFonts w:ascii="Arial" w:cs="Arial" w:eastAsia="Arial" w:hAnsi="Arial"/>
          <w:sz w:val="17"/>
          <w:szCs w:val="17"/>
          <w:color w:val="000000"/>
        </w:rPr>
        <w:t>New Term</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Facility</w:t>
      </w:r>
      <w:r>
        <w:rPr>
          <w:rFonts w:ascii="Arial" w:cs="Arial" w:eastAsia="Arial" w:hAnsi="Arial"/>
          <w:sz w:val="17"/>
          <w:szCs w:val="17"/>
          <w:b w:val="1"/>
          <w:bCs w:val="1"/>
          <w:color w:val="FF0000"/>
        </w:rPr>
        <w:t xml:space="preserve"> </w:t>
      </w:r>
      <w:r>
        <w:rPr>
          <w:rFonts w:ascii="Arial" w:cs="Arial" w:eastAsia="Arial" w:hAnsi="Arial"/>
          <w:sz w:val="17"/>
          <w:szCs w:val="17"/>
          <w:color w:val="000000"/>
        </w:rPr>
        <w:t>Loans, then</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the</w:t>
      </w:r>
      <w:r>
        <w:rPr>
          <w:rFonts w:ascii="Arial" w:cs="Arial" w:eastAsia="Arial" w:hAnsi="Arial"/>
          <w:sz w:val="17"/>
          <w:szCs w:val="17"/>
          <w:b w:val="1"/>
          <w:bCs w:val="1"/>
          <w:u w:val="single" w:color="auto"/>
          <w:color w:val="0000FF"/>
        </w:rPr>
        <w:t>such</w:t>
      </w:r>
      <w:r>
        <w:rPr>
          <w:rFonts w:ascii="Arial" w:cs="Arial" w:eastAsia="Arial" w:hAnsi="Arial"/>
          <w:sz w:val="17"/>
          <w:szCs w:val="17"/>
          <w:b w:val="1"/>
          <w:bCs w:val="1"/>
          <w:color w:val="FF0000"/>
        </w:rPr>
        <w:t xml:space="preserve"> </w:t>
      </w:r>
      <w:r>
        <w:rPr>
          <w:rFonts w:ascii="Arial" w:cs="Arial" w:eastAsia="Arial" w:hAnsi="Arial"/>
          <w:sz w:val="17"/>
          <w:szCs w:val="17"/>
          <w:color w:val="000000"/>
        </w:rPr>
        <w:t>New Term</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Facility</w:t>
      </w:r>
      <w:r>
        <w:rPr>
          <w:rFonts w:ascii="Arial" w:cs="Arial" w:eastAsia="Arial" w:hAnsi="Arial"/>
          <w:sz w:val="17"/>
          <w:szCs w:val="17"/>
          <w:b w:val="1"/>
          <w:bCs w:val="1"/>
          <w:color w:val="FF0000"/>
        </w:rPr>
        <w:t xml:space="preserve"> </w:t>
      </w:r>
      <w:r>
        <w:rPr>
          <w:rFonts w:ascii="Arial" w:cs="Arial" w:eastAsia="Arial" w:hAnsi="Arial"/>
          <w:sz w:val="17"/>
          <w:szCs w:val="17"/>
          <w:color w:val="000000"/>
        </w:rPr>
        <w:t>Loans shall have multiple Interest Periods ending on the same days (and having</w:t>
      </w:r>
      <w:r>
        <w:rPr>
          <w:rFonts w:ascii="Arial" w:cs="Arial" w:eastAsia="Arial" w:hAnsi="Arial"/>
          <w:sz w:val="17"/>
          <w:szCs w:val="17"/>
          <w:b w:val="1"/>
          <w:bCs w:val="1"/>
          <w:color w:val="FF0000"/>
        </w:rPr>
        <w:t xml:space="preserve"> </w:t>
      </w:r>
      <w:r>
        <w:rPr>
          <w:rFonts w:ascii="Arial" w:cs="Arial" w:eastAsia="Arial" w:hAnsi="Arial"/>
          <w:sz w:val="17"/>
          <w:szCs w:val="17"/>
          <w:color w:val="000000"/>
        </w:rPr>
        <w:t xml:space="preserve">the same LIBO Rates) as such Interest Periods, and with respect to amounts proportionate to the amount of </w:t>
      </w:r>
      <w:r>
        <w:rPr>
          <w:rFonts w:ascii="Arial" w:cs="Arial" w:eastAsia="Arial" w:hAnsi="Arial"/>
          <w:sz w:val="17"/>
          <w:szCs w:val="17"/>
          <w:b w:val="1"/>
          <w:bCs w:val="1"/>
          <w:u w:val="single" w:color="auto"/>
          <w:color w:val="0000FF"/>
        </w:rPr>
        <w:t>such</w:t>
      </w:r>
      <w:r>
        <w:rPr>
          <w:rFonts w:ascii="Arial" w:cs="Arial" w:eastAsia="Arial" w:hAnsi="Arial"/>
          <w:sz w:val="17"/>
          <w:szCs w:val="17"/>
          <w:color w:val="000000"/>
        </w:rPr>
        <w:t xml:space="preserve"> Existing Term </w:t>
      </w:r>
      <w:r>
        <w:rPr>
          <w:rFonts w:ascii="Arial" w:cs="Arial" w:eastAsia="Arial" w:hAnsi="Arial"/>
          <w:sz w:val="17"/>
          <w:szCs w:val="17"/>
          <w:b w:val="1"/>
          <w:bCs w:val="1"/>
          <w:color w:val="FF0000"/>
          <w:strike w:val="1"/>
        </w:rPr>
        <w:t>Facility</w:t>
      </w:r>
      <w:r>
        <w:rPr>
          <w:rFonts w:ascii="Arial" w:cs="Arial" w:eastAsia="Arial" w:hAnsi="Arial"/>
          <w:sz w:val="17"/>
          <w:szCs w:val="17"/>
          <w:color w:val="000000"/>
        </w:rPr>
        <w:t xml:space="preserve"> Loans applicable to such Interest Periods).</w:t>
      </w:r>
    </w:p>
    <w:p>
      <w:pPr>
        <w:spacing w:after="0" w:line="174" w:lineRule="exact"/>
        <w:rPr>
          <w:rFonts w:ascii="Arial" w:cs="Arial" w:eastAsia="Arial" w:hAnsi="Arial"/>
          <w:sz w:val="17"/>
          <w:szCs w:val="17"/>
          <w:color w:val="auto"/>
        </w:rPr>
      </w:pPr>
    </w:p>
    <w:p>
      <w:pPr>
        <w:jc w:val="both"/>
        <w:ind w:firstLine="656"/>
        <w:spacing w:after="0" w:line="261" w:lineRule="auto"/>
        <w:tabs>
          <w:tab w:leader="none" w:pos="1038"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0000FF"/>
        </w:rPr>
        <w:t>Term Facility II Loans. Each Lender with a Term Facility II Commitment agrees, severally and not jointly, on the terms and conditions of this Agreement, to make Term Facility II Loans to Borrower in Dollars from time to time, on any Business Day during the Term Facility II Availability Period, in an aggregate principal amount at any one time outstanding not exceeding the amount of the Term Facility II Commitment of such Term Facility II Lender as in effect from time to time.</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SECTION 2.02. Borrowings</w:t>
      </w:r>
      <w:r>
        <w:rPr>
          <w:rFonts w:ascii="Arial" w:cs="Arial" w:eastAsia="Arial" w:hAnsi="Arial"/>
          <w:sz w:val="17"/>
          <w:szCs w:val="17"/>
          <w:color w:val="auto"/>
        </w:rPr>
        <w:t>. Borrower shall give Administrative Agent notice of each borrowing hereunder as provided in Section 4.05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form of a Notice of Borrowing;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 borrowing of ABR Loans requested to be made on a same day basis, Borrower shall deliver the Notice of Borrowing no later than 1:00 p.m., New York time, on the day of such proposed ABR Loan (which day shall be a Business Day). Unless otherwise agreed to by Administrative Agent in its sole discretion, not later than 12:00 p.m. (Noon) (or, in the case of a borrowing of ABR Loans requested to be made on a same day basis, 4:00 p.m.), New York time, on the date specified for each borrowing in Section 4.05, each Lender shall make available the amount of the Loan or Loans to be made by it on such date to Administrative Agent, at an account specified by Administrative Agent maintained at the Principal Office, in immediately available funds, for the account of Borrower. Each borrowing of Revolving Loans shall be made by each Revolving Lender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its R/C Percentage. Each borrowing of Term Facility Loans shall</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96" w:right="239" w:bottom="1440" w:gutter="0" w:footer="0" w:header="0"/>
        </w:sectPr>
      </w:pPr>
    </w:p>
    <w:bookmarkStart w:id="140" w:name="page141"/>
    <w:bookmarkEnd w:id="140"/>
    <w:p>
      <w:pPr>
        <w:jc w:val="both"/>
        <w:spacing w:after="0" w:line="256" w:lineRule="auto"/>
        <w:rPr>
          <w:sz w:val="20"/>
          <w:szCs w:val="20"/>
          <w:color w:val="auto"/>
        </w:rPr>
      </w:pPr>
      <w:r>
        <w:rPr>
          <w:rFonts w:ascii="Arial" w:cs="Arial" w:eastAsia="Arial" w:hAnsi="Arial"/>
          <w:sz w:val="18"/>
          <w:szCs w:val="18"/>
          <w:color w:val="auto"/>
        </w:rPr>
        <w:t xml:space="preserve">be made by each Term Facility Lender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its applicable T/C Percentage. </w:t>
      </w:r>
      <w:r>
        <w:rPr>
          <w:rFonts w:ascii="Arial" w:cs="Arial" w:eastAsia="Arial" w:hAnsi="Arial"/>
          <w:sz w:val="18"/>
          <w:szCs w:val="18"/>
          <w:b w:val="1"/>
          <w:bCs w:val="1"/>
          <w:u w:val="single" w:color="auto"/>
          <w:color w:val="0000FF"/>
        </w:rPr>
        <w:t>Each borrowing of Term Facility II Loans shall be made by each</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Term Facility II Lender</w:t>
      </w:r>
      <w:r>
        <w:rPr>
          <w:rFonts w:ascii="Arial" w:cs="Arial" w:eastAsia="Arial" w:hAnsi="Arial"/>
          <w:sz w:val="18"/>
          <w:szCs w:val="18"/>
          <w:b w:val="1"/>
          <w:bCs w:val="1"/>
          <w:color w:val="0000FF"/>
        </w:rPr>
        <w:t xml:space="preserve"> </w:t>
      </w:r>
      <w:r>
        <w:rPr>
          <w:rFonts w:ascii="Arial" w:cs="Arial" w:eastAsia="Arial" w:hAnsi="Arial"/>
          <w:sz w:val="18"/>
          <w:szCs w:val="18"/>
          <w:b w:val="1"/>
          <w:bCs w:val="1"/>
          <w:i w:val="1"/>
          <w:iCs w:val="1"/>
          <w:u w:val="single" w:color="auto"/>
          <w:color w:val="0000FF"/>
        </w:rPr>
        <w:t>pro rata</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based on its applicable T/C Term Facility II Percentage.</w:t>
      </w:r>
      <w:r>
        <w:rPr>
          <w:rFonts w:ascii="Arial" w:cs="Arial" w:eastAsia="Arial" w:hAnsi="Arial"/>
          <w:sz w:val="18"/>
          <w:szCs w:val="18"/>
          <w:b w:val="1"/>
          <w:bCs w:val="1"/>
          <w:color w:val="0000FF"/>
        </w:rPr>
        <w:t xml:space="preserve"> </w:t>
      </w:r>
      <w:r>
        <w:rPr>
          <w:rFonts w:ascii="Arial" w:cs="Arial" w:eastAsia="Arial" w:hAnsi="Arial"/>
          <w:sz w:val="18"/>
          <w:szCs w:val="18"/>
          <w:color w:val="000000"/>
        </w:rPr>
        <w:t>The amounts so received by Administrative Agent shall,</w:t>
      </w:r>
      <w:r>
        <w:rPr>
          <w:rFonts w:ascii="Arial" w:cs="Arial" w:eastAsia="Arial" w:hAnsi="Arial"/>
          <w:sz w:val="18"/>
          <w:szCs w:val="18"/>
          <w:b w:val="1"/>
          <w:bCs w:val="1"/>
          <w:color w:val="0000FF"/>
        </w:rPr>
        <w:t xml:space="preserve"> </w:t>
      </w:r>
      <w:r>
        <w:rPr>
          <w:rFonts w:ascii="Arial" w:cs="Arial" w:eastAsia="Arial" w:hAnsi="Arial"/>
          <w:sz w:val="18"/>
          <w:szCs w:val="18"/>
          <w:color w:val="000000"/>
        </w:rPr>
        <w:t>subject to the terms and conditions of this Agreement, be made available to Borrower not later than 4:00 p.m., New York time, on the actual applicable Funding Date, by depositing the same by wire transfer of immediately available funds in (or, in the case of an account of Borrower maintained with Administrative Agent at the Principal Office, by crediting the same to) the account or accounts of Borrower or any other account or accounts in each case as directed by Borrower in the applicable Notice of Borrowing.</w:t>
      </w:r>
    </w:p>
    <w:p>
      <w:pPr>
        <w:spacing w:after="0" w:line="18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6"/>
          <w:szCs w:val="16"/>
          <w:b w:val="1"/>
          <w:bCs w:val="1"/>
          <w:color w:val="auto"/>
        </w:rPr>
        <w:t>Letters of Credit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1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Subject to the terms and conditions hereof, the Revolving Commitments may be utilized, upon the request of Borrower, in addition to the Revolving Loans provided for by Section 2.01(a), for standby and commercial documentary letters of credit (herein collectively called “</w:t>
      </w:r>
      <w:r>
        <w:rPr>
          <w:rFonts w:ascii="Arial" w:cs="Arial" w:eastAsia="Arial" w:hAnsi="Arial"/>
          <w:sz w:val="18"/>
          <w:szCs w:val="18"/>
          <w:b w:val="1"/>
          <w:bCs w:val="1"/>
          <w:color w:val="auto"/>
        </w:rPr>
        <w:t>Letters of Credit</w:t>
      </w:r>
      <w:r>
        <w:rPr>
          <w:rFonts w:ascii="Arial" w:cs="Arial" w:eastAsia="Arial" w:hAnsi="Arial"/>
          <w:sz w:val="18"/>
          <w:szCs w:val="18"/>
          <w:color w:val="auto"/>
        </w:rPr>
        <w:t xml:space="preserve">”) issued by the applicable L/C Lender (which L/C Lenders agree to the terms and provisions of this Section 2.03 in reliance upon the agreements of the other Lenders set forth herein) for the account of Borrower or its Subsidiaries or, with respect to the Specified Letters of Credit (and any replacements thereof), its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w:t>
      </w:r>
    </w:p>
    <w:p>
      <w:pPr>
        <w:spacing w:after="0" w:line="188" w:lineRule="exact"/>
        <w:rPr>
          <w:rFonts w:ascii="Arial" w:cs="Arial" w:eastAsia="Arial" w:hAnsi="Arial"/>
          <w:sz w:val="18"/>
          <w:szCs w:val="18"/>
          <w:color w:val="auto"/>
        </w:rPr>
      </w:pPr>
    </w:p>
    <w:p>
      <w:pPr>
        <w:ind w:left="660" w:firstLine="645"/>
        <w:spacing w:after="0" w:line="277" w:lineRule="auto"/>
        <w:tabs>
          <w:tab w:leader="none" w:pos="1664"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the aggregate amount of all L/C Liabilities,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principal amount of all the Revolving Loans then outstanding, exceed at any time the Total Revolving Commitments as in effect at such time,</w:t>
      </w:r>
    </w:p>
    <w:p>
      <w:pPr>
        <w:spacing w:after="0" w:line="170" w:lineRule="exact"/>
        <w:rPr>
          <w:rFonts w:ascii="Arial" w:cs="Arial" w:eastAsia="Arial" w:hAnsi="Arial"/>
          <w:sz w:val="18"/>
          <w:szCs w:val="18"/>
          <w:color w:val="auto"/>
        </w:rPr>
      </w:pPr>
    </w:p>
    <w:p>
      <w:pPr>
        <w:ind w:left="660" w:firstLine="645"/>
        <w:spacing w:after="0" w:line="277" w:lineRule="auto"/>
        <w:tabs>
          <w:tab w:leader="none" w:pos="1765"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the sum of the aggregate principal amount of all Revolving Loans of any Revolving Lender then outstanding,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Revolving Lender’s L/C Liability exceed at any time such Revolving Lender’s Revolving Commitment as in effect at such time,</w:t>
      </w:r>
    </w:p>
    <w:p>
      <w:pPr>
        <w:spacing w:after="0" w:line="170" w:lineRule="exact"/>
        <w:rPr>
          <w:rFonts w:ascii="Arial" w:cs="Arial" w:eastAsia="Arial" w:hAnsi="Arial"/>
          <w:sz w:val="18"/>
          <w:szCs w:val="18"/>
          <w:color w:val="auto"/>
        </w:rPr>
      </w:pPr>
    </w:p>
    <w:p>
      <w:pPr>
        <w:ind w:left="660" w:firstLine="645"/>
        <w:spacing w:after="0" w:line="277" w:lineRule="auto"/>
        <w:tabs>
          <w:tab w:leader="none" w:pos="1788"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outstanding aggregate amount of all L/C Liabilities exceed the L/C Sublimit and, in respect of each L/C Lender, the outstanding aggregate amount of L/C Liabilities in respect of such L/C Lender exceed its L/C Sublimit,</w:t>
      </w:r>
    </w:p>
    <w:p>
      <w:pPr>
        <w:spacing w:after="0" w:line="170" w:lineRule="exact"/>
        <w:rPr>
          <w:rFonts w:ascii="Arial" w:cs="Arial" w:eastAsia="Arial" w:hAnsi="Arial"/>
          <w:sz w:val="18"/>
          <w:szCs w:val="18"/>
          <w:color w:val="auto"/>
        </w:rPr>
      </w:pPr>
    </w:p>
    <w:p>
      <w:pPr>
        <w:ind w:left="1760" w:hanging="455"/>
        <w:spacing w:after="0"/>
        <w:tabs>
          <w:tab w:leader="none" w:pos="17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Dollar Equivalent of the Stated Amount of any Letter of Credit be less than $100,000 or such lesser amount as is acceptable to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L/C Lender,</w:t>
      </w:r>
    </w:p>
    <w:p>
      <w:pPr>
        <w:spacing w:after="0" w:line="210" w:lineRule="exact"/>
        <w:rPr>
          <w:rFonts w:ascii="Arial" w:cs="Arial" w:eastAsia="Arial" w:hAnsi="Arial"/>
          <w:sz w:val="16"/>
          <w:szCs w:val="16"/>
          <w:color w:val="auto"/>
        </w:rPr>
      </w:pPr>
    </w:p>
    <w:p>
      <w:pPr>
        <w:jc w:val="both"/>
        <w:ind w:left="660" w:firstLine="645"/>
        <w:spacing w:after="0" w:line="255" w:lineRule="auto"/>
        <w:tabs>
          <w:tab w:leader="none" w:pos="1738"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expiration date of any Letter of Credit extend beyond the earlier of (x) the third Business Day preceding the latest R/C Maturity Date then in effect and (y) the date twelve (12) months following the date of such issuance, unless in the case of this clause (y) the Required Revolving Lenders have approved such expiry date in writing (but never beyond the third Business Day prior to the latest R/C Maturity Date then in effect), except for any Letter of Credit that Borrower has agreed to Cash Collateralize in an amount equal to the Minimum Collateral Amount or otherwise backstop (with a letter of credit on customary terms) to the applicable L/C Lender’s and the Administrative Agent’s reasonable satisfaction, on or prior to the third Business Day preceding the latest R/C Maturity Date then in effect, subject to the ability of Borrower to request Auto-Extension Letters of Credit in accordance with Section 2.03(b),</w:t>
      </w:r>
    </w:p>
    <w:p>
      <w:pPr>
        <w:spacing w:after="0" w:line="189" w:lineRule="exact"/>
        <w:rPr>
          <w:rFonts w:ascii="Arial" w:cs="Arial" w:eastAsia="Arial" w:hAnsi="Arial"/>
          <w:sz w:val="18"/>
          <w:szCs w:val="18"/>
          <w:color w:val="auto"/>
        </w:rPr>
      </w:pPr>
    </w:p>
    <w:p>
      <w:pPr>
        <w:jc w:val="both"/>
        <w:ind w:left="660" w:firstLine="645"/>
        <w:spacing w:after="0" w:line="259" w:lineRule="auto"/>
        <w:tabs>
          <w:tab w:leader="none" w:pos="175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L/C Lender issue any Letter of Credit after it has received notice from Borrower or the Required Revolving Lenders stating that a Default exists until such time as such L/C Lender shall have received written notice of (x) rescission of such notice from the Required Revolving Lenders, (y) waiver or cure of such Default in accordance with this Agreement or (z) Administrative Agent’s good faith determination that such Default has ceased to exist,</w:t>
      </w:r>
    </w:p>
    <w:p>
      <w:pPr>
        <w:spacing w:after="0" w:line="186" w:lineRule="exact"/>
        <w:rPr>
          <w:rFonts w:ascii="Arial" w:cs="Arial" w:eastAsia="Arial" w:hAnsi="Arial"/>
          <w:sz w:val="18"/>
          <w:szCs w:val="18"/>
          <w:color w:val="auto"/>
        </w:rPr>
      </w:pPr>
    </w:p>
    <w:p>
      <w:pPr>
        <w:ind w:left="1800" w:hanging="495"/>
        <w:spacing w:after="0"/>
        <w:tabs>
          <w:tab w:leader="none" w:pos="18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Letter of Credit be issued in a currency other than Dollars or an Alternate Currency nor at a tenor other than sight, or</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896"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L/C Lender be obligated to issue any Letter of Credit, amend or modify any outstanding Letter of Credit or extend the expiry date of any outstanding Letter of Credit at any time when a Revolving Lender is a Defaulting Lender if such Defaulting Lender’s L/C Liability cannot be reallocated to Non-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96" w:right="239" w:bottom="1440" w:gutter="0" w:footer="0" w:header="0"/>
        </w:sectPr>
      </w:pPr>
    </w:p>
    <w:bookmarkStart w:id="141" w:name="page142"/>
    <w:bookmarkEnd w:id="141"/>
    <w:p>
      <w:pPr>
        <w:jc w:val="both"/>
        <w:ind w:left="660"/>
        <w:spacing w:after="0" w:line="259" w:lineRule="auto"/>
        <w:rPr>
          <w:sz w:val="20"/>
          <w:szCs w:val="20"/>
          <w:color w:val="auto"/>
        </w:rPr>
      </w:pPr>
      <w:r>
        <w:rPr>
          <w:rFonts w:ascii="Arial" w:cs="Arial" w:eastAsia="Arial" w:hAnsi="Arial"/>
          <w:sz w:val="18"/>
          <w:szCs w:val="18"/>
          <w:color w:val="auto"/>
        </w:rPr>
        <w:t>Defaulting Lenders pursuant to Section 2.14(a) unless arrangements reasonably satisfactory to the L/C Lender and Borrower have been made to eliminate the L/C Lender’s risk with respect to the participation in Letters of Credit by all such Defaulting Lenders, including by Cash Collateralizing in an amount equal to the Minimum Collateral Amount, or obtaining a backstop letter of credit from an issuer reasonably satisfactory to the L/C Lender to support, each such Defaulting Lender’s L/C Liability.</w:t>
      </w:r>
    </w:p>
    <w:p>
      <w:pPr>
        <w:spacing w:after="0" w:line="187" w:lineRule="exact"/>
        <w:rPr>
          <w:sz w:val="20"/>
          <w:szCs w:val="20"/>
          <w:color w:val="auto"/>
        </w:rPr>
      </w:pPr>
    </w:p>
    <w:p>
      <w:pPr>
        <w:ind w:left="1080" w:hanging="424"/>
        <w:spacing w:after="0"/>
        <w:tabs>
          <w:tab w:leader="none" w:pos="10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Whenever Borrower requires the issuance of a Letter of Credit it shall give the applicable L/C Lender and Administrative Agent at least three</w:t>
      </w:r>
    </w:p>
    <w:p>
      <w:pPr>
        <w:spacing w:after="0" w:line="46" w:lineRule="exact"/>
        <w:rPr>
          <w:rFonts w:ascii="Arial" w:cs="Arial" w:eastAsia="Arial" w:hAnsi="Arial"/>
          <w:sz w:val="16"/>
          <w:szCs w:val="16"/>
          <w:color w:val="auto"/>
        </w:rPr>
      </w:pPr>
    </w:p>
    <w:p>
      <w:pPr>
        <w:jc w:val="both"/>
        <w:ind w:firstLine="8"/>
        <w:spacing w:after="0" w:line="281" w:lineRule="auto"/>
        <w:tabs>
          <w:tab w:leader="none" w:pos="262"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Business Days written notice (or such shorter period of notice acceptable to the L/C Lender). Such Letter of Credit application may be sent by facsimile, by United States mail, by overnight courier, by electronic transmission using the system agreed to by the applicable L/C Lender, by personal delivery or by any other means acceptable to the applicable L/C Lender. Each notice shall be in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or such other form as is reasonably acceptable to the applicable L/C Lender appropriately completed (each a “</w:t>
      </w:r>
      <w:r>
        <w:rPr>
          <w:rFonts w:ascii="Arial" w:cs="Arial" w:eastAsia="Arial" w:hAnsi="Arial"/>
          <w:sz w:val="16"/>
          <w:szCs w:val="16"/>
          <w:b w:val="1"/>
          <w:bCs w:val="1"/>
          <w:color w:val="auto"/>
        </w:rPr>
        <w:t>Letter of Credit Request</w:t>
      </w:r>
      <w:r>
        <w:rPr>
          <w:rFonts w:ascii="Arial" w:cs="Arial" w:eastAsia="Arial" w:hAnsi="Arial"/>
          <w:sz w:val="16"/>
          <w:szCs w:val="16"/>
          <w:color w:val="auto"/>
        </w:rPr>
        <w:t>”) and shall specify a date of issuance not beyond the fifth Business Day prior to the latest R/C Maturity Date then in effect. Each Letter of Credit Request must be accompanied by documentation describing in reasonable detail the proposed terms, conditions and format of the Letter of Credit to be issued, and if so requested by any L/C Lender each Letter of Credit Request shall be accompanied by such L/C Lender’s form of application but which application shall not contain any operating or financial covenants or any provisions inconsistent with this Agreement. If Borrower so requests in any applicable Letter of Credit Request, the applicable L/C Lender may, in its sole discretion, agree to issue a Letter of Credit that has automatic extension provisions (each, an “</w:t>
      </w:r>
      <w:r>
        <w:rPr>
          <w:rFonts w:ascii="Arial" w:cs="Arial" w:eastAsia="Arial" w:hAnsi="Arial"/>
          <w:sz w:val="16"/>
          <w:szCs w:val="16"/>
          <w:b w:val="1"/>
          <w:bCs w:val="1"/>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Auto-Extension Letter of Credit must permit the L/C Lender to decline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b w:val="1"/>
          <w:bCs w:val="1"/>
          <w:color w:val="auto"/>
        </w:rPr>
        <w:t>Non-Extension Notice Date</w:t>
      </w:r>
      <w:r>
        <w:rPr>
          <w:rFonts w:ascii="Arial" w:cs="Arial" w:eastAsia="Arial" w:hAnsi="Arial"/>
          <w:sz w:val="16"/>
          <w:szCs w:val="16"/>
          <w:color w:val="auto"/>
        </w:rPr>
        <w:t>”) in each such twelve-month period to be agreed upon at the time such Letter of Credit is issued. Unless otherwise directed by the L/C Lender at the time of the original issuance or automatic extension of a Letter of Credit, Borrower shall not be required to make a specific request to the L/C Lender for any such extension. Once an Auto-Extension Letter of Credit has been issued, the Lenders shall be deemed to have authorized (but may not require) the L/C Lender to permit the extension of such Letter of Credit at any time to an expiry date not later than the third Business Day preceding the latest R/C Maturity Date then in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three (3) Business Day limitation shall not apply to any Letter of Credit that Borrower has agreed to Cash Collateralize in an amount equal to the Minimum Collateral Amount or otherwise backstop (with a letter of credit on customary terms) to the applicable L/C Lender’s and the Administrative Agent’s reasonable satisfaction prior to the extension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L/C Lender shall not permit any such extension if</w:t>
      </w:r>
    </w:p>
    <w:p>
      <w:pPr>
        <w:spacing w:after="0" w:line="12" w:lineRule="exact"/>
        <w:rPr>
          <w:rFonts w:ascii="Arial" w:cs="Arial" w:eastAsia="Arial" w:hAnsi="Arial"/>
          <w:sz w:val="16"/>
          <w:szCs w:val="16"/>
          <w:color w:val="auto"/>
        </w:rPr>
      </w:pPr>
    </w:p>
    <w:p>
      <w:pPr>
        <w:jc w:val="both"/>
        <w:spacing w:after="0" w:line="268" w:lineRule="auto"/>
        <w:rPr>
          <w:rFonts w:ascii="Arial" w:cs="Arial" w:eastAsia="Arial" w:hAnsi="Arial"/>
          <w:sz w:val="16"/>
          <w:szCs w:val="16"/>
          <w:color w:val="auto"/>
        </w:rPr>
      </w:pPr>
      <w:r>
        <w:rPr>
          <w:rFonts w:ascii="Arial" w:cs="Arial" w:eastAsia="Arial" w:hAnsi="Arial"/>
          <w:sz w:val="17"/>
          <w:szCs w:val="17"/>
          <w:color w:val="auto"/>
        </w:rPr>
        <w:t>(A) the L/C Lender has determined that it would not be permitted, or would have no obligation, at such time to issue such Letter of Credit in its revised form (as extended) under the terms hereof (by reason of the provisions of Section 2.03(a)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Borrower that one or more of the applicable conditions specified in Section 7.02 is not then satisfied, and in each such case directing the L/C Lender not to permit such extension. If there is any conflict between the terms and conditions of this Agreement and the terms and condition of any application, the terms and conditions of this Agreement shall govern. Each Lender hereby authorizes each L/C Lender to issue and perform its obligations with respect to Letters of Credit and each Letter of Credit shall be issued in accordance with the customary procedures of such L/C Lender. Borrower acknowledges and agrees that the failure of any L/C Lender to require an application at any time and from time to time shall not restrict or impair such L/C Lender’s right to require such an application or agreement as a condition to the issuance of any subsequent Letter of Credit.</w:t>
      </w:r>
    </w:p>
    <w:p>
      <w:pPr>
        <w:spacing w:after="0" w:line="179" w:lineRule="exact"/>
        <w:rPr>
          <w:rFonts w:ascii="Arial" w:cs="Arial" w:eastAsia="Arial" w:hAnsi="Arial"/>
          <w:sz w:val="16"/>
          <w:szCs w:val="16"/>
          <w:color w:val="auto"/>
        </w:rPr>
      </w:pPr>
    </w:p>
    <w:p>
      <w:pPr>
        <w:jc w:val="both"/>
        <w:ind w:firstLine="656"/>
        <w:spacing w:after="0" w:line="272" w:lineRule="auto"/>
        <w:tabs>
          <w:tab w:leader="none" w:pos="1082" w:val="left"/>
        </w:tabs>
        <w:numPr>
          <w:ilvl w:val="1"/>
          <w:numId w:val="68"/>
        </w:numPr>
        <w:rPr>
          <w:rFonts w:ascii="Arial" w:cs="Arial" w:eastAsia="Arial" w:hAnsi="Arial"/>
          <w:sz w:val="17"/>
          <w:szCs w:val="17"/>
          <w:color w:val="auto"/>
        </w:rPr>
      </w:pPr>
      <w:r>
        <w:rPr>
          <w:rFonts w:ascii="Arial" w:cs="Arial" w:eastAsia="Arial" w:hAnsi="Arial"/>
          <w:sz w:val="17"/>
          <w:szCs w:val="17"/>
          <w:color w:val="auto"/>
        </w:rPr>
        <w:t>On each day during the period commencing with the issuance by the applicable L/C Lender of any Letter of Credit and until such Letter of Credit shall have expired or been terminated, the Revolving Commitment of each Revolving Lender shall be deemed to be utilized for all purposes hereof in an amount equal to such Lender’s R/C Percentage of the Dollar Equivalent of the then Stated Amount of such Letter of Credit plus the amount of any unreimbursed drawings thereunder (the amount of such unreimbursed drawings shall be expressed in Dollars in the amount of the Dollar Equivalent thereof in the case of a Letter of Credit denominated in an Alternate Currency). Each Revolving Lender (other than the applicable L/C Lender) severally agrees that, upon the issuance of any Letter of Credit hereunder, it shall automatically acquire from the L/C Lender that issued such Letter of Credit, without recourse, a participation in such L/C Lender’s obligation to fund drawings and rights under such Letter of Credit in an amount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00" w:right="239" w:bottom="1440" w:gutter="0" w:footer="0" w:header="0"/>
        </w:sectPr>
      </w:pPr>
    </w:p>
    <w:bookmarkStart w:id="142" w:name="page143"/>
    <w:bookmarkEnd w:id="142"/>
    <w:p>
      <w:pPr>
        <w:jc w:val="both"/>
        <w:spacing w:after="0" w:line="272" w:lineRule="auto"/>
        <w:rPr>
          <w:sz w:val="20"/>
          <w:szCs w:val="20"/>
          <w:color w:val="auto"/>
        </w:rPr>
      </w:pPr>
      <w:r>
        <w:rPr>
          <w:rFonts w:ascii="Arial" w:cs="Arial" w:eastAsia="Arial" w:hAnsi="Arial"/>
          <w:sz w:val="17"/>
          <w:szCs w:val="17"/>
          <w:color w:val="auto"/>
        </w:rPr>
        <w:t>equal to such Lender’s R/C Percentage of such obligation (such obligation to fund drawings shall be expressed in Dollars in the amount of the Dollar Equivalent thereof in the case of a Letter of Credit denominated in an Alternate Currency) and rights, and each Revolving Lender (other than such L/C Lender) thereby shall absolutely, unconditionally and irrevocably assume, as primary obligor and not as surety, and shall be unconditionally obligated to such L/C Lender to pay and discharge when due, its R/C Percentage of such L/C Lender’s obligation to fund drawings (such obligation to fund drawings shall be expressed in Dollars in the amount of the Dollar Equivalent thereof in the case of a Letter of Credit denominated in an Alternate Currency) under such Letter of Credit. Such L/C Lender shall be deemed to hold an L/C Liability in an amount equal to its retained interest in the related Letter of Credit after giving effect to such acquisition by the Revolving Lenders other than such L/C Lender of their participation interests.</w:t>
      </w:r>
    </w:p>
    <w:p>
      <w:pPr>
        <w:spacing w:after="0" w:line="174" w:lineRule="exact"/>
        <w:rPr>
          <w:sz w:val="20"/>
          <w:szCs w:val="20"/>
          <w:color w:val="auto"/>
        </w:rPr>
      </w:pPr>
    </w:p>
    <w:p>
      <w:pPr>
        <w:jc w:val="both"/>
        <w:ind w:firstLine="656"/>
        <w:spacing w:after="0" w:line="268" w:lineRule="auto"/>
        <w:tabs>
          <w:tab w:leader="none" w:pos="1052"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 the event that any L/C Lender has determined to honor a drawing under a Letter of Credit, such L/C Lender shall promptly notify (the “</w:t>
      </w:r>
      <w:r>
        <w:rPr>
          <w:rFonts w:ascii="Arial" w:cs="Arial" w:eastAsia="Arial" w:hAnsi="Arial"/>
          <w:sz w:val="17"/>
          <w:szCs w:val="17"/>
          <w:b w:val="1"/>
          <w:bCs w:val="1"/>
          <w:color w:val="auto"/>
        </w:rPr>
        <w:t>L/C</w:t>
      </w:r>
      <w:r>
        <w:rPr>
          <w:rFonts w:ascii="Arial" w:cs="Arial" w:eastAsia="Arial" w:hAnsi="Arial"/>
          <w:sz w:val="17"/>
          <w:szCs w:val="17"/>
          <w:color w:val="auto"/>
        </w:rPr>
        <w:t xml:space="preserve"> </w:t>
      </w:r>
      <w:r>
        <w:rPr>
          <w:rFonts w:ascii="Arial" w:cs="Arial" w:eastAsia="Arial" w:hAnsi="Arial"/>
          <w:sz w:val="17"/>
          <w:szCs w:val="17"/>
          <w:b w:val="1"/>
          <w:bCs w:val="1"/>
          <w:color w:val="auto"/>
        </w:rPr>
        <w:t>Payment Notice</w:t>
      </w:r>
      <w:r>
        <w:rPr>
          <w:rFonts w:ascii="Arial" w:cs="Arial" w:eastAsia="Arial" w:hAnsi="Arial"/>
          <w:sz w:val="17"/>
          <w:szCs w:val="17"/>
          <w:color w:val="auto"/>
        </w:rPr>
        <w:t>”) Administrative Agent and Borrower of the amount paid by such L/C Lender and the date on which payment is to be made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beneficiary. In the case of a Letter of Credit denominated in an Alternate Currency, Borrower shall reimburse the L/C Lender that issued such Letter of Credit in Dollars. In the case of any such reimbursement in Dollars of a drawing under a Letter of Credit denominated in an Alternate Currency, the applicable L/C Lender shall notify Administrative Agent and Borrower of the Dollar Equivalent of the amount of the drawing following the determination thereof in accordance with Section 1.05. Borrower hereby unconditionally agrees to pay and reimburse such L/C Lender, through the Administrative Agent, for the amount of payment under such Letter of Credit in Dollars, together with interest thereon at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Alternate Base Rate in effect from time to time plus the Applicable Margin applicable to Revolving Loans that are maintained as ABR Loans as are in effect from time to time (determined based on a weighted average if multiple Tranches of Revolving Commitments are then outstanding) from the date payment was made to such beneficiary to the date on which payment is due, such payment to be made not later than the second Business Day after the date on which Borrower receives the applicable L/C Payment Notice (or the third Business Day thereafter if such L/C Payment Notice is received on a date that is not a Business Day or after 1:00 p.m., New York time, on a Business Day). Any such payment due from Borrower and not paid on the required date shall thereafter bear interest at rates specified in Section 3.02(b) until paid. Promptly upon receipt of the amount paid by Borrower pursuant to the immediately prior sentence, the applicable L/C Lender shall notify Administrative Agent of such payment and whether or not such payment constitutes payment in full of the Reimbursement Obligation under the applicable Letter of Credit.</w:t>
      </w:r>
    </w:p>
    <w:p>
      <w:pPr>
        <w:spacing w:after="0" w:line="187" w:lineRule="exact"/>
        <w:rPr>
          <w:rFonts w:ascii="Arial" w:cs="Arial" w:eastAsia="Arial" w:hAnsi="Arial"/>
          <w:sz w:val="17"/>
          <w:szCs w:val="17"/>
          <w:color w:val="auto"/>
        </w:rPr>
      </w:pPr>
    </w:p>
    <w:p>
      <w:pPr>
        <w:jc w:val="both"/>
        <w:ind w:firstLine="656"/>
        <w:spacing w:after="0" w:line="268" w:lineRule="auto"/>
        <w:tabs>
          <w:tab w:leader="none" w:pos="1134"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Promptly upon its receipt of a L/C Payment Notice referred to in Section 2.03(d), Borrower shall advise the applicable L/C Lender and Administrative Agent whether or not Borrower intends to borrow hereunder to finance its obligation to reimburse such L/C Lender for the amount of the related demand for payment under the applicable Letter of Credit and, if it does so intend, submit a Notice of Borrowing for such borrowing to Administrative Agent as provided in Section 4.05. In the event that Borrower fails to reimburse any L/C Lender, through the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such L/C Lender shall promptly notify Administrative Agent of such failure by Borrower to so reimburse and of the amount of the demand for payment (expressed in Dollars in the amount of the Dollar Equivalent thereof in the case of a Letter of Credit denominated in an Alternate Currency). In the event that Borrower fails to either submit a Notice of Borrowing to Administrative Agent as provided above or reimburse such L/C Lender, through the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Administrative Agent shall give each Revolving Lender prompt notice of the amount of the demand for payment (expressed in Dollars in the amount of the Dollar Equivalent thereof in the case of a Letter of Credit denominated in an Alternate Currency) including the interest therein owed by Borrower (the “</w:t>
      </w:r>
      <w:r>
        <w:rPr>
          <w:rFonts w:ascii="Arial" w:cs="Arial" w:eastAsia="Arial" w:hAnsi="Arial"/>
          <w:sz w:val="17"/>
          <w:szCs w:val="17"/>
          <w:b w:val="1"/>
          <w:bCs w:val="1"/>
          <w:color w:val="auto"/>
        </w:rPr>
        <w:t>Unreimbursed Amount</w:t>
      </w:r>
      <w:r>
        <w:rPr>
          <w:rFonts w:ascii="Arial" w:cs="Arial" w:eastAsia="Arial" w:hAnsi="Arial"/>
          <w:sz w:val="17"/>
          <w:szCs w:val="17"/>
          <w:color w:val="auto"/>
        </w:rPr>
        <w:t>”), specifying such Lender’s R/C Percentage thereof and requesting payment of such amount.</w:t>
      </w:r>
    </w:p>
    <w:p>
      <w:pPr>
        <w:spacing w:after="0" w:line="185" w:lineRule="exact"/>
        <w:rPr>
          <w:rFonts w:ascii="Arial" w:cs="Arial" w:eastAsia="Arial" w:hAnsi="Arial"/>
          <w:sz w:val="17"/>
          <w:szCs w:val="17"/>
          <w:color w:val="auto"/>
        </w:rPr>
      </w:pPr>
    </w:p>
    <w:p>
      <w:pPr>
        <w:jc w:val="both"/>
        <w:ind w:firstLine="656"/>
        <w:spacing w:after="0" w:line="279" w:lineRule="auto"/>
        <w:tabs>
          <w:tab w:leader="none" w:pos="1045" w:val="left"/>
        </w:tabs>
        <w:numPr>
          <w:ilvl w:val="0"/>
          <w:numId w:val="69"/>
        </w:numPr>
        <w:rPr>
          <w:rFonts w:ascii="Arial" w:cs="Arial" w:eastAsia="Arial" w:hAnsi="Arial"/>
          <w:sz w:val="17"/>
          <w:szCs w:val="17"/>
          <w:color w:val="auto"/>
        </w:rPr>
      </w:pPr>
      <w:r>
        <w:rPr>
          <w:rFonts w:ascii="Arial" w:cs="Arial" w:eastAsia="Arial" w:hAnsi="Arial"/>
          <w:sz w:val="17"/>
          <w:szCs w:val="17"/>
          <w:color w:val="auto"/>
        </w:rPr>
        <w:t>Each Revolving Lender (other than the applicable L/C Lender) shall pay to Administrative Agent for account of the applicable L/C Lender at the Principal Office in Dollars and in immediately available funds, an amount equal to such Revolving Lender’s R/C Percentage of the Unreimbursed Amount upon not less than one Business Day’s actual notice by Administrative Agent as described in Section 2.03(e) to such Revolving Lender requesting such payment and specifying such amount. Administrative Agent will promptly remit the funds so received to the applicable L/C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00" w:right="239" w:bottom="1440" w:gutter="0" w:footer="0" w:header="0"/>
        </w:sectPr>
      </w:pPr>
    </w:p>
    <w:bookmarkStart w:id="143" w:name="page144"/>
    <w:bookmarkEnd w:id="143"/>
    <w:p>
      <w:pPr>
        <w:jc w:val="both"/>
        <w:spacing w:after="0" w:line="257" w:lineRule="auto"/>
        <w:rPr>
          <w:sz w:val="20"/>
          <w:szCs w:val="20"/>
          <w:color w:val="auto"/>
        </w:rPr>
      </w:pPr>
      <w:r>
        <w:rPr>
          <w:rFonts w:ascii="Arial" w:cs="Arial" w:eastAsia="Arial" w:hAnsi="Arial"/>
          <w:sz w:val="18"/>
          <w:szCs w:val="18"/>
          <w:color w:val="auto"/>
        </w:rPr>
        <w:t>Lender in Dollars. Each such Revolving Lender’s obligation to make such payments to Administrative Agent for the account of L/C Lender under this Section 2.03(f), and the applicable L/C Lender’s right to receive the same, shall be absolute and unconditional and shall not be affected by any circumstance whatsoever, including (i) the failure of any other Revolving Lender to make its payment under this Section 2.03(f), (ii) the financial condition of Borrower or the existence of any Default or (iii) the termination of the Commitments. Each such payment to any L/C Lender shall be made without any offset, abatement, withholding or reduction whatsoever.</w:t>
      </w:r>
    </w:p>
    <w:p>
      <w:pPr>
        <w:spacing w:after="0" w:line="188" w:lineRule="exact"/>
        <w:rPr>
          <w:sz w:val="20"/>
          <w:szCs w:val="20"/>
          <w:color w:val="auto"/>
        </w:rPr>
      </w:pPr>
    </w:p>
    <w:p>
      <w:pPr>
        <w:jc w:val="both"/>
        <w:ind w:firstLine="656"/>
        <w:spacing w:after="0" w:line="286" w:lineRule="auto"/>
        <w:tabs>
          <w:tab w:leader="none" w:pos="1065" w:val="left"/>
        </w:tabs>
        <w:numPr>
          <w:ilvl w:val="0"/>
          <w:numId w:val="70"/>
        </w:numPr>
        <w:rPr>
          <w:rFonts w:ascii="Arial" w:cs="Arial" w:eastAsia="Arial" w:hAnsi="Arial"/>
          <w:sz w:val="16"/>
          <w:szCs w:val="16"/>
          <w:color w:val="auto"/>
        </w:rPr>
      </w:pPr>
      <w:r>
        <w:rPr>
          <w:rFonts w:ascii="Arial" w:cs="Arial" w:eastAsia="Arial" w:hAnsi="Arial"/>
          <w:sz w:val="16"/>
          <w:szCs w:val="16"/>
          <w:color w:val="auto"/>
        </w:rPr>
        <w:t>Upon the making of each payment by a Revolving Lender, through the Administrative Agent, to an L/C Lender pursuant to Section 2.03(f) in respect of any Letter of Credit, such Revolving Lender shall, automatically and without any further action on the part of Administrative Agent, such L/C Lender or such Revolving Lender, acquire (i) a participation in an amount equal to such payment in the Reimbursement Obligation owing to such L/C Lender by Borrower hereunder and under the L/C Documents relating to such Letter of Credit and (ii) a participation equal to such Revolving Lender’s R/C Percentage in any interest or other amounts (such interest and other amounts expressed in Dollars in the amount of the Dollar Equivalent thereof in the case of a Letter of Credit denominated in an Alternate Currency) (other than cost reimbursements) payable by Borrower hereunder and under such L/C Documents in respect of such Reimbursement Obligation. If any L/C Lender receives directly from or for the account of Borrower any payment in respect of any Reimbursement Obligation or any such interest or other amounts (including by way of setoff or application of proceeds of any collateral security), such L/C Lender shall promptly pay to Administrative Agent for the account of each Revolving Lender which has satisfied its obligations under Section 2.03(f), such Revolving Lender’s R/C Percentage of the Dollar Equivalent of such payment, each such payment by such L/C Lender to be made in Dollars. In the event any payment received by such L/C Lender and so paid to the Revolving Lenders hereunder is rescinded or must otherwise be returned by such L/C Lender, each Revolving Lender shall, upon the request of such L/C Lender (through Administrative Agent), repay to such L/C Lender (through Administrative Agent) the amount of such payment paid to such Revolving Lender, with interest at the rate specified in Section 2.03(j).</w:t>
      </w:r>
    </w:p>
    <w:p>
      <w:pPr>
        <w:spacing w:after="0" w:line="174" w:lineRule="exact"/>
        <w:rPr>
          <w:rFonts w:ascii="Arial" w:cs="Arial" w:eastAsia="Arial" w:hAnsi="Arial"/>
          <w:sz w:val="16"/>
          <w:szCs w:val="16"/>
          <w:color w:val="auto"/>
        </w:rPr>
      </w:pPr>
    </w:p>
    <w:p>
      <w:pPr>
        <w:jc w:val="both"/>
        <w:ind w:firstLine="656"/>
        <w:spacing w:after="0" w:line="267" w:lineRule="auto"/>
        <w:tabs>
          <w:tab w:leader="none" w:pos="1148"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Borrower shall pay to Administrative Agent, for the account of each Revolving Lender, and with respect to each Tranche of Revolving Commitments, in respect of each Letter of Credit and each Tranche of Revolving Commitments for which such Revolving Lender has a L/C Liability, a letter of credit commission equal to (x)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Applicable Margin for Revolving Loans of such Tranche made by such Revolving Lender that are LIBOR Loans in effect from time to time, multiplied by (y) the daily Dollar Equivalent of the Stated Amount of such Letter of Credit allocable to such Revolving Lender’s Revolving Commitments of such Tranche (such Dollar Equivalent to be determined in accordance with Section 1.05) for the period from and including the date of issuance of such Letter of Credit (i) in the case of a Letter of Credit which expires in accordance with its terms, to and including such expiration date and (ii) in the case of a Letter of Credit which is drawn in full or is otherwise terminated other than on the stated expiration date of such Letter of Credit, to and excluding the date such Letter of Credit is drawn in full or is terminated. Such commission will be non-refundable and is to be paid (1) quarterly in arrears on each Quarterly Date and (2) on each R/C Maturity Date. In addition, Borrower shall pay to each L/C Lender, for such L/C Lender's account a fronting fee with respect to each Letter of Credit (whether commercial or standby) at the rate of 0.125% per annum, computed on the Dollar Equivalent of the daily amount available to be drawn under such Letter of Credit, or increase thereof, on a quarterly basis in arrears. Such fronting fee shall be due and payable on each Quarterly Date in respect of the most recently-ended quarterly period (or portion thereof, in the case of the first payment), commencing with the first such date to occur after the issuance of such Letter of Credit, on the latest R/C Maturity Date and thereafter on demand. For purposes of computing the daily amount available to be drawn under any Letter of Credit, the amount of such Letter of Credit shall be determined in accordance with Section 1.07. In addition Borrower agrees to pay to each L/C Lender all charges, costs and expenses in the amounts customarily charged by such L/C Lender, from time to time in like circumstances, with respect to the issuance, amendment, transfer, payment of drawings, and other transactions relating thereto.</w:t>
      </w:r>
    </w:p>
    <w:p>
      <w:pPr>
        <w:spacing w:after="0" w:line="192" w:lineRule="exact"/>
        <w:rPr>
          <w:rFonts w:ascii="Arial" w:cs="Arial" w:eastAsia="Arial" w:hAnsi="Arial"/>
          <w:sz w:val="17"/>
          <w:szCs w:val="17"/>
          <w:color w:val="auto"/>
        </w:rPr>
      </w:pPr>
    </w:p>
    <w:p>
      <w:pPr>
        <w:jc w:val="both"/>
        <w:ind w:firstLine="656"/>
        <w:spacing w:after="0" w:line="279" w:lineRule="auto"/>
        <w:tabs>
          <w:tab w:leader="none" w:pos="1039" w:val="left"/>
        </w:tabs>
        <w:numPr>
          <w:ilvl w:val="0"/>
          <w:numId w:val="70"/>
        </w:numPr>
        <w:rPr>
          <w:rFonts w:ascii="Arial" w:cs="Arial" w:eastAsia="Arial" w:hAnsi="Arial"/>
          <w:sz w:val="17"/>
          <w:szCs w:val="17"/>
          <w:color w:val="auto"/>
        </w:rPr>
      </w:pPr>
      <w:r>
        <w:rPr>
          <w:rFonts w:ascii="Arial" w:cs="Arial" w:eastAsia="Arial" w:hAnsi="Arial"/>
          <w:sz w:val="17"/>
          <w:szCs w:val="17"/>
          <w:color w:val="auto"/>
        </w:rPr>
        <w:t>Upon the issuance of or amendment or modification to a Letter of Credit, the applicable L/C Lender shall promptly deliver to Administrative Agent and Borrower a written notice of such issuance, amendment or modification and such notice shall be accompanied by a copy of such Letter of Credit or the respective amendment or modification thereto, as the case may be. Promptly upon receipt of such notice, Administrative Agent shall deliver to each Revolving Lender a written notice regarding such issuance, amendment or modification, as the case may be, and,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01" w:right="239" w:bottom="1440" w:gutter="0" w:footer="0" w:header="0"/>
        </w:sectPr>
      </w:pPr>
    </w:p>
    <w:bookmarkStart w:id="144" w:name="page145"/>
    <w:bookmarkEnd w:id="144"/>
    <w:p>
      <w:pPr>
        <w:ind w:right="20"/>
        <w:spacing w:after="0" w:line="277" w:lineRule="auto"/>
        <w:rPr>
          <w:sz w:val="20"/>
          <w:szCs w:val="20"/>
          <w:color w:val="auto"/>
        </w:rPr>
      </w:pPr>
      <w:r>
        <w:rPr>
          <w:rFonts w:ascii="Arial" w:cs="Arial" w:eastAsia="Arial" w:hAnsi="Arial"/>
          <w:sz w:val="18"/>
          <w:szCs w:val="18"/>
          <w:color w:val="auto"/>
        </w:rPr>
        <w:t>if so requested by a Revolving Lender, Administrative Agent shall deliver to such Revolving Lender a copy of such Letter of Credit or amendment or modification, as the case may be.</w:t>
      </w:r>
    </w:p>
    <w:p>
      <w:pPr>
        <w:spacing w:after="0" w:line="170" w:lineRule="exact"/>
        <w:rPr>
          <w:sz w:val="20"/>
          <w:szCs w:val="20"/>
          <w:color w:val="auto"/>
        </w:rPr>
      </w:pPr>
    </w:p>
    <w:p>
      <w:pPr>
        <w:jc w:val="both"/>
        <w:ind w:firstLine="656"/>
        <w:spacing w:after="0" w:line="254" w:lineRule="auto"/>
        <w:tabs>
          <w:tab w:leader="none" w:pos="1017"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If and to the extent that any Revolving Lender fails to pay an amount required to be paid pursuant to Section 2.03(f) or 2.03(g) on the due date therefor, such Revolving Lender shall pay to the applicable L/C Lender (through Administrative Agent) interest on such amount with respect to each Tranche of Revolving Commitments held by such Revolving Lender for each day from and including such due date to but excluding the date such payment is made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Federal Funds Rate (as in effect from time to time) for the first three days and at the interest rate (in effect from time to time) applicable to Revolving Loans under such Tranche made by such Revolving Lender that are maintained as ABR Loans for each date thereafter. If any Revolving Lender holds Revolving Commitments of more than one Tranche and such Revolving Lender makes a partial payment of amounts due by it under Section 2.03(f) or 2.03(g), such partial payment shall be allocated pro rata to each Tranche based on the amount of Revolving Commitments of each Tranche held by such Revolving Lender.</w:t>
      </w:r>
    </w:p>
    <w:p>
      <w:pPr>
        <w:spacing w:after="0" w:line="192" w:lineRule="exact"/>
        <w:rPr>
          <w:rFonts w:ascii="Arial" w:cs="Arial" w:eastAsia="Arial" w:hAnsi="Arial"/>
          <w:sz w:val="18"/>
          <w:szCs w:val="18"/>
          <w:color w:val="auto"/>
        </w:rPr>
      </w:pPr>
    </w:p>
    <w:p>
      <w:pPr>
        <w:jc w:val="both"/>
        <w:ind w:firstLine="656"/>
        <w:spacing w:after="0" w:line="255" w:lineRule="auto"/>
        <w:tabs>
          <w:tab w:leader="none" w:pos="109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issuance by any L/C Lender of any amendment or modification to any Letter of Credit hereunder that would extend the expiry date or increase the Stated Amount thereof shall be subject to the same conditions applicable under this Section 2.03 to the issuance of new Letters of Credit, and no such amendment or modification shall be issued hereunder (i) unless either (x) the respective Letter of Credit affected thereby would have complied with such conditions had it originally been issued hereunder in such amended or modified form or (y) the Required Revolving Lenders (or other specified Revolving Lenders to the extent required by Section 13.04) shall have consented thereto or (ii) if the beneficiary of the Letter of Credit does not accept the proposed terms of the Letter of Credit.</w:t>
      </w:r>
    </w:p>
    <w:p>
      <w:pPr>
        <w:spacing w:after="0" w:line="193" w:lineRule="exact"/>
        <w:rPr>
          <w:rFonts w:ascii="Arial" w:cs="Arial" w:eastAsia="Arial" w:hAnsi="Arial"/>
          <w:sz w:val="18"/>
          <w:szCs w:val="18"/>
          <w:color w:val="auto"/>
        </w:rPr>
      </w:pPr>
    </w:p>
    <w:p>
      <w:pPr>
        <w:jc w:val="both"/>
        <w:ind w:firstLine="656"/>
        <w:spacing w:after="0" w:line="271" w:lineRule="auto"/>
        <w:tabs>
          <w:tab w:leader="none" w:pos="1013"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Notwithstanding the foregoing, no L/C Lender shall be under any obligation to issue any Letter of Credit if at the time of such issuance, (i) any order, judgment or decree of any Governmental Authority or arbitrator shall by its terms purport to enjoin or restrain such L/C Lender from issuing the Letter of Credit, or any Law applicable to such L/C Lender or any request or directive (whether or not having the force of law) from any Governmental Authority with jurisdiction over such L/C Lender shall prohibit, or request that such L/C Lender refrain from, the issuance of letters of credit generally or the Letter of Credit in particular or shall impose upon such L/C Lender with respect to the Letter of Credit any restriction, reserve or capital requirement (for which such L/C Lender is not otherwise compensated hereunder) not in effect on the Closing Date, or shall impose upon such L/C Lender any unreimbursed loss, cost or expense which was not applicable on the Closing Date and which such L/C Lender in good faith deems material to it or (ii) the issuance of the Letter of Credit would violate one or more policies of such L/C Lender applicable to letters of credit generally.</w:t>
      </w:r>
    </w:p>
    <w:p>
      <w:pPr>
        <w:spacing w:after="0" w:line="178" w:lineRule="exact"/>
        <w:rPr>
          <w:rFonts w:ascii="Arial" w:cs="Arial" w:eastAsia="Arial" w:hAnsi="Arial"/>
          <w:sz w:val="17"/>
          <w:szCs w:val="17"/>
          <w:color w:val="auto"/>
        </w:rPr>
      </w:pPr>
    </w:p>
    <w:p>
      <w:pPr>
        <w:jc w:val="both"/>
        <w:ind w:firstLine="656"/>
        <w:spacing w:after="0" w:line="286" w:lineRule="auto"/>
        <w:tabs>
          <w:tab w:leader="none" w:pos="108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obligations of Borrower under this Agreement and any L/C Document to reimburse any L/C Lender for a drawing under a Letter of Credit, and to repay any drawing under a Letter of Credit converted into Revolving Loans, shall be unconditional and irrevocable, and shall be paid strictly in accordance with the terms of this Agreement and each such other L/C Document under all circumstances, including the following:</w:t>
      </w:r>
    </w:p>
    <w:p>
      <w:pPr>
        <w:spacing w:after="0" w:line="165" w:lineRule="exact"/>
        <w:rPr>
          <w:rFonts w:ascii="Arial" w:cs="Arial" w:eastAsia="Arial" w:hAnsi="Arial"/>
          <w:sz w:val="17"/>
          <w:szCs w:val="17"/>
          <w:color w:val="auto"/>
        </w:rPr>
      </w:pPr>
    </w:p>
    <w:p>
      <w:pPr>
        <w:ind w:left="1660" w:hanging="355"/>
        <w:spacing w:after="0"/>
        <w:tabs>
          <w:tab w:leader="none" w:pos="1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any Credit Document or any L/C Document;</w:t>
      </w:r>
    </w:p>
    <w:p>
      <w:pPr>
        <w:spacing w:after="0" w:line="225" w:lineRule="exact"/>
        <w:rPr>
          <w:rFonts w:ascii="Arial" w:cs="Arial" w:eastAsia="Arial" w:hAnsi="Arial"/>
          <w:sz w:val="18"/>
          <w:szCs w:val="18"/>
          <w:color w:val="auto"/>
        </w:rPr>
      </w:pPr>
    </w:p>
    <w:p>
      <w:pPr>
        <w:jc w:val="both"/>
        <w:ind w:left="660" w:firstLine="645"/>
        <w:spacing w:after="0" w:line="312" w:lineRule="auto"/>
        <w:tabs>
          <w:tab w:leader="none" w:pos="1723"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existence of any claim, setoff, defense or other right that Borrower may have at any time against any beneficiary or any transferee of any Letter of Credit (or any Person for whom any such beneficiary or any such transferee may be acting), any L/C Lender or any other Person, whether in connection with this Agreement, the transactions contemplated hereby or by the L/C Documents or any unrelated transaction;</w:t>
      </w:r>
    </w:p>
    <w:p>
      <w:pPr>
        <w:spacing w:after="0" w:line="146" w:lineRule="exact"/>
        <w:rPr>
          <w:rFonts w:ascii="Arial" w:cs="Arial" w:eastAsia="Arial" w:hAnsi="Arial"/>
          <w:sz w:val="16"/>
          <w:szCs w:val="16"/>
          <w:color w:val="auto"/>
        </w:rPr>
      </w:pPr>
    </w:p>
    <w:p>
      <w:pPr>
        <w:jc w:val="both"/>
        <w:ind w:left="660" w:firstLine="645"/>
        <w:spacing w:after="0" w:line="302" w:lineRule="auto"/>
        <w:tabs>
          <w:tab w:leader="none" w:pos="1826" w:val="left"/>
        </w:tabs>
        <w:numPr>
          <w:ilvl w:val="1"/>
          <w:numId w:val="71"/>
        </w:numPr>
        <w:rPr>
          <w:rFonts w:ascii="Arial" w:cs="Arial" w:eastAsia="Arial" w:hAnsi="Arial"/>
          <w:sz w:val="16"/>
          <w:szCs w:val="16"/>
          <w:color w:val="auto"/>
        </w:rPr>
      </w:pPr>
      <w:r>
        <w:rPr>
          <w:rFonts w:ascii="Arial" w:cs="Arial" w:eastAsia="Arial" w:hAnsi="Arial"/>
          <w:sz w:val="16"/>
          <w:szCs w:val="16"/>
          <w:color w:val="auto"/>
        </w:rPr>
        <w:t>any draft, demand, certificate or other document presented under any Letter of Credit proving to be forged, fraudulent, invalid or insufficient in any respect or any statement therein being untrue or inaccurate in any respect; or any loss or delay in the transmission or otherwise of any document required in order to make a drawing under any Letter of Credit; or any defense based upon the failure of any drawing under a Letter of Credit to conform to the terms of the Letter of Credit or any non-application or misapplication by the beneficiary of the proceeds of such drawing;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00" w:right="239" w:bottom="1440" w:gutter="0" w:footer="0" w:header="0"/>
        </w:sectPr>
      </w:pPr>
    </w:p>
    <w:bookmarkStart w:id="145" w:name="page146"/>
    <w:bookmarkEnd w:id="145"/>
    <w:p>
      <w:pPr>
        <w:ind w:left="660" w:firstLine="645"/>
        <w:spacing w:after="0" w:line="277" w:lineRule="auto"/>
        <w:tabs>
          <w:tab w:leader="none" w:pos="1813" w:val="left"/>
        </w:tabs>
        <w:numPr>
          <w:ilvl w:val="0"/>
          <w:numId w:val="72"/>
        </w:numPr>
        <w:rPr>
          <w:rFonts w:ascii="Arial" w:cs="Arial" w:eastAsia="Arial" w:hAnsi="Arial"/>
          <w:sz w:val="18"/>
          <w:szCs w:val="18"/>
          <w:color w:val="auto"/>
        </w:rPr>
      </w:pPr>
      <w:r>
        <w:rPr>
          <w:rFonts w:ascii="Arial" w:cs="Arial" w:eastAsia="Arial" w:hAnsi="Arial"/>
          <w:sz w:val="18"/>
          <w:szCs w:val="18"/>
          <w:color w:val="auto"/>
        </w:rPr>
        <w:t>waiver by a L/C Lender of any requirement that exists for the L/C Lender’s protection and not the protection of Borrower or any waiver by the L/C Lender which does not in fact materially prejudice Borrower;</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Letter of Credit requires that demand be in the form of a draft;</w:t>
      </w:r>
    </w:p>
    <w:p>
      <w:pPr>
        <w:spacing w:after="0" w:line="248" w:lineRule="exact"/>
        <w:rPr>
          <w:rFonts w:ascii="Arial" w:cs="Arial" w:eastAsia="Arial" w:hAnsi="Arial"/>
          <w:sz w:val="16"/>
          <w:szCs w:val="16"/>
          <w:color w:val="auto"/>
        </w:rPr>
      </w:pPr>
    </w:p>
    <w:p>
      <w:pPr>
        <w:jc w:val="both"/>
        <w:ind w:left="660" w:firstLine="645"/>
        <w:spacing w:after="0" w:line="264" w:lineRule="auto"/>
        <w:tabs>
          <w:tab w:leader="none" w:pos="175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payment made by a L/C Lender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1" w:lineRule="exact"/>
        <w:rPr>
          <w:rFonts w:ascii="Arial" w:cs="Arial" w:eastAsia="Arial" w:hAnsi="Arial"/>
          <w:sz w:val="18"/>
          <w:szCs w:val="18"/>
          <w:color w:val="auto"/>
        </w:rPr>
      </w:pPr>
    </w:p>
    <w:p>
      <w:pPr>
        <w:jc w:val="both"/>
        <w:ind w:left="660" w:firstLine="645"/>
        <w:spacing w:after="0" w:line="302" w:lineRule="auto"/>
        <w:tabs>
          <w:tab w:leader="none" w:pos="1846"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payment by a L/C Issuer under such Letter of Credit against presentation of a draft or certificate that does not strictly comply with the terms of such Letter of Credit; or any payment made by a L/C Lender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54" w:lineRule="exact"/>
        <w:rPr>
          <w:rFonts w:ascii="Arial" w:cs="Arial" w:eastAsia="Arial" w:hAnsi="Arial"/>
          <w:sz w:val="16"/>
          <w:szCs w:val="16"/>
          <w:color w:val="auto"/>
        </w:rPr>
      </w:pPr>
    </w:p>
    <w:p>
      <w:pPr>
        <w:ind w:left="660" w:firstLine="645"/>
        <w:spacing w:after="0" w:line="277" w:lineRule="auto"/>
        <w:tabs>
          <w:tab w:leader="none" w:pos="1883"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Borrower or a Guarantor.</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To the extent that any provision of any L/C Document is inconsistent with the provisions of this Section 2.03, the provisions of this Section 2.03 shall control.</w:t>
      </w:r>
    </w:p>
    <w:p>
      <w:pPr>
        <w:spacing w:after="0" w:line="170" w:lineRule="exact"/>
        <w:rPr>
          <w:sz w:val="20"/>
          <w:szCs w:val="20"/>
          <w:color w:val="auto"/>
        </w:rPr>
      </w:pPr>
    </w:p>
    <w:p>
      <w:pPr>
        <w:jc w:val="both"/>
        <w:ind w:firstLine="656"/>
        <w:spacing w:after="0" w:line="287" w:lineRule="auto"/>
        <w:tabs>
          <w:tab w:leader="none" w:pos="1053" w:val="left"/>
        </w:tabs>
        <w:numPr>
          <w:ilvl w:val="0"/>
          <w:numId w:val="73"/>
        </w:numPr>
        <w:rPr>
          <w:rFonts w:ascii="Arial" w:cs="Arial" w:eastAsia="Arial" w:hAnsi="Arial"/>
          <w:sz w:val="16"/>
          <w:szCs w:val="16"/>
          <w:color w:val="auto"/>
        </w:rPr>
      </w:pPr>
      <w:r>
        <w:rPr>
          <w:rFonts w:ascii="Arial" w:cs="Arial" w:eastAsia="Arial" w:hAnsi="Arial"/>
          <w:sz w:val="16"/>
          <w:szCs w:val="16"/>
          <w:color w:val="auto"/>
        </w:rPr>
        <w:t>On the last Business Day of each month, Borrower and each L/C Lender shall provide to Administrative Agent such information regarding the outstanding Letters of Credit as Administrative Agent shall reasonably request, in form and substance reasonably satisfactory to Administrative Agent (and in such standard electronic format as Administrative Agent shall reasonably specify), for purposes of Administrative Agent’s ongoing tracking and reporting of outstanding Letters of Credit. Administrative Agent shall maintain a record of all outstanding Letters of Credit based upon information provided by Borrower and the L/C Lenders pursuant to this Section 2.03(n), and such record of Administrative Agent shall, absent manifest error, be deemed a correct and conclusive record of all Letters of Credit outstanding from time to time hereunder. Notwithstanding the foregoing, if and to the extent Administrative Agent determines that there are one or more discrepancies between information provided by Borrower and any L/C Lender hereunder, Administrative Agent will notify Borrower and such L/C Lender thereof and Borrower and such L/C Lender shall endeavor to reconcile any such discrepancy. In addition to and without limiting the foregoing, with respect to commercial documentary Letters of Credit, on the first Business Day of each week the applicable L/C Lender shall deliver to Administrative Agent, by facsimile or electronic mail, a report detailing the daily outstanding commercial documentary Letters of Credit for the previous week for such Letters of Credit issued in Dollars and for such Letters of Credit issued in an Alternate Currency.</w:t>
      </w:r>
    </w:p>
    <w:p>
      <w:pPr>
        <w:spacing w:after="0" w:line="172" w:lineRule="exact"/>
        <w:rPr>
          <w:rFonts w:ascii="Arial" w:cs="Arial" w:eastAsia="Arial" w:hAnsi="Arial"/>
          <w:sz w:val="16"/>
          <w:szCs w:val="16"/>
          <w:color w:val="auto"/>
        </w:rPr>
      </w:pPr>
    </w:p>
    <w:p>
      <w:pPr>
        <w:jc w:val="both"/>
        <w:ind w:firstLine="656"/>
        <w:spacing w:after="0" w:line="288" w:lineRule="auto"/>
        <w:tabs>
          <w:tab w:leader="none" w:pos="1106"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Each Lender and Borrower agree that, in paying any drawing under a Letter of Credit, the L/C Lender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Lenders, the Administrative Agent, any of their respective Affiliates, directors, officers, employees, agents and advisors nor any correspondent, participant or assignee of any L/C Lender shall be liable to any Lender for (i) any action taken or omitted in connection herewith at the request or with the approval of the Lenders or the Required Lenders, as applicable; (ii) any action taken or omitted in the absence of gross negligence, bad faith or willful misconduct; or (iii) the due execution, effectiveness, validity or enforceability of any document or instrument related to any Letter of Credit. Borrower hereby assumes all risks of the acts or omissions of any beneficiary or transferee with respect to its use of any Letter of Credit;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assumption is not intended to, and shall not, preclude Borrower’s pursuing such rights and remedies as it may have against the beneficiary or transferee at law or under any other agreement. None of the L/C Lenders, the Administrative Agent, any of their respective Affiliates, directors, officers, employees, agents and advisors nor 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00" w:right="239" w:bottom="1440" w:gutter="0" w:footer="0" w:header="0"/>
        </w:sectPr>
      </w:pPr>
    </w:p>
    <w:bookmarkStart w:id="146" w:name="page147"/>
    <w:bookmarkEnd w:id="146"/>
    <w:p>
      <w:pPr>
        <w:jc w:val="both"/>
        <w:spacing w:after="0" w:line="269" w:lineRule="auto"/>
        <w:rPr>
          <w:sz w:val="20"/>
          <w:szCs w:val="20"/>
          <w:color w:val="auto"/>
        </w:rPr>
      </w:pPr>
      <w:r>
        <w:rPr>
          <w:rFonts w:ascii="Arial" w:cs="Arial" w:eastAsia="Arial" w:hAnsi="Arial"/>
          <w:sz w:val="17"/>
          <w:szCs w:val="17"/>
          <w:color w:val="auto"/>
        </w:rPr>
        <w:t xml:space="preserve">correspondent, participant or assignee of the L/C Lenders shall be liable or responsible for any of the matters described in clauses (i) through (viii) of Section 2.03(m);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anything in such clauses to the contrary notwithstanding, Borrower may have a claim against a L/C Lender, and a L/C Lender may be liable to Borrower, to the extent, but only to the extent, of any direct, as opposed to consequential or exemplary, damages suffered by Borrower which Borrower proves were caused by such L/C Lender’s willful misconduct, bad faith or gross negligence or such L/C Lender’s willful failure to pay under any Letter of Credit after the presentation to it by the beneficiary of a sight draft and certificate(s) strictly complying with the terms and conditions of a Letter of Credit. In furtherance and not in limitation of the foregoing, the L/C Lenders may accept documents that appear on their face to be in order, without responsibility for further investigation, regardless of any notice or information to the contrary, and the L/C Lenders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Lenders may send a Letter of Credit or conduct any communication to or from the beneficiary via the Society for Worldwide Interbank Financial Telecommunication (“</w:t>
      </w:r>
      <w:r>
        <w:rPr>
          <w:rFonts w:ascii="Arial" w:cs="Arial" w:eastAsia="Arial" w:hAnsi="Arial"/>
          <w:sz w:val="17"/>
          <w:szCs w:val="17"/>
          <w:b w:val="1"/>
          <w:bCs w:val="1"/>
          <w:color w:val="auto"/>
        </w:rPr>
        <w:t>SWIFT</w:t>
      </w:r>
      <w:r>
        <w:rPr>
          <w:rFonts w:ascii="Arial" w:cs="Arial" w:eastAsia="Arial" w:hAnsi="Arial"/>
          <w:sz w:val="17"/>
          <w:szCs w:val="17"/>
          <w:color w:val="auto"/>
        </w:rPr>
        <w:t>”) message or overnight courier, or any other commercially reasonable means of communicating with a beneficiary.</w:t>
      </w:r>
    </w:p>
    <w:p>
      <w:pPr>
        <w:spacing w:after="0" w:line="183" w:lineRule="exact"/>
        <w:rPr>
          <w:sz w:val="20"/>
          <w:szCs w:val="20"/>
          <w:color w:val="auto"/>
        </w:rPr>
      </w:pPr>
    </w:p>
    <w:p>
      <w:pPr>
        <w:jc w:val="both"/>
        <w:ind w:firstLine="656"/>
        <w:spacing w:after="0" w:line="271" w:lineRule="auto"/>
        <w:tabs>
          <w:tab w:leader="none" w:pos="1045" w:val="left"/>
        </w:tabs>
        <w:numPr>
          <w:ilvl w:val="0"/>
          <w:numId w:val="74"/>
        </w:numPr>
        <w:rPr>
          <w:rFonts w:ascii="Arial" w:cs="Arial" w:eastAsia="Arial" w:hAnsi="Arial"/>
          <w:sz w:val="17"/>
          <w:szCs w:val="17"/>
          <w:color w:val="auto"/>
        </w:rPr>
      </w:pPr>
      <w:r>
        <w:rPr>
          <w:rFonts w:ascii="Arial" w:cs="Arial" w:eastAsia="Arial" w:hAnsi="Arial"/>
          <w:sz w:val="17"/>
          <w:szCs w:val="17"/>
          <w:color w:val="auto"/>
        </w:rPr>
        <w:t>Unless otherwise expressly agreed by the applicable L/C Lender and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Lenders shall not be responsible to Borrower for, and the L/C Lenders’ rights and remedies against Borrower shall not be impaired by, any action or inaction of the L/C Lenders required or permitted under any law, order, or practice that is required or permitted to be applied to any Letter of Credit or this Agreement, including the law or any order of a jurisdiction where such L/C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8" w:lineRule="exact"/>
        <w:rPr>
          <w:rFonts w:ascii="Arial" w:cs="Arial" w:eastAsia="Arial" w:hAnsi="Arial"/>
          <w:sz w:val="17"/>
          <w:szCs w:val="17"/>
          <w:color w:val="auto"/>
        </w:rPr>
      </w:pPr>
    </w:p>
    <w:p>
      <w:pPr>
        <w:jc w:val="both"/>
        <w:ind w:right="20" w:firstLine="656"/>
        <w:spacing w:after="0" w:line="259" w:lineRule="auto"/>
        <w:tabs>
          <w:tab w:leader="none" w:pos="103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that a Letter of Credit issued or outstanding hereunder is in support of any obligations of, or is for the account of, a Subsidiary, Borrower shall be obligated to reimburse the applicable L/C Lender hereunder for any and all drawings under such Letter of Credit. Borrower hereby acknowledges that the issuance of Letters of Credit for the account of Subsidiaries inures to the benefit of Borrower, and that Borrower’s business derives substantial benefits from the businesses of such Subsidiaries.</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0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Revolving Lender may become an additional L/C Lender hereunder with the approval of the Administrative Agent (such approval not to be unreasonably withheld or delayed), Borrower and such Revolving Lender, pursuant to an agreement with, and in form and substance reasonably satisfactory to, the Administrative Agent, Borrower and such Revolving Lender. The Administrative Agent shall notify the Revolving Lenders of any such additional L/C Lender.</w:t>
      </w:r>
    </w:p>
    <w:p>
      <w:pPr>
        <w:spacing w:after="0" w:line="183"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2.04.</w:t>
      </w:r>
      <w:r>
        <w:rPr>
          <w:sz w:val="20"/>
          <w:szCs w:val="20"/>
          <w:color w:val="auto"/>
        </w:rPr>
        <w:tab/>
      </w:r>
      <w:r>
        <w:rPr>
          <w:rFonts w:ascii="Arial" w:cs="Arial" w:eastAsia="Arial" w:hAnsi="Arial"/>
          <w:sz w:val="16"/>
          <w:szCs w:val="16"/>
          <w:b w:val="1"/>
          <w:bCs w:val="1"/>
          <w:color w:val="auto"/>
        </w:rPr>
        <w:t>Termination and Reductions of Commitment</w:t>
      </w:r>
      <w:r>
        <w:rPr>
          <w:rFonts w:ascii="Arial" w:cs="Arial" w:eastAsia="Arial" w:hAnsi="Arial"/>
          <w:sz w:val="16"/>
          <w:szCs w:val="16"/>
          <w:color w:val="auto"/>
        </w:rPr>
        <w:t>.</w:t>
      </w:r>
    </w:p>
    <w:p>
      <w:pPr>
        <w:spacing w:after="0" w:line="225"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   In addition to any other mandatory commitment reductions pursuant to this Section 2.04, (A</w:t>
      </w:r>
      <w:r>
        <w:rPr>
          <w:rFonts w:ascii="Arial" w:cs="Arial" w:eastAsia="Arial" w:hAnsi="Arial"/>
          <w:sz w:val="16"/>
          <w:szCs w:val="16"/>
          <w:b w:val="1"/>
          <w:bCs w:val="1"/>
          <w:color w:val="FF0000"/>
          <w:strike w:val="1"/>
        </w:rPr>
        <w:t>) the aggregate amount of the Tranche A</w:t>
      </w:r>
    </w:p>
    <w:p>
      <w:pPr>
        <w:spacing w:after="0" w:line="50" w:lineRule="exact"/>
        <w:rPr>
          <w:rFonts w:ascii="Arial" w:cs="Arial" w:eastAsia="Arial" w:hAnsi="Arial"/>
          <w:sz w:val="16"/>
          <w:szCs w:val="16"/>
          <w:color w:val="auto"/>
        </w:rPr>
      </w:pPr>
    </w:p>
    <w:p>
      <w:pPr>
        <w:jc w:val="both"/>
        <w:spacing w:after="0" w:line="287" w:lineRule="auto"/>
        <w:rPr>
          <w:rFonts w:ascii="Arial" w:cs="Arial" w:eastAsia="Arial" w:hAnsi="Arial"/>
          <w:sz w:val="16"/>
          <w:szCs w:val="16"/>
          <w:color w:val="auto"/>
        </w:rPr>
      </w:pPr>
      <w:r>
        <w:rPr>
          <w:rFonts w:ascii="Arial" w:cs="Arial" w:eastAsia="Arial" w:hAnsi="Arial"/>
          <w:sz w:val="16"/>
          <w:szCs w:val="16"/>
          <w:b w:val="1"/>
          <w:bCs w:val="1"/>
          <w:color w:val="FF0000"/>
          <w:strike w:val="1"/>
        </w:rPr>
        <w:t>Term Facility Commitments shall be automatically and permanently reduced by the amount of Term Facility Loans made in respect thereof from time to time, (B) the aggregate amount of the Tranche B Term Facility Commitments shall be automatically and permanently reduced by the amount of Term Facility Loans made in respect thereof from time to time, (C) the aggregate amount of the Tranche C Term Facility Commitments shall be automatically and permanently reduced by the amount of Term Facility Loans made in respect thereof from time to time and (D</w:t>
      </w:r>
      <w:r>
        <w:rPr>
          <w:rFonts w:ascii="Arial" w:cs="Arial" w:eastAsia="Arial" w:hAnsi="Arial"/>
          <w:sz w:val="16"/>
          <w:szCs w:val="16"/>
          <w:color w:val="000000"/>
          <w:strike w:val="1"/>
        </w:rPr>
        <w:t>) the aggregate</w:t>
      </w:r>
      <w:r>
        <w:rPr>
          <w:rFonts w:ascii="Arial" w:cs="Arial" w:eastAsia="Arial" w:hAnsi="Arial"/>
          <w:sz w:val="16"/>
          <w:szCs w:val="16"/>
          <w:b w:val="1"/>
          <w:bCs w:val="1"/>
          <w:color w:val="FF0000"/>
          <w:strike w:val="1"/>
        </w:rPr>
        <w:t xml:space="preserve"> </w:t>
      </w:r>
      <w:r>
        <w:rPr>
          <w:rFonts w:ascii="Arial" w:cs="Arial" w:eastAsia="Arial" w:hAnsi="Arial"/>
          <w:sz w:val="16"/>
          <w:szCs w:val="16"/>
          <w:color w:val="000000"/>
          <w:strike w:val="1"/>
        </w:rPr>
        <w:t xml:space="preserve">amount of the Tranche D Term Facility Commitments shall be automatically and permanently reduced by the amount of Term Facility Loans made in respect thereof from time to time </w:t>
      </w:r>
      <w:r>
        <w:rPr>
          <w:rFonts w:ascii="Arial" w:cs="Arial" w:eastAsia="Arial" w:hAnsi="Arial"/>
          <w:sz w:val="16"/>
          <w:szCs w:val="16"/>
          <w:b w:val="1"/>
          <w:bCs w:val="1"/>
          <w:u w:val="single" w:color="auto"/>
          <w:color w:val="0000FF"/>
          <w:strike w:val="1"/>
        </w:rPr>
        <w:t>and (B) the aggregate amount of the Term Facility II Commitments shall be automatically and permanently reduced by the</w:t>
      </w:r>
      <w:r>
        <w:rPr>
          <w:rFonts w:ascii="Arial" w:cs="Arial" w:eastAsia="Arial" w:hAnsi="Arial"/>
          <w:sz w:val="16"/>
          <w:szCs w:val="16"/>
          <w:color w:val="000000"/>
          <w:strike w:val="1"/>
        </w:rPr>
        <w:t xml:space="preserve"> </w:t>
      </w:r>
      <w:r>
        <w:rPr>
          <w:rFonts w:ascii="Arial" w:cs="Arial" w:eastAsia="Arial" w:hAnsi="Arial"/>
          <w:sz w:val="16"/>
          <w:szCs w:val="16"/>
          <w:b w:val="1"/>
          <w:bCs w:val="1"/>
          <w:u w:val="single" w:color="auto"/>
          <w:color w:val="0000FF"/>
          <w:strike w:val="1"/>
        </w:rPr>
        <w:t>amount of Term Facility II Loans made in respect thereof from time to time</w:t>
      </w:r>
      <w:r>
        <w:rPr>
          <w:rFonts w:ascii="Arial" w:cs="Arial" w:eastAsia="Arial" w:hAnsi="Arial"/>
          <w:sz w:val="16"/>
          <w:szCs w:val="16"/>
          <w:color w:val="000000"/>
          <w:strike w:val="1"/>
        </w:rPr>
        <w:t>. Notwithstanding any other provision of this Agreement, any outstanding</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Term Facility Commitments shall automatically terminate upon the earlier of (x) such Term Facility Commitments being fully funded pursuant 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00" w:right="239" w:bottom="1440" w:gutter="0" w:footer="0" w:header="0"/>
        </w:sectPr>
      </w:pPr>
    </w:p>
    <w:bookmarkStart w:id="147" w:name="page148"/>
    <w:bookmarkEnd w:id="147"/>
    <w:p>
      <w:pPr>
        <w:jc w:val="both"/>
        <w:spacing w:after="0" w:line="261" w:lineRule="auto"/>
        <w:rPr>
          <w:sz w:val="20"/>
          <w:szCs w:val="20"/>
          <w:color w:val="auto"/>
        </w:rPr>
      </w:pPr>
      <w:r>
        <w:rPr>
          <w:rFonts w:ascii="Arial" w:cs="Arial" w:eastAsia="Arial" w:hAnsi="Arial"/>
          <w:sz w:val="18"/>
          <w:szCs w:val="18"/>
          <w:color w:val="auto"/>
        </w:rPr>
        <w:t xml:space="preserve">Section 2.01(b) and (y) at 5:00 p.m., New York City time, on the last Business Day of the applicable Term Facility Availability Period. </w:t>
      </w:r>
      <w:r>
        <w:rPr>
          <w:rFonts w:ascii="Arial" w:cs="Arial" w:eastAsia="Arial" w:hAnsi="Arial"/>
          <w:sz w:val="18"/>
          <w:szCs w:val="18"/>
          <w:b w:val="1"/>
          <w:bCs w:val="1"/>
          <w:u w:val="single" w:color="auto"/>
          <w:color w:val="0000FF"/>
        </w:rPr>
        <w:t>Notwithstanding any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other provision of this Agreement, any outstanding Term Facility II Commitments shall automatically terminate upon the earlier of (x) such Term Facility II Commitments being fully funded pursuant to Section 2.01(d) and (y) at 5:00 p.m., New York City time, on the last Business Day of the Term Facility II Availability Period.</w:t>
      </w:r>
    </w:p>
    <w:p>
      <w:pPr>
        <w:spacing w:after="0" w:line="184" w:lineRule="exact"/>
        <w:rPr>
          <w:sz w:val="20"/>
          <w:szCs w:val="20"/>
          <w:color w:val="auto"/>
        </w:rPr>
      </w:pPr>
    </w:p>
    <w:p>
      <w:pPr>
        <w:jc w:val="both"/>
        <w:ind w:left="660" w:firstLine="645"/>
        <w:spacing w:after="0" w:line="264" w:lineRule="auto"/>
        <w:tabs>
          <w:tab w:leader="none" w:pos="1728"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aggregate amount of the Revolving Commitments of any Tranche shall be automatically and permanently reduced to zero on the R/C Maturity Date applicable to such Tranche, and the L/C Commitments shall be automatically and permanently reduced to zero on the last R/C Maturity Date.</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061" w:val="left"/>
        </w:tabs>
        <w:numPr>
          <w:ilvl w:val="0"/>
          <w:numId w:val="77"/>
        </w:numPr>
        <w:rPr>
          <w:rFonts w:ascii="Arial" w:cs="Arial" w:eastAsia="Arial" w:hAnsi="Arial"/>
          <w:sz w:val="16"/>
          <w:szCs w:val="16"/>
          <w:color w:val="auto"/>
        </w:rPr>
      </w:pPr>
      <w:r>
        <w:rPr>
          <w:rFonts w:ascii="Arial" w:cs="Arial" w:eastAsia="Arial" w:hAnsi="Arial"/>
          <w:sz w:val="16"/>
          <w:szCs w:val="16"/>
          <w:color w:val="auto"/>
        </w:rPr>
        <w:t>Borrower shall have the right at any time or from time to time (without premium or penalty except breakage costs (if any) pursuant to Section 5.05) (i) so long as no Revolving Loans or L/C Liabilities will be outstanding as of the date specified for termination (after giving effect to all transactions occurring on such date), to terminate the Revolving Commitments in their entirety, (ii) to reduce the aggregate amount of the Unutilized R/C Commitments (which shall be pro rata among the Revolving Lenders), (iii) to reduce (</w:t>
      </w:r>
      <w:r>
        <w:rPr>
          <w:rFonts w:ascii="Arial" w:cs="Arial" w:eastAsia="Arial" w:hAnsi="Arial"/>
          <w:sz w:val="16"/>
          <w:szCs w:val="16"/>
          <w:b w:val="1"/>
          <w:bCs w:val="1"/>
          <w:color w:val="FF0000"/>
          <w:strike w:val="1"/>
        </w:rPr>
        <w:t>w) the aggregate amount of the unutilized Tranche A Term Facility</w:t>
      </w:r>
    </w:p>
    <w:p>
      <w:pPr>
        <w:spacing w:after="0" w:line="1" w:lineRule="exact"/>
        <w:rPr>
          <w:rFonts w:ascii="Arial" w:cs="Arial" w:eastAsia="Arial" w:hAnsi="Arial"/>
          <w:sz w:val="16"/>
          <w:szCs w:val="16"/>
          <w:color w:val="auto"/>
        </w:rPr>
      </w:pPr>
    </w:p>
    <w:p>
      <w:pPr>
        <w:jc w:val="both"/>
        <w:spacing w:after="0" w:line="268" w:lineRule="auto"/>
        <w:rPr>
          <w:rFonts w:ascii="Arial" w:cs="Arial" w:eastAsia="Arial" w:hAnsi="Arial"/>
          <w:sz w:val="16"/>
          <w:szCs w:val="16"/>
          <w:color w:val="auto"/>
        </w:rPr>
      </w:pPr>
      <w:r>
        <w:rPr>
          <w:rFonts w:ascii="Arial" w:cs="Arial" w:eastAsia="Arial" w:hAnsi="Arial"/>
          <w:sz w:val="17"/>
          <w:szCs w:val="17"/>
          <w:b w:val="1"/>
          <w:bCs w:val="1"/>
          <w:color w:val="FF0000"/>
          <w:strike w:val="1"/>
        </w:rPr>
        <w:t>Commitments (which shall be pro rata among the Tranche A Term Facility Lenders), (x) to reduce the aggregate amount of the unutilized Tranche B Term Facility Commitments (which shall be pro rata among the Tranche B Term Facility Lenders), (y) to reduce the aggregate amount of the unutilized Tranche C Term Facility Commitments (which shall be pro rata among the Tranche C Term Facility Lenders), and (z) to reduce</w:t>
      </w:r>
      <w:r>
        <w:rPr>
          <w:rFonts w:ascii="Arial" w:cs="Arial" w:eastAsia="Arial" w:hAnsi="Arial"/>
          <w:sz w:val="17"/>
          <w:szCs w:val="17"/>
          <w:b w:val="1"/>
          <w:bCs w:val="1"/>
          <w:u w:val="single" w:color="auto"/>
          <w:color w:val="0000FF"/>
          <w:strike w:val="1"/>
        </w:rPr>
        <w:t>x)</w:t>
      </w:r>
      <w:r>
        <w:rPr>
          <w:rFonts w:ascii="Arial" w:cs="Arial" w:eastAsia="Arial" w:hAnsi="Arial"/>
          <w:sz w:val="17"/>
          <w:szCs w:val="17"/>
          <w:b w:val="1"/>
          <w:bCs w:val="1"/>
          <w:color w:val="FF0000"/>
          <w:strike w:val="1"/>
        </w:rPr>
        <w:t xml:space="preserve"> </w:t>
      </w:r>
      <w:r>
        <w:rPr>
          <w:rFonts w:ascii="Arial" w:cs="Arial" w:eastAsia="Arial" w:hAnsi="Arial"/>
          <w:sz w:val="17"/>
          <w:szCs w:val="17"/>
          <w:color w:val="000000"/>
          <w:strike w:val="1"/>
        </w:rPr>
        <w:t>the</w:t>
      </w:r>
      <w:r>
        <w:rPr>
          <w:rFonts w:ascii="Arial" w:cs="Arial" w:eastAsia="Arial" w:hAnsi="Arial"/>
          <w:sz w:val="17"/>
          <w:szCs w:val="17"/>
          <w:b w:val="1"/>
          <w:bCs w:val="1"/>
          <w:color w:val="FF0000"/>
          <w:strike w:val="1"/>
        </w:rPr>
        <w:t xml:space="preserve"> </w:t>
      </w:r>
      <w:r>
        <w:rPr>
          <w:rFonts w:ascii="Arial" w:cs="Arial" w:eastAsia="Arial" w:hAnsi="Arial"/>
          <w:sz w:val="17"/>
          <w:szCs w:val="17"/>
          <w:color w:val="000000"/>
          <w:strike w:val="1"/>
        </w:rPr>
        <w:t xml:space="preserve">aggregate amount of the unutilized Tranche D Term Facility Commitments (which shall be pro rata among the Tranche D Term Facility Lenders), and </w:t>
      </w:r>
      <w:r>
        <w:rPr>
          <w:rFonts w:ascii="Arial" w:cs="Arial" w:eastAsia="Arial" w:hAnsi="Arial"/>
          <w:sz w:val="17"/>
          <w:szCs w:val="17"/>
          <w:b w:val="1"/>
          <w:bCs w:val="1"/>
          <w:u w:val="single" w:color="auto"/>
          <w:color w:val="0000FF"/>
          <w:strike w:val="1"/>
        </w:rPr>
        <w:t>(y) the</w:t>
      </w:r>
      <w:r>
        <w:rPr>
          <w:rFonts w:ascii="Arial" w:cs="Arial" w:eastAsia="Arial" w:hAnsi="Arial"/>
          <w:sz w:val="17"/>
          <w:szCs w:val="17"/>
          <w:color w:val="000000"/>
          <w:strike w:val="1"/>
        </w:rPr>
        <w:t xml:space="preserve"> </w:t>
      </w:r>
      <w:r>
        <w:rPr>
          <w:rFonts w:ascii="Arial" w:cs="Arial" w:eastAsia="Arial" w:hAnsi="Arial"/>
          <w:sz w:val="17"/>
          <w:szCs w:val="17"/>
          <w:b w:val="1"/>
          <w:bCs w:val="1"/>
          <w:u w:val="single" w:color="auto"/>
          <w:color w:val="0000FF"/>
          <w:strike w:val="1"/>
        </w:rPr>
        <w:t>aggregate amount of the unutilized Term Facility II Commitments (which shall be pro rata among the Term Facility II Lenders), and</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(iv) so long as</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 xml:space="preserve">the remaining Total Revolving Commitments will equal or exceed the aggregate amount of outstanding Revolving Loans and L/C Liabilities, to reduce the aggregate amount of the Revolving Commitments (which shall be pro rata among the Revolving Lenders); provided, however, that (x) Borrower shall give notice of each such termination or reduction as provided in Section 4.05, and (y) each partial reduction shall be in an aggregate amount at least equal to $5.0 million (or any whole multiple of $1.0 million in excess thereof) or, if less, the remaining Unutilized R/C Commitments </w:t>
      </w:r>
      <w:r>
        <w:rPr>
          <w:rFonts w:ascii="Arial" w:cs="Arial" w:eastAsia="Arial" w:hAnsi="Arial"/>
          <w:sz w:val="17"/>
          <w:szCs w:val="17"/>
          <w:b w:val="1"/>
          <w:bCs w:val="1"/>
          <w:color w:val="FF0000"/>
          <w:strike w:val="1"/>
        </w:rPr>
        <w:t>or</w:t>
      </w:r>
      <w:r>
        <w:rPr>
          <w:rFonts w:ascii="Arial" w:cs="Arial" w:eastAsia="Arial" w:hAnsi="Arial"/>
          <w:sz w:val="17"/>
          <w:szCs w:val="17"/>
          <w:b w:val="1"/>
          <w:bCs w:val="1"/>
          <w:u w:val="single" w:color="auto"/>
          <w:color w:val="0000FF"/>
          <w:strike w:val="1"/>
        </w:rPr>
        <w:t>,</w:t>
      </w:r>
      <w:r>
        <w:rPr>
          <w:rFonts w:ascii="Arial" w:cs="Arial" w:eastAsia="Arial" w:hAnsi="Arial"/>
          <w:sz w:val="17"/>
          <w:szCs w:val="17"/>
          <w:color w:val="000000"/>
          <w:strike w:val="1"/>
        </w:rPr>
        <w:t xml:space="preserve"> unutilized Term Facility Commitments of the applicable Tranche </w:t>
      </w:r>
      <w:r>
        <w:rPr>
          <w:rFonts w:ascii="Arial" w:cs="Arial" w:eastAsia="Arial" w:hAnsi="Arial"/>
          <w:sz w:val="17"/>
          <w:szCs w:val="17"/>
          <w:b w:val="1"/>
          <w:bCs w:val="1"/>
          <w:u w:val="single" w:color="auto"/>
          <w:color w:val="0000FF"/>
          <w:strike w:val="1"/>
        </w:rPr>
        <w:t>or unutilized Term Facility II Commitments</w:t>
      </w:r>
      <w:r>
        <w:rPr>
          <w:rFonts w:ascii="Arial" w:cs="Arial" w:eastAsia="Arial" w:hAnsi="Arial"/>
          <w:sz w:val="17"/>
          <w:szCs w:val="17"/>
          <w:color w:val="000000"/>
          <w:strike w:val="1"/>
        </w:rPr>
        <w:t>, as applicable.</w:t>
      </w:r>
    </w:p>
    <w:p>
      <w:pPr>
        <w:spacing w:after="0" w:line="179" w:lineRule="exact"/>
        <w:rPr>
          <w:rFonts w:ascii="Arial" w:cs="Arial" w:eastAsia="Arial" w:hAnsi="Arial"/>
          <w:sz w:val="16"/>
          <w:szCs w:val="16"/>
          <w:color w:val="auto"/>
        </w:rPr>
      </w:pPr>
    </w:p>
    <w:p>
      <w:pPr>
        <w:ind w:left="1020" w:hanging="364"/>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Commitment once terminated or reduced may not be reinstated.</w:t>
      </w:r>
    </w:p>
    <w:p>
      <w:pPr>
        <w:spacing w:after="0" w:line="225" w:lineRule="exact"/>
        <w:rPr>
          <w:rFonts w:ascii="Arial" w:cs="Arial" w:eastAsia="Arial" w:hAnsi="Arial"/>
          <w:sz w:val="18"/>
          <w:szCs w:val="18"/>
          <w:color w:val="auto"/>
        </w:rPr>
      </w:pPr>
    </w:p>
    <w:p>
      <w:pPr>
        <w:ind w:firstLine="656"/>
        <w:spacing w:after="0" w:line="277" w:lineRule="auto"/>
        <w:tabs>
          <w:tab w:leader="none" w:pos="1114"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reduction or termination of any of the Commitments applicable to any Tranche pursuant to this Section 2.04 shall be applied ratably among the Lenders with such a Commitment, as the case may be, in accordance with their respective Commitment, as applicable.</w:t>
      </w:r>
    </w:p>
    <w:p>
      <w:pPr>
        <w:spacing w:after="0" w:line="16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2.05.</w:t>
      </w:r>
      <w:r>
        <w:rPr>
          <w:sz w:val="20"/>
          <w:szCs w:val="20"/>
          <w:color w:val="auto"/>
        </w:rPr>
        <w:tab/>
      </w:r>
      <w:r>
        <w:rPr>
          <w:rFonts w:ascii="Arial" w:cs="Arial" w:eastAsia="Arial" w:hAnsi="Arial"/>
          <w:sz w:val="14"/>
          <w:szCs w:val="14"/>
          <w:b w:val="1"/>
          <w:bCs w:val="1"/>
          <w:color w:val="auto"/>
        </w:rPr>
        <w:t>Fees</w:t>
      </w:r>
      <w:r>
        <w:rPr>
          <w:rFonts w:ascii="Arial" w:cs="Arial" w:eastAsia="Arial" w:hAnsi="Arial"/>
          <w:sz w:val="14"/>
          <w:szCs w:val="14"/>
          <w:color w:val="auto"/>
        </w:rPr>
        <w:t>.</w:t>
      </w:r>
    </w:p>
    <w:p>
      <w:pPr>
        <w:spacing w:after="0" w:line="229" w:lineRule="exact"/>
        <w:rPr>
          <w:sz w:val="20"/>
          <w:szCs w:val="20"/>
          <w:color w:val="auto"/>
        </w:rPr>
      </w:pPr>
    </w:p>
    <w:p>
      <w:pPr>
        <w:jc w:val="both"/>
        <w:ind w:firstLine="656"/>
        <w:spacing w:after="0" w:line="286" w:lineRule="auto"/>
        <w:tabs>
          <w:tab w:leader="none" w:pos="1069"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Borrower shall pay to Administrative Agent for the account of each Revolving Lender (other than a Defaulting Lender), with respect to such Revolving Lender’s Revolving Commitments of each Tranche </w:t>
      </w:r>
      <w:r>
        <w:rPr>
          <w:rFonts w:ascii="Arial" w:cs="Arial" w:eastAsia="Arial" w:hAnsi="Arial"/>
          <w:sz w:val="16"/>
          <w:szCs w:val="16"/>
          <w:b w:val="1"/>
          <w:bCs w:val="1"/>
          <w:color w:val="FF0000"/>
          <w:strike w:val="1"/>
        </w:rPr>
        <w:t>and</w:t>
      </w:r>
      <w:r>
        <w:rPr>
          <w:rFonts w:ascii="Arial" w:cs="Arial" w:eastAsia="Arial" w:hAnsi="Arial"/>
          <w:sz w:val="16"/>
          <w:szCs w:val="16"/>
          <w:b w:val="1"/>
          <w:bCs w:val="1"/>
          <w:u w:val="single" w:color="auto"/>
          <w:color w:val="0000FF"/>
        </w:rPr>
        <w:t>,</w:t>
      </w:r>
      <w:r>
        <w:rPr>
          <w:rFonts w:ascii="Arial" w:cs="Arial" w:eastAsia="Arial" w:hAnsi="Arial"/>
          <w:sz w:val="16"/>
          <w:szCs w:val="16"/>
          <w:color w:val="auto"/>
        </w:rPr>
        <w:t xml:space="preserve"> for the account of each Term Facility Lender (other than a Defaulting Lender), with respect to such Term Facility Lender’s Term Facility Commitments of each Tranche, </w:t>
      </w:r>
      <w:r>
        <w:rPr>
          <w:rFonts w:ascii="Arial" w:cs="Arial" w:eastAsia="Arial" w:hAnsi="Arial"/>
          <w:sz w:val="16"/>
          <w:szCs w:val="16"/>
          <w:b w:val="1"/>
          <w:bCs w:val="1"/>
          <w:u w:val="single" w:color="auto"/>
          <w:color w:val="0000FF"/>
        </w:rPr>
        <w:t>and for the account of each Term Facility II Lender (other than 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Defaulting Lender), with respect to such Term Facility II Lender’s Term Facility II Commitments,</w:t>
      </w:r>
      <w:r>
        <w:rPr>
          <w:rFonts w:ascii="Arial" w:cs="Arial" w:eastAsia="Arial" w:hAnsi="Arial"/>
          <w:sz w:val="16"/>
          <w:szCs w:val="16"/>
          <w:b w:val="1"/>
          <w:bCs w:val="1"/>
          <w:color w:val="0000FF"/>
        </w:rPr>
        <w:t xml:space="preserve"> </w:t>
      </w:r>
      <w:r>
        <w:rPr>
          <w:rFonts w:ascii="Arial" w:cs="Arial" w:eastAsia="Arial" w:hAnsi="Arial"/>
          <w:sz w:val="16"/>
          <w:szCs w:val="16"/>
          <w:color w:val="000000"/>
        </w:rPr>
        <w:t>a commitment fee for the period from and including</w:t>
      </w:r>
      <w:r>
        <w:rPr>
          <w:rFonts w:ascii="Arial" w:cs="Arial" w:eastAsia="Arial" w:hAnsi="Arial"/>
          <w:sz w:val="16"/>
          <w:szCs w:val="16"/>
          <w:b w:val="1"/>
          <w:bCs w:val="1"/>
          <w:color w:val="0000FF"/>
        </w:rPr>
        <w:t xml:space="preserve"> </w:t>
      </w:r>
      <w:r>
        <w:rPr>
          <w:rFonts w:ascii="Arial" w:cs="Arial" w:eastAsia="Arial" w:hAnsi="Arial"/>
          <w:sz w:val="16"/>
          <w:szCs w:val="16"/>
          <w:color w:val="000000"/>
        </w:rPr>
        <w:t>the Closing Date (or</w:t>
      </w:r>
      <w:r>
        <w:rPr>
          <w:rFonts w:ascii="Arial" w:cs="Arial" w:eastAsia="Arial" w:hAnsi="Arial"/>
          <w:sz w:val="16"/>
          <w:szCs w:val="16"/>
          <w:b w:val="1"/>
          <w:bCs w:val="1"/>
          <w:color w:val="FF0000"/>
          <w:strike w:val="1"/>
        </w:rPr>
        <w:t>,</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(x)</w:t>
      </w:r>
      <w:r>
        <w:rPr>
          <w:rFonts w:ascii="Arial" w:cs="Arial" w:eastAsia="Arial" w:hAnsi="Arial"/>
          <w:sz w:val="16"/>
          <w:szCs w:val="16"/>
          <w:color w:val="000000"/>
        </w:rPr>
        <w:t xml:space="preserve"> following the conversion of any such Revolving Commitment into another Tranche, the applicable Extension </w:t>
      </w:r>
      <w:r>
        <w:rPr>
          <w:rFonts w:ascii="Arial" w:cs="Arial" w:eastAsia="Arial" w:hAnsi="Arial"/>
          <w:sz w:val="16"/>
          <w:szCs w:val="16"/>
          <w:b w:val="1"/>
          <w:bCs w:val="1"/>
          <w:u w:val="single" w:color="auto"/>
          <w:color w:val="0000FF"/>
        </w:rPr>
        <w:t>Date and (y) with</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respect to the Term Facility II Commitments, from and including the Fourth Amendment Effective</w:t>
      </w:r>
      <w:r>
        <w:rPr>
          <w:rFonts w:ascii="Arial" w:cs="Arial" w:eastAsia="Arial" w:hAnsi="Arial"/>
          <w:sz w:val="16"/>
          <w:szCs w:val="16"/>
          <w:b w:val="1"/>
          <w:bCs w:val="1"/>
          <w:color w:val="0000FF"/>
        </w:rPr>
        <w:t xml:space="preserve"> </w:t>
      </w:r>
      <w:r>
        <w:rPr>
          <w:rFonts w:ascii="Arial" w:cs="Arial" w:eastAsia="Arial" w:hAnsi="Arial"/>
          <w:sz w:val="16"/>
          <w:szCs w:val="16"/>
          <w:color w:val="000000"/>
        </w:rPr>
        <w:t>Date) to but not including (x) for Revolving</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Commitments the earlier of (i) the date such Revolving Commitment is terminated or expires (or is modified to constitute another Tranche) and (ii) the R/C Maturity Date applicable to such Revolving Commitment, </w:t>
      </w:r>
      <w:r>
        <w:rPr>
          <w:rFonts w:ascii="Arial" w:cs="Arial" w:eastAsia="Arial" w:hAnsi="Arial"/>
          <w:sz w:val="16"/>
          <w:szCs w:val="16"/>
          <w:b w:val="1"/>
          <w:bCs w:val="1"/>
          <w:color w:val="FF0000"/>
          <w:strike w:val="1"/>
        </w:rPr>
        <w:t>and</w:t>
      </w:r>
      <w:r>
        <w:rPr>
          <w:rFonts w:ascii="Arial" w:cs="Arial" w:eastAsia="Arial" w:hAnsi="Arial"/>
          <w:sz w:val="16"/>
          <w:szCs w:val="16"/>
          <w:color w:val="000000"/>
        </w:rPr>
        <w:t xml:space="preserve"> (y) for Term Facility Commitments the date such Term Facility </w:t>
      </w:r>
      <w:r>
        <w:rPr>
          <w:rFonts w:ascii="Arial" w:cs="Arial" w:eastAsia="Arial" w:hAnsi="Arial"/>
          <w:sz w:val="16"/>
          <w:szCs w:val="16"/>
          <w:b w:val="1"/>
          <w:bCs w:val="1"/>
          <w:u w:val="single" w:color="auto"/>
          <w:color w:val="0000FF"/>
        </w:rPr>
        <w:t>Commitment is terminated</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or expires, and (z) for Term Facility II Commitments the date such Term Facility II</w:t>
      </w:r>
      <w:r>
        <w:rPr>
          <w:rFonts w:ascii="Arial" w:cs="Arial" w:eastAsia="Arial" w:hAnsi="Arial"/>
          <w:sz w:val="16"/>
          <w:szCs w:val="16"/>
          <w:b w:val="1"/>
          <w:bCs w:val="1"/>
          <w:color w:val="0000FF"/>
        </w:rPr>
        <w:t xml:space="preserve"> </w:t>
      </w:r>
      <w:r>
        <w:rPr>
          <w:rFonts w:ascii="Arial" w:cs="Arial" w:eastAsia="Arial" w:hAnsi="Arial"/>
          <w:sz w:val="16"/>
          <w:szCs w:val="16"/>
          <w:color w:val="000000"/>
        </w:rPr>
        <w:t>Commitment is terminated or expires, in each case, computed at a</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rate </w:t>
      </w:r>
      <w:r>
        <w:rPr>
          <w:rFonts w:ascii="Arial" w:cs="Arial" w:eastAsia="Arial" w:hAnsi="Arial"/>
          <w:sz w:val="16"/>
          <w:szCs w:val="16"/>
          <w:i w:val="1"/>
          <w:iCs w:val="1"/>
          <w:color w:val="000000"/>
        </w:rPr>
        <w:t>per annum</w:t>
      </w:r>
      <w:r>
        <w:rPr>
          <w:rFonts w:ascii="Arial" w:cs="Arial" w:eastAsia="Arial" w:hAnsi="Arial"/>
          <w:sz w:val="16"/>
          <w:szCs w:val="16"/>
          <w:color w:val="000000"/>
        </w:rPr>
        <w:t xml:space="preserve"> equal to the Applicable Fee Percentage in respect of such Tranche in effect from time to time during such period on the actual daily amount of such Revolving Lender’s Unutilized R/C Commitment in respect of such Tranche </w:t>
      </w:r>
      <w:r>
        <w:rPr>
          <w:rFonts w:ascii="Arial" w:cs="Arial" w:eastAsia="Arial" w:hAnsi="Arial"/>
          <w:sz w:val="16"/>
          <w:szCs w:val="16"/>
          <w:b w:val="1"/>
          <w:bCs w:val="1"/>
          <w:color w:val="FF0000"/>
          <w:strike w:val="1"/>
        </w:rPr>
        <w:t>or</w:t>
      </w:r>
      <w:r>
        <w:rPr>
          <w:rFonts w:ascii="Arial" w:cs="Arial" w:eastAsia="Arial" w:hAnsi="Arial"/>
          <w:sz w:val="16"/>
          <w:szCs w:val="16"/>
          <w:b w:val="1"/>
          <w:bCs w:val="1"/>
          <w:u w:val="single" w:color="auto"/>
          <w:color w:val="0000FF"/>
        </w:rPr>
        <w:t>,</w:t>
      </w:r>
      <w:r>
        <w:rPr>
          <w:rFonts w:ascii="Arial" w:cs="Arial" w:eastAsia="Arial" w:hAnsi="Arial"/>
          <w:sz w:val="16"/>
          <w:szCs w:val="16"/>
          <w:color w:val="000000"/>
        </w:rPr>
        <w:t xml:space="preserve"> such Term Facility Lender’s unutilized Term Facility Commitment in respect of such Tranche </w:t>
      </w:r>
      <w:r>
        <w:rPr>
          <w:rFonts w:ascii="Arial" w:cs="Arial" w:eastAsia="Arial" w:hAnsi="Arial"/>
          <w:sz w:val="16"/>
          <w:szCs w:val="16"/>
          <w:b w:val="1"/>
          <w:bCs w:val="1"/>
          <w:u w:val="single" w:color="auto"/>
          <w:color w:val="0000FF"/>
        </w:rPr>
        <w:t>or such Term Facility II Lender’s unutilized Term Facility II Commitment</w:t>
      </w:r>
      <w:r>
        <w:rPr>
          <w:rFonts w:ascii="Arial" w:cs="Arial" w:eastAsia="Arial" w:hAnsi="Arial"/>
          <w:sz w:val="16"/>
          <w:szCs w:val="16"/>
          <w:color w:val="000000"/>
        </w:rPr>
        <w:t>, as applicable. Notwithstanding anything to the contrary in the definition of “Unutilized R/C Commitments,” for purposes of determining Unutilized R/C Commitments in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96" w:right="239" w:bottom="1440" w:gutter="0" w:footer="0" w:header="0"/>
        </w:sectPr>
      </w:pPr>
    </w:p>
    <w:bookmarkStart w:id="148" w:name="page149"/>
    <w:bookmarkEnd w:id="148"/>
    <w:p>
      <w:pPr>
        <w:jc w:val="both"/>
        <w:spacing w:after="0" w:line="272" w:lineRule="auto"/>
        <w:rPr>
          <w:sz w:val="20"/>
          <w:szCs w:val="20"/>
          <w:color w:val="auto"/>
        </w:rPr>
      </w:pPr>
      <w:r>
        <w:rPr>
          <w:rFonts w:ascii="Arial" w:cs="Arial" w:eastAsia="Arial" w:hAnsi="Arial"/>
          <w:sz w:val="17"/>
          <w:szCs w:val="17"/>
          <w:color w:val="auto"/>
        </w:rPr>
        <w:t xml:space="preserve">connection with computing commitment fees with respect to Revolving Commitments, a Revolving Commitment of a Revolving Lender shall be deemed to be used to the extent of the outstanding Revolving Loans and L/C Liability of such Revolving Lender. Any accrued commitment fee under this Section 2.05(a) in respect of any Revolving Commitment </w:t>
      </w:r>
      <w:r>
        <w:rPr>
          <w:rFonts w:ascii="Arial" w:cs="Arial" w:eastAsia="Arial" w:hAnsi="Arial"/>
          <w:sz w:val="17"/>
          <w:szCs w:val="17"/>
          <w:b w:val="1"/>
          <w:bCs w:val="1"/>
          <w:color w:val="FF0000"/>
          <w:strike w:val="1"/>
        </w:rPr>
        <w:t>or</w:t>
      </w:r>
      <w:r>
        <w:rPr>
          <w:rFonts w:ascii="Arial" w:cs="Arial" w:eastAsia="Arial" w:hAnsi="Arial"/>
          <w:sz w:val="17"/>
          <w:szCs w:val="17"/>
          <w:b w:val="1"/>
          <w:bCs w:val="1"/>
          <w:u w:val="single" w:color="auto"/>
          <w:color w:val="0000FF"/>
        </w:rPr>
        <w:t>,</w:t>
      </w:r>
      <w:r>
        <w:rPr>
          <w:rFonts w:ascii="Arial" w:cs="Arial" w:eastAsia="Arial" w:hAnsi="Arial"/>
          <w:sz w:val="17"/>
          <w:szCs w:val="17"/>
          <w:color w:val="auto"/>
        </w:rPr>
        <w:t xml:space="preserve"> Term Facility Commitment </w:t>
      </w:r>
      <w:r>
        <w:rPr>
          <w:rFonts w:ascii="Arial" w:cs="Arial" w:eastAsia="Arial" w:hAnsi="Arial"/>
          <w:sz w:val="17"/>
          <w:szCs w:val="17"/>
          <w:b w:val="1"/>
          <w:bCs w:val="1"/>
          <w:u w:val="single" w:color="auto"/>
          <w:color w:val="0000FF"/>
        </w:rPr>
        <w:t>or Term Facility II Commitment</w:t>
      </w:r>
      <w:r>
        <w:rPr>
          <w:rFonts w:ascii="Arial" w:cs="Arial" w:eastAsia="Arial" w:hAnsi="Arial"/>
          <w:sz w:val="17"/>
          <w:szCs w:val="17"/>
          <w:color w:val="auto"/>
        </w:rPr>
        <w:t xml:space="preserve"> shall be payable in arrears on each Quarterly Date and on the earlier of (i) the date the applicable Revolving Commitment is modified to constitute another Tranche or such Term Facility Commitment is terminated or expires </w:t>
      </w:r>
      <w:r>
        <w:rPr>
          <w:rFonts w:ascii="Arial" w:cs="Arial" w:eastAsia="Arial" w:hAnsi="Arial"/>
          <w:sz w:val="17"/>
          <w:szCs w:val="17"/>
          <w:b w:val="1"/>
          <w:bCs w:val="1"/>
          <w:u w:val="single" w:color="auto"/>
          <w:color w:val="0000FF"/>
        </w:rPr>
        <w:t>or such Term Facility II Commitment is terminated or expires</w:t>
      </w:r>
      <w:r>
        <w:rPr>
          <w:rFonts w:ascii="Arial" w:cs="Arial" w:eastAsia="Arial" w:hAnsi="Arial"/>
          <w:sz w:val="17"/>
          <w:szCs w:val="17"/>
          <w:color w:val="auto"/>
        </w:rPr>
        <w:t xml:space="preserve">, as applicable, and (ii) for any Revolving Commitment, the R/C Maturity Date applicable to such Revolving Commitment </w:t>
      </w:r>
      <w:r>
        <w:rPr>
          <w:rFonts w:ascii="Arial" w:cs="Arial" w:eastAsia="Arial" w:hAnsi="Arial"/>
          <w:sz w:val="17"/>
          <w:szCs w:val="17"/>
          <w:b w:val="1"/>
          <w:bCs w:val="1"/>
          <w:color w:val="FF0000"/>
          <w:strike w:val="1"/>
        </w:rPr>
        <w:t>and</w:t>
      </w:r>
      <w:r>
        <w:rPr>
          <w:rFonts w:ascii="Arial" w:cs="Arial" w:eastAsia="Arial" w:hAnsi="Arial"/>
          <w:sz w:val="17"/>
          <w:szCs w:val="17"/>
          <w:color w:val="auto"/>
        </w:rPr>
        <w:t>, for any Term Facility Commitment, the termination of the applicable Term Facility Availability Period</w:t>
      </w:r>
      <w:r>
        <w:rPr>
          <w:rFonts w:ascii="Arial" w:cs="Arial" w:eastAsia="Arial" w:hAnsi="Arial"/>
          <w:sz w:val="17"/>
          <w:szCs w:val="17"/>
          <w:b w:val="1"/>
          <w:bCs w:val="1"/>
          <w:u w:val="single" w:color="auto"/>
          <w:color w:val="0000FF"/>
        </w:rPr>
        <w:t>, and for any Term Facility II Commitment, the termination of the Term Facility II Availability Period</w:t>
      </w:r>
      <w:r>
        <w:rPr>
          <w:rFonts w:ascii="Arial" w:cs="Arial" w:eastAsia="Arial" w:hAnsi="Arial"/>
          <w:sz w:val="17"/>
          <w:szCs w:val="17"/>
          <w:color w:val="auto"/>
        </w:rPr>
        <w:t>.</w:t>
      </w:r>
    </w:p>
    <w:p>
      <w:pPr>
        <w:spacing w:after="0" w:line="178" w:lineRule="exact"/>
        <w:rPr>
          <w:sz w:val="20"/>
          <w:szCs w:val="20"/>
          <w:color w:val="auto"/>
        </w:rPr>
      </w:pPr>
    </w:p>
    <w:p>
      <w:pPr>
        <w:ind w:left="1040" w:hanging="384"/>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Borrower shall pay to Administrative Agent for its own account the administrative fee separately agreed to in the Fee Letter.</w:t>
      </w:r>
    </w:p>
    <w:p>
      <w:pPr>
        <w:spacing w:after="0" w:line="225" w:lineRule="exact"/>
        <w:rPr>
          <w:rFonts w:ascii="Arial" w:cs="Arial" w:eastAsia="Arial" w:hAnsi="Arial"/>
          <w:sz w:val="18"/>
          <w:szCs w:val="18"/>
          <w:color w:val="auto"/>
        </w:rPr>
      </w:pPr>
    </w:p>
    <w:p>
      <w:pPr>
        <w:ind w:right="20" w:firstLine="656"/>
        <w:spacing w:after="0" w:line="277" w:lineRule="auto"/>
        <w:tabs>
          <w:tab w:leader="none" w:pos="1097" w:val="left"/>
        </w:tabs>
        <w:numPr>
          <w:ilvl w:val="0"/>
          <w:numId w:val="79"/>
        </w:numPr>
        <w:rPr>
          <w:rFonts w:ascii="Arial" w:cs="Arial" w:eastAsia="Arial" w:hAnsi="Arial"/>
          <w:sz w:val="18"/>
          <w:szCs w:val="18"/>
          <w:color w:val="auto"/>
        </w:rPr>
      </w:pPr>
      <w:r>
        <w:rPr>
          <w:rFonts w:ascii="Arial" w:cs="Arial" w:eastAsia="Arial" w:hAnsi="Arial"/>
          <w:sz w:val="18"/>
          <w:szCs w:val="18"/>
          <w:color w:val="auto"/>
        </w:rPr>
        <w:t>Borrower shall pay to Auction Manager for its own account, in connection with any Borrower Loan Purchase, such fees as may be agreed between Borrower and Auction Manager.</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2.06. Lending Offices</w:t>
      </w:r>
      <w:r>
        <w:rPr>
          <w:rFonts w:ascii="Arial" w:cs="Arial" w:eastAsia="Arial" w:hAnsi="Arial"/>
          <w:sz w:val="17"/>
          <w:szCs w:val="17"/>
          <w:color w:val="auto"/>
        </w:rPr>
        <w:t>. The Loans of each Type made by each Lender shall be made and maintained at such Lender’s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Lending Office for Loans of such Type. Each Lender may, at its option but subject to Section 5.06 as if such branch or Affiliate was deemed a “Lender” thereunder for purposes of documentation delivered to the Administrative Agent and payments required to be made to Borrower thereunder, make any Loan by causing any domestic or foreign branch or Affiliate of such Lender to make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exercise of such option shall not affect in any manner the obligation of Borrower to repay such Loan in accordance with the terms of this Agreement.</w:t>
      </w:r>
    </w:p>
    <w:p>
      <w:pPr>
        <w:spacing w:after="0" w:line="38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2.07. Several Obligations of Lenders</w:t>
      </w:r>
      <w:r>
        <w:rPr>
          <w:rFonts w:ascii="Arial" w:cs="Arial" w:eastAsia="Arial" w:hAnsi="Arial"/>
          <w:sz w:val="18"/>
          <w:szCs w:val="18"/>
          <w:color w:val="auto"/>
        </w:rPr>
        <w:t>. The failure of any Lender to make any Loan to be made by it on the date specified therefor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relieve any other Lender of its obligation to make its Loan on such date, but neither any Lender nor Administrative Agent shall be responsible for the failure of any other Lender to make a Loan to be made by such other Lender, and no Lender shall have any obligation to Administrative Agent or any other Lender for the failure by such Lender to make any Loan required to be made by such Lender. No Revolving Lender will be responsible for failure of any other Lender to fund its participation in Letters of Credit.</w:t>
      </w:r>
    </w:p>
    <w:p>
      <w:pPr>
        <w:spacing w:after="0" w:line="18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2.08.</w:t>
      </w:r>
      <w:r>
        <w:rPr>
          <w:sz w:val="20"/>
          <w:szCs w:val="20"/>
          <w:color w:val="auto"/>
        </w:rPr>
        <w:tab/>
      </w:r>
      <w:r>
        <w:rPr>
          <w:rFonts w:ascii="Arial" w:cs="Arial" w:eastAsia="Arial" w:hAnsi="Arial"/>
          <w:sz w:val="15"/>
          <w:szCs w:val="15"/>
          <w:b w:val="1"/>
          <w:bCs w:val="1"/>
          <w:color w:val="auto"/>
        </w:rPr>
        <w:t>Notes; Register</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20" w:lineRule="exact"/>
        <w:tabs>
          <w:tab w:leader="none" w:pos="10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At the request of any Lender, its Loans of a particular Class shall be evidenced by a promissory note, payable to such Lender or its registered assigns and otherwise duly completed, substantially in the form of </w:t>
      </w:r>
      <w:r>
        <w:rPr>
          <w:rFonts w:ascii="Arial" w:cs="Arial" w:eastAsia="Arial" w:hAnsi="Arial"/>
          <w:sz w:val="18"/>
          <w:szCs w:val="18"/>
          <w:u w:val="single" w:color="auto"/>
          <w:color w:val="auto"/>
        </w:rPr>
        <w:t>Exhibits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and</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and A-3</w:t>
      </w:r>
      <w:r>
        <w:rPr>
          <w:rFonts w:ascii="Arial" w:cs="Arial" w:eastAsia="Arial" w:hAnsi="Arial"/>
          <w:sz w:val="18"/>
          <w:szCs w:val="18"/>
          <w:color w:val="auto"/>
        </w:rPr>
        <w:t xml:space="preserve"> of such Lender’s Revolving Loans</w:t>
      </w:r>
      <w:r>
        <w:rPr>
          <w:rFonts w:ascii="Arial" w:cs="Arial" w:eastAsia="Arial" w:hAnsi="Arial"/>
          <w:sz w:val="18"/>
          <w:szCs w:val="18"/>
          <w:b w:val="1"/>
          <w:bCs w:val="1"/>
          <w:u w:val="single" w:color="auto"/>
          <w:color w:val="0000FF"/>
        </w:rPr>
        <w:t>, Term Facility Loans</w:t>
      </w:r>
      <w:r>
        <w:rPr>
          <w:rFonts w:ascii="Arial" w:cs="Arial" w:eastAsia="Arial" w:hAnsi="Arial"/>
          <w:sz w:val="18"/>
          <w:szCs w:val="18"/>
          <w:color w:val="auto"/>
        </w:rPr>
        <w:t xml:space="preserve"> and Term Facility </w:t>
      </w:r>
      <w:r>
        <w:rPr>
          <w:rFonts w:ascii="Arial" w:cs="Arial" w:eastAsia="Arial" w:hAnsi="Arial"/>
          <w:sz w:val="18"/>
          <w:szCs w:val="18"/>
          <w:b w:val="1"/>
          <w:bCs w:val="1"/>
          <w:u w:val="single" w:color="auto"/>
          <w:color w:val="0000FF"/>
        </w:rPr>
        <w:t>II</w:t>
      </w:r>
      <w:r>
        <w:rPr>
          <w:rFonts w:ascii="Arial" w:cs="Arial" w:eastAsia="Arial" w:hAnsi="Arial"/>
          <w:sz w:val="18"/>
          <w:szCs w:val="18"/>
          <w:color w:val="auto"/>
        </w:rPr>
        <w:t xml:space="preserve"> Loans, respectively;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promissory notes issued in respect of Other Term Loans, Extended Term Loans or Extended Revolving Loans shall be in such form as mutually agreed by Borrower and Administrative Agent.</w:t>
      </w:r>
    </w:p>
    <w:p>
      <w:pPr>
        <w:spacing w:after="0" w:line="204" w:lineRule="exact"/>
        <w:rPr>
          <w:rFonts w:ascii="Arial" w:cs="Arial" w:eastAsia="Arial" w:hAnsi="Arial"/>
          <w:sz w:val="18"/>
          <w:szCs w:val="18"/>
          <w:color w:val="auto"/>
        </w:rPr>
      </w:pPr>
    </w:p>
    <w:p>
      <w:pPr>
        <w:jc w:val="both"/>
        <w:ind w:firstLine="656"/>
        <w:spacing w:after="0" w:line="297" w:lineRule="auto"/>
        <w:tabs>
          <w:tab w:leader="none" w:pos="1093"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The date, amount, Type, interest rate and duration of the Interest Period (if applicable) of each Loan of each Class made by each Lender to Borrower and each payment made on account of the principal thereof, shall be recorded by such Lender or its registered assigns on its books and, prior to any transfer of any Note evidencing the Loans of such Class held by it, endorsed by such Lender (or its nominee) on the schedule attached to such Note or any continuation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such Lender (or its nominee) to make any such recordation or endorsement or any error in such recordation or endorsement shall not affect the obligations of Borrower to make a payment when due of any amount owing hereunder or under such Note.</w:t>
      </w:r>
    </w:p>
    <w:p>
      <w:pPr>
        <w:spacing w:after="0" w:line="158" w:lineRule="exact"/>
        <w:rPr>
          <w:rFonts w:ascii="Arial" w:cs="Arial" w:eastAsia="Arial" w:hAnsi="Arial"/>
          <w:sz w:val="16"/>
          <w:szCs w:val="16"/>
          <w:color w:val="auto"/>
        </w:rPr>
      </w:pPr>
    </w:p>
    <w:p>
      <w:pPr>
        <w:jc w:val="both"/>
        <w:ind w:firstLine="656"/>
        <w:spacing w:after="0" w:line="279" w:lineRule="auto"/>
        <w:tabs>
          <w:tab w:leader="none" w:pos="1093" w:val="left"/>
        </w:tabs>
        <w:numPr>
          <w:ilvl w:val="0"/>
          <w:numId w:val="80"/>
        </w:numPr>
        <w:rPr>
          <w:rFonts w:ascii="Arial" w:cs="Arial" w:eastAsia="Arial" w:hAnsi="Arial"/>
          <w:sz w:val="17"/>
          <w:szCs w:val="17"/>
          <w:color w:val="auto"/>
        </w:rPr>
      </w:pPr>
      <w:r>
        <w:rPr>
          <w:rFonts w:ascii="Arial" w:cs="Arial" w:eastAsia="Arial" w:hAnsi="Arial"/>
          <w:sz w:val="17"/>
          <w:szCs w:val="17"/>
          <w:color w:val="auto"/>
        </w:rPr>
        <w:t>Borrower hereby designates Administrative Agent to serve as its nonfiduciary agent, solely for purposes of this Section 2.08, to maintain a register (the “</w:t>
      </w:r>
      <w:r>
        <w:rPr>
          <w:rFonts w:ascii="Arial" w:cs="Arial" w:eastAsia="Arial" w:hAnsi="Arial"/>
          <w:sz w:val="17"/>
          <w:szCs w:val="17"/>
          <w:b w:val="1"/>
          <w:bCs w:val="1"/>
          <w:color w:val="auto"/>
        </w:rPr>
        <w:t>Register</w:t>
      </w:r>
      <w:r>
        <w:rPr>
          <w:rFonts w:ascii="Arial" w:cs="Arial" w:eastAsia="Arial" w:hAnsi="Arial"/>
          <w:sz w:val="17"/>
          <w:szCs w:val="17"/>
          <w:color w:val="auto"/>
        </w:rPr>
        <w:t>”) on which it will record the name and address of each Lender, the Commitment from time to time of each of the Lenders, the principal and interest amounts of the Loans made by each of the Lenders and each repayment in respect of the principal amount of the Loans of each Lender. Failure to make any such recordation or any error in such recordation shall not affect Borrower’s obligations in respect of such</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801" w:right="239" w:bottom="1440" w:gutter="0" w:footer="0" w:header="0"/>
        </w:sectPr>
      </w:pPr>
    </w:p>
    <w:bookmarkStart w:id="149" w:name="page150"/>
    <w:bookmarkEnd w:id="149"/>
    <w:p>
      <w:pPr>
        <w:jc w:val="both"/>
        <w:spacing w:after="0" w:line="276" w:lineRule="auto"/>
        <w:rPr>
          <w:sz w:val="20"/>
          <w:szCs w:val="20"/>
          <w:color w:val="auto"/>
        </w:rPr>
      </w:pPr>
      <w:r>
        <w:rPr>
          <w:rFonts w:ascii="Arial" w:cs="Arial" w:eastAsia="Arial" w:hAnsi="Arial"/>
          <w:sz w:val="17"/>
          <w:szCs w:val="17"/>
          <w:color w:val="auto"/>
        </w:rPr>
        <w:t xml:space="preserve">Loans. The entries in the Register shall be conclusive of the information noted therein (absent manifest error), and the parties hereto shall treat each Person whose name is recorded in the Register as the owner of a Loan or other obligation hereunder as the owner thereof for all purposes of the Credit Documents, notwithstanding any notice to the contrary. The Register shall be available for inspection by Borrower or any Lender at any reasonable time and from time to time upon reasonable prior notice. No assignment shall be effective unless recorded in the Register;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Administrative Agent agrees to record in the Register any assignment entered into pursuant to the term hereof promptly after the effectiveness of such assignment.</w:t>
      </w:r>
    </w:p>
    <w:p>
      <w:pPr>
        <w:spacing w:after="0" w:line="16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2.09.</w:t>
      </w:r>
      <w:r>
        <w:rPr>
          <w:sz w:val="20"/>
          <w:szCs w:val="20"/>
          <w:color w:val="auto"/>
        </w:rPr>
        <w:tab/>
      </w:r>
      <w:r>
        <w:rPr>
          <w:rFonts w:ascii="Arial" w:cs="Arial" w:eastAsia="Arial" w:hAnsi="Arial"/>
          <w:sz w:val="16"/>
          <w:szCs w:val="16"/>
          <w:b w:val="1"/>
          <w:bCs w:val="1"/>
          <w:color w:val="auto"/>
        </w:rPr>
        <w:t>Optional Prepayments and Conversions or Continuations of Loans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9" w:lineRule="auto"/>
        <w:tabs>
          <w:tab w:leader="none" w:pos="1088"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Subject to Section 4.04, Borrower shall have the right to prepay Loans (without premium or penalty), or to convert Loans of one Type into Loans of another Type or to continue Loans of one Type as Loans of the same Type, at any time or from time to time. Borrower shall give Administrative Agent notice of each such prepayment, conversion or continuation as provided in Section 4.05 (and, upon the date specified in any such notice of prepayment, the amount to be prepaid shall become due and payable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may make any such notice conditional upon the occurrence of a Person’s acquisition or sale or any incurrence of indebtedness or issuance of Equity Interests). Each Notice of Continuation/Conversion shall be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If LIBOR Loans are prepaid or converted other than on the last day of an Interest Period therefor, Borrower shall at such time pay all expenses and costs required by Section 5.05. Notwithstanding the foregoing, and without limiting the rights and remedies of the Lenders under Article XI, in the event that any Event of Default shall have occurred and be continuing, Administrative Agent may (and, at the request of the Required Lenders, shall), upon written notice to Borrower, have the right to suspend the right of Borrower to convert any Loan into a LIBOR Loan, or to continue any Loan as a LIBOR Loan, in which event all Loans shall be converted (on the last day(s) of the respective Interest Periods therefor) or continued, as the case may be, as ABR Loans.</w:t>
      </w:r>
    </w:p>
    <w:p>
      <w:pPr>
        <w:spacing w:after="0" w:line="178" w:lineRule="exact"/>
        <w:rPr>
          <w:rFonts w:ascii="Arial" w:cs="Arial" w:eastAsia="Arial" w:hAnsi="Arial"/>
          <w:sz w:val="17"/>
          <w:szCs w:val="17"/>
          <w:color w:val="auto"/>
        </w:rPr>
      </w:pPr>
    </w:p>
    <w:p>
      <w:pPr>
        <w:ind w:left="1040" w:hanging="384"/>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Application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645"/>
        <w:spacing w:after="0" w:line="277" w:lineRule="auto"/>
        <w:tabs>
          <w:tab w:leader="none" w:pos="177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amount of any optional prepayments described in Section 2.09(a) shall be applied to prepay Loans outstanding in order of amortization, in amounts and to Tranches, all as determined by Borrower.</w:t>
      </w:r>
    </w:p>
    <w:p>
      <w:pPr>
        <w:spacing w:after="0" w:line="170" w:lineRule="exact"/>
        <w:rPr>
          <w:rFonts w:ascii="Arial" w:cs="Arial" w:eastAsia="Arial" w:hAnsi="Arial"/>
          <w:sz w:val="18"/>
          <w:szCs w:val="18"/>
          <w:color w:val="auto"/>
        </w:rPr>
      </w:pPr>
    </w:p>
    <w:p>
      <w:pPr>
        <w:jc w:val="both"/>
        <w:ind w:left="660" w:firstLine="645"/>
        <w:spacing w:after="0" w:line="283" w:lineRule="auto"/>
        <w:tabs>
          <w:tab w:leader="none" w:pos="1824"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In addition to the foregoing, following the earlier of the Wynn Las Vegas Reorganization and the Wynn Massachusetts Project Opening Date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prior to the Initial Test Date, the Consolidated Senior Secured Net Leverage Ratio is less than 2.50 to 1.00 on a Pro Forma Basis (calculated assuming all amounts offered pursuant to this clause (b)(ii) were accepted as prepayment for the Loans and applied thereto) as of the most recent Calculation Date and (II) from and after the Initial Test Date, Borrower shall be in compliance on a Pro Forma Basis with the Financial Maintenance Covenant (whether or not then in effect) (calculated assuming all amounts offered pursuant to this clause (b)(ii) were accepted as prepayment for the Loans and applied thereto) as of the most recent Calculation Date, Borrower shall have the right to elect to offer to prepay at par the Loans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 Term Facility Loans, the </w:t>
      </w:r>
      <w:r>
        <w:rPr>
          <w:rFonts w:ascii="Arial" w:cs="Arial" w:eastAsia="Arial" w:hAnsi="Arial"/>
          <w:sz w:val="16"/>
          <w:szCs w:val="16"/>
          <w:b w:val="1"/>
          <w:bCs w:val="1"/>
          <w:u w:val="single" w:color="auto"/>
          <w:color w:val="0000FF"/>
        </w:rPr>
        <w:t>Term Facility II Loans, the</w:t>
      </w:r>
      <w:r>
        <w:rPr>
          <w:rFonts w:ascii="Arial" w:cs="Arial" w:eastAsia="Arial" w:hAnsi="Arial"/>
          <w:sz w:val="16"/>
          <w:szCs w:val="16"/>
          <w:color w:val="auto"/>
        </w:rPr>
        <w:t xml:space="preserve"> Extended Term Loans and the Other Term Loans then outstanding and apply any amounts rejected for such prepayment to repurchase, prepay, redeem, retire, acquire, defease or cancel Indebtedness or make Restricted Payments notwithstanding any then applicable limitations set forth in Section 10.09 or 10.06, respectively. If Borrower makes such an election, it shall provide notice thereof to Administrative Agent, who shall promptly, and in any event within one Business Day of receipt, provide such notice to the holders of the Term Loans. Any such notice shall specify the aggregate amount offered to prepay the Term Loans. Each holder of a Term Facility Loan, </w:t>
      </w:r>
      <w:r>
        <w:rPr>
          <w:rFonts w:ascii="Arial" w:cs="Arial" w:eastAsia="Arial" w:hAnsi="Arial"/>
          <w:sz w:val="16"/>
          <w:szCs w:val="16"/>
          <w:b w:val="1"/>
          <w:bCs w:val="1"/>
          <w:color w:val="FF0000"/>
          <w:strike w:val="1"/>
        </w:rPr>
        <w:t>an</w:t>
      </w:r>
      <w:r>
        <w:rPr>
          <w:rFonts w:ascii="Arial" w:cs="Arial" w:eastAsia="Arial" w:hAnsi="Arial"/>
          <w:sz w:val="16"/>
          <w:szCs w:val="16"/>
          <w:b w:val="1"/>
          <w:bCs w:val="1"/>
          <w:u w:val="single" w:color="auto"/>
          <w:color w:val="0000FF"/>
        </w:rPr>
        <w:t>a Term Facility II Loan, an</w:t>
      </w:r>
      <w:r>
        <w:rPr>
          <w:rFonts w:ascii="Arial" w:cs="Arial" w:eastAsia="Arial" w:hAnsi="Arial"/>
          <w:sz w:val="16"/>
          <w:szCs w:val="16"/>
          <w:color w:val="auto"/>
        </w:rPr>
        <w:t xml:space="preserve"> Other Term Loan or an Extended Term Loan may elect, in its sole discretion, to reject such prepayment offer with respect to an amount equal to or less than (w) with respect to holders of Term Facility Loans, an amount equal to the aggregate amount so offered to prepay Term Facility Loans times a fraction, the numerator of which is the principal amount of Term Facility Loans owed to such holder and the denominator of which is the principal amount of Term Facility Loans outstanding, (x) with respect to holders of </w:t>
      </w:r>
      <w:r>
        <w:rPr>
          <w:rFonts w:ascii="Arial" w:cs="Arial" w:eastAsia="Arial" w:hAnsi="Arial"/>
          <w:sz w:val="16"/>
          <w:szCs w:val="16"/>
          <w:b w:val="1"/>
          <w:bCs w:val="1"/>
          <w:u w:val="single" w:color="auto"/>
          <w:color w:val="0000FF"/>
        </w:rPr>
        <w:t>Term</w:t>
      </w:r>
    </w:p>
    <w:p>
      <w:pPr>
        <w:spacing w:after="0" w:line="1"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8"/>
          <w:szCs w:val="18"/>
          <w:b w:val="1"/>
          <w:bCs w:val="1"/>
          <w:u w:val="single" w:color="auto"/>
          <w:color w:val="0000FF"/>
        </w:rPr>
        <w:t>Facility II Loans, an amount equal to the aggregate amount so offered to prepay Term Facility II Loans times a fraction, the numerator of which is the principal amount of Term Facility II Loans owed to such holder and the denominator of which is the principal amount of Term Facility II Loans outstanding, (y) with respect to holders of</w:t>
      </w:r>
      <w:r>
        <w:rPr>
          <w:rFonts w:ascii="Arial" w:cs="Arial" w:eastAsia="Arial" w:hAnsi="Arial"/>
          <w:sz w:val="18"/>
          <w:szCs w:val="18"/>
          <w:b w:val="1"/>
          <w:bCs w:val="1"/>
          <w:color w:val="0000FF"/>
        </w:rPr>
        <w:t xml:space="preserve"> </w:t>
      </w:r>
      <w:r>
        <w:rPr>
          <w:rFonts w:ascii="Arial" w:cs="Arial" w:eastAsia="Arial" w:hAnsi="Arial"/>
          <w:sz w:val="18"/>
          <w:szCs w:val="18"/>
          <w:color w:val="000000"/>
        </w:rPr>
        <w:t>Other Term Loans, an amount equal to the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800" w:right="239" w:bottom="1440" w:gutter="0" w:footer="0" w:header="0"/>
        </w:sectPr>
      </w:pPr>
    </w:p>
    <w:bookmarkStart w:id="150" w:name="page151"/>
    <w:bookmarkEnd w:id="150"/>
    <w:p>
      <w:pPr>
        <w:jc w:val="both"/>
        <w:ind w:left="660"/>
        <w:spacing w:after="0" w:line="270" w:lineRule="auto"/>
        <w:rPr>
          <w:sz w:val="20"/>
          <w:szCs w:val="20"/>
          <w:color w:val="auto"/>
        </w:rPr>
      </w:pPr>
      <w:r>
        <w:rPr>
          <w:rFonts w:ascii="Arial" w:cs="Arial" w:eastAsia="Arial" w:hAnsi="Arial"/>
          <w:sz w:val="17"/>
          <w:szCs w:val="17"/>
          <w:color w:val="auto"/>
        </w:rPr>
        <w:t>aggregate amount so offered to prepay Other Term Loans times a fraction, the numerator of which is the principal amount of Other Term Loans owed to such holder and the denominator of which is the principal amount of Other Term Loans outstanding and (</w:t>
      </w:r>
      <w:r>
        <w:rPr>
          <w:rFonts w:ascii="Arial" w:cs="Arial" w:eastAsia="Arial" w:hAnsi="Arial"/>
          <w:sz w:val="17"/>
          <w:szCs w:val="17"/>
          <w:b w:val="1"/>
          <w:bCs w:val="1"/>
          <w:color w:val="FF0000"/>
          <w:strike w:val="1"/>
        </w:rPr>
        <w:t>y</w:t>
      </w:r>
      <w:r>
        <w:rPr>
          <w:rFonts w:ascii="Arial" w:cs="Arial" w:eastAsia="Arial" w:hAnsi="Arial"/>
          <w:sz w:val="17"/>
          <w:szCs w:val="17"/>
          <w:b w:val="1"/>
          <w:bCs w:val="1"/>
          <w:u w:val="single" w:color="auto"/>
          <w:color w:val="0000FF"/>
        </w:rPr>
        <w:t>z</w:t>
      </w:r>
      <w:r>
        <w:rPr>
          <w:rFonts w:ascii="Arial" w:cs="Arial" w:eastAsia="Arial" w:hAnsi="Arial"/>
          <w:sz w:val="17"/>
          <w:szCs w:val="17"/>
          <w:color w:val="auto"/>
        </w:rPr>
        <w:t>) with respect to holders of Extended Term Loans, an amount equal to the aggregate amount so offered to prepay Extended Term Loans times a fraction, the numerator of which is the principal amount of Extended Term Loans owed to such holder and the denominator of which is the principal amount of Extended Term Loans outstanding. Any rejection of such offer must be evidenced by written notice delivered to Administrative Agent within five Business Days of receipt of the offer for prepayment, specifying an amount of such prepayment offer rejected by such holder, if any. Failure to give such notice will constitute an election to accept such offer. Any portion of such prepayment offer so accepted will be used to prepay the Term Loans held by the applicable holders within ten Business Days of the date of receipt of the offer to prepay. Any portion of such prepayment rejected may be used by Borrower and its Restricted Subsidiaries to repurchase, prepay, redeem, retire, acquire, defease or cancel Indebtedness or make Restricted Payments notwithstanding any then applicable limitations set forth in Section 10.09 or 10.06, respectively.</w:t>
      </w:r>
    </w:p>
    <w:p>
      <w:pPr>
        <w:spacing w:after="0" w:line="17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6"/>
          <w:szCs w:val="16"/>
          <w:b w:val="1"/>
          <w:bCs w:val="1"/>
          <w:color w:val="auto"/>
        </w:rPr>
        <w:t>Mandatory Prepayments</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77" w:lineRule="auto"/>
        <w:tabs>
          <w:tab w:leader="none" w:pos="1051" w:val="left"/>
        </w:tabs>
        <w:numPr>
          <w:ilvl w:val="0"/>
          <w:numId w:val="82"/>
        </w:numPr>
        <w:rPr>
          <w:rFonts w:ascii="Arial" w:cs="Arial" w:eastAsia="Arial" w:hAnsi="Arial"/>
          <w:sz w:val="18"/>
          <w:szCs w:val="18"/>
          <w:color w:val="auto"/>
        </w:rPr>
      </w:pPr>
      <w:r>
        <w:rPr>
          <w:rFonts w:ascii="Arial" w:cs="Arial" w:eastAsia="Arial" w:hAnsi="Arial"/>
          <w:sz w:val="18"/>
          <w:szCs w:val="18"/>
          <w:color w:val="auto"/>
        </w:rPr>
        <w:t>Borrower shall prepay the Loans as follows (each such prepayment to be effected in each case in the manner, order and to the extent specified in Section 2.10(b) below):</w:t>
      </w:r>
    </w:p>
    <w:p>
      <w:pPr>
        <w:spacing w:after="0" w:line="166" w:lineRule="exact"/>
        <w:rPr>
          <w:rFonts w:ascii="Arial" w:cs="Arial" w:eastAsia="Arial" w:hAnsi="Arial"/>
          <w:sz w:val="18"/>
          <w:szCs w:val="18"/>
          <w:color w:val="auto"/>
        </w:rPr>
      </w:pPr>
    </w:p>
    <w:p>
      <w:pPr>
        <w:jc w:val="both"/>
        <w:ind w:left="660" w:firstLine="645"/>
        <w:spacing w:after="0" w:line="261" w:lineRule="auto"/>
        <w:tabs>
          <w:tab w:leader="none" w:pos="1726" w:val="left"/>
        </w:tabs>
        <w:numPr>
          <w:ilvl w:val="1"/>
          <w:numId w:val="82"/>
        </w:numPr>
        <w:rPr>
          <w:rFonts w:ascii="Arial" w:cs="Arial" w:eastAsia="Arial" w:hAnsi="Arial"/>
          <w:sz w:val="18"/>
          <w:szCs w:val="18"/>
          <w:color w:val="auto"/>
        </w:rPr>
      </w:pPr>
      <w:r>
        <w:rPr>
          <w:rFonts w:ascii="Arial" w:cs="Arial" w:eastAsia="Arial" w:hAnsi="Arial"/>
          <w:sz w:val="18"/>
          <w:szCs w:val="18"/>
          <w:b w:val="1"/>
          <w:bCs w:val="1"/>
          <w:color w:val="auto"/>
        </w:rPr>
        <w:t>Casualty Events</w:t>
      </w:r>
      <w:r>
        <w:rPr>
          <w:rFonts w:ascii="Arial" w:cs="Arial" w:eastAsia="Arial" w:hAnsi="Arial"/>
          <w:sz w:val="18"/>
          <w:szCs w:val="18"/>
          <w:color w:val="auto"/>
        </w:rPr>
        <w:t>. Within five (5) Business Days after Borrower or any Restricted Subsidiary receives any Net Available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any Casualty Event or any disposition pursuant to Section 10.05(l) (or notice of collection by Administrative Agent of the same), in an aggregate principal amount equal to 100% of such Net Available Proceeds (it being understood that applications pursuant to this Section 2.10(a)(i) shall not be duplicative of Section 2.10(a)(iii)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84" w:lineRule="exact"/>
        <w:rPr>
          <w:rFonts w:ascii="Arial" w:cs="Arial" w:eastAsia="Arial" w:hAnsi="Arial"/>
          <w:sz w:val="18"/>
          <w:szCs w:val="18"/>
          <w:color w:val="auto"/>
        </w:rPr>
      </w:pPr>
    </w:p>
    <w:p>
      <w:pPr>
        <w:jc w:val="both"/>
        <w:ind w:left="1300" w:firstLine="653"/>
        <w:spacing w:after="0" w:line="284" w:lineRule="auto"/>
        <w:tabs>
          <w:tab w:leader="none" w:pos="2359" w:val="left"/>
        </w:tabs>
        <w:numPr>
          <w:ilvl w:val="2"/>
          <w:numId w:val="82"/>
        </w:numPr>
        <w:rPr>
          <w:rFonts w:ascii="Arial" w:cs="Arial" w:eastAsia="Arial" w:hAnsi="Arial"/>
          <w:sz w:val="16"/>
          <w:szCs w:val="16"/>
          <w:color w:val="auto"/>
        </w:rPr>
      </w:pPr>
      <w:r>
        <w:rPr>
          <w:rFonts w:ascii="Arial" w:cs="Arial" w:eastAsia="Arial" w:hAnsi="Arial"/>
          <w:sz w:val="16"/>
          <w:szCs w:val="16"/>
          <w:color w:val="auto"/>
        </w:rPr>
        <w:t>if no Event of Default then exists or would arise therefrom, the Net Available Proceeds thereof shall not be required to be so applied on such date to the extent that Borrower delivers an Officer’s Certificate to Administrative Agent stating that an amount equal to such proceeds is intended to be used to fund the acquisition of Property used or usable in the business of any Credit Party or repair, replace or restore the Property or other Property used or usable in the business of any Credit Party (in accordance with the provisions of the applicable Security Document in respect of which such Casualty Event has occurred, to the extent applicable), in each case within (A) twelve (12) months following receipt of such Net Available Proceeds or (B) if Borrower or the relevant Restricted Subsidiary enters into a legally binding commitment to reinvest such Net Available Proceeds within twelve (12) months following receipt thereof, within the later of</w:t>
      </w:r>
    </w:p>
    <w:p>
      <w:pPr>
        <w:spacing w:after="0" w:line="2" w:lineRule="exact"/>
        <w:rPr>
          <w:rFonts w:ascii="Arial" w:cs="Arial" w:eastAsia="Arial" w:hAnsi="Arial"/>
          <w:sz w:val="16"/>
          <w:szCs w:val="16"/>
          <w:color w:val="auto"/>
        </w:rPr>
      </w:pPr>
    </w:p>
    <w:p>
      <w:pPr>
        <w:ind w:left="1300"/>
        <w:spacing w:after="0" w:line="261" w:lineRule="auto"/>
        <w:rPr>
          <w:rFonts w:ascii="Arial" w:cs="Arial" w:eastAsia="Arial" w:hAnsi="Arial"/>
          <w:sz w:val="16"/>
          <w:szCs w:val="16"/>
          <w:color w:val="auto"/>
        </w:rPr>
      </w:pPr>
      <w:r>
        <w:rPr>
          <w:rFonts w:ascii="Arial" w:cs="Arial" w:eastAsia="Arial" w:hAnsi="Arial"/>
          <w:sz w:val="18"/>
          <w:szCs w:val="18"/>
          <w:color w:val="auto"/>
        </w:rPr>
        <w:t>(1) one hundred and eighty (180) days following the date of such legally binding commitment and (2) twelve (12) months following receipt of such Net Available Proceeds, and</w:t>
      </w:r>
    </w:p>
    <w:p>
      <w:pPr>
        <w:spacing w:after="0" w:line="183" w:lineRule="exact"/>
        <w:rPr>
          <w:rFonts w:ascii="Arial" w:cs="Arial" w:eastAsia="Arial" w:hAnsi="Arial"/>
          <w:sz w:val="16"/>
          <w:szCs w:val="16"/>
          <w:color w:val="auto"/>
        </w:rPr>
      </w:pPr>
    </w:p>
    <w:p>
      <w:pPr>
        <w:jc w:val="both"/>
        <w:ind w:left="1300" w:firstLine="653"/>
        <w:spacing w:after="0" w:line="264" w:lineRule="auto"/>
        <w:tabs>
          <w:tab w:leader="none" w:pos="2384" w:val="left"/>
        </w:tabs>
        <w:numPr>
          <w:ilvl w:val="2"/>
          <w:numId w:val="82"/>
        </w:numPr>
        <w:rPr>
          <w:rFonts w:ascii="Arial" w:cs="Arial" w:eastAsia="Arial" w:hAnsi="Arial"/>
          <w:sz w:val="18"/>
          <w:szCs w:val="18"/>
          <w:color w:val="auto"/>
        </w:rPr>
      </w:pPr>
      <w:r>
        <w:rPr>
          <w:rFonts w:ascii="Arial" w:cs="Arial" w:eastAsia="Arial" w:hAnsi="Arial"/>
          <w:sz w:val="18"/>
          <w:szCs w:val="18"/>
          <w:color w:val="auto"/>
        </w:rPr>
        <w:t>if all or any portion of such Net Available Proceeds not required to be applied to the prepayment of Loans pursuant to this Section 2.10(a)(i) is not so used within the period specified by clause (x) above, such remaining portion shall be applied on the last day of such period as specified in Section 2.10(b).</w:t>
      </w:r>
    </w:p>
    <w:p>
      <w:pPr>
        <w:spacing w:after="0" w:line="181"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Notwithstanding the foregoing provisions of this Section 2.10(a)(i) or otherwise, no mandatory prepayment shall be required pursuant to this Section 2.10(a)(i) in any fiscal year until the date on which the Net Available Proceeds required to be applied as mandatory prepayments pursuant to this Section 2.10(a)(i) in such fiscal year shall exceed $15.0 million (and thereafter only Net Available Proceeds in excess of such amount shall be required to be applied as mandatory prepayments pursuant to this Section 2.10(a)(i)).</w:t>
      </w:r>
    </w:p>
    <w:p>
      <w:pPr>
        <w:spacing w:after="0" w:line="167" w:lineRule="exact"/>
        <w:rPr>
          <w:sz w:val="20"/>
          <w:szCs w:val="20"/>
          <w:color w:val="auto"/>
        </w:rPr>
      </w:pPr>
    </w:p>
    <w:p>
      <w:pPr>
        <w:ind w:left="660" w:firstLine="645"/>
        <w:spacing w:after="0" w:line="282" w:lineRule="auto"/>
        <w:tabs>
          <w:tab w:leader="none" w:pos="1722"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Debt Issuance</w:t>
      </w:r>
      <w:r>
        <w:rPr>
          <w:rFonts w:ascii="Arial" w:cs="Arial" w:eastAsia="Arial" w:hAnsi="Arial"/>
          <w:sz w:val="18"/>
          <w:szCs w:val="18"/>
          <w:color w:val="auto"/>
        </w:rPr>
        <w:t>. Within five (5) Business Days after any Debt Issuance on or after the Closing Date, in an aggregate principal amount</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100% of the Net Available Proceeds of such Debt Issuance.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00" w:right="239" w:bottom="1440" w:gutter="0" w:footer="0" w:header="0"/>
        </w:sectPr>
      </w:pPr>
    </w:p>
    <w:bookmarkStart w:id="151" w:name="page152"/>
    <w:bookmarkEnd w:id="151"/>
    <w:p>
      <w:pPr>
        <w:jc w:val="both"/>
        <w:ind w:firstLine="645"/>
        <w:spacing w:after="0" w:line="261" w:lineRule="auto"/>
        <w:tabs>
          <w:tab w:leader="none" w:pos="1179"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Asset Sales</w:t>
      </w:r>
      <w:r>
        <w:rPr>
          <w:rFonts w:ascii="Arial" w:cs="Arial" w:eastAsia="Arial" w:hAnsi="Arial"/>
          <w:sz w:val="18"/>
          <w:szCs w:val="18"/>
          <w:color w:val="auto"/>
        </w:rPr>
        <w:t>. Within five (5) Business Days after receipt by Borrower or any of its Restricted Subsidiaries of any Net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Proceeds from any Asset Sale pursuant to Section 10.05(c), in an aggregate principal amount equal to 100% of the Net Available Proceeds from such Asset Sale (it being understood that applications pursuant to this Section 2.10(a)(iii) shall not be duplicative of Section 2.10(a)(i)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84" w:lineRule="exact"/>
        <w:rPr>
          <w:rFonts w:ascii="Arial" w:cs="Arial" w:eastAsia="Arial" w:hAnsi="Arial"/>
          <w:sz w:val="18"/>
          <w:szCs w:val="18"/>
          <w:color w:val="auto"/>
        </w:rPr>
      </w:pPr>
    </w:p>
    <w:p>
      <w:pPr>
        <w:jc w:val="both"/>
        <w:ind w:left="640" w:firstLine="653"/>
        <w:spacing w:after="0" w:line="270" w:lineRule="auto"/>
        <w:tabs>
          <w:tab w:leader="none" w:pos="1710" w:val="left"/>
        </w:tabs>
        <w:numPr>
          <w:ilvl w:val="1"/>
          <w:numId w:val="84"/>
        </w:numPr>
        <w:rPr>
          <w:rFonts w:ascii="Arial" w:cs="Arial" w:eastAsia="Arial" w:hAnsi="Arial"/>
          <w:sz w:val="17"/>
          <w:szCs w:val="17"/>
          <w:color w:val="auto"/>
        </w:rPr>
      </w:pPr>
      <w:r>
        <w:rPr>
          <w:rFonts w:ascii="Arial" w:cs="Arial" w:eastAsia="Arial" w:hAnsi="Arial"/>
          <w:sz w:val="17"/>
          <w:szCs w:val="17"/>
          <w:color w:val="auto"/>
        </w:rPr>
        <w:t>an amount equal to the Net Available Proceeds from any Asset Sale pursuant to Section 10.05(c) shall not be required to be applied as provided above on such date if (1) no Event of Default then exists or would arise therefrom and (2) Borrower delivers an Officer’s Certificate to Administrative Agent stating that an amount equal to such Net Available Proceeds is intended to be reinvested, directly or indirectly, in assets (which may be pursuant to an acquisition of Equity Interests of a Person that directly or indirectly owns such assets) otherwise permitted under this Agreement of (A) if such Asset Sale was effected by any Credit Party, any Credit Party, and (B) if such Asset Sale was effected by any other Company, any Company, in each case within (x) twelve (12) months following receipt of such Net Available Proceeds or (y) if Borrower or the relevant Restricted Subsidiary enters into a legally binding commitment to reinvest such Net Available Proceeds within twelve (12) months following receipt thereof, within the later of (A) one hundred and eighty (180) days following the date of such legally binding commitment and (B) twelve (12) months following receipt of such Net Available Proceeds (which certificate shall set forth the estimates of the proceeds to be so expended); and</w:t>
      </w:r>
    </w:p>
    <w:p>
      <w:pPr>
        <w:spacing w:after="0" w:line="177" w:lineRule="exact"/>
        <w:rPr>
          <w:rFonts w:ascii="Arial" w:cs="Arial" w:eastAsia="Arial" w:hAnsi="Arial"/>
          <w:sz w:val="17"/>
          <w:szCs w:val="17"/>
          <w:color w:val="auto"/>
        </w:rPr>
      </w:pPr>
    </w:p>
    <w:p>
      <w:pPr>
        <w:jc w:val="both"/>
        <w:ind w:left="640" w:firstLine="653"/>
        <w:spacing w:after="0" w:line="264" w:lineRule="auto"/>
        <w:tabs>
          <w:tab w:leader="none" w:pos="1734"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all or any portion of such Net Available Proceeds is not reinvested in assets in accordance with the Officer’s Certificate referred to in clause (x) above within the period specified by clause (x) above, such remaining portion shall be applied on the last day of such period as specified in Section 2.10(b).</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Notwithstanding the foregoing provisions of this Section 2.10(a)(iii) or otherwise, no mandatory prepayment shall be required pursuant to this Section 2.10(a)(iii) in any fiscal year until the date on which the Net Available Proceeds required to be applied as mandatory prepayments pursuant to this Section 2.10(a)(iii) in such fiscal year shall exceed $15.0 million (and thereafter only Net Available Proceeds in excess of such amount shall be required be applied as mandatory prepayments pursuant to this Section 2.10(a)(iii)).</w:t>
      </w:r>
    </w:p>
    <w:p>
      <w:pPr>
        <w:spacing w:after="0" w:line="167" w:lineRule="exact"/>
        <w:rPr>
          <w:sz w:val="20"/>
          <w:szCs w:val="20"/>
          <w:color w:val="auto"/>
        </w:rPr>
      </w:pPr>
    </w:p>
    <w:p>
      <w:pPr>
        <w:jc w:val="both"/>
        <w:ind w:firstLine="645"/>
        <w:spacing w:after="0" w:line="286" w:lineRule="auto"/>
        <w:tabs>
          <w:tab w:leader="none" w:pos="1142"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Prepayments Not Required</w:t>
      </w:r>
      <w:r>
        <w:rPr>
          <w:rFonts w:ascii="Arial" w:cs="Arial" w:eastAsia="Arial" w:hAnsi="Arial"/>
          <w:sz w:val="16"/>
          <w:szCs w:val="16"/>
          <w:color w:val="auto"/>
        </w:rPr>
        <w:t>. Notwithstanding any other provisions of this Section 2.10(a), to the extent that any of or all the Net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Available Proceeds of any Asset Sale or Casualty Event with respect to any property or assets of Foreign Subsidiaries are prohibited or delayed by applicable local law from being repatriated to the United States, the portion of such Net Available Proceeds so affected will not be required to be applied to repay Term Loans at the times provided in this Section 2.10(a) but may be retained by the applicable Foreign Subsidiary so long as applicable local law does not permit repatriation to the United States (Borrower hereby agreeing to cause the applicable Foreign Subsidiary to promptly take all commercially reasonable actions required by the applicable local law to permit such repatriation), and once such repatriation of any of such affected Net Available Proceeds is permitted under the applicable local law, any such Net Available Proceeds shall be reinvested pursuant to Section 2.10(a)(i) or (iii), as applicable, or applied pursuant to Section 2.10(b) within five (5) Business Days of such repatriation. To the extent Borrower determines in good faith that repatriation of any of or all the Net Available Proceeds of any Asset Sale or Casualty Event with respect to any property or assets of Foreign Subsidiaries would have a material adverse tax costs or consequences to Borrower or any of its Subsidiaries, such Net Available Proceeds so affected may be retained by the applicable Foreign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 or before the date on which the Net Available Proceeds so retained would otherwise have been required to be applied to reinvestments or prepayments pursuant to Section 2.10(a)(i) or (iii), as applicable, unless previously repatriated (in which case, any such Net Available Proceeds shall be reinvested pursuant to Section 2.10(a)(i) or (iii), as applicable, or applied pursuant to Section 2.10(b) within five (5) Business Days of such repatriation), (A) Borrower shall apply an amount equal to such Net Available Proceeds to such reinvestments or prepayments as if such Net Available Proceeds had been received by Borrower rather than such Foreign Subsidiary, minus, the amount of additional taxes that would have been payable or reserved against if such Net Available Proceeds had been repatriated (or, if less, the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760"/>
          </w:cols>
          <w:pgMar w:left="900" w:top="796" w:right="239" w:bottom="1440" w:gutter="0" w:footer="0" w:header="0"/>
        </w:sectPr>
      </w:pPr>
    </w:p>
    <w:bookmarkStart w:id="152" w:name="page153"/>
    <w:bookmarkEnd w:id="152"/>
    <w:p>
      <w:pPr>
        <w:ind w:left="660"/>
        <w:spacing w:after="0" w:line="277" w:lineRule="auto"/>
        <w:rPr>
          <w:sz w:val="20"/>
          <w:szCs w:val="20"/>
          <w:color w:val="auto"/>
        </w:rPr>
      </w:pPr>
      <w:r>
        <w:rPr>
          <w:rFonts w:ascii="Arial" w:cs="Arial" w:eastAsia="Arial" w:hAnsi="Arial"/>
          <w:sz w:val="18"/>
          <w:szCs w:val="18"/>
          <w:color w:val="auto"/>
        </w:rPr>
        <w:t>Available Proceeds that would be calculated if received by such Foreign Subsidiary) pursuant to Section 2.10(b) or (B) such Net Available Proceeds shall be applied to the repayment of Indebtedness of a Foreign Subsidiary.</w:t>
      </w:r>
    </w:p>
    <w:p>
      <w:pPr>
        <w:spacing w:after="0" w:line="166" w:lineRule="exact"/>
        <w:rPr>
          <w:sz w:val="20"/>
          <w:szCs w:val="20"/>
          <w:color w:val="auto"/>
        </w:rPr>
      </w:pPr>
    </w:p>
    <w:p>
      <w:pPr>
        <w:jc w:val="both"/>
        <w:ind w:left="660" w:firstLine="645"/>
        <w:spacing w:after="0" w:line="287" w:lineRule="auto"/>
        <w:tabs>
          <w:tab w:leader="none" w:pos="1833" w:val="left"/>
        </w:tabs>
        <w:numPr>
          <w:ilvl w:val="1"/>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Prepayments of Other First Lien Indebtedness. </w:t>
      </w:r>
      <w:r>
        <w:rPr>
          <w:rFonts w:ascii="Arial" w:cs="Arial" w:eastAsia="Arial" w:hAnsi="Arial"/>
          <w:sz w:val="16"/>
          <w:szCs w:val="16"/>
          <w:color w:val="auto"/>
        </w:rPr>
        <w:t>Notwithstanding the foregoing provisions of Section 2.10(a)(i), (ii), (iii)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otherwise, any Net Available Proceeds from any such Casualty Event, Debt Issuance or Asset Sale otherwise required to be applied to prepay the Loans may, at Borrower’s option, be applied to prepay the principal amount of Other First Lien Indebtedness only to (and not in excess of) the extent to which a mandatory prepayment in respect of such Casualty Event, Debt Issuance or Asset Sale is required under the terms of such Other First Lien Indebtedness (with any remaining Net Available Proceeds applied to prepay outstanding Loans in accordance with the terms hereof), unless such application would result in the holders of Other First Lien Indebtedness receiving in excess of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(determined on the basis of the aggregate outstanding principal amount of Term Loans and Other First Lien Indebtedness at such time) of such Net Available Proceeds relative to Lenders, in which case such Net Available Proceeds may only be applied to prepay the principal amount of Other First Lien Indebtedness on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basis with outstanding Term Loans. To the extent the holders of Other First Lien Indebtedness decline to have such indebtedness repurchased,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repaid or prepaid with any such Net Available Proceeds, the declined amount of such Net Available Proceeds shall promptly (and, in any event, within ten (10) Business Days after the date of such rejection) be applied to prepay Loans in accordance with the terms hereof (to the extent such Net Available Proceeds would otherwise have been required to be applied if such Other First Lien Indebtedness was not then outstanding). Any such application to Other First Lien Indebtedness shall reduce any prepayments otherwise required hereunder by an equivalent amount.</w:t>
      </w:r>
    </w:p>
    <w:p>
      <w:pPr>
        <w:spacing w:after="0" w:line="164" w:lineRule="exact"/>
        <w:rPr>
          <w:rFonts w:ascii="Arial" w:cs="Arial" w:eastAsia="Arial" w:hAnsi="Arial"/>
          <w:sz w:val="16"/>
          <w:szCs w:val="16"/>
          <w:color w:val="auto"/>
        </w:rPr>
      </w:pPr>
    </w:p>
    <w:p>
      <w:pPr>
        <w:ind w:left="1040" w:hanging="384"/>
        <w:spacing w:after="0"/>
        <w:tabs>
          <w:tab w:leader="none" w:pos="104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Application</w:t>
      </w:r>
      <w:r>
        <w:rPr>
          <w:rFonts w:ascii="Arial" w:cs="Arial" w:eastAsia="Arial" w:hAnsi="Arial"/>
          <w:sz w:val="18"/>
          <w:szCs w:val="18"/>
          <w:color w:val="auto"/>
        </w:rPr>
        <w:t>. The amount of any required prepayments described in Section 2.10(a) shall be applied to prepay Loans as follows:</w:t>
      </w:r>
    </w:p>
    <w:p>
      <w:pPr>
        <w:spacing w:after="0" w:line="225" w:lineRule="exact"/>
        <w:rPr>
          <w:rFonts w:ascii="Arial" w:cs="Arial" w:eastAsia="Arial" w:hAnsi="Arial"/>
          <w:sz w:val="18"/>
          <w:szCs w:val="18"/>
          <w:color w:val="auto"/>
        </w:rPr>
      </w:pPr>
    </w:p>
    <w:p>
      <w:pPr>
        <w:jc w:val="both"/>
        <w:ind w:left="660" w:firstLine="888"/>
        <w:spacing w:after="0" w:line="258" w:lineRule="auto"/>
        <w:tabs>
          <w:tab w:leader="none" w:pos="1915" w:val="left"/>
        </w:tabs>
        <w:numPr>
          <w:ilvl w:val="2"/>
          <w:numId w:val="8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0000FF"/>
        </w:rPr>
        <w:t>First</w:t>
      </w:r>
      <w:r>
        <w:rPr>
          <w:rFonts w:ascii="Arial" w:cs="Arial" w:eastAsia="Arial" w:hAnsi="Arial"/>
          <w:sz w:val="18"/>
          <w:szCs w:val="18"/>
          <w:b w:val="1"/>
          <w:bCs w:val="1"/>
          <w:u w:val="single" w:color="auto"/>
          <w:color w:val="0000FF"/>
        </w:rPr>
        <w:t>, an amount equal to the Term Facility II Proportion of any such payment shall be applied to prepay the Term Facility</w:t>
      </w:r>
      <w:r>
        <w:rPr>
          <w:rFonts w:ascii="Arial" w:cs="Arial" w:eastAsia="Arial" w:hAnsi="Arial"/>
          <w:sz w:val="18"/>
          <w:szCs w:val="18"/>
          <w:b w:val="1"/>
          <w:bCs w:val="1"/>
          <w:i w:val="1"/>
          <w:iCs w:val="1"/>
          <w:u w:val="single" w:color="auto"/>
          <w:color w:val="0000FF"/>
        </w:rPr>
        <w:t xml:space="preserve"> </w:t>
      </w:r>
      <w:r>
        <w:rPr>
          <w:rFonts w:ascii="Arial" w:cs="Arial" w:eastAsia="Arial" w:hAnsi="Arial"/>
          <w:sz w:val="18"/>
          <w:szCs w:val="18"/>
          <w:b w:val="1"/>
          <w:bCs w:val="1"/>
          <w:u w:val="single" w:color="auto"/>
          <w:color w:val="0000FF"/>
        </w:rPr>
        <w:t xml:space="preserve">II Loans; </w:t>
      </w:r>
      <w:r>
        <w:rPr>
          <w:rFonts w:ascii="Arial" w:cs="Arial" w:eastAsia="Arial" w:hAnsi="Arial"/>
          <w:sz w:val="18"/>
          <w:szCs w:val="18"/>
          <w:b w:val="1"/>
          <w:bCs w:val="1"/>
          <w:i w:val="1"/>
          <w:iCs w:val="1"/>
          <w:u w:val="single" w:color="auto"/>
          <w:color w:val="0000FF"/>
        </w:rPr>
        <w:t>provided</w:t>
      </w:r>
      <w:r>
        <w:rPr>
          <w:rFonts w:ascii="Arial" w:cs="Arial" w:eastAsia="Arial" w:hAnsi="Arial"/>
          <w:sz w:val="18"/>
          <w:szCs w:val="18"/>
          <w:b w:val="1"/>
          <w:bCs w:val="1"/>
          <w:u w:val="single" w:color="auto"/>
          <w:color w:val="0000FF"/>
        </w:rPr>
        <w:t xml:space="preserve"> that, each such prepayment shall, subject to the last paragraph of this Section 2.10(b), be applied to such Term Facility II Loans that are ABR Loans to the fullest extent thereof before application to Term Facility II Loans that are LIBOR Loans, and such prepayments of LIBOR Loans shall be applied in a manner that minimizes the amount of any payments required to be made by Borrower pursuant to Section 5.05;</w:t>
      </w:r>
    </w:p>
    <w:p>
      <w:pPr>
        <w:spacing w:after="0" w:line="183" w:lineRule="exact"/>
        <w:rPr>
          <w:rFonts w:ascii="Arial" w:cs="Arial" w:eastAsia="Arial" w:hAnsi="Arial"/>
          <w:sz w:val="18"/>
          <w:szCs w:val="18"/>
          <w:color w:val="auto"/>
        </w:rPr>
      </w:pPr>
    </w:p>
    <w:p>
      <w:pPr>
        <w:jc w:val="both"/>
        <w:ind w:left="660" w:firstLine="888"/>
        <w:spacing w:after="0" w:line="256" w:lineRule="auto"/>
        <w:tabs>
          <w:tab w:leader="none" w:pos="1951" w:val="left"/>
        </w:tabs>
        <w:numPr>
          <w:ilvl w:val="2"/>
          <w:numId w:val="87"/>
        </w:numPr>
        <w:rPr>
          <w:rFonts w:ascii="Arial" w:cs="Arial" w:eastAsia="Arial" w:hAnsi="Arial"/>
          <w:sz w:val="18"/>
          <w:szCs w:val="18"/>
          <w:color w:val="auto"/>
        </w:rPr>
      </w:pPr>
      <w:r>
        <w:rPr>
          <w:rFonts w:ascii="Arial" w:cs="Arial" w:eastAsia="Arial" w:hAnsi="Arial"/>
          <w:sz w:val="18"/>
          <w:szCs w:val="18"/>
          <w:b w:val="1"/>
          <w:bCs w:val="1"/>
          <w:color w:val="FF0000"/>
          <w:strike w:val="1"/>
        </w:rPr>
        <w:t>(i)</w:t>
      </w:r>
      <w:r>
        <w:rPr>
          <w:rFonts w:ascii="Arial" w:cs="Arial" w:eastAsia="Arial" w:hAnsi="Arial"/>
          <w:sz w:val="18"/>
          <w:szCs w:val="18"/>
          <w:b w:val="1"/>
          <w:bCs w:val="1"/>
          <w:color w:val="FF0000"/>
        </w:rPr>
        <w:t xml:space="preserve"> </w:t>
      </w:r>
      <w:r>
        <w:rPr>
          <w:rFonts w:ascii="Arial" w:cs="Arial" w:eastAsia="Arial" w:hAnsi="Arial"/>
          <w:sz w:val="18"/>
          <w:szCs w:val="18"/>
          <w:b w:val="1"/>
          <w:bCs w:val="1"/>
          <w:i w:val="1"/>
          <w:iCs w:val="1"/>
          <w:color w:val="FF0000"/>
          <w:strike w:val="1"/>
        </w:rPr>
        <w:t>First</w:t>
      </w:r>
      <w:r>
        <w:rPr>
          <w:rFonts w:ascii="Arial" w:cs="Arial" w:eastAsia="Arial" w:hAnsi="Arial"/>
          <w:sz w:val="18"/>
          <w:szCs w:val="18"/>
          <w:b w:val="1"/>
          <w:bCs w:val="1"/>
          <w:i w:val="1"/>
          <w:iCs w:val="1"/>
          <w:u w:val="single" w:color="auto"/>
          <w:color w:val="0000FF"/>
        </w:rPr>
        <w:t>Second</w:t>
      </w:r>
      <w:r>
        <w:rPr>
          <w:rFonts w:ascii="Arial" w:cs="Arial" w:eastAsia="Arial" w:hAnsi="Arial"/>
          <w:sz w:val="18"/>
          <w:szCs w:val="18"/>
          <w:color w:val="000000"/>
        </w:rPr>
        <w:t>, to the reduction of Amortization Payments on the Term Loans required by Sections 3.01(b) and 3.01(c) and, in the</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case of the Term Facilities, to the remaining principal installments with respect thereto in direct order of maturity over the next succeeding four (4) quarterly installments and, thereafter, on a pro rata basis;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that, each such prepayment shall, subject to the last paragraph of this Section 2.10(b), be applied to such Term Loans that are ABR Loans to the fullest extent thereof before application to </w:t>
      </w:r>
      <w:r>
        <w:rPr>
          <w:rFonts w:ascii="Arial" w:cs="Arial" w:eastAsia="Arial" w:hAnsi="Arial"/>
          <w:sz w:val="18"/>
          <w:szCs w:val="18"/>
          <w:b w:val="1"/>
          <w:bCs w:val="1"/>
          <w:u w:val="single" w:color="auto"/>
          <w:color w:val="0000FF"/>
        </w:rPr>
        <w:t>Term</w:t>
      </w:r>
      <w:r>
        <w:rPr>
          <w:rFonts w:ascii="Arial" w:cs="Arial" w:eastAsia="Arial" w:hAnsi="Arial"/>
          <w:sz w:val="18"/>
          <w:szCs w:val="18"/>
          <w:color w:val="000000"/>
        </w:rPr>
        <w:t xml:space="preserve"> Loans that are LIBOR Loans, and such prepayments of LIBOR Loans shall be applied in a manner that minimizes the amount of any payments required to be made by Borrower pursuant to Section 5.05;</w:t>
      </w:r>
    </w:p>
    <w:p>
      <w:pPr>
        <w:spacing w:after="0" w:line="187" w:lineRule="exact"/>
        <w:rPr>
          <w:rFonts w:ascii="Arial" w:cs="Arial" w:eastAsia="Arial" w:hAnsi="Arial"/>
          <w:sz w:val="18"/>
          <w:szCs w:val="18"/>
          <w:color w:val="auto"/>
        </w:rPr>
      </w:pPr>
    </w:p>
    <w:p>
      <w:pPr>
        <w:ind w:left="660" w:firstLine="888"/>
        <w:spacing w:after="0" w:line="282" w:lineRule="auto"/>
        <w:tabs>
          <w:tab w:leader="none" w:pos="2001" w:val="left"/>
        </w:tabs>
        <w:numPr>
          <w:ilvl w:val="2"/>
          <w:numId w:val="87"/>
        </w:numPr>
        <w:rPr>
          <w:rFonts w:ascii="Arial" w:cs="Arial" w:eastAsia="Arial" w:hAnsi="Arial"/>
          <w:sz w:val="18"/>
          <w:szCs w:val="18"/>
          <w:color w:val="auto"/>
        </w:rPr>
      </w:pPr>
      <w:r>
        <w:rPr>
          <w:rFonts w:ascii="Arial" w:cs="Arial" w:eastAsia="Arial" w:hAnsi="Arial"/>
          <w:sz w:val="18"/>
          <w:szCs w:val="18"/>
          <w:b w:val="1"/>
          <w:bCs w:val="1"/>
          <w:color w:val="FF0000"/>
          <w:strike w:val="1"/>
        </w:rPr>
        <w:t>(ii)</w:t>
      </w:r>
      <w:r>
        <w:rPr>
          <w:rFonts w:ascii="Arial" w:cs="Arial" w:eastAsia="Arial" w:hAnsi="Arial"/>
          <w:sz w:val="18"/>
          <w:szCs w:val="18"/>
          <w:b w:val="1"/>
          <w:bCs w:val="1"/>
          <w:color w:val="FF0000"/>
        </w:rPr>
        <w:t xml:space="preserve"> </w:t>
      </w:r>
      <w:r>
        <w:rPr>
          <w:rFonts w:ascii="Arial" w:cs="Arial" w:eastAsia="Arial" w:hAnsi="Arial"/>
          <w:sz w:val="18"/>
          <w:szCs w:val="18"/>
          <w:b w:val="1"/>
          <w:bCs w:val="1"/>
          <w:i w:val="1"/>
          <w:iCs w:val="1"/>
          <w:color w:val="FF0000"/>
          <w:strike w:val="1"/>
        </w:rPr>
        <w:t>Second</w:t>
      </w:r>
      <w:r>
        <w:rPr>
          <w:rFonts w:ascii="Arial" w:cs="Arial" w:eastAsia="Arial" w:hAnsi="Arial"/>
          <w:sz w:val="18"/>
          <w:szCs w:val="18"/>
          <w:b w:val="1"/>
          <w:bCs w:val="1"/>
          <w:i w:val="1"/>
          <w:iCs w:val="1"/>
          <w:u w:val="single" w:color="auto"/>
          <w:color w:val="0000FF"/>
        </w:rPr>
        <w:t>Third</w:t>
      </w:r>
      <w:r>
        <w:rPr>
          <w:rFonts w:ascii="Arial" w:cs="Arial" w:eastAsia="Arial" w:hAnsi="Arial"/>
          <w:sz w:val="18"/>
          <w:szCs w:val="18"/>
          <w:color w:val="000000"/>
        </w:rPr>
        <w:t>, after such time as no Term Loans or Permitted First Priority Refinancing Debt remain outstanding, to prepay all</w:t>
      </w:r>
      <w:r>
        <w:rPr>
          <w:rFonts w:ascii="Arial" w:cs="Arial" w:eastAsia="Arial" w:hAnsi="Arial"/>
          <w:sz w:val="18"/>
          <w:szCs w:val="18"/>
          <w:b w:val="1"/>
          <w:bCs w:val="1"/>
          <w:color w:val="FF0000"/>
        </w:rPr>
        <w:t xml:space="preserve"> </w:t>
      </w:r>
      <w:r>
        <w:rPr>
          <w:rFonts w:ascii="Arial" w:cs="Arial" w:eastAsia="Arial" w:hAnsi="Arial"/>
          <w:sz w:val="18"/>
          <w:szCs w:val="18"/>
          <w:color w:val="000000"/>
        </w:rPr>
        <w:t>outstanding Revolving Loans (in each case, without any reduction in Revolving Commitments); and</w:t>
      </w:r>
    </w:p>
    <w:p>
      <w:pPr>
        <w:spacing w:after="0" w:line="161" w:lineRule="exact"/>
        <w:rPr>
          <w:rFonts w:ascii="Arial" w:cs="Arial" w:eastAsia="Arial" w:hAnsi="Arial"/>
          <w:sz w:val="18"/>
          <w:szCs w:val="18"/>
          <w:color w:val="auto"/>
        </w:rPr>
      </w:pPr>
    </w:p>
    <w:p>
      <w:pPr>
        <w:ind w:left="660" w:right="20" w:firstLine="888"/>
        <w:spacing w:after="0" w:line="282" w:lineRule="auto"/>
        <w:tabs>
          <w:tab w:leader="none" w:pos="2018" w:val="left"/>
        </w:tabs>
        <w:numPr>
          <w:ilvl w:val="2"/>
          <w:numId w:val="87"/>
        </w:numPr>
        <w:rPr>
          <w:rFonts w:ascii="Arial" w:cs="Arial" w:eastAsia="Arial" w:hAnsi="Arial"/>
          <w:sz w:val="18"/>
          <w:szCs w:val="18"/>
          <w:color w:val="auto"/>
        </w:rPr>
      </w:pPr>
      <w:r>
        <w:rPr>
          <w:rFonts w:ascii="Arial" w:cs="Arial" w:eastAsia="Arial" w:hAnsi="Arial"/>
          <w:sz w:val="18"/>
          <w:szCs w:val="18"/>
          <w:b w:val="1"/>
          <w:bCs w:val="1"/>
          <w:color w:val="FF0000"/>
          <w:strike w:val="1"/>
        </w:rPr>
        <w:t>(iii)</w:t>
      </w:r>
      <w:r>
        <w:rPr>
          <w:rFonts w:ascii="Arial" w:cs="Arial" w:eastAsia="Arial" w:hAnsi="Arial"/>
          <w:sz w:val="18"/>
          <w:szCs w:val="18"/>
          <w:b w:val="1"/>
          <w:bCs w:val="1"/>
          <w:color w:val="FF0000"/>
        </w:rPr>
        <w:t xml:space="preserve"> </w:t>
      </w:r>
      <w:r>
        <w:rPr>
          <w:rFonts w:ascii="Arial" w:cs="Arial" w:eastAsia="Arial" w:hAnsi="Arial"/>
          <w:sz w:val="18"/>
          <w:szCs w:val="18"/>
          <w:b w:val="1"/>
          <w:bCs w:val="1"/>
          <w:i w:val="1"/>
          <w:iCs w:val="1"/>
          <w:color w:val="FF0000"/>
          <w:strike w:val="1"/>
        </w:rPr>
        <w:t>Third</w:t>
      </w:r>
      <w:r>
        <w:rPr>
          <w:rFonts w:ascii="Arial" w:cs="Arial" w:eastAsia="Arial" w:hAnsi="Arial"/>
          <w:sz w:val="18"/>
          <w:szCs w:val="18"/>
          <w:b w:val="1"/>
          <w:bCs w:val="1"/>
          <w:i w:val="1"/>
          <w:iCs w:val="1"/>
          <w:u w:val="single" w:color="auto"/>
          <w:color w:val="0000FF"/>
        </w:rPr>
        <w:t>Fourth</w:t>
      </w:r>
      <w:r>
        <w:rPr>
          <w:rFonts w:ascii="Arial" w:cs="Arial" w:eastAsia="Arial" w:hAnsi="Arial"/>
          <w:sz w:val="18"/>
          <w:szCs w:val="18"/>
          <w:color w:val="000000"/>
        </w:rPr>
        <w:t>, after application of prepayments in accordance with clauses (i) and (ii) above, Borrower shall be permitted to</w:t>
      </w:r>
      <w:r>
        <w:rPr>
          <w:rFonts w:ascii="Arial" w:cs="Arial" w:eastAsia="Arial" w:hAnsi="Arial"/>
          <w:sz w:val="18"/>
          <w:szCs w:val="18"/>
          <w:b w:val="1"/>
          <w:bCs w:val="1"/>
          <w:color w:val="FF0000"/>
        </w:rPr>
        <w:t xml:space="preserve"> </w:t>
      </w:r>
      <w:r>
        <w:rPr>
          <w:rFonts w:ascii="Arial" w:cs="Arial" w:eastAsia="Arial" w:hAnsi="Arial"/>
          <w:sz w:val="18"/>
          <w:szCs w:val="18"/>
          <w:color w:val="000000"/>
        </w:rPr>
        <w:t>retain any such remaining excess.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Notwithstanding the foregoing, any Term Facility Lender </w:t>
      </w:r>
      <w:r>
        <w:rPr>
          <w:rFonts w:ascii="Arial" w:cs="Arial" w:eastAsia="Arial" w:hAnsi="Arial"/>
          <w:sz w:val="18"/>
          <w:szCs w:val="18"/>
          <w:b w:val="1"/>
          <w:bCs w:val="1"/>
          <w:u w:val="single" w:color="auto"/>
          <w:color w:val="0000FF"/>
        </w:rPr>
        <w:t>or Term Facility II Lender</w:t>
      </w:r>
      <w:r>
        <w:rPr>
          <w:rFonts w:ascii="Arial" w:cs="Arial" w:eastAsia="Arial" w:hAnsi="Arial"/>
          <w:sz w:val="18"/>
          <w:szCs w:val="18"/>
          <w:color w:val="auto"/>
        </w:rPr>
        <w:t xml:space="preserve"> may elect, by written notice to Administrative Agent at least one (1) Business Day prior to the prepayment date, to decline all or any portion of any prepayment of its Term Loans, pursuant to this Section 2.10, in which case the aggregate amount of the prepayment that would have been applied to prepay such Term Loans, but was so declined shall be ratably offered to each Term Facility Lender </w:t>
      </w:r>
      <w:r>
        <w:rPr>
          <w:rFonts w:ascii="Arial" w:cs="Arial" w:eastAsia="Arial" w:hAnsi="Arial"/>
          <w:sz w:val="18"/>
          <w:szCs w:val="18"/>
          <w:b w:val="1"/>
          <w:bCs w:val="1"/>
          <w:u w:val="single" w:color="auto"/>
          <w:color w:val="0000FF"/>
        </w:rPr>
        <w:t>and Term Facility II Lender</w:t>
      </w:r>
      <w:r>
        <w:rPr>
          <w:rFonts w:ascii="Arial" w:cs="Arial" w:eastAsia="Arial" w:hAnsi="Arial"/>
          <w:sz w:val="18"/>
          <w:szCs w:val="18"/>
          <w:color w:val="auto"/>
        </w:rPr>
        <w:t xml:space="preserve"> that initially accepted such prepayment. Any such re-offered amounts rejected by such Lenders shall be retained by Borrower (any such retained amounts, “</w:t>
      </w:r>
      <w:r>
        <w:rPr>
          <w:rFonts w:ascii="Arial" w:cs="Arial" w:eastAsia="Arial" w:hAnsi="Arial"/>
          <w:sz w:val="18"/>
          <w:szCs w:val="18"/>
          <w:b w:val="1"/>
          <w:bCs w:val="1"/>
          <w:color w:val="auto"/>
        </w:rPr>
        <w:t>Declined Amounts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800" w:right="239" w:bottom="1440" w:gutter="0" w:footer="0" w:header="0"/>
        </w:sectPr>
      </w:pPr>
    </w:p>
    <w:bookmarkStart w:id="153" w:name="page154"/>
    <w:bookmarkEnd w:id="153"/>
    <w:p>
      <w:pPr>
        <w:jc w:val="both"/>
        <w:ind w:firstLine="648"/>
        <w:spacing w:after="0" w:line="273" w:lineRule="auto"/>
        <w:rPr>
          <w:sz w:val="20"/>
          <w:szCs w:val="20"/>
          <w:color w:val="auto"/>
        </w:rPr>
      </w:pPr>
      <w:r>
        <w:rPr>
          <w:rFonts w:ascii="Arial" w:cs="Arial" w:eastAsia="Arial" w:hAnsi="Arial"/>
          <w:sz w:val="17"/>
          <w:szCs w:val="17"/>
          <w:color w:val="auto"/>
        </w:rPr>
        <w:t>Notwithstanding the foregoing, if the amount of any prepayment of Loans required under this Section 2.10 shall be in excess of the amount of the ABR Loans at the time outstanding, only the portion of the amount of such prepayment as is equal to the amount of such outstanding ABR Loans shall be immediately prepaid and, at the election of Borrower, the balance of such required prepayment shall be either (i) deposited in the Collateral Account and applied to the prepayment of LIBOR Loans on the last day of the then next-expiring Interest Period for LIBOR Loans (with all interest accruing thereon for the account of Borrower) or (ii) prepaid immediately, together with any amounts owing to the Lenders under Section 5.05. Notwithstanding any such deposit in the Collateral Account, interest shall continue to accrue on such Loans until prepayment.</w:t>
      </w:r>
    </w:p>
    <w:p>
      <w:pPr>
        <w:spacing w:after="0" w:line="174" w:lineRule="exact"/>
        <w:rPr>
          <w:sz w:val="20"/>
          <w:szCs w:val="20"/>
          <w:color w:val="auto"/>
        </w:rPr>
      </w:pPr>
    </w:p>
    <w:p>
      <w:pPr>
        <w:jc w:val="both"/>
        <w:ind w:firstLine="656"/>
        <w:spacing w:after="0" w:line="273" w:lineRule="auto"/>
        <w:tabs>
          <w:tab w:leader="none" w:pos="1136" w:val="left"/>
        </w:tabs>
        <w:numPr>
          <w:ilvl w:val="1"/>
          <w:numId w:val="88"/>
        </w:numPr>
        <w:rPr>
          <w:rFonts w:ascii="Arial" w:cs="Arial" w:eastAsia="Arial" w:hAnsi="Arial"/>
          <w:sz w:val="17"/>
          <w:szCs w:val="17"/>
          <w:color w:val="auto"/>
        </w:rPr>
      </w:pPr>
      <w:r>
        <w:rPr>
          <w:rFonts w:ascii="Arial" w:cs="Arial" w:eastAsia="Arial" w:hAnsi="Arial"/>
          <w:sz w:val="17"/>
          <w:szCs w:val="17"/>
          <w:b w:val="1"/>
          <w:bCs w:val="1"/>
          <w:color w:val="auto"/>
        </w:rPr>
        <w:t>Revolving Credit Extension Reductions</w:t>
      </w:r>
      <w:r>
        <w:rPr>
          <w:rFonts w:ascii="Arial" w:cs="Arial" w:eastAsia="Arial" w:hAnsi="Arial"/>
          <w:sz w:val="17"/>
          <w:szCs w:val="17"/>
          <w:color w:val="auto"/>
        </w:rPr>
        <w:t>. Until the final R/C Maturity Date, Borrower shall from time to time immediately prepay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Revolving Loans (and/or provide Cash Collateral in an amount equal to the Minimum Collateral Amount for, or otherwise backstop (with a letter of credit on customary terms reasonably acceptable to the applicable L/C Lender and the Administrative Agent), outstanding L/C Liabilities) in such amounts as shall be necessary (I) so that at all times (a) the aggregate outstanding amount of the Revolving Loans,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aggregate outstanding L/C Liabilities shall not exceed the Total Revolving Commitments as in effect at such time and (b) the aggregate outstanding amount of the Revolving Loans of any Tranche allocable to such Tranche,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aggregate outstanding L/C Liabilities under such Tranche shall not exceed the aggregate Revolving Commitments of such Tranche as in effect at such time and (II) to comply with Section 7.02(a)(iii).</w:t>
      </w:r>
    </w:p>
    <w:p>
      <w:pPr>
        <w:spacing w:after="0" w:line="172" w:lineRule="exact"/>
        <w:rPr>
          <w:rFonts w:ascii="Arial" w:cs="Arial" w:eastAsia="Arial" w:hAnsi="Arial"/>
          <w:sz w:val="17"/>
          <w:szCs w:val="17"/>
          <w:color w:val="auto"/>
        </w:rPr>
      </w:pPr>
    </w:p>
    <w:p>
      <w:pPr>
        <w:jc w:val="both"/>
        <w:ind w:firstLine="656"/>
        <w:spacing w:after="0" w:line="284" w:lineRule="auto"/>
        <w:tabs>
          <w:tab w:leader="none" w:pos="1065" w:val="left"/>
        </w:tabs>
        <w:numPr>
          <w:ilvl w:val="1"/>
          <w:numId w:val="88"/>
        </w:numPr>
        <w:rPr>
          <w:rFonts w:ascii="Arial" w:cs="Arial" w:eastAsia="Arial" w:hAnsi="Arial"/>
          <w:sz w:val="16"/>
          <w:szCs w:val="16"/>
          <w:color w:val="auto"/>
        </w:rPr>
      </w:pPr>
      <w:r>
        <w:rPr>
          <w:rFonts w:ascii="Arial" w:cs="Arial" w:eastAsia="Arial" w:hAnsi="Arial"/>
          <w:sz w:val="16"/>
          <w:szCs w:val="16"/>
          <w:b w:val="1"/>
          <w:bCs w:val="1"/>
          <w:color w:val="auto"/>
        </w:rPr>
        <w:t>Outstanding Letters of Credit</w:t>
      </w:r>
      <w:r>
        <w:rPr>
          <w:rFonts w:ascii="Arial" w:cs="Arial" w:eastAsia="Arial" w:hAnsi="Arial"/>
          <w:sz w:val="16"/>
          <w:szCs w:val="16"/>
          <w:color w:val="auto"/>
        </w:rPr>
        <w:t>. If any Letter of Credit is outstanding on the 30th day prior to the next succeeding R/C Maturity Date which</w:t>
      </w:r>
      <w:r>
        <w:rPr>
          <w:rFonts w:ascii="Arial" w:cs="Arial" w:eastAsia="Arial" w:hAnsi="Arial"/>
          <w:sz w:val="16"/>
          <w:szCs w:val="16"/>
          <w:b w:val="1"/>
          <w:bCs w:val="1"/>
          <w:color w:val="auto"/>
        </w:rPr>
        <w:t xml:space="preserve"> </w:t>
      </w:r>
      <w:r>
        <w:rPr>
          <w:rFonts w:ascii="Arial" w:cs="Arial" w:eastAsia="Arial" w:hAnsi="Arial"/>
          <w:sz w:val="16"/>
          <w:szCs w:val="16"/>
          <w:color w:val="auto"/>
        </w:rPr>
        <w:t>has an expiry date later than the third Business Day preceding such R/C Maturity Date (or which, pursuant to its terms, may be extended to a date later than the third Business Day preceding such R/C Maturity Date), then (i) if one or more Tranches of Revolving Commitments with a R/C Maturity Date after such R/C Maturity Date are then in effect, such Letters of Credit shall automatically be deemed to have been issued (including for purposes of the obligations of the Lenders with Revolving Commitments to purchase participations therein and to make Revolving Loans and payments in respect thereof and the commissions applicable thereto), effective as of such R/C Maturity Date, solely under (and ratably participated by Revolving Lenders pursuant to) the Revolving Commitments in respect of such non-terminating Tranches of Revolving Commitments, if any, up to an aggregate amount not to exceed the aggregate principal amount of the unutilized Revolving Commitments thereunder at such time, and (ii) to the extent not capable of being reallocated pursuant to clause (i) above, Borrower shall, on such 30th day (or on such later day as such Letters of Credit become incapable of being reallocated pursuant to clause</w:t>
      </w:r>
    </w:p>
    <w:p>
      <w:pPr>
        <w:spacing w:after="0" w:line="3" w:lineRule="exact"/>
        <w:rPr>
          <w:rFonts w:ascii="Arial" w:cs="Arial" w:eastAsia="Arial" w:hAnsi="Arial"/>
          <w:sz w:val="16"/>
          <w:szCs w:val="16"/>
          <w:color w:val="auto"/>
        </w:rPr>
      </w:pPr>
    </w:p>
    <w:p>
      <w:pPr>
        <w:jc w:val="both"/>
        <w:ind w:firstLine="8"/>
        <w:spacing w:after="0" w:line="267" w:lineRule="auto"/>
        <w:tabs>
          <w:tab w:leader="none" w:pos="224" w:val="left"/>
        </w:tabs>
        <w:numPr>
          <w:ilvl w:val="0"/>
          <w:numId w:val="89"/>
        </w:numPr>
        <w:rPr>
          <w:rFonts w:ascii="Arial" w:cs="Arial" w:eastAsia="Arial" w:hAnsi="Arial"/>
          <w:sz w:val="17"/>
          <w:szCs w:val="17"/>
          <w:color w:val="auto"/>
        </w:rPr>
      </w:pPr>
      <w:r>
        <w:rPr>
          <w:rFonts w:ascii="Arial" w:cs="Arial" w:eastAsia="Arial" w:hAnsi="Arial"/>
          <w:sz w:val="17"/>
          <w:szCs w:val="17"/>
          <w:color w:val="auto"/>
        </w:rPr>
        <w:t>above due to the termination, reduction or utilization of any relevant Revolving Commitments), either (x) Cash Collateralize all such Letters of Credit in an amount not less than the Minimum Collateral Amount with respect to such Letters of Credit (it being understood that such Cash Collateral shall be released to the extent that the aggregate Stated Amount of such Letters of Credit is reduced upon the expiration or termination of such Letters of Credit, so that the Cash Collateral shall not exceed the Minimum Collateral Amount with respect to such Letters of Credit outstanding at any particular time) or (y) deliver to the applicable L/C Lender a standby letter of credit (other than a Letter of Credit) in favor of such L/C Lender in a stated amount not less than the Minimum Collateral Amount with respect to such Letters of Credit, which standby letter of credit shall be in form and substance, and issued by a financially sound financial institution, reasonably acceptable to such L/C Lender and the Administrative Agent. Except to the extent of reallocations of participations pursuant to clause (i) above, the occurrence of a R/C Maturity Date shall have no effect upon (and shall not diminish) the percentage participations of the Revolving Lenders of the relevant Tranche in any Letter of Credit issued before such R/C Maturity Date. For the avoidance of doubt, the parties hereto agree that upon the occurrence of any reallocations of participations pursuant to clause (i) above and, if necessary, the taking of the actions in described clause (ii) above, all participations in Letters of Credit under the terminated Revolving Commitments shall terminate.</w:t>
      </w:r>
    </w:p>
    <w:p>
      <w:pPr>
        <w:spacing w:after="0" w:line="183"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6"/>
          <w:szCs w:val="16"/>
          <w:b w:val="1"/>
          <w:bCs w:val="1"/>
          <w:color w:val="auto"/>
        </w:rPr>
        <w:t>Replacement of Lenders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1" w:lineRule="auto"/>
        <w:tabs>
          <w:tab w:leader="none" w:pos="1098" w:val="left"/>
        </w:tabs>
        <w:numPr>
          <w:ilvl w:val="0"/>
          <w:numId w:val="90"/>
        </w:numPr>
        <w:rPr>
          <w:rFonts w:ascii="Arial" w:cs="Arial" w:eastAsia="Arial" w:hAnsi="Arial"/>
          <w:sz w:val="17"/>
          <w:szCs w:val="17"/>
          <w:color w:val="auto"/>
        </w:rPr>
      </w:pPr>
      <w:r>
        <w:rPr>
          <w:rFonts w:ascii="Arial" w:cs="Arial" w:eastAsia="Arial" w:hAnsi="Arial"/>
          <w:sz w:val="17"/>
          <w:szCs w:val="17"/>
          <w:color w:val="auto"/>
        </w:rPr>
        <w:t>Borrower shall have the right to replace any Lender (the “</w:t>
      </w:r>
      <w:r>
        <w:rPr>
          <w:rFonts w:ascii="Arial" w:cs="Arial" w:eastAsia="Arial" w:hAnsi="Arial"/>
          <w:sz w:val="17"/>
          <w:szCs w:val="17"/>
          <w:b w:val="1"/>
          <w:bCs w:val="1"/>
          <w:color w:val="auto"/>
        </w:rPr>
        <w:t>Replaced Lender</w:t>
      </w:r>
      <w:r>
        <w:rPr>
          <w:rFonts w:ascii="Arial" w:cs="Arial" w:eastAsia="Arial" w:hAnsi="Arial"/>
          <w:sz w:val="17"/>
          <w:szCs w:val="17"/>
          <w:color w:val="auto"/>
        </w:rPr>
        <w:t>”) with one or more other Eligible Assignees (collectively, the “</w:t>
      </w:r>
      <w:r>
        <w:rPr>
          <w:rFonts w:ascii="Arial" w:cs="Arial" w:eastAsia="Arial" w:hAnsi="Arial"/>
          <w:sz w:val="17"/>
          <w:szCs w:val="17"/>
          <w:b w:val="1"/>
          <w:bCs w:val="1"/>
          <w:color w:val="auto"/>
        </w:rPr>
        <w:t>Replacement Lender</w:t>
      </w:r>
      <w:r>
        <w:rPr>
          <w:rFonts w:ascii="Arial" w:cs="Arial" w:eastAsia="Arial" w:hAnsi="Arial"/>
          <w:sz w:val="17"/>
          <w:szCs w:val="17"/>
          <w:color w:val="auto"/>
        </w:rPr>
        <w:t>”), if (x) such Lender is charging Borrower increased costs pursuant to Section 5.01 or 5.06 or such Lender becomes incapable of making LIBOR Loans as provided in Section 5.03 when other Lenders are generally able to do so, (y) such Lender is a Defaulting Lender or (z) such Lender is subject to Disqualification (and such Lender is notified by Borrower and Administrative Agent in writing of such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01" w:right="239" w:bottom="1440" w:gutter="0" w:footer="0" w:header="0"/>
        </w:sectPr>
      </w:pPr>
    </w:p>
    <w:bookmarkStart w:id="154" w:name="page155"/>
    <w:bookmarkEnd w:id="154"/>
    <w:p>
      <w:pPr>
        <w:jc w:val="both"/>
        <w:spacing w:after="0" w:line="284" w:lineRule="auto"/>
        <w:rPr>
          <w:sz w:val="20"/>
          <w:szCs w:val="20"/>
          <w:color w:val="auto"/>
        </w:rPr>
      </w:pPr>
      <w:r>
        <w:rPr>
          <w:rFonts w:ascii="Arial" w:cs="Arial" w:eastAsia="Arial" w:hAnsi="Arial"/>
          <w:sz w:val="16"/>
          <w:szCs w:val="16"/>
          <w:color w:val="auto"/>
        </w:rPr>
        <w:t xml:space="preserve">Disqualification);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 at the time of any such replacement, the Replacement Lender shall enter into one or more Assignment Agreements (and with all fees payable pursuant to Section 13.05(b) to be paid by the Replacement Lender or Borrower) pursuant to which the Replacement Lender shall acquire all of the Commitments and outstanding Loans of, and in each case L/C Interests of, the Replaced Lender (or if the Replaced Lender is being replaced as a result of being a Defaulting Lender, then the Replacement Lender shall acquire all Revolving Commitments, Revolving Loans and L/C Interests of such Replaced Lender under one or more Tranches of Revolving Commitments or, at the option of Borrower and such Replacement Lender, all other Loans and Commitments held by such Defaulting Lender), (ii) at the time of any such replacement, the Replaced Lender shall receive an amount equal to the sum of (A) the principal of, and all accrued interest on, all outstanding Loans of such Lender (other than any Loans not being acquired by a Replacement Lender),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Section 2.05 with respect to the Loans being assigned, as the case may be and (iii) all obligations of Borrower owing to such Replaced Lender (other than those specifically described in clause (i) above in respect of Replaced Lenders for which the assignment purchase price has been, or is concurrently being, paid, and other than those relating to Loans or Commitments not being acquired by a Replacement Lender, but including any amounts which would be paid to a Lender pursuant to Section 5.05 if Borrower were prepaying a LIBOR Loan), as applicable, shall be paid in full to such Replaced Lender, as applicable, concurrently with such replacement, as the case may be. Upon the execution of the respective Assignment Agreement, the payment of amounts referred to in clauses (i), (ii) and (iii) above, as applicable, the receipt of any consents that would be required for an assignment of the subject Loans and Commitments to such Replacement Lender in accordance with Section 13.05,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Arial" w:cs="Arial" w:eastAsia="Arial" w:hAnsi="Arial"/>
          <w:sz w:val="16"/>
          <w:szCs w:val="16"/>
          <w:i w:val="1"/>
          <w:iCs w:val="1"/>
          <w:color w:val="auto"/>
        </w:rPr>
        <w:t>provided</w:t>
      </w:r>
      <w:r>
        <w:rPr>
          <w:rFonts w:ascii="Arial" w:cs="Arial" w:eastAsia="Arial" w:hAnsi="Arial"/>
          <w:sz w:val="16"/>
          <w:szCs w:val="16"/>
          <w:color w:val="auto"/>
        </w:rPr>
        <w:t>, that if the applicable Replaced Lender does not execute the Assignment Agreement within three (3) Business Days after Borrower’s request, execution of such Assignment Agreement by the Replaced Lender shall not be required to effect such assignment.</w:t>
      </w:r>
    </w:p>
    <w:p>
      <w:pPr>
        <w:spacing w:after="0" w:line="180" w:lineRule="exact"/>
        <w:rPr>
          <w:sz w:val="20"/>
          <w:szCs w:val="20"/>
          <w:color w:val="auto"/>
        </w:rPr>
      </w:pPr>
    </w:p>
    <w:p>
      <w:pPr>
        <w:jc w:val="both"/>
        <w:ind w:firstLine="656"/>
        <w:spacing w:after="0" w:line="286" w:lineRule="auto"/>
        <w:tabs>
          <w:tab w:leader="none" w:pos="1181"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If any Lender is subject to a Disqualification (and such Lender is notified by Borrower and Administrative Agent in writing of such Disqualification), Borrower shall have the right to replace such Lender with a Replacement Lender in accordance with Section 2.11(a) or prepay the Loans held by such Lender, in each case, in accordance with any applicable provisions of Section 2.11(a), even if a Default or an Event of Default exists (notwithstanding anything contained in such Section 2.11(a) to the contrary). Any such prepayment shall be deemed an optional prepayment, as set forth in Section 2.09 and shall not be required to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respect to Loans of the same Tranche as the Loans held by such Lender. Notice to such Lender shall be given at least ten (10) days before the required date of transfer or prepayment (unless a shorter period is required by any Requirement of Law), as the case may be, and shall be accompanied by evidence demonstrating that such transfer or redemption is required pursuant to Gaming Laws. Upon receipt of a notice in accordance with the foregoing, the Replaced Lender shall cooperate with Borrower in effectuating the required transfer or prepayment within the time period set forth in such notice, not to be less than the minimum notice period set forth in the foregoing sentence (unless a shorter period is required under any Requirement of Law). Further, if the transfer or prepayment is triggered by notice from the Gaming Authority that the Lender is disqualified, commencing on the date the Gaming Authority provides the disqualification notice to Borrower, to the extent prohibited by law: (i) such Lender shall no longer receive any interest on the Loans; (ii) such Lender shall no longer exercise, directly or through any trustee or nominee, any right conferred by the Loans; and (iii) such Lender shall not receive any remuneration in any form from Borrower for services or otherwise in respect of the Loans.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801" w:right="239" w:bottom="1440" w:gutter="0" w:footer="0" w:header="0"/>
        </w:sectPr>
      </w:pPr>
    </w:p>
    <w:bookmarkStart w:id="155" w:name="page156"/>
    <w:bookmarkEnd w:id="155"/>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6"/>
          <w:szCs w:val="16"/>
          <w:b w:val="1"/>
          <w:bCs w:val="1"/>
          <w:color w:val="auto"/>
        </w:rPr>
        <w:t>Extensions of Loans and Commitments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4" w:lineRule="auto"/>
        <w:tabs>
          <w:tab w:leader="none" w:pos="1045" w:val="left"/>
        </w:tabs>
        <w:numPr>
          <w:ilvl w:val="0"/>
          <w:numId w:val="92"/>
        </w:numPr>
        <w:rPr>
          <w:rFonts w:ascii="Arial" w:cs="Arial" w:eastAsia="Arial" w:hAnsi="Arial"/>
          <w:sz w:val="16"/>
          <w:szCs w:val="16"/>
          <w:color w:val="auto"/>
        </w:rPr>
      </w:pPr>
      <w:r>
        <w:rPr>
          <w:rFonts w:ascii="Arial" w:cs="Arial" w:eastAsia="Arial" w:hAnsi="Arial"/>
          <w:sz w:val="16"/>
          <w:szCs w:val="16"/>
          <w:color w:val="auto"/>
        </w:rPr>
        <w:t>Borrower may, at any time request that all or a portion of the Term Loans of any Tranche (an “</w:t>
      </w:r>
      <w:r>
        <w:rPr>
          <w:rFonts w:ascii="Arial" w:cs="Arial" w:eastAsia="Arial" w:hAnsi="Arial"/>
          <w:sz w:val="16"/>
          <w:szCs w:val="16"/>
          <w:b w:val="1"/>
          <w:bCs w:val="1"/>
          <w:color w:val="auto"/>
        </w:rPr>
        <w:t>Existing Term Loan Tranche</w:t>
      </w:r>
      <w:r>
        <w:rPr>
          <w:rFonts w:ascii="Arial" w:cs="Arial" w:eastAsia="Arial" w:hAnsi="Arial"/>
          <w:sz w:val="16"/>
          <w:szCs w:val="16"/>
          <w:color w:val="auto"/>
        </w:rPr>
        <w:t>”) be modified to constitute another Tranche of Term Loans in order to extend the scheduled final maturity date thereof (any such Term Loans which have been so modified, “</w:t>
      </w:r>
      <w:r>
        <w:rPr>
          <w:rFonts w:ascii="Arial" w:cs="Arial" w:eastAsia="Arial" w:hAnsi="Arial"/>
          <w:sz w:val="16"/>
          <w:szCs w:val="16"/>
          <w:b w:val="1"/>
          <w:bCs w:val="1"/>
          <w:color w:val="auto"/>
        </w:rPr>
        <w:t>Extended Term Loans</w:t>
      </w:r>
      <w:r>
        <w:rPr>
          <w:rFonts w:ascii="Arial" w:cs="Arial" w:eastAsia="Arial" w:hAnsi="Arial"/>
          <w:sz w:val="16"/>
          <w:szCs w:val="16"/>
          <w:color w:val="auto"/>
        </w:rPr>
        <w:t>”) and to provide for other terms consistent with this Section 2.13. In order to establish any Extended Term Loans, Borrower shall provide a notice to Administrative Agent (who shall provide a copy of such notice to each of the Lenders of the applicable Existing Term Loan Tranche) (a “</w:t>
      </w:r>
      <w:r>
        <w:rPr>
          <w:rFonts w:ascii="Arial" w:cs="Arial" w:eastAsia="Arial" w:hAnsi="Arial"/>
          <w:sz w:val="16"/>
          <w:szCs w:val="16"/>
          <w:b w:val="1"/>
          <w:bCs w:val="1"/>
          <w:color w:val="auto"/>
        </w:rPr>
        <w:t>Term Loan Extension Request</w:t>
      </w:r>
      <w:r>
        <w:rPr>
          <w:rFonts w:ascii="Arial" w:cs="Arial" w:eastAsia="Arial" w:hAnsi="Arial"/>
          <w:sz w:val="16"/>
          <w:szCs w:val="16"/>
          <w:color w:val="auto"/>
        </w:rPr>
        <w:t xml:space="preserve">”) setting forth the proposed terms of the Extended Term Loans to be established, which terms shall be identical to those applicable to the Term Loans of the Existing Term Loan Tranche from which they are to be modified except (i) the scheduled final maturity date shall be extended to the date set forth in the applicable Extension Amendment and the amortization shall be as set forth in the Extension Amendment, (ii) (A) the Applicable Margins with respect to the Extended Term Loans may be higher or lower than the Applicable Margins for the Term Loans of such Existing Term Loan Tranche and/or (B) additional fees (including prepayment or termination premiums) may be payable to the Lenders providing such Extended Term Loans in addition to or in lieu of any increased Applicable Margins contemplated by the preceding clause (A), in each case, to the extent provided in the applicable Extension Amendment, (iii) any Extended Term Loans may participate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a less than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(but not greater than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basis) in any optional or mandatory prepayments or prepayment of Term Loans hereunder in each case as specified in the respective Term Loan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Extension Request, (iv) the final maturity date and the scheduled amortization applicable to the Extended Term Loans shall be set forth in the applicable Extension Amendment and the scheduled amortization of such Existing Term Loan Tranche shall be adjusted to reflect the amortization schedule (including the principal amounts payable pursuant thereto) in respect of the Term Loans under such Existing Term Loan Tranche that have been extended as Extended Term Loans as set forth in the applicable Extension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Weighted Average Life to Maturity of such Extended Term Loans shall be no shorter than the Weighted Average Life to Maturity of the Term Loans of such Existing Term Loan Tranche and (v) the covenants set forth in Section 10.08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(it being understood that each Lender providing Extended Term Loans, by executing an Extension Amendment, agrees to be bound by such provisions and waives any inconsistent provisions set forth in Section 4.02, 4.07(b) or 13.04). Except as provided above, each Lender holding Extended Term Loans shall be entitled to all the benefits afforded by this Agreement (including, without limitation, the provisions set forth in Section 2.09(b) and 2.10(b) applicable to Term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Term Loans, including, without limitation, the procurement of title insurance endorsements reasonably requested by and satisfactory to the Administrative Agent. No Lender shall have any obligation to agree to have any of its Term Loans of any Existing Term Loan Tranche modified to constitute Extended Term Loans pursuant to any Term Loan Extension Request. Any Extended Term Loans of any Extension Tranche shall constitute a separate Tranche and Class of Term Loans from the Existing Term Loan Tranche from which they were modified.</w:t>
      </w:r>
    </w:p>
    <w:p>
      <w:pPr>
        <w:spacing w:after="0" w:line="168" w:lineRule="exact"/>
        <w:rPr>
          <w:rFonts w:ascii="Arial" w:cs="Arial" w:eastAsia="Arial" w:hAnsi="Arial"/>
          <w:sz w:val="16"/>
          <w:szCs w:val="16"/>
          <w:color w:val="auto"/>
        </w:rPr>
      </w:pPr>
    </w:p>
    <w:p>
      <w:pPr>
        <w:jc w:val="both"/>
        <w:ind w:firstLine="656"/>
        <w:spacing w:after="0" w:line="254" w:lineRule="auto"/>
        <w:tabs>
          <w:tab w:leader="none" w:pos="10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Borrower may, at any time request that all or a portion of the Revolving Commitments of any Tranche (an “</w:t>
      </w:r>
      <w:r>
        <w:rPr>
          <w:rFonts w:ascii="Arial" w:cs="Arial" w:eastAsia="Arial" w:hAnsi="Arial"/>
          <w:sz w:val="18"/>
          <w:szCs w:val="18"/>
          <w:b w:val="1"/>
          <w:bCs w:val="1"/>
          <w:color w:val="auto"/>
        </w:rPr>
        <w:t>Existing Revolving Tranche</w:t>
      </w:r>
      <w:r>
        <w:rPr>
          <w:rFonts w:ascii="Arial" w:cs="Arial" w:eastAsia="Arial" w:hAnsi="Arial"/>
          <w:sz w:val="18"/>
          <w:szCs w:val="18"/>
          <w:color w:val="auto"/>
        </w:rPr>
        <w:t>” and any related Revolving Loans thereunder, “</w:t>
      </w:r>
      <w:r>
        <w:rPr>
          <w:rFonts w:ascii="Arial" w:cs="Arial" w:eastAsia="Arial" w:hAnsi="Arial"/>
          <w:sz w:val="18"/>
          <w:szCs w:val="18"/>
          <w:b w:val="1"/>
          <w:bCs w:val="1"/>
          <w:color w:val="auto"/>
        </w:rPr>
        <w:t>Existing Revolving Loans</w:t>
      </w:r>
      <w:r>
        <w:rPr>
          <w:rFonts w:ascii="Arial" w:cs="Arial" w:eastAsia="Arial" w:hAnsi="Arial"/>
          <w:sz w:val="18"/>
          <w:szCs w:val="18"/>
          <w:color w:val="auto"/>
        </w:rPr>
        <w:t>”) be modified to constitute another Tranche of Revolving Commitments in order to extend the termination date thereof (any such Revolving Commitments which have been so modified, “</w:t>
      </w:r>
      <w:r>
        <w:rPr>
          <w:rFonts w:ascii="Arial" w:cs="Arial" w:eastAsia="Arial" w:hAnsi="Arial"/>
          <w:sz w:val="18"/>
          <w:szCs w:val="18"/>
          <w:b w:val="1"/>
          <w:bCs w:val="1"/>
          <w:color w:val="auto"/>
        </w:rPr>
        <w:t>Extended Revolving Commitments</w:t>
      </w:r>
      <w:r>
        <w:rPr>
          <w:rFonts w:ascii="Arial" w:cs="Arial" w:eastAsia="Arial" w:hAnsi="Arial"/>
          <w:sz w:val="18"/>
          <w:szCs w:val="18"/>
          <w:color w:val="auto"/>
        </w:rPr>
        <w:t>” and any related Revolving Loans, “</w:t>
      </w:r>
      <w:r>
        <w:rPr>
          <w:rFonts w:ascii="Arial" w:cs="Arial" w:eastAsia="Arial" w:hAnsi="Arial"/>
          <w:sz w:val="18"/>
          <w:szCs w:val="18"/>
          <w:b w:val="1"/>
          <w:bCs w:val="1"/>
          <w:color w:val="auto"/>
        </w:rPr>
        <w:t>Extended Revolving Loans</w:t>
      </w:r>
      <w:r>
        <w:rPr>
          <w:rFonts w:ascii="Arial" w:cs="Arial" w:eastAsia="Arial" w:hAnsi="Arial"/>
          <w:sz w:val="18"/>
          <w:szCs w:val="18"/>
          <w:color w:val="auto"/>
        </w:rPr>
        <w:t>”) and to provide for other terms consistent with this Section 2.13. In order to establish any Extended Revolving Commitments, Borrower shall provide a notice to Administrative Agent (who shall provide a copy of such notice to each of the Lenders of the applicable Existing Revolving Tranche) (a “</w:t>
      </w:r>
      <w:r>
        <w:rPr>
          <w:rFonts w:ascii="Arial" w:cs="Arial" w:eastAsia="Arial" w:hAnsi="Arial"/>
          <w:sz w:val="18"/>
          <w:szCs w:val="18"/>
          <w:b w:val="1"/>
          <w:bCs w:val="1"/>
          <w:color w:val="auto"/>
        </w:rPr>
        <w:t>Revolving Extension Request</w:t>
      </w:r>
      <w:r>
        <w:rPr>
          <w:rFonts w:ascii="Arial" w:cs="Arial" w:eastAsia="Arial" w:hAnsi="Arial"/>
          <w:sz w:val="18"/>
          <w:szCs w:val="18"/>
          <w:color w:val="auto"/>
        </w:rPr>
        <w:t>”) setting forth the proposed terms of the Extended Revolving Commitments to be established, which terms shall be identical to those applicable to the Revolving Commitments of the Existing Revolving Tranche from which they are to be modified except (i) the scheduled termination date of the Extended Revolving Commitments and the related scheduled maturity date of the related Extended Revolving Loans shall be extended to</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96" w:right="239" w:bottom="1440" w:gutter="0" w:footer="0" w:header="0"/>
        </w:sectPr>
      </w:pPr>
    </w:p>
    <w:bookmarkStart w:id="156" w:name="page157"/>
    <w:bookmarkEnd w:id="156"/>
    <w:p>
      <w:pPr>
        <w:jc w:val="both"/>
        <w:spacing w:after="0" w:line="267" w:lineRule="auto"/>
        <w:rPr>
          <w:sz w:val="20"/>
          <w:szCs w:val="20"/>
          <w:color w:val="auto"/>
        </w:rPr>
      </w:pPr>
      <w:r>
        <w:rPr>
          <w:rFonts w:ascii="Arial" w:cs="Arial" w:eastAsia="Arial" w:hAnsi="Arial"/>
          <w:sz w:val="17"/>
          <w:szCs w:val="17"/>
          <w:color w:val="auto"/>
        </w:rPr>
        <w:t>the date set forth in the applicable Extension Amendment, (ii) (A) the Applicable Margins with respect to the Extended Revolving Loans may be higher or lower than the Applicable Margins for the Revolving Loans of such Existing Revolving Tranche and/or (B) additional fees may be payable to the Lenders providing such Extended Revolving Commitments in addition to or in lieu of any increased Applicable Margins contemplated by the preceding clause (A), in each case, to the extent provided in the applicable Extension Amendment, (iii) the Applicable Fee Percentage with respect to the Extended Revolving Commitments may be higher or lower than the Applicable Fee Percentage for the Revolving Commitments of such Existing Revolving Tranche and (iv) the covenants set forth in Section 10.08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(it being understood that each Lender providing Extended Revolving Commitments, by executing an Extension Amendment, agrees to be bound by such provisions and waives any inconsistent provisions set forth in Section 4.02, 4.07(b) or 13.04). Except as provided above, each Lender holding Extended Revolving Commitments shall be entitled to all the benefits afforded by this Agreement (including, without limitation, the provisions set forth in Sections 2.09(b) and 2.10(b) applicable to existing Revolving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Revolving Commitments, including, without limitation, the procurement of title insurance endorsements reasonably requested by and satisfactory to the Administrative Agent. No Lender shall have any obligation to agree to have any of its Revolving Commitments of any Existing Revolving Tranche modified to constitute Extended Revolving Commitments pursuant to any Revolving Extension Request. Any Extended Revolving Commitments of any Extension Tranche shall constitute a separate Tranche and Class of Revolving Commitments from the Existing Revolving Tranche from which they were modified. If, on any Extension Date, any Revolving Loans of any Extending Lender are outstanding under the applicable Existing Revolving Tranche, such Revolving Loans (and any related participations) shall be deemed to be allocated as Extended Revolving Loans (and related participations) and Existing Revolving Loans (and related participations) in the same proportion as such Extending Lender’s Extended Revolving Commitments bear to its remaining Revolving Commitments of the Existing Revolving Tranche.</w:t>
      </w:r>
    </w:p>
    <w:p>
      <w:pPr>
        <w:spacing w:after="0" w:line="186" w:lineRule="exact"/>
        <w:rPr>
          <w:sz w:val="20"/>
          <w:szCs w:val="20"/>
          <w:color w:val="auto"/>
        </w:rPr>
      </w:pPr>
    </w:p>
    <w:p>
      <w:pPr>
        <w:jc w:val="both"/>
        <w:ind w:firstLine="656"/>
        <w:spacing w:after="0" w:line="287" w:lineRule="auto"/>
        <w:tabs>
          <w:tab w:leader="none" w:pos="1051" w:val="left"/>
        </w:tabs>
        <w:numPr>
          <w:ilvl w:val="0"/>
          <w:numId w:val="93"/>
        </w:numPr>
        <w:rPr>
          <w:rFonts w:ascii="Arial" w:cs="Arial" w:eastAsia="Arial" w:hAnsi="Arial"/>
          <w:sz w:val="16"/>
          <w:szCs w:val="16"/>
          <w:color w:val="auto"/>
        </w:rPr>
      </w:pPr>
      <w:r>
        <w:rPr>
          <w:rFonts w:ascii="Arial" w:cs="Arial" w:eastAsia="Arial" w:hAnsi="Arial"/>
          <w:sz w:val="16"/>
          <w:szCs w:val="16"/>
          <w:color w:val="auto"/>
        </w:rPr>
        <w:t>Borrower shall provide the applicable Extension Request at least five (5) Business Days prior to the date on which Lenders under the Existing Tranche are requested to respond (or such shorter period as is agreed to by Administrative Agent in its sole discretion). Any Lender (an “</w:t>
      </w:r>
      <w:r>
        <w:rPr>
          <w:rFonts w:ascii="Arial" w:cs="Arial" w:eastAsia="Arial" w:hAnsi="Arial"/>
          <w:sz w:val="16"/>
          <w:szCs w:val="16"/>
          <w:b w:val="1"/>
          <w:bCs w:val="1"/>
          <w:color w:val="auto"/>
        </w:rPr>
        <w:t>Extending Lender</w:t>
      </w:r>
      <w:r>
        <w:rPr>
          <w:rFonts w:ascii="Arial" w:cs="Arial" w:eastAsia="Arial" w:hAnsi="Arial"/>
          <w:sz w:val="16"/>
          <w:szCs w:val="16"/>
          <w:color w:val="auto"/>
        </w:rPr>
        <w:t>”) wishing to have all or a portion of its Term Loans or Revolving Commitments of the Existing Tranche subject to such Extension Request modified to constitute Extended Term Loans or Extended Revolving Commitments, as applicable, shall notify Administrative Agent (an “</w:t>
      </w:r>
      <w:r>
        <w:rPr>
          <w:rFonts w:ascii="Arial" w:cs="Arial" w:eastAsia="Arial" w:hAnsi="Arial"/>
          <w:sz w:val="16"/>
          <w:szCs w:val="16"/>
          <w:b w:val="1"/>
          <w:bCs w:val="1"/>
          <w:color w:val="auto"/>
        </w:rPr>
        <w:t>Extension Election</w:t>
      </w:r>
      <w:r>
        <w:rPr>
          <w:rFonts w:ascii="Arial" w:cs="Arial" w:eastAsia="Arial" w:hAnsi="Arial"/>
          <w:sz w:val="16"/>
          <w:szCs w:val="16"/>
          <w:color w:val="auto"/>
        </w:rPr>
        <w:t xml:space="preserve">”) on or prior to the date specified in such Extension Request of the amount of its Term Loans or Revolving Commitments of the Existing Tranche that it has elected to modify to constitute Extended Term Loans or Extended Revolving Commitments, as applicable. In the event that the aggregate amount of Term Loans or Revolving Commitments of the Existing Tranche subject to Extension Elections exceeds the amount of Extended Term Loans or Extended Revolving Commitments, as applicable, requested pursuant to the Extension Request, Term Loans or Revolving Commitments subject to such Extension Elections shall be modified to constitute Extended Term Loans or Extended Revolving Commitments, as applicable,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amount of Term Loans or Revolving Commitments included in such Extension Elections. Borrower shall have the right to withdraw any Extension Request upon written notice to Administrative Agent in the event that the aggregate amount of Term Loans or Revolving Commitments of the Existing Tranche subject to such Extension Request is less than the amount of Extended Term Loans or Extended Revolving Commitments, as applicable, requested pursuant to such Extension Request.</w:t>
      </w:r>
    </w:p>
    <w:p>
      <w:pPr>
        <w:spacing w:after="0" w:line="164" w:lineRule="exact"/>
        <w:rPr>
          <w:rFonts w:ascii="Arial" w:cs="Arial" w:eastAsia="Arial" w:hAnsi="Arial"/>
          <w:sz w:val="16"/>
          <w:szCs w:val="16"/>
          <w:color w:val="auto"/>
        </w:rPr>
      </w:pPr>
    </w:p>
    <w:p>
      <w:pPr>
        <w:jc w:val="both"/>
        <w:ind w:firstLine="656"/>
        <w:spacing w:after="0" w:line="295" w:lineRule="auto"/>
        <w:tabs>
          <w:tab w:leader="none" w:pos="111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Extended Term Loans or Extended Revolving Commitments, as applicable, shall be established pursuant to an amendment (an “</w:t>
      </w:r>
      <w:r>
        <w:rPr>
          <w:rFonts w:ascii="Arial" w:cs="Arial" w:eastAsia="Arial" w:hAnsi="Arial"/>
          <w:sz w:val="16"/>
          <w:szCs w:val="16"/>
          <w:b w:val="1"/>
          <w:bCs w:val="1"/>
          <w:color w:val="auto"/>
        </w:rPr>
        <w:t>Extension</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w:t>
      </w:r>
      <w:r>
        <w:rPr>
          <w:rFonts w:ascii="Arial" w:cs="Arial" w:eastAsia="Arial" w:hAnsi="Arial"/>
          <w:sz w:val="16"/>
          <w:szCs w:val="16"/>
          <w:color w:val="auto"/>
        </w:rPr>
        <w:t>”) to this Agreement (which shall be substantially in the form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P</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Q</w:t>
      </w:r>
      <w:r>
        <w:rPr>
          <w:rFonts w:ascii="Arial" w:cs="Arial" w:eastAsia="Arial" w:hAnsi="Arial"/>
          <w:sz w:val="16"/>
          <w:szCs w:val="16"/>
          <w:b w:val="1"/>
          <w:bCs w:val="1"/>
          <w:color w:val="auto"/>
        </w:rPr>
        <w:t xml:space="preserve"> </w:t>
      </w:r>
      <w:r>
        <w:rPr>
          <w:rFonts w:ascii="Arial" w:cs="Arial" w:eastAsia="Arial" w:hAnsi="Arial"/>
          <w:sz w:val="16"/>
          <w:szCs w:val="16"/>
          <w:color w:val="auto"/>
        </w:rPr>
        <w:t>to this Agreement, as applicable, or, in each case, such</w:t>
      </w:r>
      <w:r>
        <w:rPr>
          <w:rFonts w:ascii="Arial" w:cs="Arial" w:eastAsia="Arial" w:hAnsi="Arial"/>
          <w:sz w:val="16"/>
          <w:szCs w:val="16"/>
          <w:b w:val="1"/>
          <w:bCs w:val="1"/>
          <w:color w:val="auto"/>
        </w:rPr>
        <w:t xml:space="preserve"> </w:t>
      </w:r>
      <w:r>
        <w:rPr>
          <w:rFonts w:ascii="Arial" w:cs="Arial" w:eastAsia="Arial" w:hAnsi="Arial"/>
          <w:sz w:val="16"/>
          <w:szCs w:val="16"/>
          <w:color w:val="auto"/>
        </w:rPr>
        <w:t>other form as is reasonably acceptable to Administrative Agent). Each Extension Amendment shall be executed by Borrower, Administrative Agent and the Extending Lenders (it being understood that such Extension Amendment shall not require the consent of any Lender other than (A) the Extending Lenders with respect to the Extended Term Loans or Extended Revolving Commitments, as applicable, established thereby and (B) with respect to any extension of the Revolving Commitments that results in an extension of an L/C Lender’s obligations with respect to Letters of Credit, the consent of such L/C Lender). 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800" w:right="239" w:bottom="1440" w:gutter="0" w:footer="0" w:header="0"/>
        </w:sectPr>
      </w:pPr>
    </w:p>
    <w:bookmarkStart w:id="157" w:name="page158"/>
    <w:bookmarkEnd w:id="157"/>
    <w:p>
      <w:pPr>
        <w:jc w:val="both"/>
        <w:spacing w:after="0" w:line="272" w:lineRule="auto"/>
        <w:rPr>
          <w:sz w:val="20"/>
          <w:szCs w:val="20"/>
          <w:color w:val="auto"/>
        </w:rPr>
      </w:pPr>
      <w:r>
        <w:rPr>
          <w:rFonts w:ascii="Arial" w:cs="Arial" w:eastAsia="Arial" w:hAnsi="Arial"/>
          <w:sz w:val="17"/>
          <w:szCs w:val="17"/>
          <w:color w:val="auto"/>
        </w:rPr>
        <w:t>Extension Amendment may, subject to Sections 2.13(a) and (b), without the consent of any other Lenders, effect such amendments to this Agreement and the other Credit Documents as may be necessary or advisable, in the reasonable opinion of Administrative Agent and Borrower, to effect the provisions of this Section 2.13 (including, without limitation, (A) amendments to Section 2.04(b)(iii) and Section 2.09(b)(i) to permit reductions of Tranches of Revolving Commitments (and prepayments of the related Revolving Loans) with an R/C Maturity Date prior to the R/C Maturity Date applicable to a Tranche of Extended Revolving Commitments without a concurrent reduction of such Tranche of Extended Revolving Commitments and (B) such other technical amendments as may be necessary or advisable, in the reasonable opinion of Administrative Agent and Borrower, to give effect to the terms and provisions of any Extended Term Loans or Extended Revolving Commitments, as applicable).</w:t>
      </w:r>
    </w:p>
    <w:p>
      <w:pPr>
        <w:spacing w:after="0" w:line="17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2.14.</w:t>
      </w:r>
      <w:r>
        <w:rPr>
          <w:sz w:val="20"/>
          <w:szCs w:val="20"/>
          <w:color w:val="auto"/>
        </w:rPr>
        <w:tab/>
      </w:r>
      <w:r>
        <w:rPr>
          <w:rFonts w:ascii="Arial" w:cs="Arial" w:eastAsia="Arial" w:hAnsi="Arial"/>
          <w:sz w:val="16"/>
          <w:szCs w:val="16"/>
          <w:b w:val="1"/>
          <w:bCs w:val="1"/>
          <w:color w:val="auto"/>
        </w:rPr>
        <w:t>Defaulting Lender Provisions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7" w:lineRule="auto"/>
        <w:tabs>
          <w:tab w:leader="none" w:pos="1073"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if a Lender becomes, and during the period it remains, a Defaulting Lender, the following provisions shall apply:</w:t>
      </w:r>
    </w:p>
    <w:p>
      <w:pPr>
        <w:spacing w:after="0" w:line="170" w:lineRule="exact"/>
        <w:rPr>
          <w:rFonts w:ascii="Arial" w:cs="Arial" w:eastAsia="Arial" w:hAnsi="Arial"/>
          <w:sz w:val="18"/>
          <w:szCs w:val="18"/>
          <w:color w:val="auto"/>
        </w:rPr>
      </w:pPr>
    </w:p>
    <w:p>
      <w:pPr>
        <w:jc w:val="both"/>
        <w:ind w:left="660" w:firstLine="645"/>
        <w:spacing w:after="0" w:line="253" w:lineRule="auto"/>
        <w:tabs>
          <w:tab w:leader="none" w:pos="1731"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the L/C Liabilities of such Defaulting Lender will, subject to the limitation in the first proviso below, automatically be reallocated (effective on the day such Lender becomes a Defaulting Lender) among the Non-Defaulting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their respective Revolving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sum of each Non-Defaulting Lender’s total Revolving Exposure may not in any event exceed the Revolving Commitment of such Non-Defaulting Lender as in effect at the time of such reallocation, (ii) </w:t>
      </w:r>
      <w:r>
        <w:rPr>
          <w:rFonts w:ascii="Arial" w:cs="Arial" w:eastAsia="Arial" w:hAnsi="Arial"/>
          <w:sz w:val="18"/>
          <w:szCs w:val="18"/>
          <w:b w:val="1"/>
          <w:bCs w:val="1"/>
          <w:u w:val="single" w:color="auto"/>
          <w:color w:val="0000FF"/>
        </w:rPr>
        <w:t>subject to Section 13.21,</w:t>
      </w:r>
      <w:r>
        <w:rPr>
          <w:rFonts w:ascii="Arial" w:cs="Arial" w:eastAsia="Arial" w:hAnsi="Arial"/>
          <w:sz w:val="18"/>
          <w:szCs w:val="18"/>
          <w:color w:val="auto"/>
        </w:rPr>
        <w:t xml:space="preserve"> neither such reallocation nor any payment by a Non-Defaulting Lender pursuant thereto will constitute a waiver or release of any claim Borrower, Administrative Agent, any L/C Lender or any other Lender may have against such Defaulting Lender or cause such Defaulting Lender to be a Non-Defaulting Lender and (iii) no Event of Default shall exist and be continuing at the time of such reallocation (and, unless Borrower shall have otherwise notified the Administrative Agent at such time, Borrower shall be deemed to have represented and warranted that no Event of Default exists and is continuing at such time);</w:t>
      </w:r>
    </w:p>
    <w:p>
      <w:pPr>
        <w:spacing w:after="0" w:line="193" w:lineRule="exact"/>
        <w:rPr>
          <w:rFonts w:ascii="Arial" w:cs="Arial" w:eastAsia="Arial" w:hAnsi="Arial"/>
          <w:sz w:val="18"/>
          <w:szCs w:val="18"/>
          <w:color w:val="auto"/>
        </w:rPr>
      </w:pPr>
    </w:p>
    <w:p>
      <w:pPr>
        <w:jc w:val="both"/>
        <w:ind w:left="660" w:firstLine="645"/>
        <w:spacing w:after="0" w:line="256" w:lineRule="auto"/>
        <w:tabs>
          <w:tab w:leader="none" w:pos="1787" w:val="left"/>
        </w:tabs>
        <w:numPr>
          <w:ilvl w:val="1"/>
          <w:numId w:val="94"/>
        </w:numPr>
        <w:rPr>
          <w:rFonts w:ascii="Arial" w:cs="Arial" w:eastAsia="Arial" w:hAnsi="Arial"/>
          <w:sz w:val="18"/>
          <w:szCs w:val="18"/>
          <w:color w:val="auto"/>
        </w:rPr>
      </w:pPr>
      <w:r>
        <w:rPr>
          <w:rFonts w:ascii="Arial" w:cs="Arial" w:eastAsia="Arial" w:hAnsi="Arial"/>
          <w:sz w:val="18"/>
          <w:szCs w:val="18"/>
          <w:color w:val="auto"/>
        </w:rPr>
        <w:t>to the extent that any portion (the “</w:t>
      </w:r>
      <w:r>
        <w:rPr>
          <w:rFonts w:ascii="Arial" w:cs="Arial" w:eastAsia="Arial" w:hAnsi="Arial"/>
          <w:sz w:val="18"/>
          <w:szCs w:val="18"/>
          <w:b w:val="1"/>
          <w:bCs w:val="1"/>
          <w:color w:val="auto"/>
        </w:rPr>
        <w:t>un-reallocated portion</w:t>
      </w:r>
      <w:r>
        <w:rPr>
          <w:rFonts w:ascii="Arial" w:cs="Arial" w:eastAsia="Arial" w:hAnsi="Arial"/>
          <w:sz w:val="18"/>
          <w:szCs w:val="18"/>
          <w:color w:val="auto"/>
        </w:rPr>
        <w:t>”) of the Defaulting Lender’s L/C Liabilities cannot be so reallocated, whether by reason of the first proviso in clause (a) above or otherwise, Borrower will, not later than three (3) Business Days after demand by Administrative Agent (at the direction of any L/C Lender), (i) Cash Collateralize the obligations of Borrower to the L/C Lender in respect of such L/C Liabilities, in an amount at least equal to the aggregate amount of the un-reallocated portion of such L/C Liabilities, or (ii) make other arrangements satisfactory to Administrative Agent, and to the applicable L/C Lender, as the case may be, in their sole discretion to protect them against the risk of non-payment by such Defaulting Lender;</w:t>
      </w:r>
    </w:p>
    <w:p>
      <w:pPr>
        <w:spacing w:after="0" w:line="191" w:lineRule="exact"/>
        <w:rPr>
          <w:rFonts w:ascii="Arial" w:cs="Arial" w:eastAsia="Arial" w:hAnsi="Arial"/>
          <w:sz w:val="18"/>
          <w:szCs w:val="18"/>
          <w:color w:val="auto"/>
        </w:rPr>
      </w:pPr>
    </w:p>
    <w:p>
      <w:pPr>
        <w:ind w:left="1760" w:hanging="455"/>
        <w:spacing w:after="0"/>
        <w:tabs>
          <w:tab w:leader="none" w:pos="17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Borrower shall not be required to pay any fees to such Defaulting Lender under Section 2.05(a); and</w:t>
      </w:r>
    </w:p>
    <w:p>
      <w:pPr>
        <w:spacing w:after="0" w:line="225" w:lineRule="exact"/>
        <w:rPr>
          <w:rFonts w:ascii="Arial" w:cs="Arial" w:eastAsia="Arial" w:hAnsi="Arial"/>
          <w:sz w:val="18"/>
          <w:szCs w:val="18"/>
          <w:color w:val="auto"/>
        </w:rPr>
      </w:pPr>
    </w:p>
    <w:p>
      <w:pPr>
        <w:jc w:val="both"/>
        <w:ind w:left="660" w:firstLine="645"/>
        <w:spacing w:after="0" w:line="269" w:lineRule="auto"/>
        <w:tabs>
          <w:tab w:leader="none" w:pos="1758" w:val="left"/>
        </w:tabs>
        <w:numPr>
          <w:ilvl w:val="1"/>
          <w:numId w:val="94"/>
        </w:numPr>
        <w:rPr>
          <w:rFonts w:ascii="Arial" w:cs="Arial" w:eastAsia="Arial" w:hAnsi="Arial"/>
          <w:sz w:val="17"/>
          <w:szCs w:val="17"/>
          <w:color w:val="auto"/>
        </w:rPr>
      </w:pPr>
      <w:r>
        <w:rPr>
          <w:rFonts w:ascii="Arial" w:cs="Arial" w:eastAsia="Arial" w:hAnsi="Arial"/>
          <w:sz w:val="17"/>
          <w:szCs w:val="17"/>
          <w:color w:val="auto"/>
        </w:rPr>
        <w:t xml:space="preserve">any payment of principal, interest, fees or other amounts received by Administrative Agent for the account of such Defaulting Lender (whether voluntary or mandatory, at maturity, pursuant to Article 11 or otherwise) or received by Administrative Agent from a Defaulting Lender pursuant to Section 4.07 shall be applied at such time or times as may be determined by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the payment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of any amounts owing by such Defaulting Lender to any L/C Lender hereunder; </w:t>
      </w:r>
      <w:r>
        <w:rPr>
          <w:rFonts w:ascii="Arial" w:cs="Arial" w:eastAsia="Arial" w:hAnsi="Arial"/>
          <w:sz w:val="17"/>
          <w:szCs w:val="17"/>
          <w:i w:val="1"/>
          <w:iCs w:val="1"/>
          <w:color w:val="auto"/>
        </w:rPr>
        <w:t>third</w:t>
      </w:r>
      <w:r>
        <w:rPr>
          <w:rFonts w:ascii="Arial" w:cs="Arial" w:eastAsia="Arial" w:hAnsi="Arial"/>
          <w:sz w:val="17"/>
          <w:szCs w:val="17"/>
          <w:color w:val="auto"/>
        </w:rPr>
        <w:t xml:space="preserve">, if so determined by Administrative Agent or requested by the applicable L/C Lender, to be held as Cash Collateral for future funding obligations of that Defaulting Lender of any participation in any Letter of Credit; </w:t>
      </w:r>
      <w:r>
        <w:rPr>
          <w:rFonts w:ascii="Arial" w:cs="Arial" w:eastAsia="Arial" w:hAnsi="Arial"/>
          <w:sz w:val="17"/>
          <w:szCs w:val="17"/>
          <w:i w:val="1"/>
          <w:iCs w:val="1"/>
          <w:color w:val="auto"/>
        </w:rPr>
        <w:t>fourth</w:t>
      </w:r>
      <w:r>
        <w:rPr>
          <w:rFonts w:ascii="Arial" w:cs="Arial" w:eastAsia="Arial" w:hAnsi="Arial"/>
          <w:sz w:val="17"/>
          <w:szCs w:val="17"/>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Arial" w:cs="Arial" w:eastAsia="Arial" w:hAnsi="Arial"/>
          <w:sz w:val="17"/>
          <w:szCs w:val="17"/>
          <w:i w:val="1"/>
          <w:iCs w:val="1"/>
          <w:color w:val="auto"/>
        </w:rPr>
        <w:t>fifth</w:t>
      </w:r>
      <w:r>
        <w:rPr>
          <w:rFonts w:ascii="Arial" w:cs="Arial" w:eastAsia="Arial" w:hAnsi="Arial"/>
          <w:sz w:val="17"/>
          <w:szCs w:val="17"/>
          <w:color w:val="auto"/>
        </w:rPr>
        <w:t xml:space="preserve">, if so determined by Administrative Agent and Borrower, to be held in a non-interest bearing deposit account and released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order to satisfy such Defaulting Lender’s potential future funding obligations with respect to Loans under this Agreement; </w:t>
      </w:r>
      <w:r>
        <w:rPr>
          <w:rFonts w:ascii="Arial" w:cs="Arial" w:eastAsia="Arial" w:hAnsi="Arial"/>
          <w:sz w:val="17"/>
          <w:szCs w:val="17"/>
          <w:i w:val="1"/>
          <w:iCs w:val="1"/>
          <w:color w:val="auto"/>
        </w:rPr>
        <w:t>sixth</w:t>
      </w:r>
      <w:r>
        <w:rPr>
          <w:rFonts w:ascii="Arial" w:cs="Arial" w:eastAsia="Arial" w:hAnsi="Arial"/>
          <w:sz w:val="17"/>
          <w:szCs w:val="17"/>
          <w:color w:val="auto"/>
        </w:rPr>
        <w:t>, to the payment of any amounts owing to the Lenders or the L/C Lender as a result of any judgment of a court of competent jurisdiction obtained by any Lender or any L/C Lender against such Defaulting Lender as a result of such Defaulting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800" w:right="239" w:bottom="1440" w:gutter="0" w:footer="0" w:header="0"/>
        </w:sectPr>
      </w:pPr>
    </w:p>
    <w:bookmarkStart w:id="158" w:name="page159"/>
    <w:bookmarkEnd w:id="158"/>
    <w:p>
      <w:pPr>
        <w:jc w:val="both"/>
        <w:ind w:left="660"/>
        <w:spacing w:after="0" w:line="270" w:lineRule="auto"/>
        <w:rPr>
          <w:sz w:val="20"/>
          <w:szCs w:val="20"/>
          <w:color w:val="auto"/>
        </w:rPr>
      </w:pPr>
      <w:r>
        <w:rPr>
          <w:rFonts w:ascii="Arial" w:cs="Arial" w:eastAsia="Arial" w:hAnsi="Arial"/>
          <w:sz w:val="17"/>
          <w:szCs w:val="17"/>
          <w:color w:val="auto"/>
        </w:rPr>
        <w:t xml:space="preserve">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(x) such payment is a payment of the principal amount of any Loans or L/C Liabilities in respect of which such Defaulting Lender has not fully funded its appropriate share, and (y) such Loans were made or the related Letters of Credit were issued at a time when the conditions set forth in Section 7.02 were satisfied or waived, such payment shall be applied solely to pay the Loans of, and L/C Liabilities owed to, all Non-Defaulting Lenders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prior to being applied to the payment of any Loans of, or L/C Liabilities owed to, such Defaulting Lender. Any payments, prepayments or other amounts paid or payable to a Defaulting Lender that are applied (or held) to pay amounts owed by a Defaulting Lender or to post Cash Collateral pursuant to this Section 2.14(a)(iv) shall be deemed paid to and redirected by such Defaulting Lender, and each Lender irrevocably consents hereto.</w:t>
      </w:r>
    </w:p>
    <w:p>
      <w:pPr>
        <w:spacing w:after="0" w:line="174" w:lineRule="exact"/>
        <w:rPr>
          <w:sz w:val="20"/>
          <w:szCs w:val="20"/>
          <w:color w:val="auto"/>
        </w:rPr>
      </w:pPr>
    </w:p>
    <w:p>
      <w:pPr>
        <w:jc w:val="both"/>
        <w:ind w:firstLine="656"/>
        <w:spacing w:after="0" w:line="289" w:lineRule="auto"/>
        <w:tabs>
          <w:tab w:leader="none" w:pos="1052"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Cure</w:t>
      </w:r>
      <w:r>
        <w:rPr>
          <w:rFonts w:ascii="Arial" w:cs="Arial" w:eastAsia="Arial" w:hAnsi="Arial"/>
          <w:sz w:val="16"/>
          <w:szCs w:val="16"/>
          <w:color w:val="auto"/>
        </w:rPr>
        <w:t>. If Borrower, Administrative Agent, each L/C Lender agree in writing in their discretion that a Lender is no longer a Defaulting Lender,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2.14(a)), (x) such Lender will, to the extent applicable, purchase at par such portion of outstanding Loans of the other Lenders and/or make such other adjustments as Administrative Agent may determine to be necessary to cause the Revolving Exposure and L/C Liabilities of the Lenders to be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accordance with their respective Commitments, whereupon such Lender will cease to be a Defaulting Lender and will be a Non-Defaulting Lender (and such exposure of each Lender will automatically be adjusted on a prospective basis to reflect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adjustments will be made retroactively with respect to fees accrued or payments made by or on behalf of Borrower while such Lender was a Defaulting Lender;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change hereunder from Defaulting Lender to Non-Defaulting Lender will constitute a waiver or release of any claim of any party hereunder arising from such Lender’s having been a Defaulting Lender, and (y) all Cash Collateral provided pursuant to Section 2.14(a)(ii) shall thereafter be promptly returned to Borrower.</w:t>
      </w:r>
    </w:p>
    <w:p>
      <w:pPr>
        <w:spacing w:after="0" w:line="161" w:lineRule="exact"/>
        <w:rPr>
          <w:rFonts w:ascii="Arial" w:cs="Arial" w:eastAsia="Arial" w:hAnsi="Arial"/>
          <w:sz w:val="16"/>
          <w:szCs w:val="16"/>
          <w:color w:val="auto"/>
        </w:rPr>
      </w:pPr>
    </w:p>
    <w:p>
      <w:pPr>
        <w:jc w:val="both"/>
        <w:ind w:firstLine="656"/>
        <w:spacing w:after="0" w:line="255" w:lineRule="auto"/>
        <w:tabs>
          <w:tab w:leader="none" w:pos="1041"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Certain Fees. </w:t>
      </w:r>
      <w:r>
        <w:rPr>
          <w:rFonts w:ascii="Arial" w:cs="Arial" w:eastAsia="Arial" w:hAnsi="Arial"/>
          <w:sz w:val="18"/>
          <w:szCs w:val="18"/>
          <w:color w:val="auto"/>
        </w:rPr>
        <w:t>Anything herein to the contrary notwithstanding, during such period as a Lender is a Defaulting Lender, such Defaulting Lender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will not be entitled to any fees accruing during such period pursuant to Section 2.05 or Section 2.03(h) (without prejudice to the rights of the Non-Defaulting Lenders in respect of such fees),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to the extent that all or a portion of the L/C Liability of such Defaulting Lender is reallocated to the Non-Defaulting Lenders pursuant to Section 2.14, such fees that would have accrued for the benefit of such Defaulting Lender will instead accrue for the benefit of and be payable to such Non-Defaulting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their respective Commitments, and (ii) to the extent that all or any portion of such L/C Liability cannot be so reallocated, such fees will instead accrue for the benefit of and be payable to the L/C Lender except to the extent of any un-reallocated portion that is Cash Collateralized (and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payment provisions of Section 4.02 will automatically be deemed adjusted to reflect the provisions of this Section 2.14(c)).</w:t>
      </w:r>
    </w:p>
    <w:p>
      <w:pPr>
        <w:spacing w:after="0" w:line="18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2.15.</w:t>
      </w:r>
      <w:r>
        <w:rPr>
          <w:sz w:val="20"/>
          <w:szCs w:val="20"/>
          <w:color w:val="auto"/>
        </w:rPr>
        <w:tab/>
      </w:r>
      <w:r>
        <w:rPr>
          <w:rFonts w:ascii="Arial" w:cs="Arial" w:eastAsia="Arial" w:hAnsi="Arial"/>
          <w:sz w:val="16"/>
          <w:szCs w:val="16"/>
          <w:b w:val="1"/>
          <w:bCs w:val="1"/>
          <w:color w:val="auto"/>
        </w:rPr>
        <w:t>Refinancing Amendments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0" w:lineRule="auto"/>
        <w:tabs>
          <w:tab w:leader="none" w:pos="1072"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At any time after the Closing Date, Borrower may obtain Credit Agreement Refinancing Indebtedness in respect of all or any portion of the Term Loans and the Revolving Loans (or unused Revolving Commitments) then outstanding under this Agreement (which for purposes of this clause (a) will be deemed to include any then outstanding Other Term Loans or Other Revolving Loans), in the form of Other Term Loans, Other Term Loan Commitments, Other Revolving Loans or Other Revolving Commitments pursuant to a Refinancing Amendment;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in this Section 2.15 or otherwise, (1) the borrowing and repayment (except for (A) payments of interest and fees at different rates on Other Revolving Commitments (and related outstanding), (B) repayments required upon the maturity date of the Other Revolving Commitments or any other Tranche of Revolving Commitments and (C) repayment made in connection with a permanent repayment and termination of commitments (subject to clause (2) below)) of Loans with respect to Other Revolving Commitments after the date of obtaining any Other Revolving Commitments shall be made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with all other Revolving Commitments (subject to clauses (2) and (3) below), (2) the permanent repayment of Revolving Loans with respect to, and termination of, Other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801" w:right="239" w:bottom="1440" w:gutter="0" w:footer="0" w:header="0"/>
        </w:sectPr>
      </w:pPr>
    </w:p>
    <w:bookmarkStart w:id="159" w:name="page160"/>
    <w:bookmarkEnd w:id="159"/>
    <w:p>
      <w:pPr>
        <w:jc w:val="both"/>
        <w:spacing w:after="0" w:line="273" w:lineRule="auto"/>
        <w:rPr>
          <w:sz w:val="20"/>
          <w:szCs w:val="20"/>
          <w:color w:val="auto"/>
        </w:rPr>
      </w:pPr>
      <w:r>
        <w:rPr>
          <w:rFonts w:ascii="Arial" w:cs="Arial" w:eastAsia="Arial" w:hAnsi="Arial"/>
          <w:sz w:val="17"/>
          <w:szCs w:val="17"/>
          <w:color w:val="auto"/>
        </w:rPr>
        <w:t xml:space="preserve">Revolving Commitments after the date of obtaining any Other Revolving Commitments shall be made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with all other Revolving Commitments, except that Borrower shall be permitted to permanently repay and terminate commitments of any Class with an earlier maturity date on a better than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compared to any other Class with a later maturity date than such Class and (3) assignments and participations of Other Revolving Commitments and Other Revolving Loans shall be governed by the same assignment and participation provisions applicable to other Revolving Commitments and Revolving Loans. Each issuance of Credit Agreement Refinancing Indebtedness under this Section 2.15(a) shall be in an aggregate principal amount that is (x) not less than $5.0 million and (y) an integral multiple of $1.0 million in excess thereof.</w:t>
      </w:r>
    </w:p>
    <w:p>
      <w:pPr>
        <w:spacing w:after="0" w:line="178" w:lineRule="exact"/>
        <w:rPr>
          <w:sz w:val="20"/>
          <w:szCs w:val="20"/>
          <w:color w:val="auto"/>
        </w:rPr>
      </w:pPr>
    </w:p>
    <w:p>
      <w:pPr>
        <w:jc w:val="both"/>
        <w:ind w:firstLine="656"/>
        <w:spacing w:after="0" w:line="268" w:lineRule="auto"/>
        <w:tabs>
          <w:tab w:leader="none" w:pos="1051"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The effectiveness of any such Credit Agreement Refinancing Indebtedness shall subject to the consent required pursuant to Section 2.15(d), be subject solely to the satisfaction of the following conditions to the reasonable satisfaction of Administrative Agent: (i) any Credit Agreement Refinancing Indebtedness in respect of Revolving Commitments or Other Revolving Commitments will have a maturity date that is not prior to the maturity date of the Revolving Loans (or unused Revolving Commitments) being refinanced; (ii) any Credit Agreement Refinancing Indebtedness in respect of Term Loans will have a maturity date that is not prior to the maturity date of, and a Weighted Average Life to Maturity that is not shorter than the Weighted Average Life to Maturity of, the Term Loans being refinanced (determined without giving effect to the impact of prepayments on amortization of Term Loans being refinanced); (iii) the aggregate principal amount of any Credit Agreement Refinancing Indebtedness shall not exceed the principal amount so refinanced,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interest,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premium or other payment required to be paid in connection with such refinancing,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amount of reasonable and customary fees and expenses of Borrower or any of its Restricted Subsidiaries incurred in connection with such refinancing, </w:t>
      </w:r>
      <w:r>
        <w:rPr>
          <w:rFonts w:ascii="Arial" w:cs="Arial" w:eastAsia="Arial" w:hAnsi="Arial"/>
          <w:sz w:val="17"/>
          <w:szCs w:val="17"/>
          <w:i w:val="1"/>
          <w:iCs w:val="1"/>
          <w:color w:val="auto"/>
        </w:rPr>
        <w:t>plus</w:t>
      </w:r>
      <w:r>
        <w:rPr>
          <w:rFonts w:ascii="Arial" w:cs="Arial" w:eastAsia="Arial" w:hAnsi="Arial"/>
          <w:sz w:val="17"/>
          <w:szCs w:val="17"/>
          <w:color w:val="auto"/>
        </w:rPr>
        <w:t>, any unutilized commitments thereunder; (iv) to the extent reasonably requested by the Administrative Agent, receipt by the Administrative Agent and the Lenders of customary legal opinions and other documents; (v) to the extent reasonably requested by the Administrative Agent, execution of amendments to the Mortgages by the applicable Credit Parties and Collateral Agent, in form and substance reasonably satisfactory to the Administrative Agent and the Collateral Agent; (vi) to the extent reasonably requested by the Administrative Agent, delivery to the Administrative Agent of title insurance endorsements reasonably satisfactory to the Administrative Agent; and (vii) execution of a Refinancing Amendment by the Credit Parties, Administrative Agent and Lenders providing such Credit Agreement Refinancing Indebtedness.</w:t>
      </w:r>
    </w:p>
    <w:p>
      <w:pPr>
        <w:spacing w:after="0" w:line="183" w:lineRule="exact"/>
        <w:rPr>
          <w:rFonts w:ascii="Arial" w:cs="Arial" w:eastAsia="Arial" w:hAnsi="Arial"/>
          <w:sz w:val="17"/>
          <w:szCs w:val="17"/>
          <w:color w:val="auto"/>
        </w:rPr>
      </w:pPr>
    </w:p>
    <w:p>
      <w:pPr>
        <w:jc w:val="both"/>
        <w:ind w:firstLine="656"/>
        <w:spacing w:after="0" w:line="276" w:lineRule="auto"/>
        <w:tabs>
          <w:tab w:leader="none" w:pos="105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Loans and Commitments established pursuant to this Section 2.15 shall constitute Loans and Commitments under, and shall be entitled to all the benefits afforded by, this Agreement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applicable Refinancing Amendment.</w:t>
      </w:r>
    </w:p>
    <w:p>
      <w:pPr>
        <w:spacing w:after="0" w:line="172" w:lineRule="exact"/>
        <w:rPr>
          <w:rFonts w:ascii="Arial" w:cs="Arial" w:eastAsia="Arial" w:hAnsi="Arial"/>
          <w:sz w:val="17"/>
          <w:szCs w:val="17"/>
          <w:color w:val="auto"/>
        </w:rPr>
      </w:pPr>
    </w:p>
    <w:p>
      <w:pPr>
        <w:jc w:val="both"/>
        <w:ind w:firstLine="656"/>
        <w:spacing w:after="0" w:line="268" w:lineRule="auto"/>
        <w:tabs>
          <w:tab w:leader="none" w:pos="1190"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Upon the effectiveness of any Refinancing Amendment pursuant to this Section 2.15, any Person providing the corresponding Credit Agreement Refinancing Indebtedness that was not a Lender hereunder immediately prior to such time shall, subject to consent of each L/C Lender in the case of Other Revolving Loans or Other Revolving Commitments, become a Lender hereunder. Administrative Agent shall promptly notify each Lender as to the effectiveness of such Refinancing Amendment, and (i) in the case any Other Revolving Commitments resulting from such Refinancing Amendment, the Total Revolving Commitments under, and for all purpose of this Agreement, shall be increased by the aggregate amount of such Other Revolving Commitments (net of any existing Revolving Commitments being refinanced by such Refinancing Amendment), (ii) any Other Revolving Loans resulting from such Refinancing Amendment shall be deemed to be additional Revolving Loans hereunder, (iii) any Other Term Loans resulting from such Refinancing Amendment shall be deemed to be Term Loans hereunder (to the extent funded) and (iv) any Other Term Loan Commitments resulting from such Refinancing Amendment shall be deemed to be Term Loan Commitments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Section 2.15. Such amendments may include provisions allowing any Other Term Loans to be treated on the same basis as Term Facility Loans </w:t>
      </w:r>
      <w:r>
        <w:rPr>
          <w:rFonts w:ascii="Arial" w:cs="Arial" w:eastAsia="Arial" w:hAnsi="Arial"/>
          <w:sz w:val="17"/>
          <w:szCs w:val="17"/>
          <w:b w:val="1"/>
          <w:bCs w:val="1"/>
          <w:u w:val="single" w:color="auto"/>
          <w:color w:val="0000FF"/>
        </w:rPr>
        <w:t>and Term Facility II</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Loans</w:t>
      </w:r>
      <w:r>
        <w:rPr>
          <w:rFonts w:ascii="Arial" w:cs="Arial" w:eastAsia="Arial" w:hAnsi="Arial"/>
          <w:sz w:val="17"/>
          <w:szCs w:val="17"/>
          <w:b w:val="1"/>
          <w:bCs w:val="1"/>
          <w:color w:val="0000FF"/>
        </w:rPr>
        <w:t xml:space="preserve"> </w:t>
      </w:r>
      <w:r>
        <w:rPr>
          <w:rFonts w:ascii="Arial" w:cs="Arial" w:eastAsia="Arial" w:hAnsi="Arial"/>
          <w:sz w:val="17"/>
          <w:szCs w:val="17"/>
          <w:color w:val="000000"/>
        </w:rPr>
        <w:t>in connection with declining prepayments.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801" w:right="239" w:bottom="1440" w:gutter="0" w:footer="0" w:header="0"/>
        </w:sectPr>
      </w:pPr>
    </w:p>
    <w:bookmarkStart w:id="160" w:name="page161"/>
    <w:bookmarkEnd w:id="160"/>
    <w:p>
      <w:pPr>
        <w:jc w:val="both"/>
        <w:ind w:firstLine="656"/>
        <w:spacing w:after="0" w:line="293" w:lineRule="auto"/>
        <w:tabs>
          <w:tab w:leader="none" w:pos="1035"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Term Loan Commitments, Other Revolving Loans and/or Other Revolving Commitments). Any Refinancing Amendment may, without the consent of any other Lenders, effect such amendments to this Agreement and the other Credit Documents as may be necessary or appropriate, in the reasonable opinion of Administrative Agent and Borrower, to effect the provisions of this Section 2.15. This Section 2.15 shall supersede any provisions in Section 4.02, 4.07(b) or 13.04 to the contrary.</w:t>
      </w:r>
    </w:p>
    <w:p>
      <w:pPr>
        <w:spacing w:after="0" w:line="164" w:lineRule="exact"/>
        <w:rPr>
          <w:rFonts w:ascii="Arial" w:cs="Arial" w:eastAsia="Arial" w:hAnsi="Arial"/>
          <w:sz w:val="16"/>
          <w:szCs w:val="16"/>
          <w:color w:val="auto"/>
        </w:rPr>
      </w:pPr>
    </w:p>
    <w:p>
      <w:pPr>
        <w:jc w:val="both"/>
        <w:ind w:firstLine="656"/>
        <w:spacing w:after="0" w:line="286" w:lineRule="auto"/>
        <w:tabs>
          <w:tab w:leader="none" w:pos="1126"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the extent the Revolving Commitments are being refinanced on the effective date of any Refinancing Amendment, then each of the Revolving Lenders having a Revolving Commitment prior to the effective date of such Refinancing Amendment (such Revolving Lenders the “</w:t>
      </w:r>
      <w:r>
        <w:rPr>
          <w:rFonts w:ascii="Arial" w:cs="Arial" w:eastAsia="Arial" w:hAnsi="Arial"/>
          <w:sz w:val="16"/>
          <w:szCs w:val="16"/>
          <w:b w:val="1"/>
          <w:bCs w:val="1"/>
          <w:color w:val="auto"/>
        </w:rPr>
        <w:t>Pre-Refinancing Revolving Lenders</w:t>
      </w:r>
      <w:r>
        <w:rPr>
          <w:rFonts w:ascii="Arial" w:cs="Arial" w:eastAsia="Arial" w:hAnsi="Arial"/>
          <w:sz w:val="16"/>
          <w:szCs w:val="16"/>
          <w:color w:val="auto"/>
        </w:rPr>
        <w:t>”) shall assign or transfer to any Revolving Lender which is acquiring an Other Revolving Commitment on the effective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such amendment (the “</w:t>
      </w:r>
      <w:r>
        <w:rPr>
          <w:rFonts w:ascii="Arial" w:cs="Arial" w:eastAsia="Arial" w:hAnsi="Arial"/>
          <w:sz w:val="16"/>
          <w:szCs w:val="16"/>
          <w:b w:val="1"/>
          <w:bCs w:val="1"/>
          <w:color w:val="auto"/>
        </w:rPr>
        <w:t>Post-Refinancing Revolving Lenders</w:t>
      </w:r>
      <w:r>
        <w:rPr>
          <w:rFonts w:ascii="Arial" w:cs="Arial" w:eastAsia="Arial" w:hAnsi="Arial"/>
          <w:sz w:val="16"/>
          <w:szCs w:val="16"/>
          <w:color w:val="auto"/>
        </w:rPr>
        <w:t>”), and such Post-Refinancing Revolving Lenders shall purchase from each such Pre-Refinancing Revolving Lender, at the principal amount thereof, such interests in Revolving Loans and participation interests in L/C Liabilities (but not, for the avoidance of doubt, the related Revolving Commitments) outstanding on the effective date of such Refinancing Amendment as shall be necessary in order that, after giving effect to all such assignments or transfers and purchases, such Revolving Loans and participation interests in L/C Liabilities will be held by Pre-Refinancing Revolving Lenders and Post-Refinancing Revolving Lenders ratably in accordance with their Revolving Commitments and Other Revolving Commitments, as applicable, after giving effect to such Refinancing Amendment (and after giving effect to any Revolving Loans made on the effective date of such Refinancing Amendment). Such assignments or transfers and purchases shall be made pursuant to such procedures as may be designated by Administrative Agent and shall not be required to be effectuated in accordance with Section 13.05. For the avoidance of doubt, Revolving Loans and participation interests in L/C Liabilities assigned or transferred and purchased pursuant to this Section 2.15(f) shall, upon receipt thereof by the relevant Post-Increase Revolving Lenders, be deemed to be Other Revolving Loans and participation interests in L/C Liabilities in respect of the relevant Other Revolving Commitments acquired by such Post-Increase Revolving Lenders on the relevant amendment effective date and the terms of such Revolving Loans and participation interests (including, without limitation, the interest rate and maturity applicable thereto) shall be adjusted accordingly.</w:t>
      </w:r>
    </w:p>
    <w:p>
      <w:pPr>
        <w:spacing w:after="0" w:line="16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2.16.</w:t>
      </w:r>
      <w:r>
        <w:rPr>
          <w:sz w:val="20"/>
          <w:szCs w:val="20"/>
          <w:color w:val="auto"/>
        </w:rPr>
        <w:tab/>
      </w:r>
      <w:r>
        <w:rPr>
          <w:rFonts w:ascii="Arial" w:cs="Arial" w:eastAsia="Arial" w:hAnsi="Arial"/>
          <w:sz w:val="16"/>
          <w:szCs w:val="16"/>
          <w:b w:val="1"/>
          <w:bCs w:val="1"/>
          <w:color w:val="auto"/>
        </w:rPr>
        <w:t>Cash Collateral</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5" w:lineRule="auto"/>
        <w:tabs>
          <w:tab w:leader="none" w:pos="1068"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Without limiting any other requirements herein to provide Cash Collateral, if (i) any L/C Lender has honored any full or partial drawing request under any Letter of Credit and such drawing has resulted in an extension of credit hereunder which has not been refinanced as a Revolving Loan or reimbursed, in each case, in accordance with Section 2.03(d) or (ii) Borrower shall be required to provide Cash Collateral pursuant to Section 11.01, Borrower shall, within one (1) Business Day (in the case of clause (i) above) or immediately (in the case of clause (ii) above) following any request by the Administrative Agent or the applicable L/C Lender, provide Cash Collateral in an amount not less than the applicable Minimum Collateral Amount.</w:t>
      </w:r>
    </w:p>
    <w:p>
      <w:pPr>
        <w:spacing w:after="0" w:line="193" w:lineRule="exact"/>
        <w:rPr>
          <w:rFonts w:ascii="Arial" w:cs="Arial" w:eastAsia="Arial" w:hAnsi="Arial"/>
          <w:sz w:val="18"/>
          <w:szCs w:val="18"/>
          <w:color w:val="auto"/>
        </w:rPr>
      </w:pPr>
    </w:p>
    <w:p>
      <w:pPr>
        <w:jc w:val="both"/>
        <w:ind w:firstLine="656"/>
        <w:spacing w:after="0" w:line="269" w:lineRule="auto"/>
        <w:tabs>
          <w:tab w:leader="none" w:pos="1119"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Borrower, and to the extent provided by any Defaulting Lender, such Defaulting Lender, hereby grants to (and subjects to the control of) the Administrative Agent, for the benefit of the Administrative Agent, the L/C Lenders and the Lenders, and agrees to maintain, a first priority security interest in all such cash, deposit accounts and all balances therein, and all other property so provided as Cash Collateral pursuant hereto, and in all proceeds of the foregoing, all as security for the obligations to which such Cash Collateral (including Cash Collateral provided in accordance with Sections 2.03, 2.10(d), 2.10(d), 2.14, 2.16 or 11.01) may be applied pursuant to Section 2.16(c). If at any time the Administrative Agent determines that Cash Collateral is subject to any right or claim of any Person prior to the right or claim of the Administrative Agent or the L/C Lenders as herein provided, or that the total amount of such Cash Collateral is less than the Minimum Collateral Amount, Borrower will, promptly upon demand by the Administrative Agent, pay or provide to the Administrative Agent additional Cash Collateral in an amount sufficient to eliminate such deficiency (after giving effect to any Cash Collateral provided by any Defaulting Lenders). All Cash Collateral (other than credit support not constituting funds subject to deposit) shall be maintained in blocked, non-interest bearing deposit accounts at the Administrative Agent or as otherwise agreed to by the Administrative Agent. Borrower shall pay on demand therefor from time to time all customary account opening, activity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801" w:right="239" w:bottom="1440" w:gutter="0" w:footer="0" w:header="0"/>
        </w:sectPr>
      </w:pPr>
    </w:p>
    <w:bookmarkStart w:id="161" w:name="page162"/>
    <w:bookmarkEnd w:id="161"/>
    <w:p>
      <w:pPr>
        <w:spacing w:after="0" w:line="277" w:lineRule="auto"/>
        <w:rPr>
          <w:sz w:val="20"/>
          <w:szCs w:val="20"/>
          <w:color w:val="auto"/>
        </w:rPr>
      </w:pPr>
      <w:r>
        <w:rPr>
          <w:rFonts w:ascii="Arial" w:cs="Arial" w:eastAsia="Arial" w:hAnsi="Arial"/>
          <w:sz w:val="18"/>
          <w:szCs w:val="18"/>
          <w:color w:val="auto"/>
        </w:rPr>
        <w:t>and other administrative fees and charges in connection with the maintenance and disbursement of Cash Collateral in accordance with the account agreement governing such deposit account.</w:t>
      </w:r>
    </w:p>
    <w:p>
      <w:pPr>
        <w:spacing w:after="0" w:line="170" w:lineRule="exact"/>
        <w:rPr>
          <w:sz w:val="20"/>
          <w:szCs w:val="20"/>
          <w:color w:val="auto"/>
        </w:rPr>
      </w:pPr>
    </w:p>
    <w:p>
      <w:pPr>
        <w:jc w:val="both"/>
        <w:ind w:firstLine="656"/>
        <w:spacing w:after="0" w:line="279" w:lineRule="auto"/>
        <w:tabs>
          <w:tab w:leader="none" w:pos="1041"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Application</w:t>
      </w:r>
      <w:r>
        <w:rPr>
          <w:rFonts w:ascii="Arial" w:cs="Arial" w:eastAsia="Arial" w:hAnsi="Arial"/>
          <w:sz w:val="17"/>
          <w:szCs w:val="17"/>
          <w:color w:val="auto"/>
        </w:rPr>
        <w:t>. Notwithstanding anything to the contrary contained in this Agreement, Cash Collateral provided under any of this Section 2.16 or Sections 2.03, 2.10(d), 2.10(d), 2.14 or 11.01 in respect of Letters of Credit shall be held and applied to the satisfaction of the specific L/C Liabilities,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71" w:lineRule="exact"/>
        <w:rPr>
          <w:rFonts w:ascii="Arial" w:cs="Arial" w:eastAsia="Arial" w:hAnsi="Arial"/>
          <w:sz w:val="17"/>
          <w:szCs w:val="17"/>
          <w:color w:val="auto"/>
        </w:rPr>
      </w:pPr>
    </w:p>
    <w:p>
      <w:pPr>
        <w:jc w:val="both"/>
        <w:ind w:firstLine="656"/>
        <w:spacing w:after="0" w:line="290" w:lineRule="auto"/>
        <w:tabs>
          <w:tab w:leader="none" w:pos="1065"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un-reallocated portions or to secure other obligations shall, so long as no Event of Default then exists, be released promptly following (i) the elimination of the applicable un-reallocated portion or other obligations giving rise thereto (including by the termination of Defaulting Lender status of the applicable Lender (or, as appropriate, the assignment of such Defaulting Lender’s Loans and Commitments to a Replacement Lender)) or (ii) the determination by the Administrative Agent and the L/C Lenders that there exists excess Cash Collateral (which, in any event, shall exist at any time that the aggregate amount of Cash Collateral exceeds the Minimum Collateral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 any such release shall be without prejudice to, and any disbursement or other transfer of Cash Collateral shall be and remain subject to,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Lien conferred under the Credit Documents and the other applicable provisions of the Credit Documents, and (y) Borrower and the L/C Issuer may agree that Cash Collateral shall not be released but instead held to support future anticipated un-reallocated portions or other obligations.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PAYMENTS OF PRINCIPAL AND INTEREST</w:t>
      </w:r>
    </w:p>
    <w:p>
      <w:pPr>
        <w:spacing w:after="0" w:line="22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6"/>
          <w:szCs w:val="16"/>
          <w:b w:val="1"/>
          <w:bCs w:val="1"/>
          <w:color w:val="auto"/>
        </w:rPr>
        <w:t>Repayment of Loans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6" w:lineRule="auto"/>
        <w:tabs>
          <w:tab w:leader="none" w:pos="1028"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Revolving Loans</w:t>
      </w:r>
      <w:r>
        <w:rPr>
          <w:rFonts w:ascii="Arial" w:cs="Arial" w:eastAsia="Arial" w:hAnsi="Arial"/>
          <w:sz w:val="18"/>
          <w:szCs w:val="18"/>
          <w:color w:val="auto"/>
        </w:rPr>
        <w:t>. Borrower hereby promises to pay to Administrative Agent for the account of each applicable Revolving Lender on each R/C</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Date, the entire outstanding principal amount of such Revolving Lender’s Revolving Loans of the applicable Tranche, and each such Revolving Loan shall mature on the R/C Maturity Date applicable to such Tranche.</w:t>
      </w:r>
    </w:p>
    <w:p>
      <w:pPr>
        <w:spacing w:after="0" w:line="176" w:lineRule="exact"/>
        <w:rPr>
          <w:rFonts w:ascii="Arial" w:cs="Arial" w:eastAsia="Arial" w:hAnsi="Arial"/>
          <w:sz w:val="18"/>
          <w:szCs w:val="18"/>
          <w:color w:val="auto"/>
        </w:rPr>
      </w:pPr>
    </w:p>
    <w:p>
      <w:pPr>
        <w:jc w:val="both"/>
        <w:ind w:firstLine="656"/>
        <w:spacing w:after="0" w:line="258" w:lineRule="auto"/>
        <w:tabs>
          <w:tab w:leader="none" w:pos="1079"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Term Facility Loans</w:t>
      </w:r>
      <w:r>
        <w:rPr>
          <w:rFonts w:ascii="Arial" w:cs="Arial" w:eastAsia="Arial" w:hAnsi="Arial"/>
          <w:sz w:val="18"/>
          <w:szCs w:val="18"/>
          <w:color w:val="auto"/>
        </w:rPr>
        <w:t>. Borrower hereby promises to pay to Administrative Agent for the account of the Lenders with Term Facility Loans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repayment of the principal of the Term Facility Loans, on each date set forth on </w:t>
      </w:r>
      <w:r>
        <w:rPr>
          <w:rFonts w:ascii="Arial" w:cs="Arial" w:eastAsia="Arial" w:hAnsi="Arial"/>
          <w:sz w:val="18"/>
          <w:szCs w:val="18"/>
          <w:u w:val="single" w:color="auto"/>
          <w:color w:val="auto"/>
        </w:rPr>
        <w:t>Annex B</w:t>
      </w:r>
      <w:r>
        <w:rPr>
          <w:rFonts w:ascii="Arial" w:cs="Arial" w:eastAsia="Arial" w:hAnsi="Arial"/>
          <w:sz w:val="18"/>
          <w:szCs w:val="18"/>
          <w:color w:val="auto"/>
        </w:rPr>
        <w:t>, that principal amount of Term Facility Loans, to the extent then outstanding, as is set forth opposite such date (subject to adjustment for any prepayments made under Section 2.09 or Section 2.10 or Section 2.11(b) or Section 13.04(b)(B) or as provided in Section 2.12, in Section 2.13 or in Section 2.15), and the remaining principal amount of Term Facility Loans on the Term Facility Maturity Date.</w:t>
      </w:r>
    </w:p>
    <w:p>
      <w:pPr>
        <w:spacing w:after="0" w:line="183" w:lineRule="exact"/>
        <w:rPr>
          <w:rFonts w:ascii="Arial" w:cs="Arial" w:eastAsia="Arial" w:hAnsi="Arial"/>
          <w:sz w:val="18"/>
          <w:szCs w:val="18"/>
          <w:color w:val="auto"/>
        </w:rPr>
      </w:pPr>
    </w:p>
    <w:p>
      <w:pPr>
        <w:jc w:val="both"/>
        <w:ind w:firstLine="656"/>
        <w:spacing w:after="0" w:line="261" w:lineRule="auto"/>
        <w:tabs>
          <w:tab w:leader="none" w:pos="1122"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Extended Term Loans; Other Term Loans</w:t>
      </w:r>
      <w:r>
        <w:rPr>
          <w:rFonts w:ascii="Arial" w:cs="Arial" w:eastAsia="Arial" w:hAnsi="Arial"/>
          <w:sz w:val="18"/>
          <w:szCs w:val="18"/>
          <w:color w:val="auto"/>
        </w:rPr>
        <w:t>. Extended Term Loans shall mature in installments as specified in the applicable Extension</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pursuant to which such Extended Term Loans were established, subject, however, to Section 2.13(a). Other Term Loans shall mature in installments as specified in the applicable Refinancing Amendment pursuant to which such Other Term Loans were established, subject, however, to Section 2.15(a).</w:t>
      </w:r>
    </w:p>
    <w:p>
      <w:pPr>
        <w:spacing w:after="0" w:line="180" w:lineRule="exact"/>
        <w:rPr>
          <w:rFonts w:ascii="Arial" w:cs="Arial" w:eastAsia="Arial" w:hAnsi="Arial"/>
          <w:sz w:val="18"/>
          <w:szCs w:val="18"/>
          <w:color w:val="auto"/>
        </w:rPr>
      </w:pPr>
    </w:p>
    <w:p>
      <w:pPr>
        <w:jc w:val="both"/>
        <w:ind w:firstLine="656"/>
        <w:spacing w:after="0" w:line="266" w:lineRule="auto"/>
        <w:tabs>
          <w:tab w:leader="none" w:pos="1038"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0000FF"/>
        </w:rPr>
        <w:t>Term Facility II Loans. Borrower hereby promises to pay to Administrative Agent for the account of the Lenders with Term Facility II Loans in repayment of the principal of the Term Facility II Loans the remaining principal amount of Term Facility II Loans on the Term Facility Maturity 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800" w:right="239" w:bottom="1440" w:gutter="0" w:footer="0" w:header="0"/>
        </w:sectPr>
      </w:pPr>
    </w:p>
    <w:bookmarkStart w:id="162" w:name="page163"/>
    <w:bookmarkEnd w:id="162"/>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6"/>
          <w:szCs w:val="16"/>
          <w:b w:val="1"/>
          <w:bCs w:val="1"/>
          <w:color w:val="auto"/>
        </w:rPr>
        <w:t>Interest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03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Borrower hereby promises to pay to Administrative Agent for the account of each Lender interest on the unpaid principal amount of each Loan made or maintained by such Lender to Borrower for the period from and including the date of such Loan to but excluding the date such Loan shall be paid in full at the following rates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firstLine="645"/>
        <w:spacing w:after="0" w:line="277" w:lineRule="auto"/>
        <w:tabs>
          <w:tab w:leader="none" w:pos="1663" w:val="left"/>
        </w:tabs>
        <w:numPr>
          <w:ilvl w:val="2"/>
          <w:numId w:val="102"/>
        </w:numPr>
        <w:rPr>
          <w:rFonts w:ascii="Arial" w:cs="Arial" w:eastAsia="Arial" w:hAnsi="Arial"/>
          <w:sz w:val="18"/>
          <w:szCs w:val="18"/>
          <w:color w:val="auto"/>
        </w:rPr>
      </w:pPr>
      <w:r>
        <w:rPr>
          <w:rFonts w:ascii="Arial" w:cs="Arial" w:eastAsia="Arial" w:hAnsi="Arial"/>
          <w:sz w:val="18"/>
          <w:szCs w:val="18"/>
          <w:color w:val="auto"/>
        </w:rPr>
        <w:t xml:space="preserve">during such periods as such Loan is an ABR Loan, the Alternate Base Rate (as in effect from time to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applicable to such Loan,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748" w:val="left"/>
        </w:tabs>
        <w:numPr>
          <w:ilvl w:val="2"/>
          <w:numId w:val="102"/>
        </w:numPr>
        <w:rPr>
          <w:rFonts w:ascii="Arial" w:cs="Arial" w:eastAsia="Arial" w:hAnsi="Arial"/>
          <w:sz w:val="18"/>
          <w:szCs w:val="18"/>
          <w:color w:val="auto"/>
        </w:rPr>
      </w:pPr>
      <w:r>
        <w:rPr>
          <w:rFonts w:ascii="Arial" w:cs="Arial" w:eastAsia="Arial" w:hAnsi="Arial"/>
          <w:sz w:val="18"/>
          <w:szCs w:val="18"/>
          <w:color w:val="auto"/>
        </w:rPr>
        <w:t xml:space="preserve">during such periods as such Loan is a LIBOR Loan, for each Interest Period relating thereto, the LIBO Rate for such Loan for such Interest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applicable to such Loan.</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05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To the extent permitted by Law, (i) upon the occurrence and during the continuance of an Event of Default (other than Events of Default under Sections 11.01(g) or 11.01(h)), overdue principal and overdue interest in respect of each Loan and all other Obligations not paid when due and (ii) upon the occurrence and during the continuance of an Event of Default under Section 11.01(g) or Section 11.01(h), all Obligations shall, in each case, automatically and without any action by any Person, bear interest at the Default Rate. Interest which accrues under this paragraph shall be payable on demand.</w:t>
      </w:r>
    </w:p>
    <w:p>
      <w:pPr>
        <w:spacing w:after="0" w:line="154" w:lineRule="exact"/>
        <w:rPr>
          <w:rFonts w:ascii="Arial" w:cs="Arial" w:eastAsia="Arial" w:hAnsi="Arial"/>
          <w:sz w:val="16"/>
          <w:szCs w:val="16"/>
          <w:color w:val="auto"/>
        </w:rPr>
      </w:pPr>
    </w:p>
    <w:p>
      <w:pPr>
        <w:jc w:val="both"/>
        <w:ind w:firstLine="656"/>
        <w:spacing w:after="0" w:line="291" w:lineRule="auto"/>
        <w:tabs>
          <w:tab w:leader="none" w:pos="1018"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Accrued interest on each Loan shall be payable (i) in the case of each ABR Loan, (x) quarterly in arrears on each Quarterly Date, (y) on the date of any repayment or prepayment in full of all outstanding ABR Loans of any Tranche of Loans (but only on the principal amount so repaid or prepaid), and</w:t>
      </w:r>
    </w:p>
    <w:p>
      <w:pPr>
        <w:jc w:val="both"/>
        <w:ind w:firstLine="8"/>
        <w:spacing w:after="0" w:line="252" w:lineRule="auto"/>
        <w:tabs>
          <w:tab w:leader="none" w:pos="25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 maturity (whether by acceleration or otherwise) and, after such maturity, on demand, and (ii) in the case of each LIBOR Loan, (x) on the last day of each Interest Period applicable thereto and, if such Interest Period is longer than three months, on each date occurring at three-month intervals after the first day of such Interest Period, (y) on the date of any repayment or prepayment thereof or the conversion of such Loan to a Loan of another Type (but only on the principal amount so paid, prepaid or converted) and (z) at maturity (whether by acceleration or otherwise) and, after such maturity, on demand. Promptly after the determination of any interest rate provided for herein or any change therein, Administrative Agent shall give notice thereof to the Lenders to which such interest is payable and to Borrower.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PAYMENTS; PRO RATA TREATMENT; COMPUTATIONS; ETC</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5"/>
          <w:szCs w:val="15"/>
          <w:b w:val="1"/>
          <w:bCs w:val="1"/>
          <w:color w:val="auto"/>
        </w:rPr>
        <w:t>Payments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73" w:lineRule="auto"/>
        <w:tabs>
          <w:tab w:leader="none" w:pos="109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All payments of principal, interest, Reimbursement Obligations and other amounts to be made by Borrower under this Agreement and the Notes, and, except to the extent otherwise provided therein, all payments to be made by the Credit Parties under any other Credit Document, shall be made in Dollars, in immediately available funds, without deduction, set-off or counterclaim, to Administrative Agent at its account at the Principal Office, not later than 2:00 p.m., New York time, on the date on which such payment shall become due (each such payment made after such time on such due date may, at the discretion of Administrative Agent, be deemed to have been made on the next succeeding Business Day). Administrative Agent shall distribute any such payments received by it for the account of any other Person to the appropriate recipient promptly following receipt thereof.</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7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Borrower shall, at the time of making each payment under this Agreement or any Note for the account of any Lender, specify (in accordance with Sections 2.09 and 2.10, if applicable) to Administrative Agent (which shall so notify the intended recipient(s) thereof) the Class and Type of Loans, Reimbursement Obligations or other amounts payable by Borrower hereunder to which such payment is to be applied.</w:t>
      </w:r>
    </w:p>
    <w:p>
      <w:pPr>
        <w:spacing w:after="0" w:line="181" w:lineRule="exact"/>
        <w:rPr>
          <w:rFonts w:ascii="Arial" w:cs="Arial" w:eastAsia="Arial" w:hAnsi="Arial"/>
          <w:sz w:val="18"/>
          <w:szCs w:val="18"/>
          <w:color w:val="auto"/>
        </w:rPr>
      </w:pPr>
    </w:p>
    <w:p>
      <w:pPr>
        <w:ind w:firstLine="656"/>
        <w:spacing w:after="0" w:line="277" w:lineRule="auto"/>
        <w:tabs>
          <w:tab w:leader="none" w:pos="103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Except to the extent otherwise provided in the third sentence of Section 2.03(h), each payment received by Administrative Agent or by any L/C Lender (directly or through Administrative Agent) under this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97" w:right="239" w:bottom="1440" w:gutter="0" w:footer="0" w:header="0"/>
        </w:sectPr>
      </w:pPr>
    </w:p>
    <w:bookmarkStart w:id="163" w:name="page164"/>
    <w:bookmarkEnd w:id="163"/>
    <w:p>
      <w:pPr>
        <w:jc w:val="both"/>
        <w:spacing w:after="0" w:line="253" w:lineRule="auto"/>
        <w:rPr>
          <w:sz w:val="20"/>
          <w:szCs w:val="20"/>
          <w:color w:val="auto"/>
        </w:rPr>
      </w:pPr>
      <w:r>
        <w:rPr>
          <w:rFonts w:ascii="Arial" w:cs="Arial" w:eastAsia="Arial" w:hAnsi="Arial"/>
          <w:sz w:val="18"/>
          <w:szCs w:val="18"/>
          <w:color w:val="auto"/>
        </w:rPr>
        <w:t>or any Note for the account of any Lender shall be paid by Administrative Agent or by such L/C Lender (through Administrative Agent), as the case may be, to such Lender, in immediately available funds, (x) if the payment was actually received by Administrative Agent or by such L/C Lender (directly or through Administrative Agent), as the case may be, prior to 12:00 p.m. (Noon), New York time on any day, on such day and (y) if the payment was actually received by Administrative Agent or by such L/C Lender (directly or through Administrative Agent), as the case may be, after 12:00 p.m. (Noon), New York time, on any day, by 1:00 p.m., New York time, on the following Business Day (it being understood that to the extent that any such payment is not made in full by Administrative Agent or by such L/C Lender (through Administrative Agent), as the case may be, Administrative Agent or such Lender (through Administrative Agent), as applicable, shall pay to such Lender, upon demand, interest at the Federal Funds Rate from the date such amount was required to be paid to such Lender pursuant to the foregoing clauses until the date Administrative Agent or such L/C Lender (through Administrative Agent), as applicable, pays such Lender the full amount).</w:t>
      </w:r>
    </w:p>
    <w:p>
      <w:pPr>
        <w:spacing w:after="0" w:line="197" w:lineRule="exact"/>
        <w:rPr>
          <w:sz w:val="20"/>
          <w:szCs w:val="20"/>
          <w:color w:val="auto"/>
        </w:rPr>
      </w:pPr>
    </w:p>
    <w:p>
      <w:pPr>
        <w:jc w:val="both"/>
        <w:ind w:firstLine="656"/>
        <w:spacing w:after="0" w:line="264" w:lineRule="auto"/>
        <w:tabs>
          <w:tab w:leader="none" w:pos="106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due date of any payment under this Agreement or any Note would otherwise fall on a day that is not a Business Day, such date shall be extended to the next succeeding Business Day, and interest shall be payable for any principal so extended for the period of such extension at the rate then borne by such principal.</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4.02. Pro Rata Treatment</w:t>
      </w:r>
      <w:r>
        <w:rPr>
          <w:rFonts w:ascii="Arial" w:cs="Arial" w:eastAsia="Arial" w:hAnsi="Arial"/>
          <w:sz w:val="17"/>
          <w:szCs w:val="17"/>
          <w:color w:val="auto"/>
        </w:rPr>
        <w:t>. Except to the extent otherwise provided herein: (a) each borrowing of Loans of a particular Class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Lenders under Section 2.01 shall be made from the relevant Lenders, each payment of commitment fees under Section 2.05 in respect of Commitments of a particular Class shall be made for account of the relevant Lenders, and each termination or reduction of the amount of the Commitments of a particular Class under Section 2.04 shall be applied to the respective Commitments of such Class of the relevant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according to the amounts of their respective Commitments of such Class; (b) except as otherwise provided in Section 5.04, LIBOR Loans of any Class having the same Interest Period shall be allocated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among the relevant Lenders according to the amounts of their respective Revolving Commitments and Term Loan Commitments (in the case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making of Loans) or their respective Revolving Loans and Term Loans (in the case of conversions and continuations of Loans); (c) except as otherwise provided in Section 2.09(b), Section 2.10(b), Section 2.12, Section 2.13, Section 2.14, Section 2.15, Section 13.04 or Section 13.05(d), each payment or prepayment of principal of any Class of Revolving Loans or of any particular Class of Term Loans shall be made for the account of the relevant Lenders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in accordance with the respective unpaid outstanding principal amounts of the Loans of such Class held by them; and (d) except as otherwise provided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2.09(b), Section 2.10(b), Section 2.12, Section 2.13, Section 2.14, Section 2.15, Section 13.04 or Section 13.05(d), each payment of interest on Revolving Loans and Term Loans shall be made for account of the relevant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 amounts of interest on such Loans then due and payable to the respective Lenders.</w:t>
      </w:r>
    </w:p>
    <w:p>
      <w:pPr>
        <w:spacing w:after="0" w:line="17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4.03. Computations</w:t>
      </w:r>
      <w:r>
        <w:rPr>
          <w:rFonts w:ascii="Arial" w:cs="Arial" w:eastAsia="Arial" w:hAnsi="Arial"/>
          <w:sz w:val="17"/>
          <w:szCs w:val="17"/>
          <w:color w:val="auto"/>
        </w:rPr>
        <w:t>. Interest on LIBOR Loans, commitment fees and Letter of Credit fees shall be computed on the basis of a year of</w:t>
      </w:r>
      <w:r>
        <w:rPr>
          <w:rFonts w:ascii="Arial" w:cs="Arial" w:eastAsia="Arial" w:hAnsi="Arial"/>
          <w:sz w:val="17"/>
          <w:szCs w:val="17"/>
          <w:b w:val="1"/>
          <w:bCs w:val="1"/>
          <w:color w:val="auto"/>
        </w:rPr>
        <w:t xml:space="preserve"> </w:t>
      </w:r>
      <w:r>
        <w:rPr>
          <w:rFonts w:ascii="Arial" w:cs="Arial" w:eastAsia="Arial" w:hAnsi="Arial"/>
          <w:sz w:val="17"/>
          <w:szCs w:val="17"/>
          <w:color w:val="auto"/>
        </w:rPr>
        <w:t>360 days and actual days elapsed (including the first day but excluding the last day) occurring in the period for which such amounts are payable and interest on ABR Loans and Reimbursement Obligations shall be computed on the basis of a year of 365 or 366 days, as the case may be, and actual days elapsed (including the first day but excluding the last day) occurring in the period for which such amounts are payable.</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SECTION 4.04. Minimum Amounts</w:t>
      </w:r>
      <w:r>
        <w:rPr>
          <w:rFonts w:ascii="Arial" w:cs="Arial" w:eastAsia="Arial" w:hAnsi="Arial"/>
          <w:sz w:val="16"/>
          <w:szCs w:val="16"/>
          <w:color w:val="auto"/>
        </w:rPr>
        <w:t>. Except for mandatory prepayments made pursuant to Section 2.10 and conversions or prepayments made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5.04, and Borrowings made to pay Reimbursement Obligations, each Borrowing, conversion and partial prepayment of principal of Loans shall be in an amount at least equal to (a) in the case of Term Loans (x) with respect to Borrowings, $50.0 million and (y) with respect to conversions and partial repayments of principal, $5.0 million and, in each case, in multiples of $100,000 in excess thereof or, if less, the remaining Term Loans and (b) in the case of Revolving Loans, $2.5 million with respect to ABR Loans and $2.5 million with respect to LIBOR Loans and in multiples of $100,000 in excess thereof (borrowings, conversions or prepayments of or into Loans of different Types or, in the case of LIBOR Loans, having different Interest Periods at the same time hereunder to be deemed separate borrowings, conversions and prepayments for purposes of the foregoing, one for each Type or Interest Period) or, if less, the remaining Revolving Loans. Anything in this Agreement to the contrary notwithstanding, the aggregate principal amount of LIBOR Loans having the same Interest Period shall be in an amount at least equal to $1.0 million and in multiples of $100,000 in excess thereof and, if any LIBOR Loans 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801" w:right="239" w:bottom="1440" w:gutter="0" w:footer="0" w:header="0"/>
        </w:sectPr>
      </w:pPr>
    </w:p>
    <w:bookmarkStart w:id="164" w:name="page165"/>
    <w:bookmarkEnd w:id="164"/>
    <w:p>
      <w:pPr>
        <w:jc w:val="both"/>
        <w:spacing w:after="0" w:line="277" w:lineRule="auto"/>
        <w:rPr>
          <w:sz w:val="20"/>
          <w:szCs w:val="20"/>
          <w:color w:val="auto"/>
        </w:rPr>
      </w:pPr>
      <w:r>
        <w:rPr>
          <w:rFonts w:ascii="Arial" w:cs="Arial" w:eastAsia="Arial" w:hAnsi="Arial"/>
          <w:sz w:val="18"/>
          <w:szCs w:val="18"/>
          <w:color w:val="auto"/>
        </w:rPr>
        <w:t>portions thereof would otherwise be in a lesser principal amount for any period, such Loans or portions, as the case may be, shall be ABR Loans during such period.</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4.05. Certain Notices</w:t>
      </w:r>
      <w:r>
        <w:rPr>
          <w:rFonts w:ascii="Arial" w:cs="Arial" w:eastAsia="Arial" w:hAnsi="Arial"/>
          <w:sz w:val="18"/>
          <w:szCs w:val="18"/>
          <w:color w:val="auto"/>
        </w:rPr>
        <w:t>. Notices by Borrower to Administrative Agent of terminations or reductions of the Commitments,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Borrowings, conversions, continuations and optional prepayments of Loans and of Classes of Loans, of Types of Loans and of the duration of Interest Periods shall be irrevocable and shall be effective only if received by Administrative Agent by telephone not later than 1:00 p.m., New York time (promptly followed by written notice via facsimile or electronic mail), on at least the number of Business Days prior to the date of the relevant termination, reduction, Borrowing, conversion, continuation or prepayment or the first day of such Interest Period specified in the table below (unless otherwise agreed to by Administrative Agent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may make any such notice conditional upon the occurrence of a Person’s acquisition or sale or any incurrence of indebtedness or issuance of Equity Interests.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tcPr>
          <w:p>
            <w:pPr>
              <w:ind w:left="4980"/>
              <w:spacing w:after="0"/>
              <w:rPr>
                <w:sz w:val="20"/>
                <w:szCs w:val="20"/>
                <w:color w:val="auto"/>
              </w:rPr>
            </w:pPr>
            <w:r>
              <w:rPr>
                <w:rFonts w:ascii="Arial" w:cs="Arial" w:eastAsia="Arial" w:hAnsi="Arial"/>
                <w:sz w:val="18"/>
                <w:szCs w:val="18"/>
                <w:color w:val="auto"/>
              </w:rPr>
              <w:t>NOTICE PERIODS</w:t>
            </w:r>
          </w:p>
        </w:tc>
        <w:tc>
          <w:tcPr>
            <w:tcW w:w="2480" w:type="dxa"/>
            <w:vAlign w:val="bottom"/>
          </w:tcPr>
          <w:p>
            <w:pPr>
              <w:spacing w:after="0"/>
              <w:rPr>
                <w:sz w:val="20"/>
                <w:szCs w:val="20"/>
                <w:color w:val="auto"/>
              </w:rPr>
            </w:pPr>
          </w:p>
        </w:tc>
      </w:tr>
      <w:tr>
        <w:trPr>
          <w:trHeight w:val="580"/>
        </w:trPr>
        <w:tc>
          <w:tcPr>
            <w:tcW w:w="8940" w:type="dxa"/>
            <w:vAlign w:val="bottom"/>
          </w:tcPr>
          <w:p>
            <w:pPr>
              <w:ind w:left="120"/>
              <w:spacing w:after="0"/>
              <w:rPr>
                <w:sz w:val="20"/>
                <w:szCs w:val="20"/>
                <w:color w:val="auto"/>
              </w:rPr>
            </w:pPr>
            <w:r>
              <w:rPr>
                <w:rFonts w:ascii="Arial" w:cs="Arial" w:eastAsia="Arial" w:hAnsi="Arial"/>
                <w:sz w:val="18"/>
                <w:szCs w:val="18"/>
                <w:color w:val="auto"/>
              </w:rPr>
              <w:t>Notice</w:t>
            </w:r>
          </w:p>
        </w:tc>
        <w:tc>
          <w:tcPr>
            <w:tcW w:w="2480" w:type="dxa"/>
            <w:vAlign w:val="bottom"/>
          </w:tcPr>
          <w:p>
            <w:pPr>
              <w:jc w:val="center"/>
              <w:ind w:right="70"/>
              <w:spacing w:after="0"/>
              <w:rPr>
                <w:sz w:val="20"/>
                <w:szCs w:val="20"/>
                <w:color w:val="auto"/>
              </w:rPr>
            </w:pPr>
            <w:r>
              <w:rPr>
                <w:rFonts w:ascii="Arial" w:cs="Arial" w:eastAsia="Arial" w:hAnsi="Arial"/>
                <w:sz w:val="18"/>
                <w:szCs w:val="18"/>
                <w:color w:val="auto"/>
                <w:w w:val="95"/>
              </w:rPr>
              <w:t>Number of</w:t>
            </w:r>
          </w:p>
        </w:tc>
      </w:tr>
      <w:tr>
        <w:trPr>
          <w:trHeight w:val="230"/>
        </w:trPr>
        <w:tc>
          <w:tcPr>
            <w:tcW w:w="8940" w:type="dxa"/>
            <w:vAlign w:val="bottom"/>
          </w:tcPr>
          <w:p>
            <w:pPr>
              <w:spacing w:after="0"/>
              <w:rPr>
                <w:sz w:val="20"/>
                <w:szCs w:val="20"/>
                <w:color w:val="auto"/>
              </w:rPr>
            </w:pPr>
          </w:p>
        </w:tc>
        <w:tc>
          <w:tcPr>
            <w:tcW w:w="2480" w:type="dxa"/>
            <w:vAlign w:val="bottom"/>
          </w:tcPr>
          <w:p>
            <w:pPr>
              <w:jc w:val="center"/>
              <w:ind w:right="10"/>
              <w:spacing w:after="0"/>
              <w:rPr>
                <w:sz w:val="20"/>
                <w:szCs w:val="20"/>
                <w:color w:val="auto"/>
              </w:rPr>
            </w:pPr>
            <w:r>
              <w:rPr>
                <w:rFonts w:ascii="Arial" w:cs="Arial" w:eastAsia="Arial" w:hAnsi="Arial"/>
                <w:sz w:val="18"/>
                <w:szCs w:val="18"/>
                <w:color w:val="auto"/>
                <w:w w:val="90"/>
              </w:rPr>
              <w:t>Business Days Prior</w:t>
            </w:r>
          </w:p>
        </w:tc>
      </w:tr>
      <w:tr>
        <w:trPr>
          <w:trHeight w:val="432"/>
        </w:trPr>
        <w:tc>
          <w:tcPr>
            <w:tcW w:w="89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237"/>
        </w:trPr>
        <w:tc>
          <w:tcPr>
            <w:tcW w:w="8940" w:type="dxa"/>
            <w:vAlign w:val="bottom"/>
          </w:tcPr>
          <w:p>
            <w:pPr>
              <w:ind w:left="120"/>
              <w:spacing w:after="0"/>
              <w:rPr>
                <w:sz w:val="20"/>
                <w:szCs w:val="20"/>
                <w:color w:val="auto"/>
              </w:rPr>
            </w:pPr>
            <w:r>
              <w:rPr>
                <w:rFonts w:ascii="Arial" w:cs="Arial" w:eastAsia="Arial" w:hAnsi="Arial"/>
                <w:sz w:val="18"/>
                <w:szCs w:val="18"/>
                <w:color w:val="auto"/>
              </w:rPr>
              <w:t>Termination or reduction of Commitments</w:t>
            </w:r>
          </w:p>
        </w:tc>
        <w:tc>
          <w:tcPr>
            <w:tcW w:w="2480" w:type="dxa"/>
            <w:vAlign w:val="bottom"/>
          </w:tcPr>
          <w:p>
            <w:pPr>
              <w:jc w:val="center"/>
              <w:ind w:right="30"/>
              <w:spacing w:after="0"/>
              <w:rPr>
                <w:sz w:val="20"/>
                <w:szCs w:val="20"/>
                <w:color w:val="auto"/>
              </w:rPr>
            </w:pPr>
            <w:r>
              <w:rPr>
                <w:rFonts w:ascii="Arial" w:cs="Arial" w:eastAsia="Arial" w:hAnsi="Arial"/>
                <w:sz w:val="18"/>
                <w:szCs w:val="18"/>
                <w:color w:val="auto"/>
                <w:w w:val="79"/>
              </w:rPr>
              <w:t>3</w:t>
            </w:r>
          </w:p>
        </w:tc>
      </w:tr>
      <w:tr>
        <w:trPr>
          <w:trHeight w:val="675"/>
        </w:trPr>
        <w:tc>
          <w:tcPr>
            <w:tcW w:w="8940" w:type="dxa"/>
            <w:vAlign w:val="bottom"/>
          </w:tcPr>
          <w:p>
            <w:pPr>
              <w:ind w:left="120"/>
              <w:spacing w:after="0"/>
              <w:rPr>
                <w:sz w:val="20"/>
                <w:szCs w:val="20"/>
                <w:color w:val="auto"/>
              </w:rPr>
            </w:pPr>
            <w:r>
              <w:rPr>
                <w:rFonts w:ascii="Arial" w:cs="Arial" w:eastAsia="Arial" w:hAnsi="Arial"/>
                <w:sz w:val="18"/>
                <w:szCs w:val="18"/>
                <w:color w:val="auto"/>
              </w:rPr>
              <w:t>Optional prepayment of, or conversions into, ABR Loans</w:t>
            </w:r>
          </w:p>
        </w:tc>
        <w:tc>
          <w:tcPr>
            <w:tcW w:w="2480" w:type="dxa"/>
            <w:vAlign w:val="bottom"/>
          </w:tcPr>
          <w:p>
            <w:pPr>
              <w:jc w:val="center"/>
              <w:ind w:right="30"/>
              <w:spacing w:after="0"/>
              <w:rPr>
                <w:sz w:val="20"/>
                <w:szCs w:val="20"/>
                <w:color w:val="auto"/>
              </w:rPr>
            </w:pPr>
            <w:r>
              <w:rPr>
                <w:rFonts w:ascii="Arial" w:cs="Arial" w:eastAsia="Arial" w:hAnsi="Arial"/>
                <w:sz w:val="18"/>
                <w:szCs w:val="18"/>
                <w:color w:val="auto"/>
                <w:w w:val="79"/>
              </w:rPr>
              <w:t>1</w:t>
            </w:r>
          </w:p>
        </w:tc>
      </w:tr>
      <w:tr>
        <w:trPr>
          <w:trHeight w:val="661"/>
        </w:trPr>
        <w:tc>
          <w:tcPr>
            <w:tcW w:w="8940" w:type="dxa"/>
            <w:vAlign w:val="bottom"/>
          </w:tcPr>
          <w:p>
            <w:pPr>
              <w:ind w:left="120"/>
              <w:spacing w:after="0"/>
              <w:rPr>
                <w:sz w:val="20"/>
                <w:szCs w:val="20"/>
                <w:color w:val="auto"/>
              </w:rPr>
            </w:pPr>
            <w:r>
              <w:rPr>
                <w:rFonts w:ascii="Arial" w:cs="Arial" w:eastAsia="Arial" w:hAnsi="Arial"/>
                <w:sz w:val="18"/>
                <w:szCs w:val="18"/>
                <w:color w:val="auto"/>
                <w:w w:val="96"/>
              </w:rPr>
              <w:t>Borrowing or optional prepayment of, conversions into, continuations as, or duration of Interest Periods for, LIBOR</w:t>
            </w:r>
          </w:p>
        </w:tc>
        <w:tc>
          <w:tcPr>
            <w:tcW w:w="2480" w:type="dxa"/>
            <w:vAlign w:val="bottom"/>
          </w:tcPr>
          <w:p>
            <w:pPr>
              <w:jc w:val="center"/>
              <w:ind w:right="30"/>
              <w:spacing w:after="0"/>
              <w:rPr>
                <w:sz w:val="20"/>
                <w:szCs w:val="20"/>
                <w:color w:val="auto"/>
              </w:rPr>
            </w:pPr>
            <w:r>
              <w:rPr>
                <w:rFonts w:ascii="Arial" w:cs="Arial" w:eastAsia="Arial" w:hAnsi="Arial"/>
                <w:sz w:val="18"/>
                <w:szCs w:val="18"/>
                <w:color w:val="auto"/>
                <w:w w:val="79"/>
              </w:rPr>
              <w:t>3</w:t>
            </w:r>
          </w:p>
        </w:tc>
      </w:tr>
      <w:tr>
        <w:trPr>
          <w:trHeight w:val="230"/>
        </w:trPr>
        <w:tc>
          <w:tcPr>
            <w:tcW w:w="8940" w:type="dxa"/>
            <w:vAlign w:val="bottom"/>
          </w:tcPr>
          <w:p>
            <w:pPr>
              <w:ind w:left="120"/>
              <w:spacing w:after="0"/>
              <w:rPr>
                <w:sz w:val="20"/>
                <w:szCs w:val="20"/>
                <w:color w:val="auto"/>
              </w:rPr>
            </w:pPr>
            <w:r>
              <w:rPr>
                <w:rFonts w:ascii="Arial" w:cs="Arial" w:eastAsia="Arial" w:hAnsi="Arial"/>
                <w:sz w:val="18"/>
                <w:szCs w:val="18"/>
                <w:color w:val="auto"/>
              </w:rPr>
              <w:t>Loans</w:t>
            </w:r>
          </w:p>
        </w:tc>
        <w:tc>
          <w:tcPr>
            <w:tcW w:w="2480" w:type="dxa"/>
            <w:vAlign w:val="bottom"/>
          </w:tcPr>
          <w:p>
            <w:pPr>
              <w:spacing w:after="0"/>
              <w:rPr>
                <w:sz w:val="20"/>
                <w:szCs w:val="20"/>
                <w:color w:val="auto"/>
              </w:rPr>
            </w:pPr>
          </w:p>
        </w:tc>
      </w:tr>
      <w:tr>
        <w:trPr>
          <w:trHeight w:val="675"/>
        </w:trPr>
        <w:tc>
          <w:tcPr>
            <w:tcW w:w="8940" w:type="dxa"/>
            <w:vAlign w:val="bottom"/>
          </w:tcPr>
          <w:p>
            <w:pPr>
              <w:ind w:left="120"/>
              <w:spacing w:after="0"/>
              <w:rPr>
                <w:sz w:val="20"/>
                <w:szCs w:val="20"/>
                <w:color w:val="auto"/>
              </w:rPr>
            </w:pPr>
            <w:r>
              <w:rPr>
                <w:rFonts w:ascii="Arial" w:cs="Arial" w:eastAsia="Arial" w:hAnsi="Arial"/>
                <w:sz w:val="18"/>
                <w:szCs w:val="18"/>
                <w:color w:val="auto"/>
              </w:rPr>
              <w:t>Borrowing of ABR Loans</w:t>
            </w:r>
          </w:p>
        </w:tc>
        <w:tc>
          <w:tcPr>
            <w:tcW w:w="2480" w:type="dxa"/>
            <w:vAlign w:val="bottom"/>
          </w:tcPr>
          <w:p>
            <w:pPr>
              <w:jc w:val="center"/>
              <w:ind w:right="30"/>
              <w:spacing w:after="0"/>
              <w:rPr>
                <w:sz w:val="20"/>
                <w:szCs w:val="20"/>
                <w:color w:val="auto"/>
              </w:rPr>
            </w:pPr>
            <w:r>
              <w:rPr>
                <w:rFonts w:ascii="Arial" w:cs="Arial" w:eastAsia="Arial" w:hAnsi="Arial"/>
                <w:sz w:val="18"/>
                <w:szCs w:val="18"/>
                <w:color w:val="auto"/>
                <w:w w:val="87"/>
              </w:rPr>
              <w:t>same day</w:t>
            </w:r>
          </w:p>
        </w:tc>
      </w:tr>
    </w:tbl>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Each such notice of termination or reduction shall specify the amount and the Class of the Commitments to be terminated or reduced. Each such Notice of Borrowing, conversion, continuation or prepayment shall specify the Class of Loans to be borrowed, converted, continued or prepaid and the amount (subject to Section 4.04) and Type of each Loan to be borrowed, converted, continued or prepaid and the date of borrowing, conversion, continuation or prepayment (which shall be a Business Day). Each such notice of the duration of an Interest Period shall specify the Loans to which such Interest Period is to relate. Administrative Agent shall promptly notify the Lenders of the contents of each such notice. In the event that Borrower fails to select the Type of Loan within the time period and otherwise as provided in this Section 4.05, such Loan (if outstanding as a LIBOR Loan) will be automatically converted into an ABR Loan on the last day of the then current Interest Period for such Loan or (if outstanding as an ABR Loan) will remain as, or (if not then outstanding) will be made as, an ABR Loan. In the event that Borrower has elected to borrow or convert Loans into LIBOR Loans but fails to select the duration of any Interest Period for any LIBOR Loans within the time period and otherwise as provided in this Section 4.05, such LIBOR Loan shall have an Interest Period of one month.</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4.06. Non-Receipt of Funds by Administrative Agent</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1" w:lineRule="auto"/>
        <w:tabs>
          <w:tab w:leader="none" w:pos="103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Lender prior to the proposed date of any Borrowing of LIBOR Loans (or, in the case of any Borrowing of ABR Loans, prior to 12:00 noon on the date of such Borrowing) that such Lender will not make available to the Administrative Agent such Lender’s share of such Borrowing, the Administrative Agent may assume that such Lender has made such share available on such date in accordance with Section 2.02 (or, in the case of a Borrowing of ABR Loans, that such Lender has made such share available in accordance with and at the time required by Section 2.02) and may, in reliance upon such assumption, make available to Borrower a corresponding amount. In such event, if a Lender has not in fact made its share of the applicable Borrowing available to the Administrative Agent, then the applicable Lender and Borrower severally agree to pay to the Administrative Agent forthwith on demand such corresponding amount in immediately available funds with interest thereon, for each day from and including the date such amount is made available to Borrower to but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800" w:right="239" w:bottom="1440" w:gutter="0" w:footer="0" w:header="0"/>
        </w:sectPr>
      </w:pPr>
    </w:p>
    <w:bookmarkStart w:id="165" w:name="page166"/>
    <w:bookmarkEnd w:id="165"/>
    <w:p>
      <w:pPr>
        <w:jc w:val="both"/>
        <w:spacing w:after="0" w:line="255" w:lineRule="auto"/>
        <w:rPr>
          <w:sz w:val="20"/>
          <w:szCs w:val="20"/>
          <w:color w:val="auto"/>
        </w:rPr>
      </w:pPr>
      <w:r>
        <w:rPr>
          <w:rFonts w:ascii="Arial" w:cs="Arial" w:eastAsia="Arial" w:hAnsi="Arial"/>
          <w:sz w:val="18"/>
          <w:szCs w:val="18"/>
          <w:color w:val="auto"/>
        </w:rPr>
        <w:t>excluding the date of payment to the Administrative Agent, at (A) in the case of a payment to be made by such Lender, the Federal Funds Rate, plus any administrative, processing or similar fees customarily charged by the Administrative Agent in connection with the foregoing, and (B) in the case of a payment to be made by Borrower, the interest rate applicable to ABR Loans. If Borrower and such Lender shall pay such interest to the Administrative Agent for the same or an overlapping period, the Administrative Agent shall promptly remit to Borrower the amount of such interest paid by Borrower for such period. If such Lender pays its share of the applicable Borrowing to the Administrative Agent, then the amount so paid shall constitute such Lender’s Loan included in such Borrowing. Any payment by Borrower shall be without prejudice to any claim Borrower may have against a Lender that shall have failed to make such payment to the Administrative Agent.</w:t>
      </w:r>
    </w:p>
    <w:p>
      <w:pPr>
        <w:spacing w:after="0" w:line="189" w:lineRule="exact"/>
        <w:rPr>
          <w:sz w:val="20"/>
          <w:szCs w:val="20"/>
          <w:color w:val="auto"/>
        </w:rPr>
      </w:pPr>
    </w:p>
    <w:p>
      <w:pPr>
        <w:jc w:val="both"/>
        <w:ind w:firstLine="656"/>
        <w:spacing w:after="0" w:line="271" w:lineRule="auto"/>
        <w:tabs>
          <w:tab w:leader="none" w:pos="104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Borrower prior to the date on which any payment is due to the Administrative Agent for the account of the Lenders or the L/C Lenders hereunder that Borrower will not make such payment, the Administrative Agent may assume that Borrower has made such payment on such date in accordance herewith and may, in reliance upon such assumption, distribute to the Lenders or the L/C Lenders, as the case may be, the amount due. In such event, if Borrower has not in fact made such payment, then each of the Lenders or the L/C Lenders, as the case may be, severally agrees to repay to the Administrative Agent forthwith on demand the amount so distributed to such Lender or L/C Lender, in immediately available funds with interest thereon, for each day from and including the date such amount is distributed to it to but excluding the date of payment to the Administrative Agent, at the Federal Funds Rate. A notice of the Administrative Agent to any Lender or Borrower with respect to any amount owing under this subsection (b) shall be conclusive, absent manifest error.</w:t>
      </w:r>
    </w:p>
    <w:p>
      <w:pPr>
        <w:spacing w:after="0" w:line="17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4.07.</w:t>
      </w:r>
      <w:r>
        <w:rPr>
          <w:sz w:val="20"/>
          <w:szCs w:val="20"/>
          <w:color w:val="auto"/>
        </w:rPr>
        <w:tab/>
      </w:r>
      <w:r>
        <w:rPr>
          <w:rFonts w:ascii="Arial" w:cs="Arial" w:eastAsia="Arial" w:hAnsi="Arial"/>
          <w:sz w:val="16"/>
          <w:szCs w:val="16"/>
          <w:b w:val="1"/>
          <w:bCs w:val="1"/>
          <w:color w:val="auto"/>
        </w:rPr>
        <w:t>Right of Setoff, Sharing of Payments; Etc</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0" w:lineRule="auto"/>
        <w:tabs>
          <w:tab w:leader="none" w:pos="103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If any Event of Default shall have occurred and be continuing, each Credit Party agrees that, in addition to (and without limitation of) any right of setoff, banker’s lien or counterclaim a Lender may otherwise have, each Lender shall be entitled, at its option (to the fullest extent permitted by law), subject to obtaining the prior written consent of the Administrative Agent to set off and apply any deposit (general or special, time or demand, provisional or final), or other indebtedness, held by it for the credit or account of such Credit Party at any of its offices, in Dollars or in any other currency, against any principal of or interest on any of such Lender’s Loans, Reimbursement Obligations or any other amount payable to such Lender hereunder that is not paid when due (regardless of whether such deposit or other indebtedness is then due to such Credit Party), in which case it shall promptly notify such Credit Party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Lender’s failure to give such notice shall not affect the validity thereof;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such right of setoff, banker’s lien or counterclaim shall apply to any funds held for further distribution to any Governmental Authority.</w:t>
      </w:r>
    </w:p>
    <w:p>
      <w:pPr>
        <w:spacing w:after="0" w:line="166" w:lineRule="exact"/>
        <w:rPr>
          <w:rFonts w:ascii="Arial" w:cs="Arial" w:eastAsia="Arial" w:hAnsi="Arial"/>
          <w:sz w:val="16"/>
          <w:szCs w:val="16"/>
          <w:color w:val="auto"/>
        </w:rPr>
      </w:pPr>
    </w:p>
    <w:p>
      <w:pPr>
        <w:jc w:val="both"/>
        <w:ind w:firstLine="656"/>
        <w:spacing w:after="0" w:line="288" w:lineRule="auto"/>
        <w:tabs>
          <w:tab w:leader="none" w:pos="104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Each of the Lenders agrees that, if it should receive (other than pursuant to Section 2.09(b), Section 2.10(b), Section 2.11, Section 2.12, Section 2.13, Section 2.15, Article V, Section 13.04 or Section 13.05(d) or as otherwise specifically provided herein or in the Fee Letter) any amount hereunder (whether by voluntary payment, by realization upon security, by the exercise of the right of setoff or banker’s lien, by counterclaim or cross action, by the enforcement of any right under the Credit Documents (including any guarantee), or otherwise) which is applicable to the payment of the principal of, or interest on, the Loans, Reimbursement Obligations or fees, the sum of which with respect to the related sum or sums received by other Lenders is in a greater proportion than the total of such amounts then owed and due to such Lender bears to the total of such amounts then owed and due to all of the Lenders immediately prior to such receipt, then such Lender receiving such excess payment shall purchase for cash without recourse or warranty from the other Lenders an interest in the Obligations of the respective Credit Party to such Lenders in such amount as shall result in a proportional participation by all of the Lenders in such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all or any portion of such excess amount is thereafter recovered from such Lender, such purchase shall be rescinded and the purchase price restored to the extent of such recovery, but without interest. Borrower consents to the foregoing arrangements.</w:t>
      </w:r>
    </w:p>
    <w:p>
      <w:pPr>
        <w:spacing w:after="0" w:line="169" w:lineRule="exact"/>
        <w:rPr>
          <w:rFonts w:ascii="Arial" w:cs="Arial" w:eastAsia="Arial" w:hAnsi="Arial"/>
          <w:sz w:val="16"/>
          <w:szCs w:val="16"/>
          <w:color w:val="auto"/>
        </w:rPr>
      </w:pPr>
    </w:p>
    <w:p>
      <w:pPr>
        <w:jc w:val="both"/>
        <w:ind w:firstLine="656"/>
        <w:spacing w:after="0" w:line="264" w:lineRule="auto"/>
        <w:tabs>
          <w:tab w:leader="none" w:pos="104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Borrower agrees that any Lender so purchasing such participation may exercise all rights of setoff, banker’s lien, counterclaim or similar rights with respect to such participation as fully as if such Lender were a direct holder of Loans or other amounts (as the case may be) owing to such Lender in the amount of such participation.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801" w:right="239" w:bottom="1440" w:gutter="0" w:footer="0" w:header="0"/>
        </w:sectPr>
      </w:pPr>
    </w:p>
    <w:bookmarkStart w:id="166" w:name="page167"/>
    <w:bookmarkEnd w:id="166"/>
    <w:p>
      <w:pPr>
        <w:jc w:val="both"/>
        <w:ind w:firstLine="656"/>
        <w:spacing w:after="0" w:line="257" w:lineRule="auto"/>
        <w:tabs>
          <w:tab w:leader="none" w:pos="107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Nothing contained herein shall require any Lender to exercise any such right or shall affect the right of any Lender to exercise, and retain the benefits of exercising, any such right with respect to any other Indebtedness or obligation of any Credit Party. If, under any applicable bankruptcy, insolvency or other similar law, any Lender receives a secured claim in lieu of a setoff to which this Section 4.07 applies, such Lender shall, to the extent practicable, exercise its rights in respect of such secured claim in a manner consistent with the rights of the Lenders entitled under this Section 4.07 to share in the benefits of any recovery on such secured claim.</w:t>
      </w:r>
    </w:p>
    <w:p>
      <w:pPr>
        <w:spacing w:after="0" w:line="188" w:lineRule="exact"/>
        <w:rPr>
          <w:rFonts w:ascii="Arial" w:cs="Arial" w:eastAsia="Arial" w:hAnsi="Arial"/>
          <w:sz w:val="18"/>
          <w:szCs w:val="18"/>
          <w:color w:val="auto"/>
        </w:rPr>
      </w:pPr>
    </w:p>
    <w:p>
      <w:pPr>
        <w:jc w:val="both"/>
        <w:ind w:firstLine="656"/>
        <w:spacing w:after="0" w:line="257" w:lineRule="auto"/>
        <w:tabs>
          <w:tab w:leader="none" w:pos="103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4.07, in the event that any Defaulting Lender exercises any right of setoff, (i) all amounts so set off will be paid over immediately to Administrative Agent for further application in accordance with the provisions of Section 2.14 and, pending such payment, will be segregated by such Defaulting Lender from its other funds and deemed held in trust for the benefit of Administrative Agent, each L/C Lender and the Lenders and (ii) the Defaulting Lender will provide promptly to Administrative Agent a statement describing in reasonable detail the Obligations owing to such Defaulting Lender as to which it exercised such right of setoff.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YIELD PROTECTION, ETC</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6"/>
          <w:szCs w:val="16"/>
          <w:b w:val="1"/>
          <w:bCs w:val="1"/>
          <w:color w:val="auto"/>
        </w:rPr>
        <w:t>Additional Costs</w:t>
      </w:r>
      <w:r>
        <w:rPr>
          <w:rFonts w:ascii="Arial" w:cs="Arial" w:eastAsia="Arial" w:hAnsi="Arial"/>
          <w:sz w:val="16"/>
          <w:szCs w:val="16"/>
          <w:color w:val="auto"/>
        </w:rPr>
        <w:t>.</w:t>
      </w:r>
    </w:p>
    <w:p>
      <w:pPr>
        <w:spacing w:after="0" w:line="229" w:lineRule="exact"/>
        <w:rPr>
          <w:sz w:val="20"/>
          <w:szCs w:val="20"/>
          <w:color w:val="auto"/>
        </w:rPr>
      </w:pPr>
    </w:p>
    <w:p>
      <w:pPr>
        <w:ind w:left="1040" w:hanging="384"/>
        <w:spacing w:after="0"/>
        <w:tabs>
          <w:tab w:leader="none" w:pos="10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jc w:val="both"/>
        <w:ind w:left="660" w:firstLine="888"/>
        <w:spacing w:after="0" w:line="264" w:lineRule="auto"/>
        <w:tabs>
          <w:tab w:leader="none" w:pos="196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subject any Lender or L/C Lender to any Taxes with respect to this Agreement, any Note, any Letter of Credit or any Lender’s participation therein, any L/C Document or any Loan made by it (except for (1) any reserve requirement reflected in the LIBO Rate, (2) Covered Taxes and (3) Excluded Taxes);</w:t>
      </w:r>
    </w:p>
    <w:p>
      <w:pPr>
        <w:spacing w:after="0" w:line="181" w:lineRule="exact"/>
        <w:rPr>
          <w:rFonts w:ascii="Arial" w:cs="Arial" w:eastAsia="Arial" w:hAnsi="Arial"/>
          <w:sz w:val="18"/>
          <w:szCs w:val="18"/>
          <w:color w:val="auto"/>
        </w:rPr>
      </w:pPr>
    </w:p>
    <w:p>
      <w:pPr>
        <w:jc w:val="both"/>
        <w:ind w:left="660" w:firstLine="888"/>
        <w:spacing w:after="0" w:line="312" w:lineRule="auto"/>
        <w:tabs>
          <w:tab w:leader="none" w:pos="1984"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impose, modify or hold applicable any reserve, special deposit, compulsory loan, insurance charge or similar requirement against assets held by, deposits or other liabilities in or for the account of, advances, loans or other extensions of credit by, or any other acquisition of funds by, any office of such Lender or L/C Lender, in each case, that is not otherwise included in the determination of the LIBO Rate hereunder; or</w:t>
      </w:r>
    </w:p>
    <w:p>
      <w:pPr>
        <w:spacing w:after="0" w:line="146" w:lineRule="exact"/>
        <w:rPr>
          <w:rFonts w:ascii="Arial" w:cs="Arial" w:eastAsia="Arial" w:hAnsi="Arial"/>
          <w:sz w:val="16"/>
          <w:szCs w:val="16"/>
          <w:color w:val="auto"/>
        </w:rPr>
      </w:pPr>
    </w:p>
    <w:p>
      <w:pPr>
        <w:ind w:left="660" w:firstLine="888"/>
        <w:spacing w:after="0" w:line="277" w:lineRule="auto"/>
        <w:tabs>
          <w:tab w:leader="none" w:pos="206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impose on any Lender or L/C Lender or the London interbank market any other condition, cost or expense (other than Taxes) affecting this Agreement or LIBOR Loans made by such Lender or any Letter of Credit or participation therein;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the result of any of the foregoing is to materially increase the cost to such Lender or L/C Lender of making, converting into, continuing or maintaining LIBOR Loans (or of maintaining its obligation to make any LIBOR Loans) or issuing, maintaining or participating in Letters of Credit (or maintaining its obligation to participate in or to issue any Letter of Credit), then, in any such case, Borrower shall, within 10 days of written demand therefor, pay such Lender or L/C Lender any additional amounts necessary to compensate such Lender or L/C Lender for such increased cost. If any Lender or L/C Lender becomes entitled to claim any additional amounts pursuant to this subsection, it shall promptly notify Borrower, through Administrative Agent, of the event by reason of which it has become so entitled.</w:t>
      </w:r>
    </w:p>
    <w:p>
      <w:pPr>
        <w:spacing w:after="0" w:line="193" w:lineRule="exact"/>
        <w:rPr>
          <w:sz w:val="20"/>
          <w:szCs w:val="20"/>
          <w:color w:val="auto"/>
        </w:rPr>
      </w:pPr>
    </w:p>
    <w:p>
      <w:pPr>
        <w:jc w:val="both"/>
        <w:ind w:firstLine="656"/>
        <w:spacing w:after="0" w:line="259" w:lineRule="auto"/>
        <w:tabs>
          <w:tab w:leader="none" w:pos="107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certificate as to any additional amounts setting forth the calculation of such additional amounts pursuant to this Section 5.01 submitted by such Lender or L/C Lender, through Administrative Agent, to Borrower shall be conclusive in the absence of clearly demonstrable error. Without limiting the survival of any other covenant hereunder, this Section 5.01 shall survive the termination of this Agreement and the payment of the Notes and all other Obligations payable hereunder.</w:t>
      </w:r>
    </w:p>
    <w:p>
      <w:pPr>
        <w:spacing w:after="0" w:line="186" w:lineRule="exact"/>
        <w:rPr>
          <w:rFonts w:ascii="Arial" w:cs="Arial" w:eastAsia="Arial" w:hAnsi="Arial"/>
          <w:sz w:val="18"/>
          <w:szCs w:val="18"/>
          <w:color w:val="auto"/>
        </w:rPr>
      </w:pPr>
    </w:p>
    <w:p>
      <w:pPr>
        <w:ind w:firstLine="656"/>
        <w:spacing w:after="0" w:line="277" w:lineRule="auto"/>
        <w:tabs>
          <w:tab w:leader="none" w:pos="104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the event that any Lender shall have determined that any Change in Law affecting such Lender or any Lending Office of such Lender or the Lender’s holding company with regard to capital or liquidity requirements,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800" w:right="239" w:bottom="1440" w:gutter="0" w:footer="0" w:header="0"/>
        </w:sectPr>
      </w:pPr>
    </w:p>
    <w:bookmarkStart w:id="167" w:name="page168"/>
    <w:bookmarkEnd w:id="167"/>
    <w:p>
      <w:pPr>
        <w:jc w:val="both"/>
        <w:spacing w:after="0" w:line="255" w:lineRule="auto"/>
        <w:rPr>
          <w:sz w:val="20"/>
          <w:szCs w:val="20"/>
          <w:color w:val="auto"/>
        </w:rPr>
      </w:pPr>
      <w:r>
        <w:rPr>
          <w:rFonts w:ascii="Arial" w:cs="Arial" w:eastAsia="Arial" w:hAnsi="Arial"/>
          <w:sz w:val="18"/>
          <w:szCs w:val="18"/>
          <w:color w:val="auto"/>
        </w:rPr>
        <w:t>does or shall have the effect of reducing the rate of return on such Lender’s or such holding company’s capital as a consequence of its obligations hereunder, the Commitments of such Lender, the Loans made by, or participations in Letters of Credit held by such Lender, or the Letters of Credit issued by such L/C Lender, to a level below that which such Lender or such holding company could have achieved but for such Change in Law (taking into consideration such Lender’s policies and the policies of such Lender’s holding company with respect to capital adequacy), then from time to time, after submission by such Lender or Borrower (with a copy to Administrative Agent) of a written request therefor (setting forth in reasonable detail the amount payable to the affected Lender and the basis for such request), Borrower shall promptly pay to such Lender such additional amount or amounts as will compensate such Lender for such reduction.</w:t>
      </w:r>
    </w:p>
    <w:p>
      <w:pPr>
        <w:spacing w:after="0" w:line="189" w:lineRule="exact"/>
        <w:rPr>
          <w:sz w:val="20"/>
          <w:szCs w:val="20"/>
          <w:color w:val="auto"/>
        </w:rPr>
      </w:pPr>
    </w:p>
    <w:p>
      <w:pPr>
        <w:jc w:val="both"/>
        <w:ind w:firstLine="656"/>
        <w:spacing w:after="0" w:line="255" w:lineRule="auto"/>
        <w:tabs>
          <w:tab w:leader="none" w:pos="10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to demand compensation pursuant to this Section 5.01 shall not constitute a waiver of such Lender’s right to demand such compensation;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Borrower shall not be required to compensate a Lender pursuant to this Section 5.01 for any increased costs or reductions incurred more than ninety (90) days prior to the date that such Lender notifies Borrower of the Change in Law giving rise to such increased costs incurred or reductions suffered and of such Lender’s intention to claim compensation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the Change in Law giving rise to such increased costs or reductions is retroactive, then the 90-day period referred to above shall be extended to include the period of retroactive effect thereof.</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5.02. Inability To Determine Interest Rate</w:t>
      </w:r>
      <w:r>
        <w:rPr>
          <w:rFonts w:ascii="Arial" w:cs="Arial" w:eastAsia="Arial" w:hAnsi="Arial"/>
          <w:sz w:val="17"/>
          <w:szCs w:val="17"/>
          <w:color w:val="auto"/>
        </w:rPr>
        <w:t>. If prior to the first day of any Interest Period: (a) Administrative Agent shall have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(which determination shall be conclusive and binding upon Borrower) that, by reason of circumstances affecting the relevant market, adequate and reasonable means do not exist for ascertaining the LIBO Base Rate for such Interest Period or (b) Administrative Agent shall have received notice from the Required Lenders that Dollar deposits are not available in the relevant amount and for the relevant Interest Period available to the Required Lenders in the London interbank market or (c) the Required Lenders determine that the LIBO Rate for any requested Interest Period with respect to a proposed LIBOR Loan does not adequately and fairly reflect the cost to such Lenders of funding such LIBOR Loans (in each case, “</w:t>
      </w:r>
      <w:r>
        <w:rPr>
          <w:rFonts w:ascii="Arial" w:cs="Arial" w:eastAsia="Arial" w:hAnsi="Arial"/>
          <w:sz w:val="17"/>
          <w:szCs w:val="17"/>
          <w:b w:val="1"/>
          <w:bCs w:val="1"/>
          <w:color w:val="auto"/>
        </w:rPr>
        <w:t>Impacted Loans</w:t>
      </w:r>
      <w:r>
        <w:rPr>
          <w:rFonts w:ascii="Arial" w:cs="Arial" w:eastAsia="Arial" w:hAnsi="Arial"/>
          <w:sz w:val="17"/>
          <w:szCs w:val="17"/>
          <w:color w:val="auto"/>
        </w:rPr>
        <w:t>”), Administrative Agent shall give electronic mail or telephonic notice thereof to Borrower and the Lenders as soon as practicable thereof. If such notice is given, (x) any LIBOR Loans requested to be made on the first day of such Interest Period shall be made as ABR Loans, (y) any Loans that were to have been converted on the first day of such Interest Period to LIBOR Loans shall be converted to, or continued as, ABR Loans and (z) any outstanding LIBOR Loans shall be converted, on the first day of such Interest Period, to ABR Loans. Until such notice has been withdrawn by Administrative Agent (which the Administrative Agent agrees to do if the circumstances giving rise to such notice cease to exist), no further LIBOR Loans shall be made, or continued as such, nor shall Borrower have the right to convert Loans to, LIBOR Loans.</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Notwithstanding the foregoing, if there are Impacted Loans as provided above, the Administrative Agent, in consultation with Borrower and the affected Lenders, may establish an alternative interest rate for the Impacted Loans, in which case, such alternative rate of interest shall apply with respect to the Impacted Loans (to the extent Borrower does not elect to maintain such Impacted Loans as ABR Loans) until (1) the Administrative Agent revokes the notice delivered with respect to the Impacted Loans (which the Administrative Agent agrees to do if the circumstances giving rise to Impacted Loans cease to exist), (2) the Administrative Agent or the Required Lenders notify the Administrative Agent and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Borrower written notice thereof.</w:t>
      </w:r>
    </w:p>
    <w:p>
      <w:pPr>
        <w:spacing w:after="0" w:line="19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5.03. Illegality</w:t>
      </w:r>
      <w:r>
        <w:rPr>
          <w:rFonts w:ascii="Arial" w:cs="Arial" w:eastAsia="Arial" w:hAnsi="Arial"/>
          <w:sz w:val="18"/>
          <w:szCs w:val="18"/>
          <w:color w:val="auto"/>
        </w:rPr>
        <w:t>. Notwithstanding any other provision of this Agreement, in the event that any change after the date hereof in any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of Law or in the interpretation or application thereof shall make it unlawful for any Lender or its Applicable Lending Office to honor its obligation to make or maintain LIBOR Loans or issue Letters of Credit hereunder (and, in the sole opinion of such Lender, the designation of a different Applicable Lending Office would either not avoid such unlawfulness or would be disadvantageous to such Lender), then such Lender shall promptly notify Borrower thereof (with a copy to Administrative Agent) and such Lender’s obligation to make or continue, or to convert Loans of any other Type into, LIBOR Loans or issue Letters of Credit shall be suspended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801" w:right="239" w:bottom="1440" w:gutter="0" w:footer="0" w:header="0"/>
        </w:sectPr>
      </w:pPr>
    </w:p>
    <w:bookmarkStart w:id="168" w:name="page169"/>
    <w:bookmarkEnd w:id="168"/>
    <w:p>
      <w:pPr>
        <w:jc w:val="both"/>
        <w:spacing w:after="0" w:line="277" w:lineRule="auto"/>
        <w:rPr>
          <w:sz w:val="20"/>
          <w:szCs w:val="20"/>
          <w:color w:val="auto"/>
        </w:rPr>
      </w:pPr>
      <w:r>
        <w:rPr>
          <w:rFonts w:ascii="Arial" w:cs="Arial" w:eastAsia="Arial" w:hAnsi="Arial"/>
          <w:sz w:val="18"/>
          <w:szCs w:val="18"/>
          <w:color w:val="auto"/>
        </w:rPr>
        <w:t>until such time as such Lender or L/C Lender may again make and maintain LIBOR Loans or issue Letters of Credit (in which case the provisions of Section 5.04 shall be applicable).</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5.04. Treatment of Affected Loans</w:t>
      </w:r>
      <w:r>
        <w:rPr>
          <w:rFonts w:ascii="Arial" w:cs="Arial" w:eastAsia="Arial" w:hAnsi="Arial"/>
          <w:sz w:val="18"/>
          <w:szCs w:val="18"/>
          <w:color w:val="auto"/>
        </w:rPr>
        <w:t>. If the obligation of any Lender to make LIBOR Loans or to continue, or to convert ABR Loans</w:t>
      </w:r>
      <w:r>
        <w:rPr>
          <w:rFonts w:ascii="Arial" w:cs="Arial" w:eastAsia="Arial" w:hAnsi="Arial"/>
          <w:sz w:val="18"/>
          <w:szCs w:val="18"/>
          <w:b w:val="1"/>
          <w:bCs w:val="1"/>
          <w:color w:val="auto"/>
        </w:rPr>
        <w:t xml:space="preserve"> </w:t>
      </w:r>
      <w:r>
        <w:rPr>
          <w:rFonts w:ascii="Arial" w:cs="Arial" w:eastAsia="Arial" w:hAnsi="Arial"/>
          <w:sz w:val="18"/>
          <w:szCs w:val="18"/>
          <w:color w:val="auto"/>
        </w:rPr>
        <w:t>into, LIBOR Loans shall be suspended pursuant to Section 5.03, such Lender’s LIBOR Loans shall be automatically converted into ABR Loans on the last day(s) of the then current Interest Period(s) for such LIBOR Loans (or on such earlier date as such Lender may specify to Borrower with a copy to Administrative Agent as is required by law) and, unless and until such Lender gives notice as provided below that the circumstances specified in Section 5.03 which gave rise to such conversion no longer exist:</w:t>
      </w:r>
    </w:p>
    <w:p>
      <w:pPr>
        <w:spacing w:after="0" w:line="188" w:lineRule="exact"/>
        <w:rPr>
          <w:sz w:val="20"/>
          <w:szCs w:val="20"/>
          <w:color w:val="auto"/>
        </w:rPr>
      </w:pPr>
    </w:p>
    <w:p>
      <w:pPr>
        <w:ind w:left="660" w:firstLine="645"/>
        <w:spacing w:after="0" w:line="277" w:lineRule="auto"/>
        <w:tabs>
          <w:tab w:leader="none" w:pos="175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the extent that such Lender’s LIBOR Loans have been so converted, all payments and prepayments of principal which would otherwise be applied to such Lender’s LIBOR Loans shall be applied instead to its ABR Loans; and</w:t>
      </w:r>
    </w:p>
    <w:p>
      <w:pPr>
        <w:spacing w:after="0" w:line="170" w:lineRule="exact"/>
        <w:rPr>
          <w:rFonts w:ascii="Arial" w:cs="Arial" w:eastAsia="Arial" w:hAnsi="Arial"/>
          <w:sz w:val="18"/>
          <w:szCs w:val="18"/>
          <w:color w:val="auto"/>
        </w:rPr>
      </w:pPr>
    </w:p>
    <w:p>
      <w:pPr>
        <w:ind w:left="660" w:firstLine="645"/>
        <w:spacing w:after="0" w:line="308" w:lineRule="auto"/>
        <w:tabs>
          <w:tab w:leader="none" w:pos="173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all Loans which would otherwise be made or continued by such Lender as LIBOR Loans shall be made or continued instead as ABR Loans and all ABR Loans of such Lender which would otherwise be converted into LIBOR Loans shall remain as ABR Loans.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If such Lender gives notice to Borrower with a copy to Administrative Agent that the circumstances specified in Section 5.03 which gave rise to the conversion of such Lender’s LIBOR Loans pursuant to this Section 5.04 no longer exist (which such Lender agrees to do promptly upon such circumstances ceasing to exist) at a time when LIBOR Loans are outstanding, such Lender’s ABR Loans shall be automatically converted, on the first day(s) of the next succeeding Interest Period(s) for such outstanding LIBOR Loans, to the extent necessary so that, after giving effect thereto, all Loans held by the Lenders holding LIBOR Loans and by such Lender are held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 to principal amounts, Types and Interest Periods) in accordance with their respective Commitments.</w:t>
      </w:r>
    </w:p>
    <w:p>
      <w:pPr>
        <w:spacing w:after="0" w:line="18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5.05.</w:t>
      </w:r>
      <w:r>
        <w:rPr>
          <w:sz w:val="20"/>
          <w:szCs w:val="20"/>
          <w:color w:val="auto"/>
        </w:rPr>
        <w:tab/>
      </w:r>
      <w:r>
        <w:rPr>
          <w:rFonts w:ascii="Arial" w:cs="Arial" w:eastAsia="Arial" w:hAnsi="Arial"/>
          <w:sz w:val="16"/>
          <w:szCs w:val="16"/>
          <w:b w:val="1"/>
          <w:bCs w:val="1"/>
          <w:color w:val="auto"/>
        </w:rPr>
        <w:t>Compensation</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0" w:lineRule="auto"/>
        <w:tabs>
          <w:tab w:leader="none" w:pos="103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Borrower agrees to indemnify each Lender and to hold each Lender harmless from any loss or expense (excluding any loss of profits or margin) which such Lender may sustain or incur as a consequence of (1) default by Borrower in payment when due of the principal amount of or interest on any LIBOR Loan, (2) default by Borrower in making a borrowing of, conversion into or continuation of LIBOR Loans after Borrower has given a notice requesting the same in accordance with the provisions of this Agreement, (3) Borrower making any prepayment other than on the date specified in the relevant prepayment notice, or (4) the conversion or the making of a payment or a prepayment (including any repayments or prepayments made pursuant to Sections 2.09 or 2.10 or as a result of an acceleration of Loans pursuant to Section 11.01 or as a result of the replacement of a Lender pursuant to Section 2.11 or 13.04(b)) of LIBOR Loans on a day which is not the last day of an Interest Period with respect thereto, including in each case, any such loss (excluding any loss of profits or margin) or expense arising from the reemployment of funds obtained by it or from fees payable to terminate the deposits from which such funds were obtained.</w:t>
      </w:r>
    </w:p>
    <w:p>
      <w:pPr>
        <w:spacing w:after="0" w:line="181" w:lineRule="exact"/>
        <w:rPr>
          <w:rFonts w:ascii="Arial" w:cs="Arial" w:eastAsia="Arial" w:hAnsi="Arial"/>
          <w:sz w:val="17"/>
          <w:szCs w:val="17"/>
          <w:color w:val="auto"/>
        </w:rPr>
      </w:pPr>
    </w:p>
    <w:p>
      <w:pPr>
        <w:jc w:val="both"/>
        <w:ind w:firstLine="656"/>
        <w:spacing w:after="0" w:line="272" w:lineRule="auto"/>
        <w:tabs>
          <w:tab w:leader="none" w:pos="1052"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For the purpose of calculation of all amounts payable to a Lender under this Section 5.05 each Lender shall be deemed to have actually funded its relevant LIBOR Loan through the purchase of a deposit bearing interest at the LIBO Base Rate in an amount equal to the amount of the LIBOR Loan and having a maturity comparable to the relevant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Lender may fund each of its LIBOR Loans in any manner it sees fit, and the foregoing assumption shall be utilized only for the calculation of amounts payable under this subsection. Any Lender requesting compensation pursuant to this Section 5.05 will furnish to Administrative Agent and Borrower a certificate setting forth the basis and amount of such request and such certificate, absent manifest error, shall be conclusive. Without limiting the survival of any other covenant hereunder, this covenant shall survive the termination of this Agreement and the payment of the Obligations and all other amounts payable hereunder.</w:t>
      </w:r>
    </w:p>
    <w:p>
      <w:pPr>
        <w:spacing w:after="0" w:line="17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5.06.</w:t>
      </w:r>
      <w:r>
        <w:rPr>
          <w:sz w:val="20"/>
          <w:szCs w:val="20"/>
          <w:color w:val="auto"/>
        </w:rPr>
        <w:tab/>
      </w:r>
      <w:r>
        <w:rPr>
          <w:rFonts w:ascii="Arial" w:cs="Arial" w:eastAsia="Arial" w:hAnsi="Arial"/>
          <w:sz w:val="15"/>
          <w:szCs w:val="15"/>
          <w:b w:val="1"/>
          <w:bCs w:val="1"/>
          <w:color w:val="auto"/>
        </w:rPr>
        <w:t>Net Payments</w:t>
      </w:r>
      <w:r>
        <w:rPr>
          <w:rFonts w:ascii="Arial" w:cs="Arial" w:eastAsia="Arial" w:hAnsi="Arial"/>
          <w:sz w:val="15"/>
          <w:szCs w:val="15"/>
          <w:color w:val="auto"/>
        </w:rPr>
        <w:t>.</w:t>
      </w:r>
    </w:p>
    <w:p>
      <w:pPr>
        <w:spacing w:after="0" w:line="229" w:lineRule="exact"/>
        <w:rPr>
          <w:sz w:val="20"/>
          <w:szCs w:val="20"/>
          <w:color w:val="auto"/>
        </w:rPr>
      </w:pPr>
    </w:p>
    <w:p>
      <w:pPr>
        <w:ind w:right="260" w:firstLine="656"/>
        <w:spacing w:after="0" w:line="277" w:lineRule="auto"/>
        <w:tabs>
          <w:tab w:leader="none" w:pos="102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Except as provided in this Section 5.06(a), all payments made by or on account of any obligation of any Credit Party hereunder or under any Note, Guarantee or other Credit Document will be made without setoff,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801" w:right="239" w:bottom="1440" w:gutter="0" w:footer="0" w:header="0"/>
        </w:sectPr>
      </w:pPr>
    </w:p>
    <w:bookmarkStart w:id="169" w:name="page170"/>
    <w:bookmarkEnd w:id="169"/>
    <w:p>
      <w:pPr>
        <w:ind w:right="60"/>
        <w:spacing w:after="0" w:line="285" w:lineRule="auto"/>
        <w:rPr>
          <w:sz w:val="20"/>
          <w:szCs w:val="20"/>
          <w:color w:val="auto"/>
        </w:rPr>
      </w:pPr>
      <w:r>
        <w:rPr>
          <w:rFonts w:ascii="Arial" w:cs="Arial" w:eastAsia="Arial" w:hAnsi="Arial"/>
          <w:sz w:val="16"/>
          <w:szCs w:val="16"/>
          <w:color w:val="auto"/>
        </w:rPr>
        <w:t>counterclaim or other defense. Except as required by law, all such payments will be made free and clear of, and without deduction or withholding for, any Taxes (including Taxes imposed or asserted on amounts payable under this Section 5.06). If, however, applicable laws require any withholding agent to withhold or deduct any Tax, such Tax shall be withheld or deducted in accordance with such laws as reasonably determined by such withholding agent. The applicable withholding agent shall timely pay the amount of any Taxes deducted or withheld in respect of a payment made by a Credit Party hereunder or under any note, Guarantee or other Credit Document to the relevant Governmental Authority in accordance with applicable law. If any Credit Party is the applicable withholding agent, Borrower shall furnish to Administrative Agent within 45 days after the date the payment of any Taxes is due pursuant to applicable law documentation reasonably satisfactory to the Administrative Agent evidencing such payment by the applicable Credit Party. If any Covered Taxes are so deducted or withheld by any applicable withholding agent, then the applicable Credit Party agrees to increase the sum payable by such Credit Party so that, after such deduction or withholding (including such deduction or withholding on account of Covered Taxes applicable to additional sums payable under this Section 5.06) the amount received by each Lender or, in the case of payments made to the Administrative Agent for its own account, the Administrative Agent, will not be less than the amount such recipient would have received had no such withholding or deduction been made. The Credit Parties agree to jointly and severally indemnify and hold harmless the Administrative Agent and each Lender, and reimburse any of them upon written request, for the amount of any Covered Taxes that are levied or imposed and paid by such indemnitee (including Covered Taxes imposed or asserted on amounts payable under this Section 5.06) and for any reasonable expenses arising therefrom in each case, whether or not such Covered Taxes were correctly or legally imposed, other than any interest or penalties that are determined by a final and nonappealable judgment of a court of competent jurisdiction to have resulted from the indemnitee’s gross negligence or willful misconduct. Such written request shall include a certificate setting forth in reasonable detail the basis of such request and such certificate, absent manifest error, shall be conclusive.</w:t>
      </w:r>
    </w:p>
    <w:p>
      <w:pPr>
        <w:spacing w:after="0" w:line="175" w:lineRule="exact"/>
        <w:rPr>
          <w:sz w:val="20"/>
          <w:szCs w:val="20"/>
          <w:color w:val="auto"/>
        </w:rPr>
      </w:pPr>
    </w:p>
    <w:p>
      <w:pPr>
        <w:jc w:val="both"/>
        <w:ind w:firstLine="656"/>
        <w:spacing w:after="0" w:line="288" w:lineRule="auto"/>
        <w:tabs>
          <w:tab w:leader="none" w:pos="108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 Any Lender that is entitled to an exemption from or reduction of withholding Tax with respect to any payments made under any Credit Document shall deliver to Borrower and the Administrative Agent, at the time or times reasonably requested by Borrower or the Administrative Agent, such properly completed and executed documentation reasonably requested by Borrower or the Administrative Agent as will permit such payments to be made without withholding or at a reduced rate of withholding. In addition, any Lender, if reasonably requested by Borrower or the Administrative Agent, shall deliver such other documentation reasonably requested by Borrower or the Administrative Agent as will enable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5.06(b)(ii), (c), and (d) below) shall not be required if in the Lender’s reasonable judgment such completion, execution or submission would subject such Lender to any material unreimbursed cost or expense or would materially prejudice the legal or commercial position of such Lender. Notwithstanding anything to the contrary in this Section 5.06(b), no Lender shall be required to provide any documentation that such Lender is not legally eligible to deliver.</w:t>
      </w:r>
    </w:p>
    <w:p>
      <w:pPr>
        <w:spacing w:after="0" w:line="169" w:lineRule="exact"/>
        <w:rPr>
          <w:rFonts w:ascii="Arial" w:cs="Arial" w:eastAsia="Arial" w:hAnsi="Arial"/>
          <w:sz w:val="16"/>
          <w:szCs w:val="16"/>
          <w:color w:val="auto"/>
        </w:rPr>
      </w:pPr>
    </w:p>
    <w:p>
      <w:pPr>
        <w:jc w:val="both"/>
        <w:ind w:firstLine="1305"/>
        <w:spacing w:after="0" w:line="269" w:lineRule="auto"/>
        <w:tabs>
          <w:tab w:leader="none" w:pos="1712" w:val="left"/>
        </w:tabs>
        <w:numPr>
          <w:ilvl w:val="1"/>
          <w:numId w:val="116"/>
        </w:numPr>
        <w:rPr>
          <w:rFonts w:ascii="Arial" w:cs="Arial" w:eastAsia="Arial" w:hAnsi="Arial"/>
          <w:sz w:val="17"/>
          <w:szCs w:val="17"/>
          <w:color w:val="auto"/>
        </w:rPr>
      </w:pPr>
      <w:r>
        <w:rPr>
          <w:rFonts w:ascii="Arial" w:cs="Arial" w:eastAsia="Arial" w:hAnsi="Arial"/>
          <w:sz w:val="17"/>
          <w:szCs w:val="17"/>
          <w:color w:val="auto"/>
        </w:rPr>
        <w:t>any Lender that is a U.S. Person shall deliver to Borrower and the Administrative Agent on or prior to the date on which such Lender becomes a Lender under this Agreement (and from time to time thereafter upon the reasonable request of Borrower or the Administrative Agent), two executed original copies of IRS Form W-9 certifying that such Lender is exempt from U.S. federal backup withholding. Any Foreign Lender shall deliver to Borrower and the Administrative Agent on or prior to the date on which such Foreign Lender becomes a Lender under this Agreement (and from time to time thereafter upon the reasonable request of Borrower or the Administrative Agent), two executed original copies of whichever of the following is applicable: (1) in the case of a Foreign Lender claiming the benefits of an income tax treaty to which the United States is a party IRS Form W-8BEN or W-8BEN-E establishing an exemption from, or reduction of, U.S. federal withholding Tax pursuant to an applicable income tax treaty; (2) IRS Form W-8ECI; (3) in the case of a Foreign Lender claiming the benefits of the exemption for portfolio interest under Section 881(c) of the Code, (x) a certificate substantially in the form of Exhibit D-1 to the effect that such Foreign Lender is not a “bank” within the meaning of Section 881(c)(3)(A) of the Code, a “10 percent shareholder” of Borrower within the meaning of Section 881(c)(3)(B) of the Code, or a “controlled foreign corporation” described in Section 881(c)(3)(C) of the Code (a “U.S. Tax Compliance Certificate”) and that no interest payments in connection with any Credit Documents are effectively connected with such Foreign Lender’s conduct of a U.S. trade or business and (y) IRS Form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800" w:right="239" w:bottom="1440" w:gutter="0" w:footer="0" w:header="0"/>
        </w:sectPr>
      </w:pPr>
    </w:p>
    <w:bookmarkStart w:id="170" w:name="page171"/>
    <w:bookmarkEnd w:id="170"/>
    <w:p>
      <w:pPr>
        <w:jc w:val="both"/>
        <w:spacing w:after="0" w:line="269" w:lineRule="auto"/>
        <w:rPr>
          <w:sz w:val="20"/>
          <w:szCs w:val="20"/>
          <w:color w:val="auto"/>
        </w:rPr>
      </w:pPr>
      <w:r>
        <w:rPr>
          <w:rFonts w:ascii="Arial" w:cs="Arial" w:eastAsia="Arial" w:hAnsi="Arial"/>
          <w:sz w:val="17"/>
          <w:szCs w:val="17"/>
          <w:color w:val="auto"/>
        </w:rPr>
        <w:t xml:space="preserve">W-8BEN or W-8BEN-E; or (4) to the extent a Foreign Lender is not the beneficial owner (for example, where the Foreign Lender is a partnership or participating Lender), IRS Form W-8IMY, accompanied by IRS Form W-8ECI, IRS Form W-8BEN or W-8BEN-E, a U.S. Tax Compliance Certificate substantially in the form of Exhibit D-2 or Exhibit D-3, IRS Form W-9, and/or other certification documents from each beneficial owner, as applicable;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the Foreign Lender is a partnership and not a participating Lender and one or more direct or indirect partners of such Foreign Lender are</w:t>
      </w:r>
      <w:r>
        <w:rPr>
          <w:rFonts w:ascii="Arial" w:cs="Arial" w:eastAsia="Arial" w:hAnsi="Arial"/>
          <w:sz w:val="17"/>
          <w:szCs w:val="17"/>
          <w:i w:val="1"/>
          <w:iCs w:val="1"/>
          <w:color w:val="auto"/>
        </w:rPr>
        <w:t xml:space="preserve"> </w:t>
      </w:r>
      <w:r>
        <w:rPr>
          <w:rFonts w:ascii="Arial" w:cs="Arial" w:eastAsia="Arial" w:hAnsi="Arial"/>
          <w:sz w:val="17"/>
          <w:szCs w:val="17"/>
          <w:color w:val="auto"/>
        </w:rPr>
        <w:t>claiming the portfolio interest exemption, such Foreign Lender may provide a U.S. Tax Compliance Certificate substantially in the form of Exhibit D-4 on behalf of each such direct and indirect partner. Any Foreign Lender shall deliver to Borrower and the Administrative Agent on or prior to the date on which such Foreign Lender becomes a Lender under this Agreement (and from time to time thereafter upon the reasonable request of Borrower or the Administrative Agent), two executed original copies of any other form prescribed by applicable law as a basis for claiming exemption from or a reduction in U.S. federal withholding Tax, duly completed, together with such supplementary documentation as may be prescribed by applicable law to permit Borrower or the Administrative Agent to determine the withholding or deduction required to be made. Each Lender agrees that if any form or certification it previously delivered expires or becomes obsolete or inaccurate in any respect, it shall update such form or certification or promptly notify Borrower and the Administrative Agent in writing of its legal ineligibility to do so.</w:t>
      </w:r>
    </w:p>
    <w:p>
      <w:pPr>
        <w:spacing w:after="0" w:line="180" w:lineRule="exact"/>
        <w:rPr>
          <w:sz w:val="20"/>
          <w:szCs w:val="20"/>
          <w:color w:val="auto"/>
        </w:rPr>
      </w:pPr>
    </w:p>
    <w:p>
      <w:pPr>
        <w:jc w:val="both"/>
        <w:ind w:firstLine="656"/>
        <w:spacing w:after="0" w:line="264" w:lineRule="auto"/>
        <w:tabs>
          <w:tab w:leader="none" w:pos="1125"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On the Closing Date, the Administrative Agent shall provide Borrower with two executed original copies of IRS Form W-8IMY (or any applicable successor forms) properly completed and duly executed to treat the Administrative Agent as a U.S. person (as described in U.S. Treasury Regulations Section 1.1441-1T(e)(3)(v).</w:t>
      </w:r>
    </w:p>
    <w:p>
      <w:pPr>
        <w:spacing w:after="0" w:line="181" w:lineRule="exact"/>
        <w:rPr>
          <w:rFonts w:ascii="Arial" w:cs="Arial" w:eastAsia="Arial" w:hAnsi="Arial"/>
          <w:sz w:val="18"/>
          <w:szCs w:val="18"/>
          <w:b w:val="1"/>
          <w:bCs w:val="1"/>
          <w:color w:val="auto"/>
        </w:rPr>
      </w:pPr>
    </w:p>
    <w:p>
      <w:pPr>
        <w:jc w:val="both"/>
        <w:ind w:firstLine="656"/>
        <w:spacing w:after="0" w:line="272" w:lineRule="auto"/>
        <w:tabs>
          <w:tab w:leader="none" w:pos="1130" w:val="left"/>
        </w:tabs>
        <w:numPr>
          <w:ilvl w:val="0"/>
          <w:numId w:val="117"/>
        </w:numPr>
        <w:rPr>
          <w:rFonts w:ascii="Arial" w:cs="Arial" w:eastAsia="Arial" w:hAnsi="Arial"/>
          <w:sz w:val="17"/>
          <w:szCs w:val="17"/>
          <w:b w:val="1"/>
          <w:bCs w:val="1"/>
          <w:color w:val="auto"/>
        </w:rPr>
      </w:pPr>
      <w:r>
        <w:rPr>
          <w:rFonts w:ascii="Arial" w:cs="Arial" w:eastAsia="Arial" w:hAnsi="Arial"/>
          <w:sz w:val="17"/>
          <w:szCs w:val="17"/>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to determine whether such Lender has complied with such Lender’s obligations under FATCA or to determine the amount, if any, to deduct and withhold from such payment.</w:t>
      </w:r>
    </w:p>
    <w:p>
      <w:pPr>
        <w:spacing w:after="0" w:line="177" w:lineRule="exact"/>
        <w:rPr>
          <w:rFonts w:ascii="Arial" w:cs="Arial" w:eastAsia="Arial" w:hAnsi="Arial"/>
          <w:sz w:val="17"/>
          <w:szCs w:val="17"/>
          <w:b w:val="1"/>
          <w:bCs w:val="1"/>
          <w:color w:val="auto"/>
        </w:rPr>
      </w:pPr>
    </w:p>
    <w:p>
      <w:pPr>
        <w:jc w:val="both"/>
        <w:ind w:firstLine="656"/>
        <w:spacing w:after="0" w:line="255" w:lineRule="auto"/>
        <w:tabs>
          <w:tab w:leader="none" w:pos="105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In addition, Borrower agrees to timely pay any present or future stamp, documentary, recording, intangible, filing or similar Taxes which arise from any payment made hereunder or under any other Credit Document or from the execution, delivery, filing, performance, enforcement, recordation or registration of, or otherwise with respect to, any Credit Document, except any such Taxes that are imposed with respect to an assignment (other than an assignment made pursuant to Section 2.11(a) at the request of Borrower) if such Tax is imposed as a result of a present or former connection of the transferor or transferee with the jurisdiction imposing such Tax (other than connections arising from having executed, delivered, become a party to, performed its obligations under, received payments under, received or perfected a security interest under, engaged in any other transaction pursuant to or enforced any Credit Document) (hereinafter referred to as “</w:t>
      </w:r>
      <w:r>
        <w:rPr>
          <w:rFonts w:ascii="Arial" w:cs="Arial" w:eastAsia="Arial" w:hAnsi="Arial"/>
          <w:sz w:val="18"/>
          <w:szCs w:val="18"/>
          <w:b w:val="1"/>
          <w:bCs w:val="1"/>
          <w:color w:val="auto"/>
        </w:rPr>
        <w:t>Other Taxes</w:t>
      </w:r>
      <w:r>
        <w:rPr>
          <w:rFonts w:ascii="Arial" w:cs="Arial" w:eastAsia="Arial" w:hAnsi="Arial"/>
          <w:sz w:val="18"/>
          <w:szCs w:val="18"/>
          <w:color w:val="auto"/>
        </w:rPr>
        <w:t>”).</w:t>
      </w:r>
    </w:p>
    <w:p>
      <w:pPr>
        <w:spacing w:after="0" w:line="189" w:lineRule="exact"/>
        <w:rPr>
          <w:rFonts w:ascii="Arial" w:cs="Arial" w:eastAsia="Arial" w:hAnsi="Arial"/>
          <w:sz w:val="18"/>
          <w:szCs w:val="18"/>
          <w:b w:val="1"/>
          <w:bCs w:val="1"/>
          <w:color w:val="auto"/>
        </w:rPr>
      </w:pPr>
    </w:p>
    <w:p>
      <w:pPr>
        <w:jc w:val="both"/>
        <w:ind w:firstLine="656"/>
        <w:spacing w:after="0" w:line="279" w:lineRule="auto"/>
        <w:tabs>
          <w:tab w:leader="none" w:pos="1061" w:val="left"/>
        </w:tabs>
        <w:numPr>
          <w:ilvl w:val="0"/>
          <w:numId w:val="117"/>
        </w:numPr>
        <w:rPr>
          <w:rFonts w:ascii="Arial" w:cs="Arial" w:eastAsia="Arial" w:hAnsi="Arial"/>
          <w:sz w:val="17"/>
          <w:szCs w:val="17"/>
          <w:b w:val="1"/>
          <w:bCs w:val="1"/>
          <w:color w:val="auto"/>
        </w:rPr>
      </w:pPr>
      <w:r>
        <w:rPr>
          <w:rFonts w:ascii="Arial" w:cs="Arial" w:eastAsia="Arial" w:hAnsi="Arial"/>
          <w:sz w:val="17"/>
          <w:szCs w:val="17"/>
          <w:color w:val="auto"/>
        </w:rPr>
        <w:t>Any Lender claiming any additional amounts payable pursuant to this Section 5.06 agrees to use (at the Credit Parties’ expense) reasonable efforts (consistent with its internal policy and legal and regulatory restrictions) to change the jurisdiction of its Applicable Lending Office if the making of such change would avoid the need for, or in the opinion of such Lender, materially reduce the amount of, any such additional amounts that may thereafter accrue and would not, in the sole judgment of such Lender, be otherwise disadvantageous to such Lender.</w:t>
      </w:r>
    </w:p>
    <w:p>
      <w:pPr>
        <w:spacing w:after="0" w:line="171" w:lineRule="exact"/>
        <w:rPr>
          <w:rFonts w:ascii="Arial" w:cs="Arial" w:eastAsia="Arial" w:hAnsi="Arial"/>
          <w:sz w:val="17"/>
          <w:szCs w:val="17"/>
          <w:b w:val="1"/>
          <w:bCs w:val="1"/>
          <w:color w:val="auto"/>
        </w:rPr>
      </w:pPr>
    </w:p>
    <w:p>
      <w:pPr>
        <w:jc w:val="both"/>
        <w:ind w:firstLine="656"/>
        <w:spacing w:after="0" w:line="255" w:lineRule="auto"/>
        <w:tabs>
          <w:tab w:leader="none" w:pos="1137"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If any party determines, in its sole discretion exercised in good faith, that it has received a refund of any Taxes as to which it has been indemnified pursuant to this Section 5.06 (including by the payment of additional amounts pursuant to this Section 5.06),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801" w:right="239" w:bottom="1440" w:gutter="0" w:footer="0" w:header="0"/>
        </w:sectPr>
      </w:pPr>
    </w:p>
    <w:bookmarkStart w:id="171" w:name="page172"/>
    <w:bookmarkEnd w:id="171"/>
    <w:p>
      <w:pPr>
        <w:jc w:val="both"/>
        <w:spacing w:after="0" w:line="273" w:lineRule="auto"/>
        <w:rPr>
          <w:sz w:val="20"/>
          <w:szCs w:val="20"/>
          <w:color w:val="auto"/>
        </w:rPr>
      </w:pPr>
      <w:r>
        <w:rPr>
          <w:rFonts w:ascii="Arial" w:cs="Arial" w:eastAsia="Arial" w:hAnsi="Arial"/>
          <w:sz w:val="17"/>
          <w:szCs w:val="17"/>
          <w:color w:val="auto"/>
        </w:rPr>
        <w:t>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GUARANTEES</w:t>
      </w:r>
    </w:p>
    <w:p>
      <w:pPr>
        <w:spacing w:after="0" w:line="2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SECTION 6.01. The Guarantees</w:t>
      </w:r>
      <w:r>
        <w:rPr>
          <w:rFonts w:ascii="Arial" w:cs="Arial" w:eastAsia="Arial" w:hAnsi="Arial"/>
          <w:sz w:val="17"/>
          <w:szCs w:val="17"/>
          <w:color w:val="auto"/>
        </w:rPr>
        <w:t>. Each (a) Guarantor, jointly and severally with each other Guarantor, hereby guarantees as primary obligor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 as surety to each Secured Party and its successors and assigns the prompt payment and performance in full when due (whether at stated maturity, by acceleration, demand or otherwise) of the principal of and interest (including any interest, fees, costs or charges that would accrue but for the provisions of the Bankruptcy Code after any bankruptcy or insolvency petition under the Bankruptcy Code) on the Loans made by the Lenders to, and the Notes held by each Lender of, Borrower, and (b) Credit Party, jointly and severally with each other Credit Party, hereby guarantees as primary obligor and not as surety to each Secured Party and its successors and assigns the prompt payment and performance in full when due (whether at stated maturity, by acceleration or otherwise) of the principal of and interest (including any interest, fees, costs or charges that would accrue but for the provisions of the Bankruptcy Code after any bankruptcy or insolvency petition under the Bankruptcy Code) of all other Obligations from time to time owing to the Secured Parties by any other Credit Party under any Credit Document, any Swap Contract entered into with a Swap Provider or any Cash Management Agreement entered into with a Cash Management Bank, in each case now or hereinafter created, incurred or made, whether absolute or contingent, liquidated or unliquidated and strictly in accordance with the terms thereof; </w:t>
      </w:r>
      <w:r>
        <w:rPr>
          <w:rFonts w:ascii="Arial" w:cs="Arial" w:eastAsia="Arial" w:hAnsi="Arial"/>
          <w:sz w:val="17"/>
          <w:szCs w:val="17"/>
          <w:i w:val="1"/>
          <w:iCs w:val="1"/>
          <w:color w:val="auto"/>
        </w:rPr>
        <w:t>provided</w:t>
      </w:r>
      <w:r>
        <w:rPr>
          <w:rFonts w:ascii="Arial" w:cs="Arial" w:eastAsia="Arial" w:hAnsi="Arial"/>
          <w:sz w:val="17"/>
          <w:szCs w:val="17"/>
          <w:color w:val="auto"/>
        </w:rPr>
        <w:t>, that (i) the obligations guaranteed shall exclude obligations under any Swap Contract or Cash Management Agreements with respect to which the applicable Swap Provider or Cash Management Bank, as applicable, provides notice to Borrower that it does not want such Swap Contract or Cash Management Agreement, as applicable, to be secured, and (ii) as to each Guarantor the obligations guaranteed by such Guarantor hereunder shall not include any Excluded Swap Obligations in respect of such Guarantor (such obligations being guaranteed pursuant to clauses (a) and (b) above being herein collectively called the “</w:t>
      </w:r>
      <w:r>
        <w:rPr>
          <w:rFonts w:ascii="Arial" w:cs="Arial" w:eastAsia="Arial" w:hAnsi="Arial"/>
          <w:sz w:val="17"/>
          <w:szCs w:val="17"/>
          <w:b w:val="1"/>
          <w:bCs w:val="1"/>
          <w:color w:val="auto"/>
        </w:rPr>
        <w:t>Guaranteed Obligations</w:t>
      </w:r>
      <w:r>
        <w:rPr>
          <w:rFonts w:ascii="Arial" w:cs="Arial" w:eastAsia="Arial" w:hAnsi="Arial"/>
          <w:sz w:val="17"/>
          <w:szCs w:val="17"/>
          <w:color w:val="auto"/>
        </w:rPr>
        <w:t>” (it being understood that the Guaranteed Obligations of Borrower shall be limited to those referred to in clause (b) above)). Each Credit Party, jointly and severally with each other Credit Party, hereby agrees that if any other Credit Party shall fail to pay in full when due (whether at stated maturity, by acceleration or otherwise) any of the Guaranteed Obligations, such Credit Party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SECTION 6.02. Obligations Unconditional</w:t>
      </w:r>
      <w:r>
        <w:rPr>
          <w:rFonts w:ascii="Arial" w:cs="Arial" w:eastAsia="Arial" w:hAnsi="Arial"/>
          <w:sz w:val="17"/>
          <w:szCs w:val="17"/>
          <w:color w:val="auto"/>
        </w:rPr>
        <w:t>. The obligations of the Credit Parties under Section 6.01 shall constitute a guaranty of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not of collection) and are absolute, irrevocable and unconditional, joint and several, irrespective of the value, genuineness, validity, regularity or enforceability of the Guaranteed Obligations under this Agreement, the Notes or any other agreement or instrument referred to herein or therein,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any of the Credit Parties with respect to its respective guaranty of the Guaranteed Obligations which shall remain absolute, irrevocable and unconditional under any and all circumstances as described above: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800" w:right="239" w:bottom="1440" w:gutter="0" w:footer="0" w:header="0"/>
        </w:sectPr>
      </w:pPr>
    </w:p>
    <w:bookmarkStart w:id="172" w:name="page173"/>
    <w:bookmarkEnd w:id="172"/>
    <w:p>
      <w:pPr>
        <w:ind w:left="660" w:firstLine="888"/>
        <w:spacing w:after="0" w:line="277" w:lineRule="auto"/>
        <w:tabs>
          <w:tab w:leader="none" w:pos="19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the Credit Parties, the time for any performance of or compliance with any of the Guaranteed Obligations shall be extended, or such performance or compliance shall be waived;</w:t>
      </w:r>
    </w:p>
    <w:p>
      <w:pPr>
        <w:spacing w:after="0" w:line="170" w:lineRule="exact"/>
        <w:rPr>
          <w:rFonts w:ascii="Arial" w:cs="Arial" w:eastAsia="Arial" w:hAnsi="Arial"/>
          <w:sz w:val="18"/>
          <w:szCs w:val="18"/>
          <w:color w:val="auto"/>
        </w:rPr>
      </w:pPr>
    </w:p>
    <w:p>
      <w:pPr>
        <w:jc w:val="both"/>
        <w:ind w:left="660" w:firstLine="888"/>
        <w:spacing w:after="0" w:line="259" w:lineRule="auto"/>
        <w:tabs>
          <w:tab w:leader="none" w:pos="198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maturity of any of the Guaranteed Obligations shall be accelerated, or any of the Guaranteed Obligations shall be amended in any respect, or any right under the Credit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86" w:lineRule="exact"/>
        <w:rPr>
          <w:rFonts w:ascii="Arial" w:cs="Arial" w:eastAsia="Arial" w:hAnsi="Arial"/>
          <w:sz w:val="18"/>
          <w:szCs w:val="18"/>
          <w:color w:val="auto"/>
        </w:rPr>
      </w:pPr>
    </w:p>
    <w:p>
      <w:pPr>
        <w:ind w:left="2000" w:hanging="452"/>
        <w:spacing w:after="0"/>
        <w:tabs>
          <w:tab w:leader="none" w:pos="2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release of any other Credit Party pursuant to Section 6.08;</w:t>
      </w:r>
    </w:p>
    <w:p>
      <w:pPr>
        <w:spacing w:after="0" w:line="225" w:lineRule="exact"/>
        <w:rPr>
          <w:rFonts w:ascii="Arial" w:cs="Arial" w:eastAsia="Arial" w:hAnsi="Arial"/>
          <w:sz w:val="18"/>
          <w:szCs w:val="18"/>
          <w:color w:val="auto"/>
        </w:rPr>
      </w:pPr>
    </w:p>
    <w:p>
      <w:pPr>
        <w:ind w:left="660" w:right="20" w:firstLine="888"/>
        <w:spacing w:after="0" w:line="277" w:lineRule="auto"/>
        <w:tabs>
          <w:tab w:leader="none" w:pos="209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renewal, extension or acceleration of, or any increase in the amount of the Guaranteed Obligations, or any amendment, supplement, modification or waiver of, or any consent to departure from, the Credit Documents;</w:t>
      </w:r>
    </w:p>
    <w:p>
      <w:pPr>
        <w:spacing w:after="0" w:line="170" w:lineRule="exact"/>
        <w:rPr>
          <w:rFonts w:ascii="Arial" w:cs="Arial" w:eastAsia="Arial" w:hAnsi="Arial"/>
          <w:sz w:val="18"/>
          <w:szCs w:val="18"/>
          <w:color w:val="auto"/>
        </w:rPr>
      </w:pPr>
    </w:p>
    <w:p>
      <w:pPr>
        <w:jc w:val="both"/>
        <w:ind w:left="660" w:firstLine="888"/>
        <w:spacing w:after="0" w:line="279" w:lineRule="auto"/>
        <w:tabs>
          <w:tab w:leader="none" w:pos="197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Credit Documents, at law, in equity or otherwise) with respect to the Guaranteed Obligations or any agreement relating thereto, or with respect to any other guaranty of or security for the payment of the Guaranteed Obligations;</w:t>
      </w:r>
    </w:p>
    <w:p>
      <w:pPr>
        <w:spacing w:after="0" w:line="171" w:lineRule="exact"/>
        <w:rPr>
          <w:rFonts w:ascii="Arial" w:cs="Arial" w:eastAsia="Arial" w:hAnsi="Arial"/>
          <w:sz w:val="17"/>
          <w:szCs w:val="17"/>
          <w:color w:val="auto"/>
        </w:rPr>
      </w:pPr>
    </w:p>
    <w:p>
      <w:pPr>
        <w:ind w:left="660" w:firstLine="888"/>
        <w:spacing w:after="0" w:line="308" w:lineRule="auto"/>
        <w:tabs>
          <w:tab w:leader="none" w:pos="199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settlement, compromise, release, or discharge of, or acceptance or refusal of any offer of payment or performance with respect to, or any substitutions for, the Guaranteed Obligations or any subordination of the Guaranteed Obligations to any other obligations;</w:t>
      </w:r>
    </w:p>
    <w:p>
      <w:pPr>
        <w:spacing w:after="0" w:line="146" w:lineRule="exact"/>
        <w:rPr>
          <w:rFonts w:ascii="Arial" w:cs="Arial" w:eastAsia="Arial" w:hAnsi="Arial"/>
          <w:sz w:val="17"/>
          <w:szCs w:val="17"/>
          <w:color w:val="auto"/>
        </w:rPr>
      </w:pPr>
    </w:p>
    <w:p>
      <w:pPr>
        <w:ind w:left="660" w:firstLine="888"/>
        <w:spacing w:after="0" w:line="277" w:lineRule="auto"/>
        <w:tabs>
          <w:tab w:leader="none" w:pos="207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validity, perfection, non-perfection or lapse in perfection, priority or avoidance of any security interest or lien, the release of any or all collateral securing, or purporting to secure, the Guaranteed Obligations or any other impairment of such collateral;</w:t>
      </w:r>
    </w:p>
    <w:p>
      <w:pPr>
        <w:spacing w:after="0" w:line="170" w:lineRule="exact"/>
        <w:rPr>
          <w:rFonts w:ascii="Arial" w:cs="Arial" w:eastAsia="Arial" w:hAnsi="Arial"/>
          <w:sz w:val="18"/>
          <w:szCs w:val="18"/>
          <w:color w:val="auto"/>
        </w:rPr>
      </w:pPr>
    </w:p>
    <w:p>
      <w:pPr>
        <w:jc w:val="both"/>
        <w:ind w:left="660" w:firstLine="888"/>
        <w:spacing w:after="0" w:line="257" w:lineRule="auto"/>
        <w:tabs>
          <w:tab w:leader="none" w:pos="223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exercise of remedies with respect to any security for the Guaranteed Obligations (including, without limitation, any collateral, including the Collateral securing or purporting to secure any of the Guaranteed Obligations) at such time and in such order and in such manner as the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Credit Party would otherwise have; or</w:t>
      </w:r>
    </w:p>
    <w:p>
      <w:pPr>
        <w:spacing w:after="0" w:line="188" w:lineRule="exact"/>
        <w:rPr>
          <w:rFonts w:ascii="Arial" w:cs="Arial" w:eastAsia="Arial" w:hAnsi="Arial"/>
          <w:sz w:val="18"/>
          <w:szCs w:val="18"/>
          <w:color w:val="auto"/>
        </w:rPr>
      </w:pPr>
    </w:p>
    <w:p>
      <w:pPr>
        <w:jc w:val="both"/>
        <w:ind w:left="660" w:firstLine="888"/>
        <w:spacing w:after="0" w:line="276" w:lineRule="auto"/>
        <w:tabs>
          <w:tab w:leader="none" w:pos="205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other circumstance whatsoever which may or might in any manner or to any extent vary the risk of any Credit Party as a guarantor in respect of the Guaranteed Obligations or which constitutes, or might be construed to constitute, an equitable or legal discharge of any Credit Party as a guarantor of the Guaranteed Obligations, or of such Credit Party under the guarantee contained in this Article 6 or of any security interest granted by any Credit Party in its capacity as a guarantor of the Guaranteed Obligations, whether in a proceeding under the Bankruptcy Code or under any other federal, state or foreign bankruptcy, insolvency, receivership, or similar law, or in any other instance.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Credit Parties hereby expressly waive diligence, presentment, demand of payment, protest, marshaling and all notices whatsoever, and any requirement that any Secured Party thereof exhaust any right, power or remedy or proceed against any Credit Party under this Agreement or the Notes or any other agreement or instrument referred to herein or therein, or against any other Person under any other guarantee of, or security for, any of the Guaranteed Obligations. The Credit Parties waive any and all notice of the creation, renewal, extension, waiver, termination or accrual of any of the Guaranteed Obligations and notice of or proof of reliance by any Secured Party thereof upon this guarantee or acceptance of this guarantee, and the Guaranteed Obligations, and any of them, shall conclusively be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801" w:right="239" w:bottom="1440" w:gutter="0" w:footer="0" w:header="0"/>
        </w:sectPr>
      </w:pPr>
    </w:p>
    <w:bookmarkStart w:id="173" w:name="page174"/>
    <w:bookmarkEnd w:id="173"/>
    <w:p>
      <w:pPr>
        <w:jc w:val="both"/>
        <w:spacing w:after="0" w:line="289" w:lineRule="auto"/>
        <w:rPr>
          <w:sz w:val="20"/>
          <w:szCs w:val="20"/>
          <w:color w:val="auto"/>
        </w:rPr>
      </w:pPr>
      <w:r>
        <w:rPr>
          <w:rFonts w:ascii="Arial" w:cs="Arial" w:eastAsia="Arial" w:hAnsi="Arial"/>
          <w:sz w:val="16"/>
          <w:szCs w:val="16"/>
          <w:color w:val="auto"/>
        </w:rPr>
        <w:t>deemed to have been created, contracted or incurred in reliance upon this guarantee, and all dealings between the Credit Parties and the Secured Parties shall likewise be conclusively presumed to have been had or consummated in reliance upon this guarantee. This guarantee shall be construed as a continuing, absolute, irrevocable and unconditional guarantee of payment and performance without regard to any right of offset with respect to the Guaranteed Obligations at any time or from time to time held by the Secured Parties, and the obligations and liabilities of the Credit Parties hereunder shall not be conditioned or contingent upon the pursuit by the Secured Parties or any other Person at any time of any right or remedy against any Credit Party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Credit Parties and the successors and assigns thereof, and shall inure to the benefit of the Secured Parties, and their respective successors and assigns, notwithstanding that from time to time during the term of this Agreement there may be no Guaranteed Obligations outstanding.</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avoidance of doubt, nothing in this Section 6.02 shall permit amendments to the Credit Documents or an acceleration of the Obligations other than as set forth in the Credit Documents.</w:t>
      </w:r>
    </w:p>
    <w:p>
      <w:pPr>
        <w:spacing w:after="0" w:line="1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SECTION 6.03. Reinstatement</w:t>
      </w:r>
      <w:r>
        <w:rPr>
          <w:rFonts w:ascii="Arial" w:cs="Arial" w:eastAsia="Arial" w:hAnsi="Arial"/>
          <w:sz w:val="16"/>
          <w:szCs w:val="16"/>
          <w:color w:val="auto"/>
        </w:rPr>
        <w:t>. The obligations of the Credit Parties under this Article VI shall be automatically reinstated if and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that for any reason any payment by or on behalf of any Credit Party in respect of the Guaranteed Obligations is rescinded or must be otherwise restored by any holder of any of the Guaranteed Obligations, whether as a result of any proceedings in bankruptcy or reorganization or otherwise. The Credit Parties jointly and severally agree that they will indemnify each Secured Party on demand for all reasonable costs and expenses (including reasonable fees of counsel) incurred by such Secured Party in connection with such rescission or restoration, including any such costs and expenses incurred in defending against any claim alleging that such payment constituted a preference, fraudulent transfer or similar payment under any bankruptcy, insolvency or similar law, other than any costs or expenses resulting from the gross negligence, bad faith or willful misconduct of, or material breach by, such Secured Party.</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6.04. Subrogation; Subordination</w:t>
      </w:r>
      <w:r>
        <w:rPr>
          <w:rFonts w:ascii="Arial" w:cs="Arial" w:eastAsia="Arial" w:hAnsi="Arial"/>
          <w:sz w:val="17"/>
          <w:szCs w:val="17"/>
          <w:color w:val="auto"/>
        </w:rPr>
        <w:t>. Each Credit Party hereby agrees that until the payment and satisfaction in full in cash of all</w:t>
      </w:r>
      <w:r>
        <w:rPr>
          <w:rFonts w:ascii="Arial" w:cs="Arial" w:eastAsia="Arial" w:hAnsi="Arial"/>
          <w:sz w:val="17"/>
          <w:szCs w:val="17"/>
          <w:b w:val="1"/>
          <w:bCs w:val="1"/>
          <w:color w:val="auto"/>
        </w:rPr>
        <w:t xml:space="preserve"> </w:t>
      </w:r>
      <w:r>
        <w:rPr>
          <w:rFonts w:ascii="Arial" w:cs="Arial" w:eastAsia="Arial" w:hAnsi="Arial"/>
          <w:sz w:val="17"/>
          <w:szCs w:val="17"/>
          <w:color w:val="auto"/>
        </w:rPr>
        <w:t>Guaranteed Obligations and the expiration and termination of the Commitments of the Lenders under this Agreement it shall not exercise any right or remedy arising by reason of any performance by it of its guarantee in Section 6.01, whether by subrogation, contribution or otherwise, against any Credit Party of any of the Guaranteed Obligations or any security for any of the Guaranteed Obligations. The payment of any amounts due with respect to any indebtedness of any Credit Party now or hereafter owing to any Credit Party by reason of any payment by such Credit Party under the Guarantee in this Article VI is hereby subordinated to the prior payment in full in cash of the Guaranteed Obligations. Upon the occurrence and during the continuance of an Event of Default, each Credit Party agrees that it will not demand, sue for or otherwise attempt to collect any such indebtedness of any other Credit Party to such Credit Party until the Obligations shall have been paid in full in cash. If an Event of Default has occurred and is continuing, and any amounts are paid to the Credit Parties in violation of the foregoing limitation, such amounts shall be collected, enforced and received by such Credit Party as trustee for the Secured Parties and be paid over to Administrative Agent on account of the Guaranteed Obligations without affecting in any manner the liability of such Credit Party under the other provisions of the guaranty contained herein.</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6.05. Remedies</w:t>
      </w:r>
      <w:r>
        <w:rPr>
          <w:rFonts w:ascii="Arial" w:cs="Arial" w:eastAsia="Arial" w:hAnsi="Arial"/>
          <w:sz w:val="17"/>
          <w:szCs w:val="17"/>
          <w:color w:val="auto"/>
        </w:rPr>
        <w:t>. The Credit Parties jointly and severally agree that, as between the Credit Parties and the Lenders, the obligations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any Credit Party under this Agreement and the Notes may be declared to be forthwith due and payable as provided in Article XI (and shall be deemed to have become automatically due and payable in the circumstances provided in said Article XI) for purposes of Section 6.01, notwithstanding any stay, injunction or other prohibition preventing such declaration (or such obligations from becoming automatically due and payable arising under the Bankruptcy Code or any other federal or state bankruptcy, insolvency or other law providing for protection from creditors) as against such other Credit Parties and that, in the event of such declaration (or such obligations being deemed to have become automatically due and payable), such obligations (whether or not due and payable by Borrower) shall forthwith become due and payable by the other Credit Parties for purposes of Section 6.01.</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6.06. Continuing Guarantee</w:t>
      </w:r>
      <w:r>
        <w:rPr>
          <w:rFonts w:ascii="Arial" w:cs="Arial" w:eastAsia="Arial" w:hAnsi="Arial"/>
          <w:sz w:val="18"/>
          <w:szCs w:val="18"/>
          <w:color w:val="auto"/>
        </w:rPr>
        <w:t>. The guarantee in this Article VI is a continuing guarantee of payment, and shall apply to all Guaranteed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whenever arising.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801" w:right="239" w:bottom="1440" w:gutter="0" w:footer="0" w:header="0"/>
        </w:sectPr>
      </w:pPr>
    </w:p>
    <w:bookmarkStart w:id="174" w:name="page175"/>
    <w:bookmarkEnd w:id="174"/>
    <w:p>
      <w:pPr>
        <w:jc w:val="both"/>
        <w:ind w:firstLine="648"/>
        <w:spacing w:after="0" w:line="274" w:lineRule="auto"/>
        <w:rPr>
          <w:sz w:val="20"/>
          <w:szCs w:val="20"/>
          <w:color w:val="auto"/>
        </w:rPr>
      </w:pPr>
      <w:r>
        <w:rPr>
          <w:rFonts w:ascii="Arial" w:cs="Arial" w:eastAsia="Arial" w:hAnsi="Arial"/>
          <w:sz w:val="17"/>
          <w:szCs w:val="17"/>
          <w:b w:val="1"/>
          <w:bCs w:val="1"/>
          <w:color w:val="auto"/>
        </w:rPr>
        <w:t>SECTION 6.07. General Limitation on Guarantee Obligations</w:t>
      </w:r>
      <w:r>
        <w:rPr>
          <w:rFonts w:ascii="Arial" w:cs="Arial" w:eastAsia="Arial" w:hAnsi="Arial"/>
          <w:sz w:val="17"/>
          <w:szCs w:val="17"/>
          <w:color w:val="auto"/>
        </w:rPr>
        <w:t>. In any action or proceeding involving any state corporate law, or any state,</w:t>
      </w:r>
      <w:r>
        <w:rPr>
          <w:rFonts w:ascii="Arial" w:cs="Arial" w:eastAsia="Arial" w:hAnsi="Arial"/>
          <w:sz w:val="17"/>
          <w:szCs w:val="17"/>
          <w:b w:val="1"/>
          <w:bCs w:val="1"/>
          <w:color w:val="auto"/>
        </w:rPr>
        <w:t xml:space="preserve"> </w:t>
      </w:r>
      <w:r>
        <w:rPr>
          <w:rFonts w:ascii="Arial" w:cs="Arial" w:eastAsia="Arial" w:hAnsi="Arial"/>
          <w:sz w:val="17"/>
          <w:szCs w:val="17"/>
          <w:color w:val="auto"/>
        </w:rPr>
        <w:t>federal or foreign bankruptcy, insolvency, reorganization or other law affecting the rights of creditors generally, if the obligations of any Credit Party under Section 6.01 would otherwise be held or determined to be void, voidable, invalid or unenforceable, or subordinated to the claims of any other creditors, on account of the amount of its liability under Section 6.01, then, notwithstanding any other provision to the contrary, the amount of such liability shall, without any further action by such Credit Party, any Secured Party or any other Person, be automatically limited and reduced to the highest amount that is valid and enforceable and not subordinated to the claims of other creditors as determined in such action or proceeding.</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6.08. Release of Guarantors</w:t>
      </w:r>
      <w:r>
        <w:rPr>
          <w:rFonts w:ascii="Arial" w:cs="Arial" w:eastAsia="Arial" w:hAnsi="Arial"/>
          <w:sz w:val="17"/>
          <w:szCs w:val="17"/>
          <w:color w:val="auto"/>
        </w:rPr>
        <w:t>. If, in compliance with the terms and provisions of the Credit Documents, (i) the Equity Interests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 are directly or indirectly sold or otherwise transferred such that such Guarantor no longer constitutes a Restricted Subsidiary (a “</w:t>
      </w:r>
      <w:r>
        <w:rPr>
          <w:rFonts w:ascii="Arial" w:cs="Arial" w:eastAsia="Arial" w:hAnsi="Arial"/>
          <w:sz w:val="17"/>
          <w:szCs w:val="17"/>
          <w:b w:val="1"/>
          <w:bCs w:val="1"/>
          <w:color w:val="auto"/>
        </w:rPr>
        <w:t>Transferred</w:t>
      </w:r>
      <w:r>
        <w:rPr>
          <w:rFonts w:ascii="Arial" w:cs="Arial" w:eastAsia="Arial" w:hAnsi="Arial"/>
          <w:sz w:val="17"/>
          <w:szCs w:val="17"/>
          <w:color w:val="auto"/>
        </w:rPr>
        <w:t xml:space="preserve"> </w:t>
      </w:r>
      <w:r>
        <w:rPr>
          <w:rFonts w:ascii="Arial" w:cs="Arial" w:eastAsia="Arial" w:hAnsi="Arial"/>
          <w:sz w:val="17"/>
          <w:szCs w:val="17"/>
          <w:b w:val="1"/>
          <w:bCs w:val="1"/>
          <w:color w:val="auto"/>
        </w:rPr>
        <w:t>Guarantor</w:t>
      </w:r>
      <w:r>
        <w:rPr>
          <w:rFonts w:ascii="Arial" w:cs="Arial" w:eastAsia="Arial" w:hAnsi="Arial"/>
          <w:sz w:val="17"/>
          <w:szCs w:val="17"/>
          <w:color w:val="auto"/>
        </w:rPr>
        <w:t>”) to a Person or Persons, none of which is Borrower or a Restricted Subsidiary, or (ii) any Restricted Subsidiary is designated as or becomes an</w:t>
      </w:r>
      <w:r>
        <w:rPr>
          <w:rFonts w:ascii="Arial" w:cs="Arial" w:eastAsia="Arial" w:hAnsi="Arial"/>
          <w:sz w:val="17"/>
          <w:szCs w:val="17"/>
          <w:b w:val="1"/>
          <w:bCs w:val="1"/>
          <w:color w:val="auto"/>
        </w:rPr>
        <w:t xml:space="preserve"> </w:t>
      </w:r>
      <w:r>
        <w:rPr>
          <w:rFonts w:ascii="Arial" w:cs="Arial" w:eastAsia="Arial" w:hAnsi="Arial"/>
          <w:sz w:val="17"/>
          <w:szCs w:val="17"/>
          <w:color w:val="auto"/>
        </w:rPr>
        <w:t>Unrestricted Subsidiary, Transferred Guarantor, upon the consummation of such sale or transfer, and such Person so designated or which becomes such an Unrestricted Subsidiary, shall be automatically released from its obligations under this Agreement (including under Section 13.03 hereof) and the other Credit Documents, and its obligations to pledge and grant any Collateral owned by it pursuant to any Security Document, and the pledge of Equity Interests in any Transferred Guarantor or any Unrestricted Subsidiary to Collateral Agent pursuant to the Security Documents shall be automatically released, and, so long as Borrower shall have provided the Agents such certifications or documents as any Agent shall reasonably request, Collateral Agent shall take such actions as are necessary to effect and evidence each release described in this Section 6.08 in accordance with the relevant provisions of the Security Documents and this Agreement.</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SECTION 6.09. Keepwell</w:t>
      </w:r>
      <w:r>
        <w:rPr>
          <w:rFonts w:ascii="Arial" w:cs="Arial" w:eastAsia="Arial" w:hAnsi="Arial"/>
          <w:sz w:val="17"/>
          <w:szCs w:val="17"/>
          <w:color w:val="auto"/>
        </w:rPr>
        <w:t>. Each Qualified ECP Guarantor hereby jointly and severally absolutely, unconditionally and irrevocably undertakes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such funds or other support as may be needed from time to time by each other Credit Party to honor all of its obligations under the Guarantee in respect of Swap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Qualified ECP Guarantor shall only be liable under this Section 6.09 for the maximum amount of such liability that can be hereby incurred without rendering its obligations under this Section 6.09, or otherwise under the Guarantee, as it relates to such Credit Party, voidable under applicable law relating to fraudulent conveyance or fraudulent transfer, and not for any greater amount). The obligations of each Qualified ECP Guarantor under this Section shall remain in full force and effect until a discharge of Guaranteed Obligations. Each Qualified ECP Guarantor intends that this Section 6.09 constitute, and this Section 6.09 shall be deemed to constitute, a "keepwell, support, or other agreement" for the benefit of each other Credit Party for all purposes of Section 1a(18)(A)(v)(II) of the Commodity Exchange Act.</w:t>
      </w:r>
    </w:p>
    <w:p>
      <w:pPr>
        <w:spacing w:after="0" w:line="1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SECTION 6.10. Right of Contribution</w:t>
      </w:r>
      <w:r>
        <w:rPr>
          <w:rFonts w:ascii="Arial" w:cs="Arial" w:eastAsia="Arial" w:hAnsi="Arial"/>
          <w:sz w:val="17"/>
          <w:szCs w:val="17"/>
          <w:color w:val="auto"/>
        </w:rPr>
        <w:t>. Each Credit Party hereby agrees that to the extent that a Credit Party (a “</w:t>
      </w:r>
      <w:r>
        <w:rPr>
          <w:rFonts w:ascii="Arial" w:cs="Arial" w:eastAsia="Arial" w:hAnsi="Arial"/>
          <w:sz w:val="17"/>
          <w:szCs w:val="17"/>
          <w:b w:val="1"/>
          <w:bCs w:val="1"/>
          <w:color w:val="auto"/>
        </w:rPr>
        <w:t>Funding Credit Party</w:t>
      </w:r>
      <w:r>
        <w:rPr>
          <w:rFonts w:ascii="Arial" w:cs="Arial" w:eastAsia="Arial" w:hAnsi="Arial"/>
          <w:sz w:val="17"/>
          <w:szCs w:val="17"/>
          <w:color w:val="auto"/>
        </w:rPr>
        <w:t>”)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paid more than its Fair Share (as defined below) of any payment made hereunder, such Credit Party shall be entitled to seek and receive contribution from and against any other Credit Party hereunder which has not paid its Fair Share of such payment. Each Credit Party’s right of contribution shall be subject to the terms and conditions of Section 6.04. The provisions of this Section 6.10 shall in no respect limit the obligations and liabilities of any Credit Party to the Secured Parties, and each Credit Party shall remain liable to the Secured Parties for the full amount guaranteed by such Credit Party hereunder. “</w:t>
      </w:r>
      <w:r>
        <w:rPr>
          <w:rFonts w:ascii="Arial" w:cs="Arial" w:eastAsia="Arial" w:hAnsi="Arial"/>
          <w:sz w:val="17"/>
          <w:szCs w:val="17"/>
          <w:b w:val="1"/>
          <w:bCs w:val="1"/>
          <w:color w:val="auto"/>
        </w:rPr>
        <w:t>Fair</w:t>
      </w:r>
      <w:r>
        <w:rPr>
          <w:rFonts w:ascii="Arial" w:cs="Arial" w:eastAsia="Arial" w:hAnsi="Arial"/>
          <w:sz w:val="17"/>
          <w:szCs w:val="17"/>
          <w:color w:val="auto"/>
        </w:rPr>
        <w:t xml:space="preserve"> </w:t>
      </w:r>
      <w:r>
        <w:rPr>
          <w:rFonts w:ascii="Arial" w:cs="Arial" w:eastAsia="Arial" w:hAnsi="Arial"/>
          <w:sz w:val="17"/>
          <w:szCs w:val="17"/>
          <w:b w:val="1"/>
          <w:bCs w:val="1"/>
          <w:color w:val="auto"/>
        </w:rPr>
        <w:t>Share</w:t>
      </w:r>
      <w:r>
        <w:rPr>
          <w:rFonts w:ascii="Arial" w:cs="Arial" w:eastAsia="Arial" w:hAnsi="Arial"/>
          <w:sz w:val="17"/>
          <w:szCs w:val="17"/>
          <w:color w:val="auto"/>
        </w:rPr>
        <w:t>” means, with respect to a Credit Party as of any date of determination, an amount equal to (i) the ratio of (A) the Adjusted Maximum Amount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below) with respect to such Credit Party to (B) the aggregate of the Adjusted Maximum Amounts with respect to all Credit Parties multiplied by (ii) the aggregate amount paid or distributed on or before such date by all Funding Credit Parties under this Article VI in respect of the Guaranteed Obligations. “</w:t>
      </w:r>
      <w:r>
        <w:rPr>
          <w:rFonts w:ascii="Arial" w:cs="Arial" w:eastAsia="Arial" w:hAnsi="Arial"/>
          <w:sz w:val="17"/>
          <w:szCs w:val="17"/>
          <w:b w:val="1"/>
          <w:bCs w:val="1"/>
          <w:color w:val="auto"/>
        </w:rPr>
        <w:t>Fair Share Shortfall</w:t>
      </w:r>
      <w:r>
        <w:rPr>
          <w:rFonts w:ascii="Arial" w:cs="Arial" w:eastAsia="Arial" w:hAnsi="Arial"/>
          <w:sz w:val="17"/>
          <w:szCs w:val="17"/>
          <w:color w:val="auto"/>
        </w:rPr>
        <w:t>” means, with respect to a Credit Party as of any date of determination, the excess, if any, of the Fair Share of such Credit Party over the Aggregate Payments of such Credit Party. “</w:t>
      </w:r>
      <w:r>
        <w:rPr>
          <w:rFonts w:ascii="Arial" w:cs="Arial" w:eastAsia="Arial" w:hAnsi="Arial"/>
          <w:sz w:val="17"/>
          <w:szCs w:val="17"/>
          <w:b w:val="1"/>
          <w:bCs w:val="1"/>
          <w:color w:val="auto"/>
        </w:rPr>
        <w:t>Adjusted Maximum Amount</w:t>
      </w:r>
      <w:r>
        <w:rPr>
          <w:rFonts w:ascii="Arial" w:cs="Arial" w:eastAsia="Arial" w:hAnsi="Arial"/>
          <w:sz w:val="17"/>
          <w:szCs w:val="17"/>
          <w:color w:val="auto"/>
        </w:rPr>
        <w:t xml:space="preserve">” means, with respect to a Credit Party as of any date of determination, the maximum aggregate amount of the obligations of such Credit Party under this Article VI;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for purposes of calculating the “Adjusted Maximum Amount” with respect to any Credit Party for purposes of this Section 6.10, any assets or liabilities of such Credit Party arising by virtue of any rights to subrogation, reimbursement or indemnification or any rights to or obligations of contribution hereunder shall not be considered as assets or liabilities of such Credit Party. “</w:t>
      </w:r>
      <w:r>
        <w:rPr>
          <w:rFonts w:ascii="Arial" w:cs="Arial" w:eastAsia="Arial" w:hAnsi="Arial"/>
          <w:sz w:val="17"/>
          <w:szCs w:val="17"/>
          <w:b w:val="1"/>
          <w:bCs w:val="1"/>
          <w:color w:val="auto"/>
        </w:rPr>
        <w:t>Aggregate Payments</w:t>
      </w:r>
      <w:r>
        <w:rPr>
          <w:rFonts w:ascii="Arial" w:cs="Arial" w:eastAsia="Arial" w:hAnsi="Arial"/>
          <w:sz w:val="17"/>
          <w:szCs w:val="17"/>
          <w:color w:val="auto"/>
        </w:rPr>
        <w:t>” means, with respect to a Credit Party as of any date of determination, an amount equal to (i) the aggregate amount of all payments and distributions made on or before such</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797" w:right="239" w:bottom="1440" w:gutter="0" w:footer="0" w:header="0"/>
        </w:sectPr>
      </w:pPr>
    </w:p>
    <w:bookmarkStart w:id="175" w:name="page176"/>
    <w:bookmarkEnd w:id="175"/>
    <w:p>
      <w:pPr>
        <w:jc w:val="both"/>
        <w:ind w:right="20"/>
        <w:spacing w:after="0" w:line="286" w:lineRule="auto"/>
        <w:rPr>
          <w:sz w:val="20"/>
          <w:szCs w:val="20"/>
          <w:color w:val="auto"/>
        </w:rPr>
      </w:pPr>
      <w:r>
        <w:rPr>
          <w:rFonts w:ascii="Arial" w:cs="Arial" w:eastAsia="Arial" w:hAnsi="Arial"/>
          <w:sz w:val="17"/>
          <w:szCs w:val="17"/>
          <w:color w:val="auto"/>
        </w:rPr>
        <w:t>date by such Credit party in respect of this Article VI (including in respect of this Section 6.10) minus (ii) the aggregate amount of all payments received on or before such date by such Credit Party from the other Credit Parties as contributions under this Section 6.10. The amounts payable as contributions hereunder shall be determined as of the date on which the related payment or distribution is made by the applicable Funding Credit Party.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u w:val="single" w:color="auto"/>
          <w:color w:val="auto"/>
        </w:rPr>
        <w:t>CONDITIONS PRECEDENT</w:t>
      </w:r>
    </w:p>
    <w:p>
      <w:pPr>
        <w:spacing w:after="0" w:line="22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6"/>
          <w:szCs w:val="16"/>
          <w:b w:val="1"/>
          <w:bCs w:val="1"/>
          <w:color w:val="auto"/>
        </w:rPr>
        <w:t>Conditions to Initial Extensions of Credit</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obligations of Lenders to enter into this Agreement on the Closing Date are subject to the satisfaction of the following:</w:t>
      </w:r>
    </w:p>
    <w:p>
      <w:pPr>
        <w:spacing w:after="0" w:line="221" w:lineRule="exact"/>
        <w:rPr>
          <w:sz w:val="20"/>
          <w:szCs w:val="20"/>
          <w:color w:val="auto"/>
        </w:rPr>
      </w:pPr>
    </w:p>
    <w:p>
      <w:pPr>
        <w:jc w:val="both"/>
        <w:ind w:firstLine="656"/>
        <w:spacing w:after="0" w:line="258" w:lineRule="auto"/>
        <w:tabs>
          <w:tab w:leader="none" w:pos="1055"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Corporate Documents</w:t>
      </w:r>
      <w:r>
        <w:rPr>
          <w:rFonts w:ascii="Arial" w:cs="Arial" w:eastAsia="Arial" w:hAnsi="Arial"/>
          <w:sz w:val="18"/>
          <w:szCs w:val="18"/>
          <w:color w:val="auto"/>
        </w:rPr>
        <w:t>. Administrative Agent shall have received copies of the Organizational Documents of each Credit Party and evidence</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corporate or other applicable authority for each Credit Party (including resolutions or written consents and incumbency certificates) with respect to the execution, delivery and performance of such of the Credit Documents to which each such Credit Party is intended to be a party as of the Closing Date, certified as of the Closing Date as complete and correct copies thereof by the Secretary or an Assistant Secretary of each such Credit Party (or the member or manager or general partner of such Credit Party, as applicable).</w:t>
      </w:r>
    </w:p>
    <w:p>
      <w:pPr>
        <w:spacing w:after="0" w:line="183" w:lineRule="exact"/>
        <w:rPr>
          <w:rFonts w:ascii="Arial" w:cs="Arial" w:eastAsia="Arial" w:hAnsi="Arial"/>
          <w:sz w:val="18"/>
          <w:szCs w:val="18"/>
          <w:color w:val="auto"/>
        </w:rPr>
      </w:pPr>
    </w:p>
    <w:p>
      <w:pPr>
        <w:ind w:firstLine="656"/>
        <w:spacing w:after="0" w:line="282" w:lineRule="auto"/>
        <w:tabs>
          <w:tab w:leader="none" w:pos="1038"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Officer’s Certificate</w:t>
      </w:r>
      <w:r>
        <w:rPr>
          <w:rFonts w:ascii="Arial" w:cs="Arial" w:eastAsia="Arial" w:hAnsi="Arial"/>
          <w:sz w:val="18"/>
          <w:szCs w:val="18"/>
          <w:color w:val="auto"/>
        </w:rPr>
        <w:t>. Administrative Agent shall have received an Officer’s Certificate of Borrower, dated the Closing Date, certifying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Sections 7.02(a)(i) and 7.02(a)(ii) (giving effect to the provisions contained therein) have been satisfied.</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028"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Opinions of Counsel</w:t>
      </w:r>
      <w:r>
        <w:rPr>
          <w:rFonts w:ascii="Arial" w:cs="Arial" w:eastAsia="Arial" w:hAnsi="Arial"/>
          <w:sz w:val="18"/>
          <w:szCs w:val="18"/>
          <w:color w:val="auto"/>
        </w:rPr>
        <w:t>. Administrative Agent shall have received the following opinions, each of which shall be addressed to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the Collateral Agent and the Lenders, dated the Closing Date and covering such matters as the Administrative Agent shall reasonably request in a manner customary for transactions of this type:</w:t>
      </w:r>
    </w:p>
    <w:p>
      <w:pPr>
        <w:spacing w:after="0" w:line="180" w:lineRule="exact"/>
        <w:rPr>
          <w:rFonts w:ascii="Arial" w:cs="Arial" w:eastAsia="Arial" w:hAnsi="Arial"/>
          <w:sz w:val="18"/>
          <w:szCs w:val="18"/>
          <w:color w:val="auto"/>
        </w:rPr>
      </w:pPr>
    </w:p>
    <w:p>
      <w:pPr>
        <w:ind w:left="1660" w:hanging="355"/>
        <w:spacing w:after="0"/>
        <w:tabs>
          <w:tab w:leader="none" w:pos="1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 opinion of Latham &amp; Watkins LLP, special counsel to the Credit Parties; and</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opinions of local counsel to the Credit Parties in such jurisdictions as are set forth in </w:t>
      </w:r>
      <w:r>
        <w:rPr>
          <w:rFonts w:ascii="Arial" w:cs="Arial" w:eastAsia="Arial" w:hAnsi="Arial"/>
          <w:sz w:val="18"/>
          <w:szCs w:val="18"/>
          <w:u w:val="single" w:color="auto"/>
          <w:color w:val="auto"/>
        </w:rPr>
        <w:t>Schedule 7.01</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right="20" w:firstLine="656"/>
        <w:spacing w:after="0" w:line="282" w:lineRule="auto"/>
        <w:tabs>
          <w:tab w:leader="none" w:pos="1079"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Notes</w:t>
      </w:r>
      <w:r>
        <w:rPr>
          <w:rFonts w:ascii="Arial" w:cs="Arial" w:eastAsia="Arial" w:hAnsi="Arial"/>
          <w:sz w:val="18"/>
          <w:szCs w:val="18"/>
          <w:color w:val="auto"/>
        </w:rPr>
        <w:t>. Administrative Agent shall have received copies of the Notes, duly completed and executed, for each Lender that requested a Note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three (3) Business Days prior to the Closing Date.</w:t>
      </w:r>
    </w:p>
    <w:p>
      <w:pPr>
        <w:spacing w:after="0" w:line="161" w:lineRule="exact"/>
        <w:rPr>
          <w:rFonts w:ascii="Arial" w:cs="Arial" w:eastAsia="Arial" w:hAnsi="Arial"/>
          <w:sz w:val="18"/>
          <w:szCs w:val="18"/>
          <w:color w:val="auto"/>
        </w:rPr>
      </w:pPr>
    </w:p>
    <w:p>
      <w:pPr>
        <w:ind w:firstLine="656"/>
        <w:spacing w:after="0" w:line="282" w:lineRule="auto"/>
        <w:tabs>
          <w:tab w:leader="none" w:pos="1055"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Administrative Agent shall have received this Agreement (a) executed and delivered by a duly authorized officer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Credit Party and (b) executed and delivered by a duly authorized officer of each Person that is a Lender on the Closing Date.</w:t>
      </w:r>
    </w:p>
    <w:p>
      <w:pPr>
        <w:spacing w:after="0" w:line="161" w:lineRule="exact"/>
        <w:rPr>
          <w:rFonts w:ascii="Arial" w:cs="Arial" w:eastAsia="Arial" w:hAnsi="Arial"/>
          <w:sz w:val="18"/>
          <w:szCs w:val="18"/>
          <w:color w:val="auto"/>
        </w:rPr>
      </w:pPr>
    </w:p>
    <w:p>
      <w:pPr>
        <w:jc w:val="both"/>
        <w:ind w:firstLine="656"/>
        <w:spacing w:after="0" w:line="258" w:lineRule="auto"/>
        <w:tabs>
          <w:tab w:leader="none" w:pos="1103"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Filings and Lien Searches</w:t>
      </w:r>
      <w:r>
        <w:rPr>
          <w:rFonts w:ascii="Arial" w:cs="Arial" w:eastAsia="Arial" w:hAnsi="Arial"/>
          <w:sz w:val="18"/>
          <w:szCs w:val="18"/>
          <w:color w:val="auto"/>
        </w:rPr>
        <w:t>. Administrative Agent shall have received (i) UCC financing statements in form appropriate for filing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organization of each Credit Party, (ii) results of lien searches conducted in the jurisdictions in which Borrower and its Restricted Subsidiaries are organized and such other jurisdictions as may be requested by the Administrative Agent and (iii) security agreements or other agreements in appropriate form for filing in the United States Patent and Trademark Office and United States Copyright Office with respect to intellectual property of Borrower to the extent required pursuant to the Security Agreement.</w:t>
      </w:r>
    </w:p>
    <w:p>
      <w:pPr>
        <w:spacing w:after="0" w:line="183" w:lineRule="exact"/>
        <w:rPr>
          <w:rFonts w:ascii="Arial" w:cs="Arial" w:eastAsia="Arial" w:hAnsi="Arial"/>
          <w:sz w:val="18"/>
          <w:szCs w:val="18"/>
          <w:color w:val="auto"/>
        </w:rPr>
      </w:pPr>
    </w:p>
    <w:p>
      <w:pPr>
        <w:jc w:val="both"/>
        <w:ind w:firstLine="656"/>
        <w:spacing w:after="0" w:line="314" w:lineRule="auto"/>
        <w:tabs>
          <w:tab w:leader="none" w:pos="1065" w:val="left"/>
        </w:tabs>
        <w:numPr>
          <w:ilvl w:val="0"/>
          <w:numId w:val="119"/>
        </w:numPr>
        <w:rPr>
          <w:rFonts w:ascii="Arial" w:cs="Arial" w:eastAsia="Arial" w:hAnsi="Arial"/>
          <w:sz w:val="16"/>
          <w:szCs w:val="16"/>
          <w:color w:val="auto"/>
        </w:rPr>
      </w:pPr>
      <w:r>
        <w:rPr>
          <w:rFonts w:ascii="Arial" w:cs="Arial" w:eastAsia="Arial" w:hAnsi="Arial"/>
          <w:sz w:val="16"/>
          <w:szCs w:val="16"/>
          <w:b w:val="1"/>
          <w:bCs w:val="1"/>
          <w:color w:val="auto"/>
        </w:rPr>
        <w:t>Security Agreement</w:t>
      </w:r>
      <w:r>
        <w:rPr>
          <w:rFonts w:ascii="Arial" w:cs="Arial" w:eastAsia="Arial" w:hAnsi="Arial"/>
          <w:sz w:val="16"/>
          <w:szCs w:val="16"/>
          <w:color w:val="auto"/>
        </w:rPr>
        <w:t>. (i) Administrative Agent shall have received the Security Agreement and the Initial Perfection Certificate, in each case</w:t>
      </w:r>
      <w:r>
        <w:rPr>
          <w:rFonts w:ascii="Arial" w:cs="Arial" w:eastAsia="Arial" w:hAnsi="Arial"/>
          <w:sz w:val="16"/>
          <w:szCs w:val="16"/>
          <w:b w:val="1"/>
          <w:bCs w:val="1"/>
          <w:color w:val="auto"/>
        </w:rPr>
        <w:t xml:space="preserve"> </w:t>
      </w:r>
      <w:r>
        <w:rPr>
          <w:rFonts w:ascii="Arial" w:cs="Arial" w:eastAsia="Arial" w:hAnsi="Arial"/>
          <w:sz w:val="16"/>
          <w:szCs w:val="16"/>
          <w:color w:val="auto"/>
        </w:rPr>
        <w:t>duly authorized, executed and delivered by the applicable Credit Parties, and (ii) Collateral Agent shall have received, to the extent required pursuant to the Security Agreement and not prohibited by applicable Requirements of Law (including, without limitation, any Gaming Laws), (1) original certificates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800" w:right="239" w:bottom="1440" w:gutter="0" w:footer="0" w:header="0"/>
        </w:sectPr>
      </w:pPr>
    </w:p>
    <w:bookmarkStart w:id="176" w:name="page177"/>
    <w:bookmarkEnd w:id="176"/>
    <w:p>
      <w:pPr>
        <w:jc w:val="both"/>
        <w:spacing w:after="0" w:line="293" w:lineRule="auto"/>
        <w:rPr>
          <w:sz w:val="20"/>
          <w:szCs w:val="20"/>
          <w:color w:val="auto"/>
        </w:rPr>
      </w:pPr>
      <w:r>
        <w:rPr>
          <w:rFonts w:ascii="Arial" w:cs="Arial" w:eastAsia="Arial" w:hAnsi="Arial"/>
          <w:sz w:val="16"/>
          <w:szCs w:val="16"/>
          <w:color w:val="auto"/>
        </w:rPr>
        <w:t>representing the certificated Pledged Securities (as defined in the Security Agreement) required to be delivered to Collateral Agent pursuant to the Security Agreement, accompanied by original undated stock powers executed in blank, and (2) the promissory notes, intercompany notes, instruments, and chattel paper identified under the name of such Credit Parties in Schedule 7 to the Initial Perfection Certificate (other than such certificates, promissory notes, intercompany notes, instruments and chattel paper that constitute “Excluded Property” (as such term is defined in the Security Agreement)), accompanied by undated notations or instruments of assignment executed in blank, and all of the foregoing shall be reasonably satisfactory to Administrative Agent in form and substance (in each case to the extent required to be delivered to Collateral Agent pursuant to the terms of the Security Agreement).</w:t>
      </w:r>
    </w:p>
    <w:p>
      <w:pPr>
        <w:spacing w:after="0" w:line="161" w:lineRule="exact"/>
        <w:rPr>
          <w:sz w:val="20"/>
          <w:szCs w:val="20"/>
          <w:color w:val="auto"/>
        </w:rPr>
      </w:pPr>
    </w:p>
    <w:p>
      <w:pPr>
        <w:jc w:val="both"/>
        <w:ind w:firstLine="656"/>
        <w:spacing w:after="0" w:line="266" w:lineRule="auto"/>
        <w:tabs>
          <w:tab w:leader="none" w:pos="1106"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Credit Documents in Full Force and Effect; Fee Letter</w:t>
      </w:r>
      <w:r>
        <w:rPr>
          <w:rFonts w:ascii="Arial" w:cs="Arial" w:eastAsia="Arial" w:hAnsi="Arial"/>
          <w:sz w:val="18"/>
          <w:szCs w:val="18"/>
          <w:color w:val="auto"/>
        </w:rPr>
        <w:t>. The Credit Documents required to be executed and delivered on or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Date shall be in full force and effect. Borrower shall have complied, or shall comply substantially concurrently with the funding of the Loans hereunder, in all respects with its payment obligations under the Fee Letter required to be performed on the Closing Date.</w:t>
      </w:r>
    </w:p>
    <w:p>
      <w:pPr>
        <w:spacing w:after="0" w:line="176" w:lineRule="exact"/>
        <w:rPr>
          <w:rFonts w:ascii="Arial" w:cs="Arial" w:eastAsia="Arial" w:hAnsi="Arial"/>
          <w:sz w:val="18"/>
          <w:szCs w:val="18"/>
          <w:color w:val="auto"/>
        </w:rPr>
      </w:pPr>
    </w:p>
    <w:p>
      <w:pPr>
        <w:jc w:val="both"/>
        <w:ind w:firstLine="656"/>
        <w:spacing w:after="0" w:line="281" w:lineRule="auto"/>
        <w:tabs>
          <w:tab w:leader="none" w:pos="1025"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Consummation of Transactions</w:t>
      </w:r>
      <w:r>
        <w:rPr>
          <w:rFonts w:ascii="Arial" w:cs="Arial" w:eastAsia="Arial" w:hAnsi="Arial"/>
          <w:sz w:val="17"/>
          <w:szCs w:val="17"/>
          <w:color w:val="auto"/>
        </w:rPr>
        <w:t>. The Transactions shall have been consummated and the consummation thereof shall be in compliance in all</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respects with all applicable Laws (including Gaming Laws and Regulation T, Regulation U and Regulation X) and all applicable Gaming Approvals and other applicable regulatory approvals. After giving effect to the Transactions, there shall be no conflict with, or default under, any material Contractual Obligation of Borrower and its Restricted Subsidiaries (except as Administrative Agent shall otherwise agree)).</w:t>
      </w:r>
    </w:p>
    <w:p>
      <w:pPr>
        <w:spacing w:after="0" w:line="164" w:lineRule="exact"/>
        <w:rPr>
          <w:rFonts w:ascii="Arial" w:cs="Arial" w:eastAsia="Arial" w:hAnsi="Arial"/>
          <w:sz w:val="17"/>
          <w:szCs w:val="17"/>
          <w:color w:val="auto"/>
        </w:rPr>
      </w:pPr>
    </w:p>
    <w:p>
      <w:pPr>
        <w:jc w:val="both"/>
        <w:ind w:firstLine="656"/>
        <w:spacing w:after="0" w:line="281" w:lineRule="auto"/>
        <w:tabs>
          <w:tab w:leader="none" w:pos="1066"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Approvals</w:t>
      </w:r>
      <w:r>
        <w:rPr>
          <w:rFonts w:ascii="Arial" w:cs="Arial" w:eastAsia="Arial" w:hAnsi="Arial"/>
          <w:sz w:val="17"/>
          <w:szCs w:val="17"/>
          <w:color w:val="auto"/>
        </w:rPr>
        <w:t>. Other than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7.01(j)</w:t>
      </w:r>
      <w:r>
        <w:rPr>
          <w:rFonts w:ascii="Arial" w:cs="Arial" w:eastAsia="Arial" w:hAnsi="Arial"/>
          <w:sz w:val="17"/>
          <w:szCs w:val="17"/>
          <w:b w:val="1"/>
          <w:bCs w:val="1"/>
          <w:color w:val="auto"/>
        </w:rPr>
        <w:t xml:space="preserve"> </w:t>
      </w:r>
      <w:r>
        <w:rPr>
          <w:rFonts w:ascii="Arial" w:cs="Arial" w:eastAsia="Arial" w:hAnsi="Arial"/>
          <w:sz w:val="17"/>
          <w:szCs w:val="17"/>
          <w:color w:val="auto"/>
        </w:rPr>
        <w:t>or in Section 8.06 or Section 8.15, all necessary Governmental Authority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Gaming Approvals) and/or consents in connection with the Transactions shall have been obtained and shall remain in full force and effect. In addition, there shall not exist any judgment, order, injunction or other restraint, and there shall be no pending litigation or proceeding by any Governmental Authority, prohibiting, enjoining or imposing materially adverse conditions upon the Transactions, or on the consummation thereof.</w:t>
      </w:r>
    </w:p>
    <w:p>
      <w:pPr>
        <w:spacing w:after="0" w:line="164" w:lineRule="exact"/>
        <w:rPr>
          <w:rFonts w:ascii="Arial" w:cs="Arial" w:eastAsia="Arial" w:hAnsi="Arial"/>
          <w:sz w:val="17"/>
          <w:szCs w:val="17"/>
          <w:color w:val="auto"/>
        </w:rPr>
      </w:pPr>
    </w:p>
    <w:p>
      <w:pPr>
        <w:jc w:val="both"/>
        <w:ind w:firstLine="656"/>
        <w:spacing w:after="0" w:line="266" w:lineRule="auto"/>
        <w:tabs>
          <w:tab w:leader="none" w:pos="1038"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Solvency</w:t>
      </w:r>
      <w:r>
        <w:rPr>
          <w:rFonts w:ascii="Arial" w:cs="Arial" w:eastAsia="Arial" w:hAnsi="Arial"/>
          <w:sz w:val="18"/>
          <w:szCs w:val="18"/>
          <w:color w:val="auto"/>
        </w:rPr>
        <w:t>. Administrative Agent shall have received a certificate in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G</w:t>
      </w:r>
      <w:r>
        <w:rPr>
          <w:rFonts w:ascii="Arial" w:cs="Arial" w:eastAsia="Arial" w:hAnsi="Arial"/>
          <w:sz w:val="18"/>
          <w:szCs w:val="18"/>
          <w:b w:val="1"/>
          <w:bCs w:val="1"/>
          <w:color w:val="auto"/>
        </w:rPr>
        <w:t xml:space="preserve"> </w:t>
      </w:r>
      <w:r>
        <w:rPr>
          <w:rFonts w:ascii="Arial" w:cs="Arial" w:eastAsia="Arial" w:hAnsi="Arial"/>
          <w:sz w:val="18"/>
          <w:szCs w:val="18"/>
          <w:color w:val="auto"/>
        </w:rPr>
        <w:t>from a Responsible Officer of Borrower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Solvency of Borrower (on a consolidated basis with its Restricted Subsidiaries), immediately after giving effect to the consummation of the Transactions.</w:t>
      </w:r>
    </w:p>
    <w:p>
      <w:pPr>
        <w:spacing w:after="0" w:line="176" w:lineRule="exact"/>
        <w:rPr>
          <w:rFonts w:ascii="Arial" w:cs="Arial" w:eastAsia="Arial" w:hAnsi="Arial"/>
          <w:sz w:val="18"/>
          <w:szCs w:val="18"/>
          <w:color w:val="auto"/>
        </w:rPr>
      </w:pPr>
    </w:p>
    <w:p>
      <w:pPr>
        <w:jc w:val="both"/>
        <w:ind w:firstLine="656"/>
        <w:spacing w:after="0" w:line="261" w:lineRule="auto"/>
        <w:tabs>
          <w:tab w:leader="none" w:pos="1066"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Payment of Fees and Expenses</w:t>
      </w:r>
      <w:r>
        <w:rPr>
          <w:rFonts w:ascii="Arial" w:cs="Arial" w:eastAsia="Arial" w:hAnsi="Arial"/>
          <w:sz w:val="18"/>
          <w:szCs w:val="18"/>
          <w:color w:val="auto"/>
        </w:rPr>
        <w:t>. To the extent invoiced at least five (5) Business Days prior to the closing date, all reasonable costs, fees,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of Administrative Agent, Lead Arrangers, Arrangers and (in the case of fees only) the Lenders required to be paid by this Agreement, the Fee Letter or as otherwise agreed by Borrower, in each case, payable to Administrative Agent, Lead Arrangers, Arrangers and/or Lenders in respect of the Transactions, shall have been paid to the extent due.</w:t>
      </w:r>
    </w:p>
    <w:p>
      <w:pPr>
        <w:spacing w:after="0" w:line="180" w:lineRule="exact"/>
        <w:rPr>
          <w:rFonts w:ascii="Arial" w:cs="Arial" w:eastAsia="Arial" w:hAnsi="Arial"/>
          <w:sz w:val="18"/>
          <w:szCs w:val="18"/>
          <w:color w:val="auto"/>
        </w:rPr>
      </w:pPr>
    </w:p>
    <w:p>
      <w:pPr>
        <w:jc w:val="both"/>
        <w:ind w:firstLine="656"/>
        <w:spacing w:after="0" w:line="261" w:lineRule="auto"/>
        <w:tabs>
          <w:tab w:leader="none" w:pos="1156"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Patriot Act</w:t>
      </w:r>
      <w:r>
        <w:rPr>
          <w:rFonts w:ascii="Arial" w:cs="Arial" w:eastAsia="Arial" w:hAnsi="Arial"/>
          <w:sz w:val="18"/>
          <w:szCs w:val="18"/>
          <w:color w:val="auto"/>
        </w:rPr>
        <w:t>. On or prior to the Closing Date, Administrative Agent shall have received at least five (5) days prior to the Closing Date all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documentation and other information reasonably requested in writing at least ten (10) days prior to the Closing Date by Administrative Agent that Administrative Agent reasonably determines is required by regulatory authorities from the Credit Parties under applicable “know your customer” and anti-money laundering rules and regulations, including without limitation the Patriot Act.</w:t>
      </w:r>
    </w:p>
    <w:p>
      <w:pPr>
        <w:spacing w:after="0" w:line="180" w:lineRule="exact"/>
        <w:rPr>
          <w:rFonts w:ascii="Arial" w:cs="Arial" w:eastAsia="Arial" w:hAnsi="Arial"/>
          <w:sz w:val="18"/>
          <w:szCs w:val="18"/>
          <w:color w:val="auto"/>
        </w:rPr>
      </w:pPr>
    </w:p>
    <w:p>
      <w:pPr>
        <w:jc w:val="both"/>
        <w:ind w:firstLine="656"/>
        <w:spacing w:after="0" w:line="277" w:lineRule="auto"/>
        <w:tabs>
          <w:tab w:leader="none" w:pos="1119"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Wynn Resorts Financials</w:t>
      </w:r>
      <w:r>
        <w:rPr>
          <w:rFonts w:ascii="Arial" w:cs="Arial" w:eastAsia="Arial" w:hAnsi="Arial"/>
          <w:sz w:val="17"/>
          <w:szCs w:val="17"/>
          <w:color w:val="auto"/>
        </w:rPr>
        <w:t>. Borrower has delivered to the Administrative Agent or made publically available (a) the audited consolidated</w:t>
      </w:r>
      <w:r>
        <w:rPr>
          <w:rFonts w:ascii="Arial" w:cs="Arial" w:eastAsia="Arial" w:hAnsi="Arial"/>
          <w:sz w:val="17"/>
          <w:szCs w:val="17"/>
          <w:b w:val="1"/>
          <w:bCs w:val="1"/>
          <w:color w:val="auto"/>
        </w:rPr>
        <w:t xml:space="preserve"> </w:t>
      </w:r>
      <w:r>
        <w:rPr>
          <w:rFonts w:ascii="Arial" w:cs="Arial" w:eastAsia="Arial" w:hAnsi="Arial"/>
          <w:sz w:val="17"/>
          <w:szCs w:val="17"/>
          <w:color w:val="auto"/>
        </w:rPr>
        <w:t>balance sheets of Wynn Resorts as of December 31, 2013, and the related statements of earnings, changes in stockholders’ equity and cash flows for the fiscal years ended on those dates, together with reports thereon by Ernst &amp; Young LLP, certified public accountants and (b) the unaudited interim consolidated balance sheet of Wynn Resorts and the related statements of earnings, changes in stockholders’ equity and cash flows for the most recent fiscal quarter ending after December 31, 2013 (other than the fourth fiscal quarter of any fiscal year) and at least 45 days prior to the Closing Date.</w:t>
      </w:r>
    </w:p>
    <w:p>
      <w:pPr>
        <w:spacing w:after="0" w:line="16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7.02. Conditions to All Extensions of Credit</w:t>
      </w:r>
      <w:r>
        <w:rPr>
          <w:rFonts w:ascii="Arial" w:cs="Arial" w:eastAsia="Arial" w:hAnsi="Arial"/>
          <w:sz w:val="18"/>
          <w:szCs w:val="18"/>
          <w:color w:val="auto"/>
        </w:rPr>
        <w:t>. The obligations of the Lenders to make any Loan or otherwise extend any credit to</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upon the occasion of each Borrowing or other extension of credit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800" w:right="23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color w:val="auto"/>
        </w:rPr>
        <w:t>(whether by making a Loan or issuing a Letter of Credit) hereunder (including the initial borrowing) is subject to the further conditions precedent that:</w:t>
      </w:r>
    </w:p>
    <w:p>
      <w:pPr>
        <w:spacing w:after="0" w:line="233" w:lineRule="exact"/>
        <w:rPr>
          <w:sz w:val="20"/>
          <w:szCs w:val="20"/>
          <w:color w:val="auto"/>
        </w:rPr>
      </w:pPr>
    </w:p>
    <w:p>
      <w:pPr>
        <w:ind w:firstLine="656"/>
        <w:spacing w:after="0" w:line="282" w:lineRule="auto"/>
        <w:tabs>
          <w:tab w:leader="none" w:pos="1122"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No Default or Event of Default; Representations and Warranties True</w:t>
      </w:r>
      <w:r>
        <w:rPr>
          <w:rFonts w:ascii="Arial" w:cs="Arial" w:eastAsia="Arial" w:hAnsi="Arial"/>
          <w:sz w:val="18"/>
          <w:szCs w:val="18"/>
          <w:color w:val="auto"/>
        </w:rPr>
        <w:t>. Both immediately prior to the making of such Loan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of credit and also after giving effect thereto and to the intended use thereof:</w:t>
      </w:r>
    </w:p>
    <w:p>
      <w:pPr>
        <w:spacing w:after="0" w:line="165" w:lineRule="exact"/>
        <w:rPr>
          <w:rFonts w:ascii="Arial" w:cs="Arial" w:eastAsia="Arial" w:hAnsi="Arial"/>
          <w:sz w:val="18"/>
          <w:szCs w:val="18"/>
          <w:color w:val="auto"/>
        </w:rPr>
      </w:pPr>
    </w:p>
    <w:p>
      <w:pPr>
        <w:ind w:left="1660" w:hanging="355"/>
        <w:spacing w:after="0"/>
        <w:tabs>
          <w:tab w:leader="none" w:pos="16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225" w:lineRule="exact"/>
        <w:rPr>
          <w:rFonts w:ascii="Arial" w:cs="Arial" w:eastAsia="Arial" w:hAnsi="Arial"/>
          <w:sz w:val="18"/>
          <w:szCs w:val="18"/>
          <w:color w:val="auto"/>
        </w:rPr>
      </w:pPr>
    </w:p>
    <w:p>
      <w:pPr>
        <w:jc w:val="both"/>
        <w:ind w:left="660" w:firstLine="645"/>
        <w:spacing w:after="0" w:line="255" w:lineRule="auto"/>
        <w:tabs>
          <w:tab w:leader="none" w:pos="176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each of the representations and warranties made by the Credit Parties in Article VIII and by each Credit Party in each of the other Credit Documents to which it is a party shall be true and correct in all material respects on and as of the date of the making of such Loan or other extension of credit with the same force and effect as if made on and as of such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 and</w:t>
      </w:r>
    </w:p>
    <w:p>
      <w:pPr>
        <w:spacing w:after="0" w:line="193" w:lineRule="exact"/>
        <w:rPr>
          <w:rFonts w:ascii="Arial" w:cs="Arial" w:eastAsia="Arial" w:hAnsi="Arial"/>
          <w:sz w:val="18"/>
          <w:szCs w:val="18"/>
          <w:color w:val="auto"/>
        </w:rPr>
      </w:pPr>
    </w:p>
    <w:p>
      <w:pPr>
        <w:jc w:val="both"/>
        <w:ind w:left="660" w:firstLine="645"/>
        <w:spacing w:after="0" w:line="259" w:lineRule="auto"/>
        <w:tabs>
          <w:tab w:leader="none" w:pos="180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from and after December 31, 2015 and until the Wynn Massachusetts Project Opening Date, if the Credit Parties have not received Equity Contributions as of such date in an amount equal to or greater than the Equity Contribution Threshold, the aggregate amount of all Revolving Loans outstanding (after giving effect to the requested Revolving Loan) shall not exceed the amount of the Equity Contributions made on or prior to the date such Revolving Loan is made;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provided, that prior to the Wynn Massachusetts Project Opening Date Borrower shall not be required to satisfy the conditions in this Section 7.02(a)</w:t>
      </w:r>
    </w:p>
    <w:p>
      <w:pPr>
        <w:spacing w:after="0" w:line="46" w:lineRule="exact"/>
        <w:rPr>
          <w:sz w:val="20"/>
          <w:szCs w:val="20"/>
          <w:color w:val="auto"/>
        </w:rPr>
      </w:pPr>
    </w:p>
    <w:p>
      <w:pPr>
        <w:ind w:firstLine="8"/>
        <w:spacing w:after="0" w:line="261" w:lineRule="auto"/>
        <w:tabs>
          <w:tab w:leader="none" w:pos="31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connection with any Loan requested by Borrower to be utilized solely to pay interest or fees due and payable or to become due and payable under this Agreement.</w:t>
      </w:r>
    </w:p>
    <w:p>
      <w:pPr>
        <w:spacing w:after="0" w:line="179" w:lineRule="exact"/>
        <w:rPr>
          <w:rFonts w:ascii="Arial" w:cs="Arial" w:eastAsia="Arial" w:hAnsi="Arial"/>
          <w:sz w:val="18"/>
          <w:szCs w:val="18"/>
          <w:color w:val="auto"/>
        </w:rPr>
      </w:pPr>
    </w:p>
    <w:p>
      <w:pPr>
        <w:jc w:val="both"/>
        <w:ind w:firstLine="656"/>
        <w:spacing w:after="0" w:line="258" w:lineRule="auto"/>
        <w:tabs>
          <w:tab w:leader="none" w:pos="1092" w:val="left"/>
        </w:tabs>
        <w:numPr>
          <w:ilvl w:val="1"/>
          <w:numId w:val="122"/>
        </w:numPr>
        <w:rPr>
          <w:rFonts w:ascii="Arial" w:cs="Arial" w:eastAsia="Arial" w:hAnsi="Arial"/>
          <w:sz w:val="18"/>
          <w:szCs w:val="18"/>
          <w:color w:val="auto"/>
        </w:rPr>
      </w:pPr>
      <w:r>
        <w:rPr>
          <w:rFonts w:ascii="Arial" w:cs="Arial" w:eastAsia="Arial" w:hAnsi="Arial"/>
          <w:sz w:val="18"/>
          <w:szCs w:val="18"/>
          <w:b w:val="1"/>
          <w:bCs w:val="1"/>
          <w:color w:val="auto"/>
        </w:rPr>
        <w:t>Notice of Borrowing</w:t>
      </w:r>
      <w:r>
        <w:rPr>
          <w:rFonts w:ascii="Arial" w:cs="Arial" w:eastAsia="Arial" w:hAnsi="Arial"/>
          <w:sz w:val="18"/>
          <w:szCs w:val="18"/>
          <w:color w:val="auto"/>
        </w:rPr>
        <w:t>. Administrative Agent shall have received a Notice of Borrowing and/or Letter of Credit Request, as applicable, duly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and complying with Section 4.05. Each Notice of Borrowing or Letter of Credit Request delivered by Borrower hereunder shall constitute a representation and warranty by Borrower that on and as of the date of such notice and on and as of the relevant borrowing date or date of issuance of a Letter of Credit (both immediately before and after giving effect to such borrowing or issuance and the application of the proceeds thereof) that the applicable conditions in Sections 7.01 or 7.02, as the case may be, have been satisfied.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Credit Party represents and warrants to Administrative Agent, the Collateral Agent and Lenders that, at and as of each Funding Date, in each case immediately before and immediately after giving effect to the transactions to occur on such date (</w:t>
      </w:r>
      <w:r>
        <w:rPr>
          <w:rFonts w:ascii="Arial" w:cs="Arial" w:eastAsia="Arial" w:hAnsi="Arial"/>
          <w:sz w:val="18"/>
          <w:szCs w:val="18"/>
          <w:i w:val="1"/>
          <w:iCs w:val="1"/>
          <w:color w:val="auto"/>
        </w:rPr>
        <w:t>provided</w:t>
      </w:r>
      <w:r>
        <w:rPr>
          <w:rFonts w:ascii="Arial" w:cs="Arial" w:eastAsia="Arial" w:hAnsi="Arial"/>
          <w:sz w:val="18"/>
          <w:szCs w:val="18"/>
          <w:color w:val="auto"/>
        </w:rPr>
        <w:t>, that such representations and warranties made on the Closing Date shall be made giving effect to the Transactions):</w:t>
      </w:r>
    </w:p>
    <w:p>
      <w:pPr>
        <w:spacing w:after="0" w:line="177"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8.01.</w:t>
      </w:r>
      <w:r>
        <w:rPr>
          <w:sz w:val="20"/>
          <w:szCs w:val="20"/>
          <w:color w:val="auto"/>
        </w:rPr>
        <w:tab/>
      </w:r>
      <w:r>
        <w:rPr>
          <w:rFonts w:ascii="Arial" w:cs="Arial" w:eastAsia="Arial" w:hAnsi="Arial"/>
          <w:sz w:val="16"/>
          <w:szCs w:val="16"/>
          <w:b w:val="1"/>
          <w:bCs w:val="1"/>
          <w:color w:val="auto"/>
        </w:rPr>
        <w:t>Corporate Existence; Compliance with Law</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5" w:lineRule="auto"/>
        <w:tabs>
          <w:tab w:leader="none" w:pos="110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Borrower and each Restricted Subsidiary (a) is a corporation, partnership, limited liability company or other 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801" w:right="239" w:bottom="1440" w:gutter="0" w:footer="0" w:header="0"/>
        </w:sectPr>
      </w:pPr>
    </w:p>
    <w:bookmarkStart w:id="178" w:name="page179"/>
    <w:bookmarkEnd w:id="178"/>
    <w:p>
      <w:pPr>
        <w:ind w:right="140" w:firstLine="656"/>
        <w:spacing w:after="0" w:line="312" w:lineRule="auto"/>
        <w:tabs>
          <w:tab w:leader="none" w:pos="103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Neither Borrower nor any Restricted Subsidiary nor any of its Property is in violation of, nor will the continued operation of Borrower’s or such Restricted Subsidiary’s Property as currently conducted violate, any Requirement of Law or is in default with respect to any judgment, writ, injunction, decree or order of any Governmental Authority, where such violations or defaults would reasonably be expected to have a Material Adverse Effect.</w:t>
      </w:r>
    </w:p>
    <w:p>
      <w:pPr>
        <w:spacing w:after="0" w:line="1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8.02. Material Adverse Effect</w:t>
      </w:r>
      <w:r>
        <w:rPr>
          <w:rFonts w:ascii="Arial" w:cs="Arial" w:eastAsia="Arial" w:hAnsi="Arial"/>
          <w:sz w:val="18"/>
          <w:szCs w:val="18"/>
          <w:color w:val="auto"/>
        </w:rPr>
        <w:t>. Since December 31, 2013, there shall not have occurred any event or circumstance that has had or</w:t>
      </w:r>
      <w:r>
        <w:rPr>
          <w:rFonts w:ascii="Arial" w:cs="Arial" w:eastAsia="Arial" w:hAnsi="Arial"/>
          <w:sz w:val="18"/>
          <w:szCs w:val="18"/>
          <w:b w:val="1"/>
          <w:bCs w:val="1"/>
          <w:color w:val="auto"/>
        </w:rPr>
        <w:t xml:space="preserve"> </w:t>
      </w:r>
      <w:r>
        <w:rPr>
          <w:rFonts w:ascii="Arial" w:cs="Arial" w:eastAsia="Arial" w:hAnsi="Arial"/>
          <w:sz w:val="18"/>
          <w:szCs w:val="18"/>
          <w:color w:val="auto"/>
        </w:rPr>
        <w:t>would reasonably be expected to have, either individually or in the aggregate, a Material Adverse Effect.</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8.03. Litigation</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8.03</w:t>
      </w:r>
      <w:r>
        <w:rPr>
          <w:rFonts w:ascii="Arial" w:cs="Arial" w:eastAsia="Arial" w:hAnsi="Arial"/>
          <w:sz w:val="17"/>
          <w:szCs w:val="17"/>
          <w:color w:val="auto"/>
        </w:rPr>
        <w:t>, there is no Proceeding (other than any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qui tam</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to which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8.03 is limited to knowledge of any Responsible Officer of Borrower, and (b) normal overseeing reviews of the Gaming Authorities) pending against, or to the knowledge of any Responsible Officer of Borrower, threatened in writing against, Borrower or any of its Restricted Subsidiaries before any Governmental Authority or private arbitrator that (i) either individually or in the aggregate, would reasonably be expected to have a Material Adverse Effect or (ii) as of the Closing Date only, challenges the validity or enforceability of any of the Credit Documents.</w:t>
      </w:r>
    </w:p>
    <w:p>
      <w:pPr>
        <w:spacing w:after="0" w:line="16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8.04.</w:t>
      </w:r>
      <w:r>
        <w:rPr>
          <w:sz w:val="20"/>
          <w:szCs w:val="20"/>
          <w:color w:val="auto"/>
        </w:rPr>
        <w:tab/>
      </w:r>
      <w:r>
        <w:rPr>
          <w:rFonts w:ascii="Arial" w:cs="Arial" w:eastAsia="Arial" w:hAnsi="Arial"/>
          <w:sz w:val="16"/>
          <w:szCs w:val="16"/>
          <w:b w:val="1"/>
          <w:bCs w:val="1"/>
          <w:color w:val="auto"/>
        </w:rPr>
        <w:t>No Breach; No Default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06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None of the execution, delivery and performance by any Credit Party of any Credit Document to which it is a party nor the consummation of the transactions herein and therein contemplated (including the Transactions) do or will (i) conflict with or result in a breach of, or require any consent (which has not been obtained and is in full force and effect) under (x) any Organizational Document of any Credit Party or (y) subject to Section 13.13,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(i)(y), (i)(z), (ii) or (iii) which would not reasonably be expected to result in a Material Adverse Effect.</w:t>
      </w:r>
    </w:p>
    <w:p>
      <w:pPr>
        <w:spacing w:after="0" w:line="178" w:lineRule="exact"/>
        <w:rPr>
          <w:rFonts w:ascii="Arial" w:cs="Arial" w:eastAsia="Arial" w:hAnsi="Arial"/>
          <w:sz w:val="17"/>
          <w:szCs w:val="17"/>
          <w:color w:val="auto"/>
        </w:rPr>
      </w:pPr>
    </w:p>
    <w:p>
      <w:pPr>
        <w:ind w:left="1040" w:hanging="384"/>
        <w:spacing w:after="0"/>
        <w:tabs>
          <w:tab w:leader="none" w:pos="10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SECTION 8.05. Action</w:t>
      </w:r>
      <w:r>
        <w:rPr>
          <w:rFonts w:ascii="Arial" w:cs="Arial" w:eastAsia="Arial" w:hAnsi="Arial"/>
          <w:sz w:val="16"/>
          <w:szCs w:val="16"/>
          <w:color w:val="auto"/>
        </w:rPr>
        <w:t>. Borrower and each Restricted Subsidiary has all necessary corporate or other organizational power, authority and legal</w:t>
      </w:r>
      <w:r>
        <w:rPr>
          <w:rFonts w:ascii="Arial" w:cs="Arial" w:eastAsia="Arial" w:hAnsi="Arial"/>
          <w:sz w:val="16"/>
          <w:szCs w:val="16"/>
          <w:b w:val="1"/>
          <w:bCs w:val="1"/>
          <w:color w:val="auto"/>
        </w:rPr>
        <w:t xml:space="preserve"> </w:t>
      </w:r>
      <w:r>
        <w:rPr>
          <w:rFonts w:ascii="Arial" w:cs="Arial" w:eastAsia="Arial" w:hAnsi="Arial"/>
          <w:sz w:val="16"/>
          <w:szCs w:val="16"/>
          <w:color w:val="auto"/>
        </w:rPr>
        <w:t>right to execute, deliver and perform its obligations under each Credit Document to which it is a party and to consummate the transactions herein and therein contemplated; the execution, delivery and performance by Borrower and each Restricted Subsidiary of each Credit Document to which it is a party and the consummation of the transactions herein and therein contemplated have been duly authorized by all necessary corporate, partnership or other organizational action on its part; and this Agreement has been duly and validly executed and delivered by each Credit Party and constitutes, and each of the Credit Documents to which it is a party when executed and delivered by such Credit Party will constitute,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16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SECTION 8.06. Approvals</w:t>
      </w:r>
      <w:r>
        <w:rPr>
          <w:rFonts w:ascii="Arial" w:cs="Arial" w:eastAsia="Arial" w:hAnsi="Arial"/>
          <w:sz w:val="16"/>
          <w:szCs w:val="16"/>
          <w:color w:val="auto"/>
        </w:rPr>
        <w:t>. No authorizations, approvals or consents of, and no filings or registrations with, any Governmental Authority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exchange are necessary for the execution, delivery or performance by Borrower or any Restricted Subsidiary of the Credit Documents to which it is a party or for the legality, validity or enforceability hereof or thereof or for the consummation of the Transactions, except for: (i) authorizations, approvals or consents of, and filings or registrations with any Governmental Authority or any securities exchange previously obtained, made, received or issued, (ii) filings and recordings in respect of the Liens created pursuant to the Security Documents, (iii) the delivery of executed copies of this Agreement, the Security Agreement and the Notes executed on the Closing Date to the relevant Gaming Authorities, (iv) the filings referred to in Section 8.14, (v) satisfaction of 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801" w:right="239" w:bottom="1440" w:gutter="0" w:footer="0" w:header="0"/>
        </w:sectPr>
      </w:pPr>
    </w:p>
    <w:bookmarkStart w:id="179" w:name="page180"/>
    <w:bookmarkEnd w:id="179"/>
    <w:p>
      <w:pPr>
        <w:jc w:val="both"/>
        <w:spacing w:after="0" w:line="288" w:lineRule="auto"/>
        <w:rPr>
          <w:sz w:val="20"/>
          <w:szCs w:val="20"/>
          <w:color w:val="auto"/>
        </w:rPr>
      </w:pPr>
      <w:r>
        <w:rPr>
          <w:rFonts w:ascii="Arial" w:cs="Arial" w:eastAsia="Arial" w:hAnsi="Arial"/>
          <w:sz w:val="16"/>
          <w:szCs w:val="16"/>
          <w:color w:val="auto"/>
        </w:rPr>
        <w:t>waiver by the Gaming Authorities of any qualification requirement on the part of the Lenders who do not otherwise qualify, (vi) prior approval of the Transactions by the Gaming Authorities, which approval has been obtained on or prior to the Closing Date, (vii) consents, authorizations and filings that have been obtained or made and are in full force and effect or the failure of which to obtain would not reasonably be expected to have a Material Adverse Effect,</w:t>
      </w:r>
    </w:p>
    <w:p>
      <w:pPr>
        <w:jc w:val="both"/>
        <w:ind w:firstLine="8"/>
        <w:spacing w:after="0" w:line="254" w:lineRule="auto"/>
        <w:tabs>
          <w:tab w:leader="none" w:pos="41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required approvals (including prior approvals) of the requisite Gaming Authorities that any Agent, Lender or participant is required to obtain from, or any required filings with, requisite Gaming Authorities to exercise their respective rights and remedies under this Agreement and the other Credit Documents (as set forth in Section 13.13) and (ix) prior approval from the Nevada Gaming Commission of the pledge of any Pledged Nevada Gaming Interests (as defined in the Security Agreement).</w:t>
      </w:r>
    </w:p>
    <w:p>
      <w:pPr>
        <w:spacing w:after="0" w:line="18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SECTION 8.07. ERISA and Employee Benefit Plan Matters</w:t>
      </w:r>
      <w:r>
        <w:rPr>
          <w:rFonts w:ascii="Arial" w:cs="Arial" w:eastAsia="Arial" w:hAnsi="Arial"/>
          <w:sz w:val="16"/>
          <w:szCs w:val="16"/>
          <w:color w:val="auto"/>
        </w:rPr>
        <w:t>. No ERISA Event has occurred or is reasonably expected to occur that, when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taken together with all other such ERISA Events for which liability is reasonably expected to occur, would reasonably be expected to result in a Material Adverse Effect. Except as set forth on </w:t>
      </w:r>
      <w:r>
        <w:rPr>
          <w:rFonts w:ascii="Arial" w:cs="Arial" w:eastAsia="Arial" w:hAnsi="Arial"/>
          <w:sz w:val="16"/>
          <w:szCs w:val="16"/>
          <w:u w:val="single" w:color="auto"/>
          <w:color w:val="auto"/>
        </w:rPr>
        <w:t>Schedule 8.07</w:t>
      </w:r>
      <w:r>
        <w:rPr>
          <w:rFonts w:ascii="Arial" w:cs="Arial" w:eastAsia="Arial" w:hAnsi="Arial"/>
          <w:sz w:val="16"/>
          <w:szCs w:val="16"/>
          <w:color w:val="auto"/>
        </w:rPr>
        <w:t>, as of the Closing Date, no member of the ERISA Group maintains or contributes to any Pension Plan. Each ERISA Entity is in compliance with the presently applicable provisions of ERISA and the Code with respect to each Employee Benefit Plan (other than to the extent such failure to comply would not reasonably be expected to have a Material Adverse Effect). Except as would not reasonably be expected to result in a Material Adverse Effect, no ERISA Entity has engaged in a transaction that could be subject to Section 4069 or 4212(c) of ERISA.</w:t>
      </w:r>
    </w:p>
    <w:p>
      <w:pPr>
        <w:spacing w:after="0" w:line="1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SECTION 8.08. Taxes</w:t>
      </w:r>
      <w:r>
        <w:rPr>
          <w:rFonts w:ascii="Arial" w:cs="Arial" w:eastAsia="Arial" w:hAnsi="Arial"/>
          <w:sz w:val="16"/>
          <w:szCs w:val="16"/>
          <w:color w:val="auto"/>
        </w:rPr>
        <w:t>. Except as would not, individually or in the aggregate, reasonably be expected to have a Material Adverse Effect, (i) all</w:t>
      </w:r>
      <w:r>
        <w:rPr>
          <w:rFonts w:ascii="Arial" w:cs="Arial" w:eastAsia="Arial" w:hAnsi="Arial"/>
          <w:sz w:val="16"/>
          <w:szCs w:val="16"/>
          <w:b w:val="1"/>
          <w:bCs w:val="1"/>
          <w:color w:val="auto"/>
        </w:rPr>
        <w:t xml:space="preserve"> </w:t>
      </w:r>
      <w:r>
        <w:rPr>
          <w:rFonts w:ascii="Arial" w:cs="Arial" w:eastAsia="Arial" w:hAnsi="Arial"/>
          <w:sz w:val="16"/>
          <w:szCs w:val="16"/>
          <w:color w:val="auto"/>
        </w:rPr>
        <w:t>Tax returns, statements, reports and forms required to be filed with any Governmental Authority by, or with respect to, Borrower and each of its Restricted Subsidiaries have been timely filed (taking into account any applicable extensions) in accordance with all applicable laws; (ii) Borrower and each of its Restricted Subsidiaries has timely paid or made provision for payment of all Taxes shown as due and payable on such returns that have been so filed or that are otherwise due and payable, including in its capacity as a withholding agent (other than Taxes which are being contested in good faith by appropriate proceedings and for which adequate reserves have been provided in accordance with GAAP; and (iii) Borrower and each of its Restricted Subsidiaries has made adequate provision in accordance with GAAP for all Taxes payable by Borrower or such Restricted Subsidiary that are not yet due and payable. Neither Borrower nor any of its Restricted Subsidiaries has received written notice of any proposed or pending Tax assessment, audit or deficiency against Borrower or such Restricted Subsidiary that would in the aggregate reasonably be expected to have a Material Adverse Effect.</w:t>
      </w:r>
    </w:p>
    <w:p>
      <w:pPr>
        <w:spacing w:after="0" w:line="16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8.09. Investment Company Act</w:t>
      </w:r>
      <w:r>
        <w:rPr>
          <w:rFonts w:ascii="Arial" w:cs="Arial" w:eastAsia="Arial" w:hAnsi="Arial"/>
          <w:sz w:val="18"/>
          <w:szCs w:val="18"/>
          <w:color w:val="auto"/>
        </w:rPr>
        <w:t>. Neither Borrower nor any of its Restricted Subsidiaries is an “investment company,” or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an “investment company” required to be regulated under the Investment Company Act of 1940, as amended.</w:t>
      </w:r>
    </w:p>
    <w:p>
      <w:pPr>
        <w:spacing w:after="0" w:line="1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SECTION 8.10. Environmental Matters</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8.10</w:t>
      </w:r>
      <w:r>
        <w:rPr>
          <w:rFonts w:ascii="Arial" w:cs="Arial" w:eastAsia="Arial" w:hAnsi="Arial"/>
          <w:sz w:val="16"/>
          <w:szCs w:val="16"/>
          <w:b w:val="1"/>
          <w:bCs w:val="1"/>
          <w:color w:val="auto"/>
        </w:rPr>
        <w:t xml:space="preserve"> </w:t>
      </w:r>
      <w:r>
        <w:rPr>
          <w:rFonts w:ascii="Arial" w:cs="Arial" w:eastAsia="Arial" w:hAnsi="Arial"/>
          <w:sz w:val="16"/>
          <w:szCs w:val="16"/>
          <w:color w:val="auto"/>
        </w:rPr>
        <w:t>or as would not, individually or in the aggregate, reasonably be</w:t>
      </w:r>
      <w:r>
        <w:rPr>
          <w:rFonts w:ascii="Arial" w:cs="Arial" w:eastAsia="Arial" w:hAnsi="Arial"/>
          <w:sz w:val="16"/>
          <w:szCs w:val="16"/>
          <w:b w:val="1"/>
          <w:bCs w:val="1"/>
          <w:color w:val="auto"/>
        </w:rPr>
        <w:t xml:space="preserve"> </w:t>
      </w:r>
      <w:r>
        <w:rPr>
          <w:rFonts w:ascii="Arial" w:cs="Arial" w:eastAsia="Arial" w:hAnsi="Arial"/>
          <w:sz w:val="16"/>
          <w:szCs w:val="16"/>
          <w:color w:val="auto"/>
        </w:rPr>
        <w:t>expected to result in a Material Adverse Effect: (i) each of Borrower and its Restricted Subsidiaries and each of their businesses, operations and Real Property is in material compliance with, and each has no liability under, any Environmental Law; (ii) each of Borrower and its Restricted Subsidiaries has obtained all Permits material to, and required for, the conduct of their businesses and operations, and the ownership, operation and use of their assets, all as currently conducted, under any Environmental Law; (iii) there has been no Release or threatened Release of Hazardous Material on, at, under or from any real property or facility presently or formerly owned, leased or operated by Borrower or any of its Restricted Subsidiaries that would reasonably be expected to result in liability to Borrower or any of its Restricted Subsidiaries under any Environmental Law; (iv) there is no Environmental Action pending or, to the knowledge of any Responsible Officer of Borrower or any of its Restricted Subsidiaries, threatened, against Borrower or any of its Restricted Subsidiaries or, relating to real property currently or formerly owned, leased or operated by Borrower or any of its Restricted Subsidiaries or relating to the operations of Borrower or its Restricted Subsidiaries; and (v) no circumstances exist that would reasonably be expected to form the basis of an Environmental Action against Borrower or any of its Restricted Subsidiaries, or any of their Real Property, facilities or assets.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801" w:right="239" w:bottom="1440" w:gutter="0" w:footer="0" w:header="0"/>
        </w:sectPr>
      </w:pPr>
    </w:p>
    <w:bookmarkStart w:id="180" w:name="page181"/>
    <w:bookmarkEnd w:id="180"/>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8.11.</w:t>
      </w:r>
      <w:r>
        <w:rPr>
          <w:sz w:val="20"/>
          <w:szCs w:val="20"/>
          <w:color w:val="auto"/>
        </w:rPr>
        <w:tab/>
      </w:r>
      <w:r>
        <w:rPr>
          <w:rFonts w:ascii="Arial" w:cs="Arial" w:eastAsia="Arial" w:hAnsi="Arial"/>
          <w:sz w:val="15"/>
          <w:szCs w:val="15"/>
          <w:b w:val="1"/>
          <w:bCs w:val="1"/>
          <w:color w:val="auto"/>
        </w:rPr>
        <w:t>Use of Proceeds</w:t>
      </w:r>
      <w:r>
        <w:rPr>
          <w:rFonts w:ascii="Arial" w:cs="Arial" w:eastAsia="Arial" w:hAnsi="Arial"/>
          <w:sz w:val="15"/>
          <w:szCs w:val="15"/>
          <w:color w:val="auto"/>
        </w:rPr>
        <w:t>.</w:t>
      </w:r>
    </w:p>
    <w:p>
      <w:pPr>
        <w:spacing w:after="0" w:line="229" w:lineRule="exact"/>
        <w:rPr>
          <w:sz w:val="20"/>
          <w:szCs w:val="20"/>
          <w:color w:val="auto"/>
        </w:rPr>
      </w:pPr>
    </w:p>
    <w:p>
      <w:pPr>
        <w:ind w:left="1040" w:hanging="384"/>
        <w:spacing w:after="0"/>
        <w:tabs>
          <w:tab w:leader="none" w:pos="10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Borrower will use the proceeds of:</w:t>
      </w:r>
    </w:p>
    <w:p>
      <w:pPr>
        <w:spacing w:after="0" w:line="225" w:lineRule="exact"/>
        <w:rPr>
          <w:rFonts w:ascii="Arial" w:cs="Arial" w:eastAsia="Arial" w:hAnsi="Arial"/>
          <w:sz w:val="18"/>
          <w:szCs w:val="18"/>
          <w:color w:val="auto"/>
        </w:rPr>
      </w:pPr>
    </w:p>
    <w:p>
      <w:pPr>
        <w:ind w:left="660" w:firstLine="645"/>
        <w:spacing w:after="0" w:line="342" w:lineRule="auto"/>
        <w:tabs>
          <w:tab w:leader="none" w:pos="170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Term Facility Loans and Revolving Loans made on the Closing Date to finance the Transactions and for general corporate purposes (including Capital Expenditures with respect to the Wynn Massachusetts Project) and for any other purposes not prohibited by this Agreement, and</w:t>
      </w:r>
    </w:p>
    <w:p>
      <w:pPr>
        <w:spacing w:after="0" w:line="123" w:lineRule="exact"/>
        <w:rPr>
          <w:rFonts w:ascii="Arial" w:cs="Arial" w:eastAsia="Arial" w:hAnsi="Arial"/>
          <w:sz w:val="16"/>
          <w:szCs w:val="16"/>
          <w:color w:val="auto"/>
        </w:rPr>
      </w:pPr>
    </w:p>
    <w:p>
      <w:pPr>
        <w:jc w:val="both"/>
        <w:ind w:left="660" w:firstLine="645"/>
        <w:spacing w:after="0" w:line="264" w:lineRule="auto"/>
        <w:tabs>
          <w:tab w:leader="none" w:pos="173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Revolving Loans and Term Loans made after the Closing Date for working capital, capital expenditures, Permitted Acquisitions (and other Acquisitions not prohibited hereunder) and general corporate purposes and for any other purposes not prohibited by this Agreement (including Capital Expenditures with respect to the Wynn Massachusetts Project).</w:t>
      </w:r>
    </w:p>
    <w:p>
      <w:pPr>
        <w:spacing w:after="0" w:line="181" w:lineRule="exact"/>
        <w:rPr>
          <w:rFonts w:ascii="Arial" w:cs="Arial" w:eastAsia="Arial" w:hAnsi="Arial"/>
          <w:sz w:val="18"/>
          <w:szCs w:val="18"/>
          <w:color w:val="auto"/>
        </w:rPr>
      </w:pPr>
    </w:p>
    <w:p>
      <w:pPr>
        <w:jc w:val="both"/>
        <w:ind w:firstLine="656"/>
        <w:spacing w:after="0" w:line="273" w:lineRule="auto"/>
        <w:tabs>
          <w:tab w:leader="none" w:pos="105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Neither Borrower nor any of its Restricted Subsidiaries is engaged principally, or as one of its important activities, in the business of extending credit for the purpose, whether immediate, incidental or ultimate, of buying or carrying Margin Stock. No part of the proceeds of any extension of credit (including any Loans and Letters of Credit) hereunder will be used directly or indirectly and whether immediately, incidentally or ultimately to purchase or carry any Margin Stock or to extend credit to others for such purpose or to refund Indebtedness originally incurred for such purpose or for any other purpose, in each case, that entails a violation of, or is inconsistent with, the provisions of Regulation T, Regulation U or Regulation X. The pledge of any Equity Interests by any Credit Party pursuant to the Security Agreement does not violate such regulations.</w:t>
      </w:r>
    </w:p>
    <w:p>
      <w:pPr>
        <w:spacing w:after="0" w:line="17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8.12.</w:t>
      </w:r>
      <w:r>
        <w:rPr>
          <w:sz w:val="20"/>
          <w:szCs w:val="20"/>
          <w:color w:val="auto"/>
        </w:rPr>
        <w:tab/>
      </w:r>
      <w:r>
        <w:rPr>
          <w:rFonts w:ascii="Arial" w:cs="Arial" w:eastAsia="Arial" w:hAnsi="Arial"/>
          <w:sz w:val="15"/>
          <w:szCs w:val="15"/>
          <w:b w:val="1"/>
          <w:bCs w:val="1"/>
          <w:color w:val="auto"/>
        </w:rPr>
        <w:t>Subsidiaries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64" w:lineRule="auto"/>
        <w:tabs>
          <w:tab w:leader="none" w:pos="105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Schedule 8.12(a)</w:t>
      </w:r>
      <w:r>
        <w:rPr>
          <w:rFonts w:ascii="Arial" w:cs="Arial" w:eastAsia="Arial" w:hAnsi="Arial"/>
          <w:sz w:val="18"/>
          <w:szCs w:val="18"/>
          <w:color w:val="auto"/>
        </w:rPr>
        <w:t xml:space="preserve"> sets forth a true and complete list of the following: (i) all the Subsidiaries of Borrower as of the Closing Date; (ii) the name and jurisdiction of incorporation or organization of each such Subsidiary as of the Closing Date; and (iii) as to each such Subsidiary, the percentage and number of each class of Equity Interests of such Subsidiary owned by Borrower and its Subsidiaries as of the Closing Date.</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Schedule 8.12(b)</w:t>
      </w:r>
      <w:r>
        <w:rPr>
          <w:rFonts w:ascii="Arial" w:cs="Arial" w:eastAsia="Arial" w:hAnsi="Arial"/>
          <w:sz w:val="18"/>
          <w:szCs w:val="18"/>
          <w:color w:val="auto"/>
        </w:rPr>
        <w:t xml:space="preserve"> sets forth a true and complete list of all the Immaterial Subsidiaries as of the Closing Date.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Schedule 8.12(c)</w:t>
      </w:r>
      <w:r>
        <w:rPr>
          <w:rFonts w:ascii="Arial" w:cs="Arial" w:eastAsia="Arial" w:hAnsi="Arial"/>
          <w:sz w:val="18"/>
          <w:szCs w:val="18"/>
          <w:color w:val="auto"/>
        </w:rPr>
        <w:t xml:space="preserve"> sets forth a true and complete list of all the Unrestricted Subsidiaries as of the Closing Date.</w:t>
      </w:r>
    </w:p>
    <w:p>
      <w:pPr>
        <w:spacing w:after="0" w:line="2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8.13. Ownership of Property; Liens</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8.13</w:t>
      </w:r>
      <w:r>
        <w:rPr>
          <w:rFonts w:ascii="Arial" w:cs="Arial" w:eastAsia="Arial" w:hAnsi="Arial"/>
          <w:sz w:val="17"/>
          <w:szCs w:val="17"/>
          <w:color w:val="auto"/>
        </w:rPr>
        <w:t>, (a) Borrower and each of its Restricted Subsidiaries has</w:t>
      </w:r>
      <w:r>
        <w:rPr>
          <w:rFonts w:ascii="Arial" w:cs="Arial" w:eastAsia="Arial" w:hAnsi="Arial"/>
          <w:sz w:val="17"/>
          <w:szCs w:val="17"/>
          <w:b w:val="1"/>
          <w:bCs w:val="1"/>
          <w:color w:val="auto"/>
        </w:rPr>
        <w:t xml:space="preserve"> </w:t>
      </w:r>
      <w:r>
        <w:rPr>
          <w:rFonts w:ascii="Arial" w:cs="Arial" w:eastAsia="Arial" w:hAnsi="Arial"/>
          <w:sz w:val="17"/>
          <w:szCs w:val="17"/>
          <w:color w:val="auto"/>
        </w:rPr>
        <w:t>good and valid title to, or a valid (with respect to Real Property) leasehold interest in (or subleasehold interest in or other right to occupy), all assets and Property (including Mortgaged Real Property) (tangible and intangible) owned or occupied by it except where the failure to have such title would not reasonably be expected to result in a Material Adverse Effect and (b) all such assets and Property are subject to no Liens other than Permitted Liens. All of the assets and Property owned by, leased to or used by Borrower and each of its Restricted Subsidiaries in its respective businesses are in good operating condition and repair in all material respects (ordinary wear and tear and casualty and force majeure excepted) except in each case where the failure of such asset to meet such requirements would not reasonably be expected to result in a Material Adverse Effect.</w:t>
      </w:r>
    </w:p>
    <w:p>
      <w:pPr>
        <w:spacing w:after="0" w:line="17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SECTION 8.14. Security Interest; Absence of Financing Statements; Etc</w:t>
      </w:r>
      <w:r>
        <w:rPr>
          <w:rFonts w:ascii="Arial" w:cs="Arial" w:eastAsia="Arial" w:hAnsi="Arial"/>
          <w:sz w:val="16"/>
          <w:szCs w:val="16"/>
          <w:color w:val="auto"/>
        </w:rPr>
        <w:t>. The Security Documents, once executed and delivered, will create,</w:t>
      </w:r>
      <w:r>
        <w:rPr>
          <w:rFonts w:ascii="Arial" w:cs="Arial" w:eastAsia="Arial" w:hAnsi="Arial"/>
          <w:sz w:val="16"/>
          <w:szCs w:val="16"/>
          <w:b w:val="1"/>
          <w:bCs w:val="1"/>
          <w:color w:val="auto"/>
        </w:rPr>
        <w:t xml:space="preserve"> </w:t>
      </w:r>
      <w:r>
        <w:rPr>
          <w:rFonts w:ascii="Arial" w:cs="Arial" w:eastAsia="Arial" w:hAnsi="Arial"/>
          <w:sz w:val="16"/>
          <w:szCs w:val="16"/>
          <w:color w:val="auto"/>
        </w:rPr>
        <w:t>in favor of Collateral Agent for the benefit of the Secured Parties, as security for the obligations purported to be secured thereby, a valid and enforceable security interest in and Lien upon all of the Collateral (subject to applicable Gaming Laws and any applicable provisions set forth in the Security Documents with respect to limitations or exclusions from the requirement to perfect the security interests and Liens on the collateral described therein), and upon (i) filing, recording, registering or taking such other actions as may be necessary with the appropriate Governmental Authorities (including payment of applicable filing and recording taxes), (ii) the taking of possession or control by Collateral Agent of the Pledged Collateral with respect to which a security interest may be perfected only by possession or control which possession or control shall be given to Collateral Agent to the extent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796" w:right="239" w:bottom="1440" w:gutter="0" w:footer="0" w:header="0"/>
        </w:sectPr>
      </w:pPr>
    </w:p>
    <w:bookmarkStart w:id="181" w:name="page182"/>
    <w:bookmarkEnd w:id="181"/>
    <w:p>
      <w:pPr>
        <w:jc w:val="both"/>
        <w:spacing w:after="0" w:line="257" w:lineRule="auto"/>
        <w:rPr>
          <w:sz w:val="20"/>
          <w:szCs w:val="20"/>
          <w:color w:val="auto"/>
        </w:rPr>
      </w:pPr>
      <w:r>
        <w:rPr>
          <w:rFonts w:ascii="Arial" w:cs="Arial" w:eastAsia="Arial" w:hAnsi="Arial"/>
          <w:sz w:val="18"/>
          <w:szCs w:val="18"/>
          <w:color w:val="auto"/>
        </w:rPr>
        <w:t>possession or control by Collateral Agent is required by the Security Agreement and (iii) delivery of the applicable documents to Collateral Agent in accordance with the provisions of the applicable Security Documents, for the benefit of the Secured Parties, such security interest shall be a perfected security interest in and Lien upon all of the Collateral (subject to any applicable provisions set forth in the Security Documents with respect to limitations or exclusions from the requirement to perfect the security interests and Liens on the collateral described therein) superior to and prior to the rights of all third Persons and subject to no Liens, in each case, other than Permitted Liens.</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8.15. Licenses and Permits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8.15</w:t>
      </w:r>
      <w:r>
        <w:rPr>
          <w:rFonts w:ascii="Arial" w:cs="Arial" w:eastAsia="Arial" w:hAnsi="Arial"/>
          <w:sz w:val="18"/>
          <w:szCs w:val="18"/>
          <w:color w:val="auto"/>
        </w:rPr>
        <w:t>, Borrower and each of its Restricted Subsidiaries hold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permits, licenses, authorizations, consents and approvals necessary for Borrower and its Restricted Subsidiaries to own, lease, and operate their respective Properties and to operate their respective businesses as presently conducted (collectively, the “</w:t>
      </w:r>
      <w:r>
        <w:rPr>
          <w:rFonts w:ascii="Arial" w:cs="Arial" w:eastAsia="Arial" w:hAnsi="Arial"/>
          <w:sz w:val="18"/>
          <w:szCs w:val="18"/>
          <w:b w:val="1"/>
          <w:bCs w:val="1"/>
          <w:color w:val="auto"/>
        </w:rPr>
        <w:t>Permits</w:t>
      </w:r>
      <w:r>
        <w:rPr>
          <w:rFonts w:ascii="Arial" w:cs="Arial" w:eastAsia="Arial" w:hAnsi="Arial"/>
          <w:sz w:val="18"/>
          <w:szCs w:val="18"/>
          <w:color w:val="auto"/>
        </w:rPr>
        <w:t>”), except for Permits the failure of which to obtain would not reasonably be expected to have a Material Adverse Effect.</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8.16. Disclosure</w:t>
      </w:r>
      <w:r>
        <w:rPr>
          <w:rFonts w:ascii="Arial" w:cs="Arial" w:eastAsia="Arial" w:hAnsi="Arial"/>
          <w:sz w:val="17"/>
          <w:szCs w:val="17"/>
          <w:color w:val="auto"/>
        </w:rPr>
        <w:t>. The information, reports, financial statements, exhibits and schedules furnished in writing by or on behalf of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Credit Party to any Secured Party in connection with this Agreement and the other Credit Documents or included or delivered pursuant thereto, but in each case excluding all projections and general industry or economic data, whether prior to or after the date of this Agreement, when taken as a whole and giving effect to all supplements and updates, do not contain any untrue statement of material fact or omit to state a material fact necessary in order to make the statements herein or therein, in light of the circumstances under which they were made, not materially misleading. The projections and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information furnished at any time by any Credit Party to any Secured Party pursuant to this Agreement have been prepared in good faith based on assumptions believed by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and no Credit Party, however, makes any representation as to the ability of any Company to achieve the results set forth in any such projections.</w:t>
      </w:r>
    </w:p>
    <w:p>
      <w:pPr>
        <w:spacing w:after="0" w:line="17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8.17. Solvency</w:t>
      </w:r>
      <w:r>
        <w:rPr>
          <w:rFonts w:ascii="Arial" w:cs="Arial" w:eastAsia="Arial" w:hAnsi="Arial"/>
          <w:sz w:val="18"/>
          <w:szCs w:val="18"/>
          <w:color w:val="auto"/>
        </w:rPr>
        <w:t>. As of each Funding Date (i) with respect to representations made as of the Closing Date, immediately prior to and</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following the consummation of the Transactions and the extensions of credit to occur on the Closing Date and (ii) with respect to representations made as of any other Funding Date, immediately following the extensions of credit to occur on such Funding Date, Borrower (on a consolidated basis with its Restricted Subsidiaries) is and will be Solvent (after giving effect to Section 6.07).</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SECTION 8.18. Intellectual Property</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8.18</w:t>
      </w:r>
      <w:r>
        <w:rPr>
          <w:rFonts w:ascii="Arial" w:cs="Arial" w:eastAsia="Arial" w:hAnsi="Arial"/>
          <w:sz w:val="16"/>
          <w:szCs w:val="16"/>
          <w:color w:val="auto"/>
        </w:rPr>
        <w:t>, Borrower and each of its Restricted Subsidiaries owns or possesses</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licenses or otherwise has the right to use all of the patents, patent applications, trademarks, trademark applications, service marks, service mark applications, trade names, copyrights, trade secrets, know-how and processes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xml:space="preserve">”) (including, as of the Closing Date, all Intellectual Property listed in Schedules 9(a), 9(b) and 9(c) to the Initial Perfection Certificate) that are necessary for the operation of its business as presently conducted except where failure to own or have such right would not reasonably be expected to have a Material Adverse Effect and, as of the Closing Date, all registrations listed in Schedules 9(a), 9(b) and 9(c) to the Initial Perfection Certificate are valid and in full force and effect, except where the invalidity of such registrations would not, individually or in the aggregate, reasonably be expected to have a Material Adverse Effect. Except as set forth on </w:t>
      </w:r>
      <w:r>
        <w:rPr>
          <w:rFonts w:ascii="Arial" w:cs="Arial" w:eastAsia="Arial" w:hAnsi="Arial"/>
          <w:sz w:val="16"/>
          <w:szCs w:val="16"/>
          <w:u w:val="single" w:color="auto"/>
          <w:color w:val="auto"/>
        </w:rPr>
        <w:t>Schedule 8.18</w:t>
      </w:r>
      <w:r>
        <w:rPr>
          <w:rFonts w:ascii="Arial" w:cs="Arial" w:eastAsia="Arial" w:hAnsi="Arial"/>
          <w:sz w:val="16"/>
          <w:szCs w:val="16"/>
          <w:color w:val="auto"/>
        </w:rPr>
        <w:t xml:space="preserve">, as of the Closing Date, no claim is pending or, to the knowledge of any Responsible Officer of Borrower, threatened to the effect that Borrower or any of its Restricted Subsidiaries infringes or conflicts with the asserted rights of any other Person under any material Intellectual Property, except for such claims that would not, individually or in the aggregate, reasonably be expected to have a Material Adverse Effect. Except as set forth on </w:t>
      </w:r>
      <w:r>
        <w:rPr>
          <w:rFonts w:ascii="Arial" w:cs="Arial" w:eastAsia="Arial" w:hAnsi="Arial"/>
          <w:sz w:val="16"/>
          <w:szCs w:val="16"/>
          <w:u w:val="single" w:color="auto"/>
          <w:color w:val="auto"/>
        </w:rPr>
        <w:t>Schedule 8.18</w:t>
      </w:r>
      <w:r>
        <w:rPr>
          <w:rFonts w:ascii="Arial" w:cs="Arial" w:eastAsia="Arial" w:hAnsi="Arial"/>
          <w:sz w:val="16"/>
          <w:szCs w:val="16"/>
          <w:color w:val="auto"/>
        </w:rPr>
        <w:t>, as of the Closing Date, no claim is pending or, to the knowledge of any Responsible Officer of Borrower, threatened to the effect that any such material Intellectual Property owned or licensed by Borrower or any of its Restricted Subsidiaries or which Borrower or any of its Restricted Subsidiaries otherwise has the right to use is invalid or unenforceable, except for such claims that would not, individually or in the aggregate, reasonably be expected to have a Material Adverse Effect.</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8.19. Regulation H</w:t>
      </w:r>
      <w:r>
        <w:rPr>
          <w:rFonts w:ascii="Arial" w:cs="Arial" w:eastAsia="Arial" w:hAnsi="Arial"/>
          <w:sz w:val="18"/>
          <w:szCs w:val="18"/>
          <w:color w:val="auto"/>
        </w:rPr>
        <w:t>. Except for the Real Property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8.19</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as of the Closing Date, no Mortgage</w:t>
      </w:r>
      <w:r>
        <w:rPr>
          <w:rFonts w:ascii="Arial" w:cs="Arial" w:eastAsia="Arial" w:hAnsi="Arial"/>
          <w:sz w:val="18"/>
          <w:szCs w:val="18"/>
          <w:b w:val="1"/>
          <w:bCs w:val="1"/>
          <w:color w:val="auto"/>
        </w:rPr>
        <w:t xml:space="preserve"> </w:t>
      </w:r>
      <w:r>
        <w:rPr>
          <w:rFonts w:ascii="Arial" w:cs="Arial" w:eastAsia="Arial" w:hAnsi="Arial"/>
          <w:sz w:val="18"/>
          <w:szCs w:val="18"/>
          <w:color w:val="auto"/>
        </w:rPr>
        <w:t>encumbers improved real property which is located in an area that has been identified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801" w:right="239" w:bottom="1440" w:gutter="0" w:footer="0" w:header="0"/>
        </w:sectPr>
      </w:pPr>
    </w:p>
    <w:bookmarkStart w:id="182" w:name="page183"/>
    <w:bookmarkEnd w:id="182"/>
    <w:p>
      <w:pPr>
        <w:jc w:val="both"/>
        <w:spacing w:after="0" w:line="277" w:lineRule="auto"/>
        <w:rPr>
          <w:sz w:val="20"/>
          <w:szCs w:val="20"/>
          <w:color w:val="auto"/>
        </w:rPr>
      </w:pPr>
      <w:r>
        <w:rPr>
          <w:rFonts w:ascii="Arial" w:cs="Arial" w:eastAsia="Arial" w:hAnsi="Arial"/>
          <w:sz w:val="18"/>
          <w:szCs w:val="18"/>
          <w:color w:val="auto"/>
        </w:rPr>
        <w:t>by the Secretary of Housing and Urban Development as an area having special flood hazards and in which flood insurance has been made available under the National Flood Insurance Act of 1968.</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8.20. Insurance</w:t>
      </w:r>
      <w:r>
        <w:rPr>
          <w:rFonts w:ascii="Arial" w:cs="Arial" w:eastAsia="Arial" w:hAnsi="Arial"/>
          <w:sz w:val="17"/>
          <w:szCs w:val="17"/>
          <w:color w:val="auto"/>
        </w:rPr>
        <w:t>. Borrower and each of its Restricted Subsidiaries are insured by insurers of recognized financial responsibility</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as of the date such insurance was obtained) against such losses and risks (other than wind and flood damage) and in such amounts as are prudent and customary in the businesses in which it is engaged, except to the extent that such insurance is not available on commercially reasonable terms. Borrower and each of its Restricted Subsidiaries maintain all insurance required by Flood Insurance Laws (but shall not, for the avoidance of doubt, be required to obtain insurance with respect to wind and flood damage unless and to the extent required by such Flood Insurance Laws).</w:t>
      </w:r>
    </w:p>
    <w:p>
      <w:pPr>
        <w:spacing w:after="0" w:line="16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8.21.</w:t>
      </w:r>
      <w:r>
        <w:rPr>
          <w:sz w:val="20"/>
          <w:szCs w:val="20"/>
          <w:color w:val="auto"/>
        </w:rPr>
        <w:tab/>
      </w:r>
      <w:r>
        <w:rPr>
          <w:rFonts w:ascii="Arial" w:cs="Arial" w:eastAsia="Arial" w:hAnsi="Arial"/>
          <w:sz w:val="16"/>
          <w:szCs w:val="16"/>
          <w:b w:val="1"/>
          <w:bCs w:val="1"/>
          <w:color w:val="auto"/>
        </w:rPr>
        <w:t>Real Estate</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109"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Schedule 8.21(a)</w:t>
      </w:r>
      <w:r>
        <w:rPr>
          <w:rFonts w:ascii="Arial" w:cs="Arial" w:eastAsia="Arial" w:hAnsi="Arial"/>
          <w:sz w:val="18"/>
          <w:szCs w:val="18"/>
          <w:color w:val="auto"/>
        </w:rPr>
        <w:t xml:space="preserve"> sets forth a true, complete and correct list of all material Real Property owned and all material Real Property leased by Borrower or any of its Restricted Subsidiaries as of the Closing Date, including a brief description thereof, including, in the case of leases, the street address (to the extent available) and landlord name.</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03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8.21(b)</w:t>
      </w:r>
      <w:r>
        <w:rPr>
          <w:rFonts w:ascii="Arial" w:cs="Arial" w:eastAsia="Arial" w:hAnsi="Arial"/>
          <w:sz w:val="17"/>
          <w:szCs w:val="17"/>
          <w:color w:val="auto"/>
        </w:rPr>
        <w:t>, as of the Closing Date, to the best of knowledge of any Responsible Officer of Borrower no Taking has been commenced or is contemplated with respect to all or any portion of the Real Property or for the relocation of roadways providing access to such Real Property that either individually or in the aggregate would reasonably be expected to have a Material Adverse Effect.</w:t>
      </w:r>
    </w:p>
    <w:p>
      <w:pPr>
        <w:spacing w:after="0" w:line="162"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8.22.</w:t>
      </w:r>
      <w:r>
        <w:rPr>
          <w:sz w:val="20"/>
          <w:szCs w:val="20"/>
          <w:color w:val="auto"/>
        </w:rPr>
        <w:tab/>
      </w:r>
      <w:r>
        <w:rPr>
          <w:rFonts w:ascii="Arial" w:cs="Arial" w:eastAsia="Arial" w:hAnsi="Arial"/>
          <w:sz w:val="17"/>
          <w:szCs w:val="17"/>
          <w:b w:val="1"/>
          <w:bCs w:val="1"/>
          <w:color w:val="auto"/>
        </w:rPr>
        <w:t>Anti-Terrorism Law</w:t>
      </w:r>
      <w:r>
        <w:rPr>
          <w:rFonts w:ascii="Arial" w:cs="Arial" w:eastAsia="Arial" w:hAnsi="Arial"/>
          <w:sz w:val="17"/>
          <w:szCs w:val="17"/>
          <w:color w:val="auto"/>
        </w:rPr>
        <w:t>.</w:t>
      </w:r>
    </w:p>
    <w:p>
      <w:pPr>
        <w:spacing w:after="0" w:line="229" w:lineRule="exact"/>
        <w:rPr>
          <w:sz w:val="20"/>
          <w:szCs w:val="20"/>
          <w:color w:val="auto"/>
        </w:rPr>
      </w:pPr>
    </w:p>
    <w:p>
      <w:pPr>
        <w:jc w:val="both"/>
        <w:ind w:firstLine="656"/>
        <w:spacing w:after="0" w:line="257" w:lineRule="auto"/>
        <w:tabs>
          <w:tab w:leader="none" w:pos="103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Credit Party and, to the knowledge of any Responsible Officer of Borrower, none of its Affiliates, or any broker or other agent of any Credit Party acting in any capacity in connection with the Loans or Letters of Credit, is in violation in any material respect of any Requirement of Law relating to terrorism or money laundering (“</w:t>
      </w:r>
      <w:r>
        <w:rPr>
          <w:rFonts w:ascii="Arial" w:cs="Arial" w:eastAsia="Arial" w:hAnsi="Arial"/>
          <w:sz w:val="18"/>
          <w:szCs w:val="18"/>
          <w:b w:val="1"/>
          <w:bCs w:val="1"/>
          <w:color w:val="auto"/>
        </w:rPr>
        <w:t>Anti-Terrorism Laws</w:t>
      </w:r>
      <w:r>
        <w:rPr>
          <w:rFonts w:ascii="Arial" w:cs="Arial" w:eastAsia="Arial" w:hAnsi="Arial"/>
          <w:sz w:val="18"/>
          <w:szCs w:val="18"/>
          <w:color w:val="auto"/>
        </w:rPr>
        <w:t>”), including Executive Order No. 13224 on Terrorist Financing, effective September 24, 2001 (the “</w:t>
      </w:r>
      <w:r>
        <w:rPr>
          <w:rFonts w:ascii="Arial" w:cs="Arial" w:eastAsia="Arial" w:hAnsi="Arial"/>
          <w:sz w:val="18"/>
          <w:szCs w:val="18"/>
          <w:b w:val="1"/>
          <w:bCs w:val="1"/>
          <w:color w:val="auto"/>
        </w:rPr>
        <w:t>Executive Order</w:t>
      </w:r>
      <w:r>
        <w:rPr>
          <w:rFonts w:ascii="Arial" w:cs="Arial" w:eastAsia="Arial" w:hAnsi="Arial"/>
          <w:sz w:val="18"/>
          <w:szCs w:val="18"/>
          <w:color w:val="auto"/>
        </w:rPr>
        <w:t>”), and the Uniting and Strengthening America by Providing Appropriate Tools Required to Intercept and Obstruct Terrorism Act of 2001, Public Law 107-56 (the “</w:t>
      </w:r>
      <w:r>
        <w:rPr>
          <w:rFonts w:ascii="Arial" w:cs="Arial" w:eastAsia="Arial" w:hAnsi="Arial"/>
          <w:sz w:val="18"/>
          <w:szCs w:val="18"/>
          <w:b w:val="1"/>
          <w:bCs w:val="1"/>
          <w:color w:val="auto"/>
        </w:rPr>
        <w:t>Patriot Act</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20" w:firstLine="656"/>
        <w:spacing w:after="0" w:line="277" w:lineRule="auto"/>
        <w:tabs>
          <w:tab w:leader="none" w:pos="10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Credit Party and, to the knowledge of any Responsible Officer of Borrower, no Affiliate, officer, director, employee or broker or other agent of any Credit Party acting or benefiting in any capacity in connection with the Loans or Letter of Credit is any of the following:</w:t>
      </w:r>
    </w:p>
    <w:p>
      <w:pPr>
        <w:spacing w:after="0" w:line="170" w:lineRule="exact"/>
        <w:rPr>
          <w:rFonts w:ascii="Arial" w:cs="Arial" w:eastAsia="Arial" w:hAnsi="Arial"/>
          <w:sz w:val="18"/>
          <w:szCs w:val="18"/>
          <w:color w:val="auto"/>
        </w:rPr>
      </w:pPr>
    </w:p>
    <w:p>
      <w:pPr>
        <w:ind w:left="1900" w:hanging="352"/>
        <w:spacing w:after="0"/>
        <w:tabs>
          <w:tab w:leader="none" w:pos="19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Person that is listed in the annex to, or is otherwise subject to the provisions of, the Executive Order;</w:t>
      </w:r>
    </w:p>
    <w:p>
      <w:pPr>
        <w:spacing w:after="0" w:line="225" w:lineRule="exact"/>
        <w:rPr>
          <w:rFonts w:ascii="Arial" w:cs="Arial" w:eastAsia="Arial" w:hAnsi="Arial"/>
          <w:sz w:val="18"/>
          <w:szCs w:val="18"/>
          <w:color w:val="auto"/>
        </w:rPr>
      </w:pPr>
    </w:p>
    <w:p>
      <w:pPr>
        <w:ind w:left="660" w:firstLine="888"/>
        <w:spacing w:after="0" w:line="277" w:lineRule="auto"/>
        <w:tabs>
          <w:tab w:leader="none" w:pos="198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Person owned or controlled by, or acting for or on behalf of, any Person that is listed in the annex to, or is otherwise subject to the provisions of, the Executive Order;</w:t>
      </w:r>
    </w:p>
    <w:p>
      <w:pPr>
        <w:spacing w:after="0" w:line="170" w:lineRule="exact"/>
        <w:rPr>
          <w:rFonts w:ascii="Arial" w:cs="Arial" w:eastAsia="Arial" w:hAnsi="Arial"/>
          <w:sz w:val="18"/>
          <w:szCs w:val="18"/>
          <w:color w:val="auto"/>
        </w:rPr>
      </w:pPr>
    </w:p>
    <w:p>
      <w:pPr>
        <w:ind w:left="2000" w:hanging="452"/>
        <w:spacing w:after="0"/>
        <w:tabs>
          <w:tab w:leader="none" w:pos="20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 Person with which any Lender is prohibited from dealing or otherwise engaging in any transaction by any Anti-Terrorism Law;</w:t>
      </w:r>
    </w:p>
    <w:p>
      <w:pPr>
        <w:spacing w:after="0" w:line="248" w:lineRule="exact"/>
        <w:rPr>
          <w:rFonts w:ascii="Arial" w:cs="Arial" w:eastAsia="Arial" w:hAnsi="Arial"/>
          <w:sz w:val="16"/>
          <w:szCs w:val="16"/>
          <w:color w:val="auto"/>
        </w:rPr>
      </w:pPr>
    </w:p>
    <w:p>
      <w:pPr>
        <w:ind w:left="1980" w:hanging="432"/>
        <w:spacing w:after="0"/>
        <w:tabs>
          <w:tab w:leader="none" w:pos="19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Person that commits, threatens or conspires to commit or supports “terrorism” as defined in the Executive Order;</w:t>
      </w:r>
    </w:p>
    <w:p>
      <w:pPr>
        <w:spacing w:after="0" w:line="225" w:lineRule="exact"/>
        <w:rPr>
          <w:rFonts w:ascii="Arial" w:cs="Arial" w:eastAsia="Arial" w:hAnsi="Arial"/>
          <w:sz w:val="18"/>
          <w:szCs w:val="18"/>
          <w:color w:val="auto"/>
        </w:rPr>
      </w:pPr>
    </w:p>
    <w:p>
      <w:pPr>
        <w:jc w:val="both"/>
        <w:ind w:left="660" w:firstLine="888"/>
        <w:spacing w:after="0" w:line="264" w:lineRule="auto"/>
        <w:tabs>
          <w:tab w:leader="none" w:pos="202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Person that is named as a “specially designated national and blocked Person” on the most current list published by the U.S. Treasury Department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at its official website or any replacement website or other replacement official publication of such list, or that is owned 50% or more by any such Persons; or</w:t>
      </w:r>
    </w:p>
    <w:p>
      <w:pPr>
        <w:spacing w:after="0" w:line="181" w:lineRule="exact"/>
        <w:rPr>
          <w:rFonts w:ascii="Arial" w:cs="Arial" w:eastAsia="Arial" w:hAnsi="Arial"/>
          <w:sz w:val="18"/>
          <w:szCs w:val="18"/>
          <w:color w:val="auto"/>
        </w:rPr>
      </w:pPr>
    </w:p>
    <w:p>
      <w:pPr>
        <w:ind w:left="1980" w:hanging="432"/>
        <w:spacing w:after="0"/>
        <w:tabs>
          <w:tab w:leader="none" w:pos="19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Person that is located, organized or resident in a Designated Jurisdiction.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801" w:right="239" w:bottom="1440" w:gutter="0" w:footer="0" w:header="0"/>
        </w:sectPr>
      </w:pPr>
    </w:p>
    <w:bookmarkStart w:id="183" w:name="page184"/>
    <w:bookmarkEnd w:id="183"/>
    <w:p>
      <w:pPr>
        <w:jc w:val="both"/>
        <w:ind w:firstLine="648"/>
        <w:spacing w:after="0" w:line="289" w:lineRule="auto"/>
        <w:rPr>
          <w:sz w:val="20"/>
          <w:szCs w:val="20"/>
          <w:color w:val="auto"/>
        </w:rPr>
      </w:pPr>
      <w:r>
        <w:rPr>
          <w:rFonts w:ascii="Arial" w:cs="Arial" w:eastAsia="Arial" w:hAnsi="Arial"/>
          <w:sz w:val="17"/>
          <w:szCs w:val="17"/>
          <w:b w:val="1"/>
          <w:bCs w:val="1"/>
          <w:color w:val="auto"/>
        </w:rPr>
        <w:t>SECTION 8.23. Anti-Corruption Laws/Bribery</w:t>
      </w:r>
      <w:r>
        <w:rPr>
          <w:rFonts w:ascii="Arial" w:cs="Arial" w:eastAsia="Arial" w:hAnsi="Arial"/>
          <w:sz w:val="17"/>
          <w:szCs w:val="17"/>
          <w:color w:val="auto"/>
        </w:rPr>
        <w:t>. Neither Borrower, nor any of its Subsidiaries nor, to the knowledge of any Responsible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of Borrower, none of its Affiliates, directors, brokers or agents acting in any capacity in connection with the Loans or Letters of Credit, is in violation in any material respect of any Requirement of Law relating to any anti-bribery or anti-corruption laws or regulations in any applicable jurisdiction.</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8.24. Labor Matters</w:t>
      </w:r>
      <w:r>
        <w:rPr>
          <w:rFonts w:ascii="Arial" w:cs="Arial" w:eastAsia="Arial" w:hAnsi="Arial"/>
          <w:sz w:val="18"/>
          <w:szCs w:val="18"/>
          <w:color w:val="auto"/>
        </w:rPr>
        <w:t>. Except as would not reasonably be expected, individually or in the aggregate, to have a Material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Effect, (a) there are no strikes or other labor disputes against Borrower or any of its Restricted Subsidiaries pending or, to the knowledge of Borrower, threatened and (b) the hours worked by and payments made to employees of Borrower or any of its Restricted Subsidiaries have not been in violation of the Fair Labor Standards Act or any other applicable Law dealing with such matters.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Credit Party, for itself and on behalf of its Restricted Subsidiaries, covenants and agrees with Administrative Agent, Collateral Agent and Lenders that until the Obligations have been Paid in Full, (and each Credit Party covenants and agrees that it will cause its Restricted Subsidiaries to observe and perform the covenants herein set forth applicable to any such Restricted Subsidiary):</w:t>
      </w:r>
    </w:p>
    <w:p>
      <w:pPr>
        <w:spacing w:after="0" w:line="177"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5"/>
          <w:szCs w:val="15"/>
          <w:b w:val="1"/>
          <w:bCs w:val="1"/>
          <w:color w:val="auto"/>
        </w:rPr>
        <w:t>Existence; Business Properties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64" w:lineRule="auto"/>
        <w:tabs>
          <w:tab w:leader="none" w:pos="10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Borrower and each of its Restricted Subsidiaries shall do or cause to be done all things necessary to preserve, renew and keep in full force and effect its legal existence, except in a transaction permitted by Section 10.05 or, in the case of any Restricted Subsidiary, where the failure to perform such obligations, individually or in the aggregate, would not reasonably be expected to result in a Material Adverse Effect.</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04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Borrower and each of its Restricted Subsidiaries shall do or cause to be done all things necessary to obtain, preserve, renew, extend and keep in full force and effect the rights, licenses, permits, franchises, authorizations, patents, copyrights, trademarks and trade names material to the conduct of its business except where the failure to do so, individually or in the aggregate, would not reasonably be expected to result in a Material Adverse Effect; comply with all applicable Requirements of Law (including any and all Gaming Laws and any and all zoning, building, ordinance, code or approval or any building permits or any restrictions of record or agreements affecting the Real Property) and decrees and orders of any Governmental Authority, whether now in effect or hereafter enacted, except where the failure to comply, individually or in the aggregate, would not reasonably be expected to result in a Material Adverse Effect and at all times maintain and preserve all of its property and keep such property in good repair, working order and condition (ordinary wear and tear and casualty and force majeure excepted) except where the failure to do so individually or in the aggregate would not reasonably be expected to result in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in this Section 9.01(b) shall prevent (i) sales, conveyances, transfers or other dispositions of assets, consolidations or mergers by or involving any Company or any other transaction in accordance with Section 10.05; (ii) the withdrawal by any Company of its qualification as a foreign corporation in any jurisdiction where such withdrawal, individually or in the aggregate, would not reasonably be expected to result in a Material Adverse Effect; or (iii) the abandonment by any Company of any rights, permits, authorizations, copyrights, trademarks, trade names, franchises, licenses and patents that such Company reasonably determines are not useful to its business.</w:t>
      </w:r>
    </w:p>
    <w:p>
      <w:pPr>
        <w:spacing w:after="0" w:line="17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9.02.</w:t>
      </w:r>
      <w:r>
        <w:rPr>
          <w:sz w:val="20"/>
          <w:szCs w:val="20"/>
          <w:color w:val="auto"/>
        </w:rPr>
        <w:tab/>
      </w:r>
      <w:r>
        <w:rPr>
          <w:rFonts w:ascii="Arial" w:cs="Arial" w:eastAsia="Arial" w:hAnsi="Arial"/>
          <w:sz w:val="16"/>
          <w:szCs w:val="16"/>
          <w:b w:val="1"/>
          <w:bCs w:val="1"/>
          <w:color w:val="auto"/>
        </w:rPr>
        <w:t>Insurance</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14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Borrower and its Restricted Subsidiaries shall maintain with insurers of recognized financial responsibility (determined at the time such insurance is obtained) not Affiliates of Borrower insurance on its Property in at least such amounts and against at least such risks as are customarily insured against by companies engaged in the same or a similar business and operating similar properties in localities where Borrower or the applicable Restricted Subsidiary operates; and furnish to Administrative Agent, upon written request, information as to the insurance carried;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and its Restricted Subsidiaries shall not be required to maintain insurance with respect to wind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797" w:right="239" w:bottom="1440" w:gutter="0" w:footer="0" w:header="0"/>
        </w:sectPr>
      </w:pPr>
    </w:p>
    <w:bookmarkStart w:id="184" w:name="page185"/>
    <w:bookmarkEnd w:id="184"/>
    <w:p>
      <w:pPr>
        <w:jc w:val="both"/>
        <w:spacing w:after="0" w:line="257" w:lineRule="auto"/>
        <w:rPr>
          <w:sz w:val="20"/>
          <w:szCs w:val="20"/>
          <w:color w:val="auto"/>
        </w:rPr>
      </w:pPr>
      <w:r>
        <w:rPr>
          <w:rFonts w:ascii="Arial" w:cs="Arial" w:eastAsia="Arial" w:hAnsi="Arial"/>
          <w:sz w:val="18"/>
          <w:szCs w:val="18"/>
          <w:color w:val="auto"/>
        </w:rPr>
        <w:t>and flood damage on any property for any insurance coverage period unless, and to the extent, such insurance is required by an applicable Requirement of Law. The Collateral Agent shall be named as an additional insured on all third-party liability insurance policies of Borrower and each of its Restricted Subsidiaries (other than directors and officers liability insurance, insurance policies relating to employment practices liability, crime or fiduciary duties, kidnap and ransom insurance policies, and insurance as to fraud, errors and omissions), and Collateral Agent shall be named as mortgagee/loss payee on all property insurance policies of each such Person.</w:t>
      </w:r>
    </w:p>
    <w:p>
      <w:pPr>
        <w:spacing w:after="0" w:line="188" w:lineRule="exact"/>
        <w:rPr>
          <w:sz w:val="20"/>
          <w:szCs w:val="20"/>
          <w:color w:val="auto"/>
        </w:rPr>
      </w:pPr>
    </w:p>
    <w:p>
      <w:pPr>
        <w:jc w:val="both"/>
        <w:ind w:firstLine="656"/>
        <w:spacing w:after="0" w:line="293" w:lineRule="auto"/>
        <w:tabs>
          <w:tab w:leader="none" w:pos="103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any portion of any Mortgaged Real Property is at any time is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Borrower shall, or shall cause the applicable Credit Party to (i) to the extent required pursuant to Flood Insurance Laws, maintain, or cause to be maintained, with a financially sound and reputable insurer (determined at the time such insurance is obtained), flood insurance in an amount and otherwise sufficient to comply with all applicable rules and regulations promulgated pursuant to such Flood Insurance Laws and (ii) deliver to Administrative Agent evidence of such compliance in form and substance reasonably acceptable to Administrative Agent.</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9.03. Taxes</w:t>
      </w:r>
      <w:r>
        <w:rPr>
          <w:rFonts w:ascii="Arial" w:cs="Arial" w:eastAsia="Arial" w:hAnsi="Arial"/>
          <w:sz w:val="18"/>
          <w:szCs w:val="18"/>
          <w:color w:val="auto"/>
        </w:rPr>
        <w:t>. Borrower and each of its Restricted Subsidiaries shall timely file all Tax returns, statements, reports and forms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filed by it and pay and discharge before the same shall become delinquent all Taxes imposed upon it or upon its income or profits or in respect of its property, before the same shall become delinquent; provided, however, that (a) such payment and discharge shall not be required with respect to any such Taxes so long as the validity or amount thereof shall be contested in good faith by appropriate proceedings and Borrower and each of its Subsidiaries shall have set aside on its books adequate reserves with respect thereto in accordance with GAAP or (b) such filing or payment and discharge shall not be required in the event the failure to file or make payment and discharge would not reasonably be expected, individually or in the aggregate, to result in a Material Adverse Effect.</w:t>
      </w:r>
    </w:p>
    <w:p>
      <w:pPr>
        <w:spacing w:after="0" w:line="189"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b w:val="1"/>
          <w:bCs w:val="1"/>
          <w:color w:val="auto"/>
        </w:rPr>
        <w:t>SECTION 9.04.</w:t>
      </w:r>
      <w:r>
        <w:rPr>
          <w:sz w:val="20"/>
          <w:szCs w:val="20"/>
          <w:color w:val="auto"/>
        </w:rPr>
        <w:tab/>
      </w:r>
      <w:r>
        <w:rPr>
          <w:rFonts w:ascii="Arial" w:cs="Arial" w:eastAsia="Arial" w:hAnsi="Arial"/>
          <w:sz w:val="17"/>
          <w:szCs w:val="17"/>
          <w:b w:val="1"/>
          <w:bCs w:val="1"/>
          <w:color w:val="auto"/>
        </w:rPr>
        <w:t>Financial Statements, Etc</w:t>
      </w:r>
      <w:r>
        <w:rPr>
          <w:rFonts w:ascii="Arial" w:cs="Arial" w:eastAsia="Arial" w:hAnsi="Arial"/>
          <w:sz w:val="17"/>
          <w:szCs w:val="17"/>
          <w:color w:val="auto"/>
        </w:rPr>
        <w:t>. Borrower shall deliver to Administrative Agent for distribution by Administrative Agent to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Lenders (unless a Lender expressly declines in writing to accept):</w:t>
      </w:r>
    </w:p>
    <w:p>
      <w:pPr>
        <w:spacing w:after="0" w:line="207" w:lineRule="exact"/>
        <w:rPr>
          <w:sz w:val="20"/>
          <w:szCs w:val="20"/>
          <w:color w:val="auto"/>
        </w:rPr>
      </w:pPr>
    </w:p>
    <w:p>
      <w:pPr>
        <w:jc w:val="both"/>
        <w:ind w:firstLine="656"/>
        <w:spacing w:after="0" w:line="289" w:lineRule="auto"/>
        <w:tabs>
          <w:tab w:leader="none" w:pos="1055" w:val="left"/>
        </w:tabs>
        <w:numPr>
          <w:ilvl w:val="0"/>
          <w:numId w:val="134"/>
        </w:numPr>
        <w:rPr>
          <w:rFonts w:ascii="Arial" w:cs="Arial" w:eastAsia="Arial" w:hAnsi="Arial"/>
          <w:sz w:val="16"/>
          <w:szCs w:val="16"/>
          <w:color w:val="auto"/>
        </w:rPr>
      </w:pPr>
      <w:r>
        <w:rPr>
          <w:rFonts w:ascii="Arial" w:cs="Arial" w:eastAsia="Arial" w:hAnsi="Arial"/>
          <w:sz w:val="16"/>
          <w:szCs w:val="16"/>
          <w:b w:val="1"/>
          <w:bCs w:val="1"/>
          <w:color w:val="auto"/>
        </w:rPr>
        <w:t>Quarterly Financials</w:t>
      </w:r>
      <w:r>
        <w:rPr>
          <w:rFonts w:ascii="Arial" w:cs="Arial" w:eastAsia="Arial" w:hAnsi="Arial"/>
          <w:sz w:val="16"/>
          <w:szCs w:val="16"/>
          <w:color w:val="auto"/>
        </w:rPr>
        <w:t>. As soon as available and in any event within 45 days (or, in the case of each fiscal quarter ending prior to the first full</w:t>
      </w:r>
      <w:r>
        <w:rPr>
          <w:rFonts w:ascii="Arial" w:cs="Arial" w:eastAsia="Arial" w:hAnsi="Arial"/>
          <w:sz w:val="16"/>
          <w:szCs w:val="16"/>
          <w:b w:val="1"/>
          <w:bCs w:val="1"/>
          <w:color w:val="auto"/>
        </w:rPr>
        <w:t xml:space="preserve"> </w:t>
      </w:r>
      <w:r>
        <w:rPr>
          <w:rFonts w:ascii="Arial" w:cs="Arial" w:eastAsia="Arial" w:hAnsi="Arial"/>
          <w:sz w:val="16"/>
          <w:szCs w:val="16"/>
          <w:color w:val="auto"/>
        </w:rPr>
        <w:t>fiscal quarter following the fiscal quarter in which the earlier of the Wynn Las Vegas Reorganization or the Wynn Massachusetts Project Opening Date occurs, within 75 days following the end of such fiscal quarter) after the end of each of the first three quarterly fiscal periods of each fiscal year beginning with the fiscal quarter ending March 30, 2015, consolidated statements of operations, cash flows and stockholders’ equity of Consolidated Companies for such period and for the period from the beginning of the respective fiscal year to the end of such period, and the related consolidated balance sheet of Consolidated Companies as at the end of such period, setting forth in each case in comparative form the corresponding consolidated statements of operations, cash flows and stockholders’ equity for the corresponding period in the preceding fiscal year to the extent such financial statements are available, accompanied by a certificate of a Responsible Officer of Borrower, which certificate shall state that said consolidated financial statements fairly present in all material respects the consolidated financial condition, results of operations and cash flows of Consolidated Companies in accordance with GAAP, consistently applied, as at the end of, and for, such period (subject to normal year-end audit adjustments and except for the absence of footnotes);</w:t>
      </w:r>
    </w:p>
    <w:p>
      <w:pPr>
        <w:spacing w:after="0" w:line="161" w:lineRule="exact"/>
        <w:rPr>
          <w:rFonts w:ascii="Arial" w:cs="Arial" w:eastAsia="Arial" w:hAnsi="Arial"/>
          <w:sz w:val="16"/>
          <w:szCs w:val="16"/>
          <w:color w:val="auto"/>
        </w:rPr>
      </w:pPr>
    </w:p>
    <w:p>
      <w:pPr>
        <w:jc w:val="both"/>
        <w:ind w:firstLine="656"/>
        <w:spacing w:after="0" w:line="271" w:lineRule="auto"/>
        <w:tabs>
          <w:tab w:leader="none" w:pos="1038" w:val="left"/>
        </w:tabs>
        <w:numPr>
          <w:ilvl w:val="0"/>
          <w:numId w:val="134"/>
        </w:numPr>
        <w:rPr>
          <w:rFonts w:ascii="Arial" w:cs="Arial" w:eastAsia="Arial" w:hAnsi="Arial"/>
          <w:sz w:val="17"/>
          <w:szCs w:val="17"/>
          <w:color w:val="auto"/>
        </w:rPr>
      </w:pPr>
      <w:r>
        <w:rPr>
          <w:rFonts w:ascii="Arial" w:cs="Arial" w:eastAsia="Arial" w:hAnsi="Arial"/>
          <w:sz w:val="17"/>
          <w:szCs w:val="17"/>
          <w:b w:val="1"/>
          <w:bCs w:val="1"/>
          <w:color w:val="auto"/>
        </w:rPr>
        <w:t>Annual Financials</w:t>
      </w:r>
      <w:r>
        <w:rPr>
          <w:rFonts w:ascii="Arial" w:cs="Arial" w:eastAsia="Arial" w:hAnsi="Arial"/>
          <w:sz w:val="17"/>
          <w:szCs w:val="17"/>
          <w:color w:val="auto"/>
        </w:rPr>
        <w:t>. As soon as available and in any event within 90 days after the end of each fiscal year beginning with the fiscal year ending</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2014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respect of any fiscal year ending prior to the earlier of the Wynn Las Vegas Reorganization or the Wynn Massachusetts Project Opening Date, such information shall be delivered as soon as available and in any event within 105 days after the end of such fiscal year), consolidated statements of operations, cash flows and stockholders’ equity of Consolidated Companies for such year and the related consolidated balance sheet of Consolidated Companies as at the end of such year, setting forth in each case in comparative form the corresponding information as of the end of and for the preceding fiscal year to the extent such financial statements are available, and, in the case of such consolidated financial statements, accompanied by an opinion, without a going concern or similar qualification or exception as to scope (other than any going concern or similar qualification or exception related to the maturity or refinancing of Indebtedness under the Credit Documents or Credit Agreement Refinancing Indebtedness or prospective compliance with the financial maintenance covenants), thereon of Ernst &amp;</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801" w:right="239" w:bottom="1440" w:gutter="0" w:footer="0" w:header="0"/>
        </w:sectPr>
      </w:pPr>
    </w:p>
    <w:bookmarkStart w:id="185" w:name="page186"/>
    <w:bookmarkEnd w:id="185"/>
    <w:p>
      <w:pPr>
        <w:jc w:val="both"/>
        <w:spacing w:after="0" w:line="264" w:lineRule="auto"/>
        <w:rPr>
          <w:sz w:val="20"/>
          <w:szCs w:val="20"/>
          <w:color w:val="auto"/>
        </w:rPr>
      </w:pPr>
      <w:r>
        <w:rPr>
          <w:rFonts w:ascii="Arial" w:cs="Arial" w:eastAsia="Arial" w:hAnsi="Arial"/>
          <w:sz w:val="18"/>
          <w:szCs w:val="18"/>
          <w:color w:val="auto"/>
        </w:rPr>
        <w:t>Young LLP or other independent certified public accountants of recognized national standing which opinion shall state that said consolidated financial statements fairly present in all material respects the consolidated financial condition, results of operations and cash flows of Consolidated Companies as at the end of, and for, such fiscal year in conformity with GAAP, consistently applied (except as noted therein);</w:t>
      </w:r>
    </w:p>
    <w:p>
      <w:pPr>
        <w:spacing w:after="0" w:line="177" w:lineRule="exact"/>
        <w:rPr>
          <w:sz w:val="20"/>
          <w:szCs w:val="20"/>
          <w:color w:val="auto"/>
        </w:rPr>
      </w:pPr>
    </w:p>
    <w:p>
      <w:pPr>
        <w:jc w:val="both"/>
        <w:ind w:firstLine="656"/>
        <w:spacing w:after="0" w:line="292" w:lineRule="auto"/>
        <w:tabs>
          <w:tab w:leader="none" w:pos="1095"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Compliance Certificate</w:t>
      </w:r>
      <w:r>
        <w:rPr>
          <w:rFonts w:ascii="Arial" w:cs="Arial" w:eastAsia="Arial" w:hAnsi="Arial"/>
          <w:sz w:val="16"/>
          <w:szCs w:val="16"/>
          <w:color w:val="auto"/>
        </w:rPr>
        <w:t>. At the time Borrower furnishes each set of financial statements pursuant to Section 9.04(a) or Section 9.04(b),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certificate of a Responsible Officer of Borrower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(I) to the effect that no Default has occurred and is continuing (or, if any Default has occurred and is continuing, describing the same in reasonable detail and describing the action that the Companies have taken and propose to take with respect thereto) and (II) from and after the Initial Test Date, setting forth in reasonable detail the computations necessary to determine whether Borrower and its Restricted Subsidiaries are in compliance with Section 10.08 as of the end of the respective fiscal quarter or fiscal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certificate demonstrates an Event of Default with respect to the financial maintenance covenants set forth in Section 10.08, Borrower may deliver, prior to or together with such certificate, a notice of intent to cure (a “</w:t>
      </w:r>
      <w:r>
        <w:rPr>
          <w:rFonts w:ascii="Arial" w:cs="Arial" w:eastAsia="Arial" w:hAnsi="Arial"/>
          <w:sz w:val="16"/>
          <w:szCs w:val="16"/>
          <w:b w:val="1"/>
          <w:bCs w:val="1"/>
          <w:color w:val="auto"/>
        </w:rPr>
        <w:t>Notice of Intent to Cure</w:t>
      </w:r>
      <w:r>
        <w:rPr>
          <w:rFonts w:ascii="Arial" w:cs="Arial" w:eastAsia="Arial" w:hAnsi="Arial"/>
          <w:sz w:val="16"/>
          <w:szCs w:val="16"/>
          <w:color w:val="auto"/>
        </w:rPr>
        <w:t>”) pursuant to Section 11.03 to the extent permitted thereunder;</w:t>
      </w:r>
    </w:p>
    <w:p>
      <w:pPr>
        <w:spacing w:after="0" w:line="161" w:lineRule="exact"/>
        <w:rPr>
          <w:rFonts w:ascii="Arial" w:cs="Arial" w:eastAsia="Arial" w:hAnsi="Arial"/>
          <w:sz w:val="16"/>
          <w:szCs w:val="16"/>
          <w:color w:val="auto"/>
        </w:rPr>
      </w:pPr>
    </w:p>
    <w:p>
      <w:pPr>
        <w:jc w:val="both"/>
        <w:ind w:firstLine="656"/>
        <w:spacing w:after="0" w:line="266" w:lineRule="auto"/>
        <w:tabs>
          <w:tab w:leader="none" w:pos="1092"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Notice of Default</w:t>
      </w:r>
      <w:r>
        <w:rPr>
          <w:rFonts w:ascii="Arial" w:cs="Arial" w:eastAsia="Arial" w:hAnsi="Arial"/>
          <w:sz w:val="18"/>
          <w:szCs w:val="18"/>
          <w:color w:val="auto"/>
        </w:rPr>
        <w:t>. Promptly after any Responsible Officer of any Company knows that any Default has occurred, a notice of such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or violation describing the same in reasonable detail and a description of the action that the Companies have taken and propose to take with respect thereto;</w:t>
      </w:r>
    </w:p>
    <w:p>
      <w:pPr>
        <w:spacing w:after="0" w:line="176" w:lineRule="exact"/>
        <w:rPr>
          <w:rFonts w:ascii="Arial" w:cs="Arial" w:eastAsia="Arial" w:hAnsi="Arial"/>
          <w:sz w:val="18"/>
          <w:szCs w:val="18"/>
          <w:color w:val="auto"/>
        </w:rPr>
      </w:pPr>
    </w:p>
    <w:p>
      <w:pPr>
        <w:ind w:right="20" w:firstLine="656"/>
        <w:spacing w:after="0" w:line="313" w:lineRule="auto"/>
        <w:tabs>
          <w:tab w:leader="none" w:pos="1095" w:val="left"/>
        </w:tabs>
        <w:numPr>
          <w:ilvl w:val="0"/>
          <w:numId w:val="135"/>
        </w:numPr>
        <w:rPr>
          <w:rFonts w:ascii="Arial" w:cs="Arial" w:eastAsia="Arial" w:hAnsi="Arial"/>
          <w:sz w:val="17"/>
          <w:szCs w:val="17"/>
          <w:color w:val="auto"/>
        </w:rPr>
      </w:pPr>
      <w:r>
        <w:rPr>
          <w:rFonts w:ascii="Arial" w:cs="Arial" w:eastAsia="Arial" w:hAnsi="Arial"/>
          <w:sz w:val="17"/>
          <w:szCs w:val="17"/>
          <w:b w:val="1"/>
          <w:bCs w:val="1"/>
          <w:color w:val="auto"/>
        </w:rPr>
        <w:t>Environmental Matters</w:t>
      </w:r>
      <w:r>
        <w:rPr>
          <w:rFonts w:ascii="Arial" w:cs="Arial" w:eastAsia="Arial" w:hAnsi="Arial"/>
          <w:sz w:val="17"/>
          <w:szCs w:val="17"/>
          <w:color w:val="auto"/>
        </w:rPr>
        <w:t>. Written notice of any claim, release of Hazardous Material, condition, circumstance, occurrence or event arising</w:t>
      </w:r>
      <w:r>
        <w:rPr>
          <w:rFonts w:ascii="Arial" w:cs="Arial" w:eastAsia="Arial" w:hAnsi="Arial"/>
          <w:sz w:val="17"/>
          <w:szCs w:val="17"/>
          <w:b w:val="1"/>
          <w:bCs w:val="1"/>
          <w:color w:val="auto"/>
        </w:rPr>
        <w:t xml:space="preserve"> </w:t>
      </w:r>
      <w:r>
        <w:rPr>
          <w:rFonts w:ascii="Arial" w:cs="Arial" w:eastAsia="Arial" w:hAnsi="Arial"/>
          <w:sz w:val="17"/>
          <w:szCs w:val="17"/>
          <w:color w:val="auto"/>
        </w:rPr>
        <w:t>under Environmental Law which would reasonably be expected to have, individually or in the aggregate, a Material Adverse Effect;</w:t>
      </w:r>
    </w:p>
    <w:p>
      <w:pPr>
        <w:spacing w:after="0" w:line="138" w:lineRule="exact"/>
        <w:rPr>
          <w:rFonts w:ascii="Arial" w:cs="Arial" w:eastAsia="Arial" w:hAnsi="Arial"/>
          <w:sz w:val="17"/>
          <w:szCs w:val="17"/>
          <w:color w:val="auto"/>
        </w:rPr>
      </w:pPr>
    </w:p>
    <w:p>
      <w:pPr>
        <w:jc w:val="both"/>
        <w:ind w:firstLine="656"/>
        <w:spacing w:after="0" w:line="290" w:lineRule="auto"/>
        <w:tabs>
          <w:tab w:leader="none" w:pos="1035"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Annual Budgets</w:t>
      </w:r>
      <w:r>
        <w:rPr>
          <w:rFonts w:ascii="Arial" w:cs="Arial" w:eastAsia="Arial" w:hAnsi="Arial"/>
          <w:sz w:val="16"/>
          <w:szCs w:val="16"/>
          <w:color w:val="auto"/>
        </w:rPr>
        <w:t>. Beginning with the fiscal year of Borrower commencing on January 1, 2015, as soon as practicable and in any event within</w:t>
      </w:r>
      <w:r>
        <w:rPr>
          <w:rFonts w:ascii="Arial" w:cs="Arial" w:eastAsia="Arial" w:hAnsi="Arial"/>
          <w:sz w:val="16"/>
          <w:szCs w:val="16"/>
          <w:b w:val="1"/>
          <w:bCs w:val="1"/>
          <w:color w:val="auto"/>
        </w:rPr>
        <w:t xml:space="preserve"> </w:t>
      </w:r>
      <w:r>
        <w:rPr>
          <w:rFonts w:ascii="Arial" w:cs="Arial" w:eastAsia="Arial" w:hAnsi="Arial"/>
          <w:sz w:val="16"/>
          <w:szCs w:val="16"/>
          <w:color w:val="auto"/>
        </w:rPr>
        <w:t>10 days after the approval thereof by the Board of Directors of Borrower (but not later than 90 days (or, if prior to the earlier of the Wynn Las Vegas Reorganization and the Wynn Massachusetts Project Opening Date, 105 days) after the beginning of each fiscal year of Borrower), a consolidated plan and financial forecast for such fiscal year, including a forecasted consolidated balance sheet and forecasted consolidated statements of income and cash flows of Consolidated Companies for such fiscal year and for each quarter of such fiscal year, together with an Officer’s Certificate containing an explanation of the assumptions on which such forecasts are based and stating that such plan and projections have been prepared using assumptions believed in good faith by management of Borrower to be reasonable at the time made (it being recognized by the Lenders that such plan and projections are not to be viewed as fact and that actual results during the period or periods covered by such plan and projections may differ from the forecasted results set forth therein by a material amount and no Company makes any representation as to the ability of any Company to achieve the results set forth in any such plan or projections);</w:t>
      </w:r>
    </w:p>
    <w:p>
      <w:pPr>
        <w:spacing w:after="0" w:line="159" w:lineRule="exact"/>
        <w:rPr>
          <w:rFonts w:ascii="Arial" w:cs="Arial" w:eastAsia="Arial" w:hAnsi="Arial"/>
          <w:sz w:val="16"/>
          <w:szCs w:val="16"/>
          <w:color w:val="auto"/>
        </w:rPr>
      </w:pPr>
    </w:p>
    <w:p>
      <w:pPr>
        <w:jc w:val="both"/>
        <w:ind w:firstLine="656"/>
        <w:spacing w:after="0" w:line="258" w:lineRule="auto"/>
        <w:tabs>
          <w:tab w:leader="none" w:pos="1146"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Auditors’ Reports</w:t>
      </w:r>
      <w:r>
        <w:rPr>
          <w:rFonts w:ascii="Arial" w:cs="Arial" w:eastAsia="Arial" w:hAnsi="Arial"/>
          <w:sz w:val="18"/>
          <w:szCs w:val="18"/>
          <w:color w:val="auto"/>
        </w:rPr>
        <w:t>. Promptly upon receipt thereof, copies of all annual, interim or special reports issued to Borrower or any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Subsidiary by independent certified public accountants in connection with each annual, interim or special audit of Borrower’s or such Restricted Subsidiary’s books made by such accountants, including any management letter commenting on Borrower’s or such Restricted Subsidiary’s internal controls issued by such accountants to management in connection with their annual audit;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reports shall only be made available to Administrative Agent and to those Lenders who request such reports through Administrative Agent;</w:t>
      </w:r>
    </w:p>
    <w:p>
      <w:pPr>
        <w:spacing w:after="0" w:line="183" w:lineRule="exact"/>
        <w:rPr>
          <w:rFonts w:ascii="Arial" w:cs="Arial" w:eastAsia="Arial" w:hAnsi="Arial"/>
          <w:sz w:val="18"/>
          <w:szCs w:val="18"/>
          <w:b w:val="1"/>
          <w:bCs w:val="1"/>
          <w:color w:val="auto"/>
        </w:rPr>
      </w:pPr>
    </w:p>
    <w:p>
      <w:pPr>
        <w:ind w:left="1060" w:hanging="404"/>
        <w:spacing w:after="0"/>
        <w:tabs>
          <w:tab w:leader="none" w:pos="10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Casualty and Damage to Collateral; Perfection Certificate Updates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660" w:hanging="355"/>
        <w:spacing w:after="0"/>
        <w:tabs>
          <w:tab w:leader="none" w:pos="1660" w:val="left"/>
        </w:tabs>
        <w:numPr>
          <w:ilvl w:val="1"/>
          <w:numId w:val="135"/>
        </w:numPr>
        <w:rPr>
          <w:rFonts w:ascii="Arial" w:cs="Arial" w:eastAsia="Arial" w:hAnsi="Arial"/>
          <w:sz w:val="18"/>
          <w:szCs w:val="18"/>
          <w:b w:val="1"/>
          <w:bCs w:val="1"/>
          <w:color w:val="auto"/>
        </w:rPr>
      </w:pPr>
      <w:r>
        <w:rPr>
          <w:rFonts w:ascii="Arial" w:cs="Arial" w:eastAsia="Arial" w:hAnsi="Arial"/>
          <w:sz w:val="18"/>
          <w:szCs w:val="18"/>
          <w:color w:val="auto"/>
        </w:rPr>
        <w:t>Prompt written notice of any Casualty Event or other insured damage to any material portion of the Collateral; and</w:t>
      </w:r>
    </w:p>
    <w:p>
      <w:pPr>
        <w:spacing w:after="0" w:line="225" w:lineRule="exact"/>
        <w:rPr>
          <w:rFonts w:ascii="Arial" w:cs="Arial" w:eastAsia="Arial" w:hAnsi="Arial"/>
          <w:sz w:val="18"/>
          <w:szCs w:val="18"/>
          <w:b w:val="1"/>
          <w:bCs w:val="1"/>
          <w:color w:val="auto"/>
        </w:rPr>
      </w:pPr>
    </w:p>
    <w:p>
      <w:pPr>
        <w:jc w:val="both"/>
        <w:ind w:left="660" w:firstLine="645"/>
        <w:spacing w:after="0" w:line="312" w:lineRule="auto"/>
        <w:tabs>
          <w:tab w:leader="none" w:pos="1714" w:val="left"/>
        </w:tabs>
        <w:numPr>
          <w:ilvl w:val="1"/>
          <w:numId w:val="135"/>
        </w:numPr>
        <w:rPr>
          <w:rFonts w:ascii="Arial" w:cs="Arial" w:eastAsia="Arial" w:hAnsi="Arial"/>
          <w:sz w:val="16"/>
          <w:szCs w:val="16"/>
          <w:b w:val="1"/>
          <w:bCs w:val="1"/>
          <w:color w:val="auto"/>
        </w:rPr>
      </w:pPr>
      <w:r>
        <w:rPr>
          <w:rFonts w:ascii="Arial" w:cs="Arial" w:eastAsia="Arial" w:hAnsi="Arial"/>
          <w:sz w:val="16"/>
          <w:szCs w:val="16"/>
          <w:color w:val="auto"/>
        </w:rPr>
        <w:t xml:space="preserve">Each year, at the time of delivery of annual financial statements with respect to the preceding fiscal year pursuant to Section 9.04(b), a certificate of a Responsible Officer of Borrower setting forth the information required pursuant to </w:t>
      </w:r>
      <w:r>
        <w:rPr>
          <w:rFonts w:ascii="Arial" w:cs="Arial" w:eastAsia="Arial" w:hAnsi="Arial"/>
          <w:sz w:val="16"/>
          <w:szCs w:val="16"/>
          <w:u w:val="single" w:color="auto"/>
          <w:color w:val="auto"/>
        </w:rPr>
        <w:t>Schedules 1(a)</w:t>
      </w:r>
      <w:r>
        <w:rPr>
          <w:rFonts w:ascii="Arial" w:cs="Arial" w:eastAsia="Arial" w:hAnsi="Arial"/>
          <w:sz w:val="16"/>
          <w:szCs w:val="16"/>
          <w:color w:val="auto"/>
        </w:rPr>
        <w:t xml:space="preserve">, </w:t>
      </w:r>
      <w:r>
        <w:rPr>
          <w:rFonts w:ascii="Arial" w:cs="Arial" w:eastAsia="Arial" w:hAnsi="Arial"/>
          <w:sz w:val="16"/>
          <w:szCs w:val="16"/>
          <w:u w:val="single" w:color="auto"/>
          <w:color w:val="auto"/>
        </w:rPr>
        <w:t>1(b)</w:t>
      </w:r>
      <w:r>
        <w:rPr>
          <w:rFonts w:ascii="Arial" w:cs="Arial" w:eastAsia="Arial" w:hAnsi="Arial"/>
          <w:sz w:val="16"/>
          <w:szCs w:val="16"/>
          <w:color w:val="auto"/>
        </w:rPr>
        <w:t xml:space="preserve">, </w:t>
      </w:r>
      <w:r>
        <w:rPr>
          <w:rFonts w:ascii="Arial" w:cs="Arial" w:eastAsia="Arial" w:hAnsi="Arial"/>
          <w:sz w:val="16"/>
          <w:szCs w:val="16"/>
          <w:u w:val="single" w:color="auto"/>
          <w:color w:val="auto"/>
        </w:rPr>
        <w:t>1(c)</w:t>
      </w:r>
      <w:r>
        <w:rPr>
          <w:rFonts w:ascii="Arial" w:cs="Arial" w:eastAsia="Arial" w:hAnsi="Arial"/>
          <w:sz w:val="16"/>
          <w:szCs w:val="16"/>
          <w:color w:val="auto"/>
        </w:rPr>
        <w:t xml:space="preserve">, </w:t>
      </w:r>
      <w:r>
        <w:rPr>
          <w:rFonts w:ascii="Arial" w:cs="Arial" w:eastAsia="Arial" w:hAnsi="Arial"/>
          <w:sz w:val="16"/>
          <w:szCs w:val="16"/>
          <w:u w:val="single" w:color="auto"/>
          <w:color w:val="auto"/>
        </w:rPr>
        <w:t>2</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4(a)</w:t>
      </w:r>
      <w:r>
        <w:rPr>
          <w:rFonts w:ascii="Arial" w:cs="Arial" w:eastAsia="Arial" w:hAnsi="Arial"/>
          <w:sz w:val="16"/>
          <w:szCs w:val="16"/>
          <w:color w:val="auto"/>
        </w:rPr>
        <w:t xml:space="preserve">, </w:t>
      </w:r>
      <w:r>
        <w:rPr>
          <w:rFonts w:ascii="Arial" w:cs="Arial" w:eastAsia="Arial" w:hAnsi="Arial"/>
          <w:sz w:val="16"/>
          <w:szCs w:val="16"/>
          <w:u w:val="single" w:color="auto"/>
          <w:color w:val="auto"/>
        </w:rPr>
        <w:t>4(b)</w:t>
      </w:r>
      <w:r>
        <w:rPr>
          <w:rFonts w:ascii="Arial" w:cs="Arial" w:eastAsia="Arial" w:hAnsi="Arial"/>
          <w:sz w:val="16"/>
          <w:szCs w:val="16"/>
          <w:color w:val="auto"/>
        </w:rPr>
        <w:t xml:space="preserve">, </w:t>
      </w:r>
      <w:r>
        <w:rPr>
          <w:rFonts w:ascii="Arial" w:cs="Arial" w:eastAsia="Arial" w:hAnsi="Arial"/>
          <w:sz w:val="16"/>
          <w:szCs w:val="16"/>
          <w:u w:val="single" w:color="auto"/>
          <w:color w:val="auto"/>
        </w:rPr>
        <w:t>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7(a)</w:t>
      </w:r>
      <w:r>
        <w:rPr>
          <w:rFonts w:ascii="Arial" w:cs="Arial" w:eastAsia="Arial" w:hAnsi="Arial"/>
          <w:sz w:val="16"/>
          <w:szCs w:val="16"/>
          <w:color w:val="auto"/>
        </w:rPr>
        <w:t xml:space="preserve">, </w:t>
      </w:r>
      <w:r>
        <w:rPr>
          <w:rFonts w:ascii="Arial" w:cs="Arial" w:eastAsia="Arial" w:hAnsi="Arial"/>
          <w:sz w:val="16"/>
          <w:szCs w:val="16"/>
          <w:u w:val="single" w:color="auto"/>
          <w:color w:val="auto"/>
        </w:rPr>
        <w:t>7(b)</w:t>
      </w:r>
      <w:r>
        <w:rPr>
          <w:rFonts w:ascii="Arial" w:cs="Arial" w:eastAsia="Arial" w:hAnsi="Arial"/>
          <w:sz w:val="16"/>
          <w:szCs w:val="16"/>
          <w:color w:val="auto"/>
        </w:rPr>
        <w:t xml:space="preserve">, </w:t>
      </w:r>
      <w:r>
        <w:rPr>
          <w:rFonts w:ascii="Arial" w:cs="Arial" w:eastAsia="Arial" w:hAnsi="Arial"/>
          <w:sz w:val="16"/>
          <w:szCs w:val="16"/>
          <w:u w:val="single" w:color="auto"/>
          <w:color w:val="auto"/>
        </w:rPr>
        <w:t>7(c)</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to the Perfection Certificate or confirming that there has been no change in such information since the date 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800" w:right="239" w:bottom="1440" w:gutter="0" w:footer="0" w:header="0"/>
        </w:sectPr>
      </w:pPr>
    </w:p>
    <w:bookmarkStart w:id="186" w:name="page187"/>
    <w:bookmarkEnd w:id="186"/>
    <w:p>
      <w:pPr>
        <w:ind w:left="660"/>
        <w:spacing w:after="0"/>
        <w:rPr>
          <w:sz w:val="20"/>
          <w:szCs w:val="20"/>
          <w:color w:val="auto"/>
        </w:rPr>
      </w:pPr>
      <w:r>
        <w:rPr>
          <w:rFonts w:ascii="Arial" w:cs="Arial" w:eastAsia="Arial" w:hAnsi="Arial"/>
          <w:sz w:val="18"/>
          <w:szCs w:val="18"/>
          <w:color w:val="auto"/>
        </w:rPr>
        <w:t>the Initial Perfection Certificate or the date of the most recent certificate delivered pursuant to this Section 9.04(h)(ii);</w:t>
      </w:r>
    </w:p>
    <w:p>
      <w:pPr>
        <w:spacing w:after="0" w:line="221" w:lineRule="exact"/>
        <w:rPr>
          <w:sz w:val="20"/>
          <w:szCs w:val="20"/>
          <w:color w:val="auto"/>
        </w:rPr>
      </w:pPr>
    </w:p>
    <w:p>
      <w:pPr>
        <w:jc w:val="both"/>
        <w:ind w:firstLine="656"/>
        <w:spacing w:after="0" w:line="266" w:lineRule="auto"/>
        <w:tabs>
          <w:tab w:leader="none" w:pos="1025"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Material Adverse Effect or Covenant Suspension Period</w:t>
      </w:r>
      <w:r>
        <w:rPr>
          <w:rFonts w:ascii="Arial" w:cs="Arial" w:eastAsia="Arial" w:hAnsi="Arial"/>
          <w:sz w:val="18"/>
          <w:szCs w:val="18"/>
          <w:color w:val="auto"/>
        </w:rPr>
        <w:t>. Written notice (i) of the occurrence of any event or occurrence that has</w:t>
      </w:r>
      <w:r>
        <w:rPr>
          <w:rFonts w:ascii="Arial" w:cs="Arial" w:eastAsia="Arial" w:hAnsi="Arial"/>
          <w:sz w:val="18"/>
          <w:szCs w:val="18"/>
          <w:b w:val="1"/>
          <w:bCs w:val="1"/>
          <w:color w:val="auto"/>
        </w:rPr>
        <w:t xml:space="preserve"> </w:t>
      </w:r>
      <w:r>
        <w:rPr>
          <w:rFonts w:ascii="Arial" w:cs="Arial" w:eastAsia="Arial" w:hAnsi="Arial"/>
          <w:sz w:val="18"/>
          <w:szCs w:val="18"/>
          <w:color w:val="auto"/>
        </w:rPr>
        <w:t>had or would reasonably be expected to have a Material Adverse Effect or (ii) Borrower’s determination of the commencement or termination of a Covenant Suspension Period;</w:t>
      </w:r>
    </w:p>
    <w:p>
      <w:pPr>
        <w:spacing w:after="0" w:line="176" w:lineRule="exact"/>
        <w:rPr>
          <w:rFonts w:ascii="Arial" w:cs="Arial" w:eastAsia="Arial" w:hAnsi="Arial"/>
          <w:sz w:val="18"/>
          <w:szCs w:val="18"/>
          <w:b w:val="1"/>
          <w:bCs w:val="1"/>
          <w:color w:val="auto"/>
        </w:rPr>
      </w:pPr>
    </w:p>
    <w:p>
      <w:pPr>
        <w:jc w:val="both"/>
        <w:ind w:firstLine="656"/>
        <w:spacing w:after="0" w:line="261" w:lineRule="auto"/>
        <w:tabs>
          <w:tab w:leader="none" w:pos="1103"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ERISA Information</w:t>
      </w:r>
      <w:r>
        <w:rPr>
          <w:rFonts w:ascii="Arial" w:cs="Arial" w:eastAsia="Arial" w:hAnsi="Arial"/>
          <w:sz w:val="18"/>
          <w:szCs w:val="18"/>
          <w:color w:val="auto"/>
        </w:rPr>
        <w:t>. Promptly after the occurrence of any ERISA Event that, alone or together with any other ERISA Events that have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would reasonably be expected to result in a Material Adverse Effect, a written notice specifying the nature thereof, what action the Companies or other ERISA Entity have taken, are taking or propose to take with respect thereto, and, when known, any action taken or threatened by the IRS, Department of Labor, PBGC or Multiemployer Plan sponsor with respect thereto; and</w:t>
      </w:r>
    </w:p>
    <w:p>
      <w:pPr>
        <w:spacing w:after="0" w:line="180" w:lineRule="exact"/>
        <w:rPr>
          <w:rFonts w:ascii="Arial" w:cs="Arial" w:eastAsia="Arial" w:hAnsi="Arial"/>
          <w:sz w:val="18"/>
          <w:szCs w:val="18"/>
          <w:b w:val="1"/>
          <w:bCs w:val="1"/>
          <w:color w:val="auto"/>
        </w:rPr>
      </w:pPr>
    </w:p>
    <w:p>
      <w:pPr>
        <w:ind w:firstLine="656"/>
        <w:spacing w:after="0" w:line="282" w:lineRule="auto"/>
        <w:tabs>
          <w:tab w:leader="none" w:pos="1173"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Promptly, such financial information, reports, documents and other information with respect to Borrower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Subsidiaries as Administrative Agent or the Required Lenders may from time to time reasonably request;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the foregoing, nothing in this Section 9.04 shall require delivery of financial information, reports, documents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which constitutes attorney work product or is subject to confidentiality agreements or to the extent disclosure thereof would reasonably be expected to result in loss of attorney client privilege with respect thereto.</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Reports and documents required to be delivered pursuant to Section 9.04 may be delivered electronically and if so delivered, shall be deemed to have been delivered on the date (i) on which Borrower posts such reports and/or documents, or provides a link thereto on Borrower’s website on the Internet at the website address specified below Borrower’s name on the signature hereof or such other website address as provided in accordance with Section 13.02; or (ii) on which such reports and/or documents are posted on Borrower’s behalf on an Internet or intranet website, if any, to which each Lender and Administrative Agent have access (whether a commercial, third-party website (including the website of the SEC) or whether sponsored by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shall provide to Administrative Agent by electronic mail electronic versions (i.e., soft copies) of such reports and/or documents and Administrative Agent shall post such reports and/or documents and notify (which may be by facsimile or electronic mail) each Lender of the posting of any such reports and/or documents. Notwithstanding anything contained herein, in every instance Borrower shall be required to provide the compliance certificate required by Section 9.04(c)(ii) to Administrative Agent in the form of an original paper copy or a .pdf or facsimile copy of the original paper copy.</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Concurrently with the delivery of financial statements pursuant to Sections 9.04(a) and 9.04(b) above, in the event that, in the aggregate, the Unrestricted Subsidiaries account for greater than 10% of the Consolidated EBITDA of Borrower and its Subsidiaries on a consolidated basis with respect to the Test Period ended on the last day of the period covered by such financial statements, Borrower shall provide revenues, net income, Consolidated EBITDA (including the component parts thereof), Consolidated Indebtedness and cash and Cash Equivalents on hand of Borrower and its Restricted Subsidiaries, on the one hand, and (y) the Unrestricted Subsidiaries, on the other hand (with Consolidated EBITDA to be determined for such Unrestricted Subsidiaries as if references in the definition of Consolidated EBITDA were deemed to be references to the Unrestricted Subsidiaries).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Borrower hereby acknowledges that (a) Administrative Agent will make available to the Lenders and the L/C Lenders materials and/or information provided by or on behalf of Borrower hereunder (collectively, “</w:t>
      </w:r>
      <w:r>
        <w:rPr>
          <w:rFonts w:ascii="Arial" w:cs="Arial" w:eastAsia="Arial" w:hAnsi="Arial"/>
          <w:sz w:val="17"/>
          <w:szCs w:val="17"/>
          <w:b w:val="1"/>
          <w:bCs w:val="1"/>
          <w:color w:val="auto"/>
        </w:rPr>
        <w:t>Borrower Materials</w:t>
      </w:r>
      <w:r>
        <w:rPr>
          <w:rFonts w:ascii="Arial" w:cs="Arial" w:eastAsia="Arial" w:hAnsi="Arial"/>
          <w:sz w:val="17"/>
          <w:szCs w:val="17"/>
          <w:color w:val="auto"/>
        </w:rPr>
        <w:t>”) by posting Borrower Materials on IntraLinks/IntraAgency or another similar electronic system (the “</w:t>
      </w:r>
      <w:r>
        <w:rPr>
          <w:rFonts w:ascii="Arial" w:cs="Arial" w:eastAsia="Arial" w:hAnsi="Arial"/>
          <w:sz w:val="17"/>
          <w:szCs w:val="17"/>
          <w:b w:val="1"/>
          <w:bCs w:val="1"/>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b w:val="1"/>
          <w:bCs w:val="1"/>
          <w:color w:val="auto"/>
        </w:rPr>
        <w:t>Public Lender</w:t>
      </w:r>
      <w:r>
        <w:rPr>
          <w:rFonts w:ascii="Arial" w:cs="Arial" w:eastAsia="Arial" w:hAnsi="Arial"/>
          <w:sz w:val="17"/>
          <w:szCs w:val="17"/>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it will use commercially reasonable efforts to identify that portion of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Borrower shall be deemed to have authorized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801" w:right="239" w:bottom="1440" w:gutter="0" w:footer="0" w:header="0"/>
        </w:sectPr>
      </w:pPr>
    </w:p>
    <w:bookmarkStart w:id="187" w:name="page188"/>
    <w:bookmarkEnd w:id="187"/>
    <w:p>
      <w:pPr>
        <w:jc w:val="both"/>
        <w:spacing w:after="0" w:line="288" w:lineRule="auto"/>
        <w:rPr>
          <w:sz w:val="20"/>
          <w:szCs w:val="20"/>
          <w:color w:val="auto"/>
        </w:rPr>
      </w:pPr>
      <w:r>
        <w:rPr>
          <w:rFonts w:ascii="Arial" w:cs="Arial" w:eastAsia="Arial" w:hAnsi="Arial"/>
          <w:sz w:val="16"/>
          <w:szCs w:val="16"/>
          <w:color w:val="auto"/>
        </w:rPr>
        <w:t>Administrative Agent, the L/C Lenders and the Lenders to treat such Borrower Materials as not containing any material non-public information (although it may be sensitive and proprietary) with respect to Borrower or its securities for purposes of United States Federal and state securities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to the extent such Borrower Materials constitute information of the type subject to Section 13.10, they shall be treated as set forth in Section 13.10);</w:t>
      </w:r>
    </w:p>
    <w:p>
      <w:pPr>
        <w:ind w:left="260" w:hanging="252"/>
        <w:spacing w:after="0"/>
        <w:tabs>
          <w:tab w:leader="none" w:pos="2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all Borrower Materials marked “PUBLIC” are permitted to be made available through a portion of the Platform designated “Public Side Information;” and</w:t>
      </w:r>
    </w:p>
    <w:p>
      <w:pPr>
        <w:spacing w:after="0" w:line="32" w:lineRule="exact"/>
        <w:rPr>
          <w:rFonts w:ascii="Arial" w:cs="Arial" w:eastAsia="Arial" w:hAnsi="Arial"/>
          <w:sz w:val="16"/>
          <w:szCs w:val="16"/>
          <w:color w:val="auto"/>
        </w:rPr>
      </w:pPr>
    </w:p>
    <w:p>
      <w:pPr>
        <w:ind w:firstLine="8"/>
        <w:spacing w:after="0" w:line="261" w:lineRule="auto"/>
        <w:tabs>
          <w:tab w:leader="none" w:pos="24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Administrative Agent shall be entitled to treat any Borrower Materials that are not marked “PUBLIC” as being suitable only for posting on a portion of the Platform not designated “Public Side Information.”</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9.05. Maintaining Records; Access to Properties and Inspections</w:t>
      </w:r>
      <w:r>
        <w:rPr>
          <w:rFonts w:ascii="Arial" w:cs="Arial" w:eastAsia="Arial" w:hAnsi="Arial"/>
          <w:sz w:val="17"/>
          <w:szCs w:val="17"/>
          <w:color w:val="auto"/>
        </w:rPr>
        <w:t>. Borrower and its Restricted Subsidiaries shall keep proper books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record and account in which entries true and correct in all material respects and in material conformity with GAAP and all material Requirements of Law are made. Borrower and its Restricted Subsidiaries will, subject to applicable Gaming Laws, permit any representatives designated by Administrative Agent to visit and inspect the financial records and the property of Borrower or such Restricted Subsidiary at reasonable times, upon reasonable notice and as often as reasonably requested, and permit any representatives designated by Administrative Agent to discuss the affairs, finances and condition of such Restricted Subsidiaries with the officers thereof and independent accountants therefor (provided Borrower has the opportunity to participate in such meetings);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absence of a continuing Event of Default, only one such inspection by such representatives shall be permitted in any fiscal year (and such inspection shall be at Administrative Agent’s expense). Notwithstanding anything to the contrary in this Agreement, no Company will be required to disclose, permit the inspection, examination or making of extracts, or discussion of, any document, information or other matter that (i) in respect of which disclosure to Administrative Agent (or its designated representative) is then prohibited by law or contract or (ii) is subject to attorney-client or similar privilege or constitutes attorney work product.</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9.06. Use of Proceeds; FCPA</w:t>
      </w:r>
      <w:r>
        <w:rPr>
          <w:rFonts w:ascii="Arial" w:cs="Arial" w:eastAsia="Arial" w:hAnsi="Arial"/>
          <w:sz w:val="17"/>
          <w:szCs w:val="17"/>
          <w:color w:val="auto"/>
        </w:rPr>
        <w:t>. Borrower shall use the proceeds of the Loans only for the purposes set forth in Section 8.11. No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proceeds of the Loans or Letters of Credit will be used by Borrower, directly or indirectly, and Borrower will not lend, contribute or otherwise make available such proceeds to any Subsidiary, joint venture partner or other Person, in any case for the purpose of (i) any payments to any governmental official or employee, political party, official of a political party, candidate for political office, or anyone else acting in an official capacity, in order to obtain, retain or direct business or obtain any improper advantage, in violation of any applicable law related to bribery or corruption, including the United States Foreign Corrupt Practices Act of 1977, as amended, (ii) funding, financing or facilitating any activities, transaction or business of or with any Person, or in any country or territory, that, at the time of such funding, is, subject to Sanctions or in any Designated Jurisdiction, or (iii) any other use that would result in a violation of Sanctions by any Person (including any Person participating in the Loans or Letters of Credit hereunder, whether as underwriter, advisor, investor, or otherwise). Borrower will maintain in effect and enforce policies and procedures designed to monitor compliance by Borrower, its Subsidiaries and their respective directors, officers, employees and agents with applicable Sanctions and laws related to bribery and anti-corruption.</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9.07. Compliance with Environmental Law</w:t>
      </w:r>
      <w:r>
        <w:rPr>
          <w:rFonts w:ascii="Arial" w:cs="Arial" w:eastAsia="Arial" w:hAnsi="Arial"/>
          <w:sz w:val="17"/>
          <w:szCs w:val="17"/>
          <w:color w:val="auto"/>
        </w:rPr>
        <w:t>. Borrower and its Restricted Subsidiaries shall (a) comply with Environmental Law,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will keep or cause all Real Property to be kept free of any Liens imposed under Environmental Law, unless, in each case, failure to do so would not reasonably be expected to have a Material Adverse Effect; (b) in the event of any Hazardous Material at, on, under or emanating from any Real Property which could result in liability under or a violation of any Environmental Law, in each case which would reasonably be expected to have a Material Adverse Effect, undertake, and/or cause any of their respective tenants or occupants to undertake, at no cost or expense to Administrative Agent, Collateral Agent or any Lender, an appropriate response (as reasonably determined by Borrower) to such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Company shall be required to comply with any order or directive which is being contested in good faith and by proper proceedings so long as it has maintained adequate reserves with respect to such compliance to the extent required in accordance with GAAP; and (c) at the written request of Administrative Agent, in its reasonable discretion, provide, at no cost or expense to Administrative Agent, Collateral Agent or any Lender, an environmental site assessment (including, without limitation, the results of any soil or groundwater or other testing conducted at Administrative Agent’s request) concerning any Real Property now or hereafter owned, leased or operated by Borrower or any of its Restricted Subsidiaries, conducted by an environmental consulting firm proposed by such Credit Party and approved by Administrative Agent in its reasonable discretion indicating the presence or absence of Hazardous Material and the potential cost of any required action in connection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801" w:right="239" w:bottom="1440" w:gutter="0" w:footer="0" w:header="0"/>
        </w:sectPr>
      </w:pPr>
    </w:p>
    <w:bookmarkStart w:id="188" w:name="page189"/>
    <w:bookmarkEnd w:id="188"/>
    <w:p>
      <w:pPr>
        <w:jc w:val="both"/>
        <w:spacing w:after="0" w:line="269" w:lineRule="auto"/>
        <w:rPr>
          <w:sz w:val="20"/>
          <w:szCs w:val="20"/>
          <w:color w:val="auto"/>
        </w:rPr>
      </w:pPr>
      <w:r>
        <w:rPr>
          <w:rFonts w:ascii="Arial" w:cs="Arial" w:eastAsia="Arial" w:hAnsi="Arial"/>
          <w:sz w:val="17"/>
          <w:szCs w:val="17"/>
          <w:color w:val="auto"/>
        </w:rPr>
        <w:t xml:space="preserve">with any Hazardous Material on, at, under or emanating from such Real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request may be made only if (i) there has occurred and is continuing an Event of Default, or (ii) circumstances exist that reasonably could be expected to form the basis of an Environmental Action against Borrower or any Restricted Subsidiary or any Real Property of Borrower or any of its Restricted Subsidiaries which would reasonably be expected to have a Material Adverse Effect; if Borrower or any of its Restricted Subsidiaries fails to provide the same within sixty (60) days after such request was made (or in such longer period as may be approved by Administrative Agent, in its reasonable discretion), Administrative Agent may but is under no obligation to conduct the same, and Borrower or its Restricted Subsidiary shall grant and hereby grants to Administrative Agent and its agents, advisors and consultants access at reasonable times, and upon reasonable notice to Borrower, to such Real Property and specifically grants Administrative Agent and its agents, advisors and consultants an irrevocable non-exclusive license, subject to the rights of tenants, to undertake such an assessment, all at no cost or expense to Administrative Agent, Collateral Agent or any Lender. Administrative Agent will use its commercially reasonable efforts to obtain from the firm conducting any such assessment usual and customary agreements to secure liability insurance and to treat its work as confidential and shall promptly provide Borrower with all documents relating to such assessment.</w:t>
      </w:r>
    </w:p>
    <w:p>
      <w:pPr>
        <w:spacing w:after="0" w:line="17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9.08.</w:t>
      </w:r>
      <w:r>
        <w:rPr>
          <w:sz w:val="20"/>
          <w:szCs w:val="20"/>
          <w:color w:val="auto"/>
        </w:rPr>
        <w:tab/>
      </w:r>
      <w:r>
        <w:rPr>
          <w:rFonts w:ascii="Arial" w:cs="Arial" w:eastAsia="Arial" w:hAnsi="Arial"/>
          <w:sz w:val="16"/>
          <w:szCs w:val="16"/>
          <w:b w:val="1"/>
          <w:bCs w:val="1"/>
          <w:color w:val="auto"/>
        </w:rPr>
        <w:t>Pledge of Property or Mortgage of Real Property</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7" w:lineRule="auto"/>
        <w:tabs>
          <w:tab w:leader="none" w:pos="107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Subject to compliance with applicable Gaming Laws, if, on or after the Closing Date any Credit Party shall acquire any Property (other than any Real Property or any Property that is subject to a Lien permitted under Section 10.02(i) or Section 10.02(k) to the extent and for so long as the contract or other agreement in which such Lien is granted validly prohibits the creation of Liens securing the Obligations on such Property and to the extent such prohibition is not superseded by the applicable provisions of the UCC), including, without limitation, pursuant to any Permitted Acquisition, or as to which Collateral Agent, for the benefit of the Secured Parties, does not have a perfected Lien and as to which the Security Documents are intended to cover, such Credit Party shall (subject to any applicable provisions set forth in the Security Agreement with respect to limitations on grant of security interests in certain types of assets or Pledged Collateral and limitations or exclusions from the requirement to perfect Liens on such assets or Pledged Collateral) promptly (i) execute and deliver to Collateral Agent such amendments to the Security Documents or such other documents as Collateral Agent deems necessary or advisable in order to grant to Collateral Agent, for the benefit of the Secured Parties, security interests in such Property and (ii) take all actions Collateral Agent deems necessary or advisable to grant to Collateral Agent, for the benefit of the Secured Parties, a perfected security interest (except to the extent limited by applicable Requirements of Law (including, without limitation, any Gaming Laws)), superior to and prior to the rights of all third Persons and subject to no Liens, in each case, other than Permitted Liens, in each case, to the extent such actions are required by the Security Agreement.</w:t>
      </w:r>
    </w:p>
    <w:p>
      <w:pPr>
        <w:spacing w:after="0" w:line="168" w:lineRule="exact"/>
        <w:rPr>
          <w:rFonts w:ascii="Arial" w:cs="Arial" w:eastAsia="Arial" w:hAnsi="Arial"/>
          <w:sz w:val="16"/>
          <w:szCs w:val="16"/>
          <w:color w:val="auto"/>
        </w:rPr>
      </w:pPr>
    </w:p>
    <w:p>
      <w:pPr>
        <w:jc w:val="both"/>
        <w:ind w:firstLine="656"/>
        <w:spacing w:after="0" w:line="269" w:lineRule="auto"/>
        <w:tabs>
          <w:tab w:leader="none" w:pos="109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If, on or after the Closing Date, any Credit Party (x) acquires, including, without limitation, pursuant to any Permitted Acquisition, a fee or leasehold interest in Real Property located in the United States which Real Property has a fair market value in excess of $75.0 million or (y) develops a Facility on any fee or leasehold interest in Real Property located in the United States which Real Property (including the reasonably anticipated fair market value of the Facility or other improvements to be developed thereon) has a fair market value in excess of $150.0 million, determined on an as-developed basis, in each case, with respect to which a Mortgage was not previously entered into in favor of Collateral Agent (in each case, other than to the extent such Real Property is subject to a Lien permitted under Section 10.02(i) or 10.02(k) securing Indebtedness to the extent and for so long as the contract or other agreement in which such Lien is granted validly prohibits the creation of Liens securing the Obligations on such Real Property), such Credit Party shall, subject to clause (e) below, within ninety (90) days (or such longer period that is reasonably acceptable to Administrative Agent), (i) take such actions and execute such documents as Collateral Agent shall reasonably require to confirm the Lien of an existing Mortgage, if applicable, or to create a new Mortgage on such additional Real Property and (ii) cause to be delivered to Collateral Agent, for the benefit of the Secured Parties, all documents and instruments reasonably requested by Collateral Agent or as shall be necessary in the opinion of counsel to Collateral Agent to create on behalf of the Secured Parties a valid, perfected, mortgage Lien, subject only to Permitted Liens, including the following:</w:t>
      </w:r>
    </w:p>
    <w:p>
      <w:pPr>
        <w:spacing w:after="0" w:line="179" w:lineRule="exact"/>
        <w:rPr>
          <w:rFonts w:ascii="Arial" w:cs="Arial" w:eastAsia="Arial" w:hAnsi="Arial"/>
          <w:sz w:val="17"/>
          <w:szCs w:val="17"/>
          <w:color w:val="auto"/>
        </w:rPr>
      </w:pPr>
    </w:p>
    <w:p>
      <w:pPr>
        <w:jc w:val="both"/>
        <w:ind w:left="660" w:firstLine="645"/>
        <w:spacing w:after="0" w:line="264" w:lineRule="auto"/>
        <w:tabs>
          <w:tab w:leader="none" w:pos="175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Mortgage in favor of Collateral Agent, for the benefit of the Secured Parties, in form for recording in the recording office of the jurisdiction where such Mortgaged Real Property is situated, together with such other documentation as shall be required to create a valid mortgage Lien under applicable law, which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801" w:right="239" w:bottom="1440" w:gutter="0" w:footer="0" w:header="0"/>
        </w:sectPr>
      </w:pPr>
    </w:p>
    <w:bookmarkStart w:id="189" w:name="page190"/>
    <w:bookmarkEnd w:id="189"/>
    <w:p>
      <w:pPr>
        <w:jc w:val="both"/>
        <w:ind w:left="660"/>
        <w:spacing w:after="0" w:line="264" w:lineRule="auto"/>
        <w:rPr>
          <w:sz w:val="20"/>
          <w:szCs w:val="20"/>
          <w:color w:val="auto"/>
        </w:rPr>
      </w:pPr>
      <w:r>
        <w:rPr>
          <w:rFonts w:ascii="Arial" w:cs="Arial" w:eastAsia="Arial" w:hAnsi="Arial"/>
          <w:sz w:val="18"/>
          <w:szCs w:val="18"/>
          <w:color w:val="auto"/>
        </w:rPr>
        <w:t>Mortgage and other documentation shall be reasonably satisfactory to Collateral Agent and shall be effective to create in favor of Collateral Agent for the benefit of the Secured Parties a valid, perfected, Mortgage Lien on such Mortgaged Real Property subject to no Liens other than Permitted Liens;</w:t>
      </w:r>
    </w:p>
    <w:p>
      <w:pPr>
        <w:spacing w:after="0" w:line="181" w:lineRule="exact"/>
        <w:rPr>
          <w:sz w:val="20"/>
          <w:szCs w:val="20"/>
          <w:color w:val="auto"/>
        </w:rPr>
      </w:pPr>
    </w:p>
    <w:p>
      <w:pPr>
        <w:jc w:val="both"/>
        <w:ind w:left="660" w:firstLine="645"/>
        <w:spacing w:after="0" w:line="255" w:lineRule="auto"/>
        <w:tabs>
          <w:tab w:leader="none" w:pos="179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with respect to each such Mortgaged Real Property, a policy or policies or marked-up unconditional binder of title insurance, as applicable, paid for by Borrower or its Restricted Subsidiaries, issued by a nationally recognized title insurance company insuring the Lien of each Mortgage entered into pursuant to clause (1) above as a valid first Lien on the Mortgaged Real Property described therein, free of any other Liens except Permitted Liens, together with such customary endorsements available on commercially reasonable terms as the Collateral Agent may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that with respect to all Mortgaged Real Property acquired for the Wynn Massachusetts Project, Borrower and its Restricted Subsidiaries shall not be required to obtain title insurance policies related thereto in an amount greater than $1,100.0 million in the aggregate;</w:t>
      </w:r>
    </w:p>
    <w:p>
      <w:pPr>
        <w:spacing w:after="0" w:line="189" w:lineRule="exact"/>
        <w:rPr>
          <w:rFonts w:ascii="Arial" w:cs="Arial" w:eastAsia="Arial" w:hAnsi="Arial"/>
          <w:sz w:val="18"/>
          <w:szCs w:val="18"/>
          <w:color w:val="auto"/>
        </w:rPr>
      </w:pPr>
    </w:p>
    <w:p>
      <w:pPr>
        <w:jc w:val="both"/>
        <w:ind w:left="660" w:firstLine="645"/>
        <w:spacing w:after="0" w:line="259" w:lineRule="auto"/>
        <w:tabs>
          <w:tab w:leader="none" w:pos="183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with respect to each such Mortgaged Real Property, Collateral Agent shall have received a completed “Life-of-Loan” Federal Emergency Management Agency standard flood hazard determination with respect to such Mortgaged Real Property for which a Mortgage is delivered pursuant to clause (1) above (together with a notice about special flood hazard area status and flood disaster assistance duly executed by Borrower and the applicable Credit Party relating thereto);</w:t>
      </w:r>
    </w:p>
    <w:p>
      <w:pPr>
        <w:spacing w:after="0" w:line="186" w:lineRule="exact"/>
        <w:rPr>
          <w:rFonts w:ascii="Arial" w:cs="Arial" w:eastAsia="Arial" w:hAnsi="Arial"/>
          <w:sz w:val="18"/>
          <w:szCs w:val="18"/>
          <w:color w:val="auto"/>
        </w:rPr>
      </w:pPr>
    </w:p>
    <w:p>
      <w:pPr>
        <w:jc w:val="both"/>
        <w:ind w:left="660" w:firstLine="645"/>
        <w:spacing w:after="0" w:line="312" w:lineRule="auto"/>
        <w:tabs>
          <w:tab w:leader="none" w:pos="17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 survey of each Mortgaged Real Property in such form as shall (x) be required by the title company to remove the standard survey exceptions from the Title Policy with respect to such Mortgaged Real Property and (y) comply with the minimum detail requirements of the American Land Title Association and locate all improvements, public streets and recorded easements affecting such Mortgaged Real Property; and</w:t>
      </w:r>
    </w:p>
    <w:p>
      <w:pPr>
        <w:spacing w:after="0" w:line="146" w:lineRule="exact"/>
        <w:rPr>
          <w:rFonts w:ascii="Arial" w:cs="Arial" w:eastAsia="Arial" w:hAnsi="Arial"/>
          <w:sz w:val="16"/>
          <w:szCs w:val="16"/>
          <w:color w:val="auto"/>
        </w:rPr>
      </w:pPr>
    </w:p>
    <w:p>
      <w:pPr>
        <w:jc w:val="both"/>
        <w:ind w:left="660" w:firstLine="645"/>
        <w:spacing w:after="0" w:line="276" w:lineRule="auto"/>
        <w:tabs>
          <w:tab w:leader="none" w:pos="17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with respect to each Mortgage entered into pursuant to clause (1) above, opinions addressed to the Administrative Agent and the Collateral Agent for its benefit and for the benefit of the Secured Parties of (A) local counsel for Borrower or its Restricted Subsidiaries in each jurisdiction where such Mortgaged Property is located with respect to the enforceability of each such Mortgage and other matters customarily included in such opinions and (B) counsel for Borrower and its Restricted Subsidiaries regarding due authorization, execution and delivery of each such Mortgage, in each case, in form and substance reasonably satisfactory to the Administrative Agent;</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notwithstanding the foregoing, the Credit Parties shall not be required to grant a Mortgage on (i) any leasehold interest in any Real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after the date hereof that has a fair market value (including the reasonably anticipated fair market value of the Facility or other improvements to be developed thereon) of less than $300.0 million or a remaining term (including options to extend) of less than 10 years or (ii) any leasehold interest in any Real Property if after the exercise of commercially reasonable efforts by the Credit Parties (which shall not include the payment of consideration other than reasonable attorneys’ fees and other expenses incidental thereto), the landlord under such lease has not consented to the granting of a Mortgage.</w:t>
      </w:r>
    </w:p>
    <w:p>
      <w:pPr>
        <w:spacing w:after="0" w:line="158" w:lineRule="exact"/>
        <w:rPr>
          <w:sz w:val="20"/>
          <w:szCs w:val="20"/>
          <w:color w:val="auto"/>
        </w:rPr>
      </w:pPr>
    </w:p>
    <w:p>
      <w:pPr>
        <w:jc w:val="both"/>
        <w:ind w:firstLine="656"/>
        <w:spacing w:after="0" w:line="257" w:lineRule="auto"/>
        <w:tabs>
          <w:tab w:leader="none" w:pos="107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in Sections 9.08(a) and 9.08(b) to the contrary, in each case, it is understood and agreed that no Lien(s) and/or Mortgage(s) in favor of Collateral Agent on any after acquired Property of the applicable Credit Party shall be required to be granted or delivered at such time as provided in such Sections (as applicable) as a result of such Lien(s) and/or Mortgage(s) being prohibited by (i) the applicable Gaming Authorities or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Borrower has used its commercially reasonable efforts to obtain such approvals or (ii) Contractual Obligation (except to the extent invalidated by the applicable provisions of the UCC).</w:t>
      </w:r>
    </w:p>
    <w:p>
      <w:pPr>
        <w:spacing w:after="0" w:line="188" w:lineRule="exact"/>
        <w:rPr>
          <w:rFonts w:ascii="Arial" w:cs="Arial" w:eastAsia="Arial" w:hAnsi="Arial"/>
          <w:sz w:val="18"/>
          <w:szCs w:val="18"/>
          <w:color w:val="auto"/>
        </w:rPr>
      </w:pPr>
    </w:p>
    <w:p>
      <w:pPr>
        <w:jc w:val="both"/>
        <w:ind w:firstLine="656"/>
        <w:spacing w:after="0" w:line="257" w:lineRule="auto"/>
        <w:tabs>
          <w:tab w:leader="none" w:pos="103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With respect to Lien(s) and/or Mortgage(s) relating to any Property acquired by any Credit Party on or after the Closing Date or any Property of any Additional Credit Party or with respect to any Guarantee of any Additional Credit Party, in each case that were not granted or delivered pursuant to Section 9.08(c) or to the second paragraph in Section 9.11, as the case may be, at such time as Borrower reasonably believes such prohibition no longer exists, Borrower shall (and with respect to any items requiring approval from Gaming Authorities, Borrower shall use commercially reasonable efforts to seek the approval from the applicable Gaming Authorities for such Lien(s), Mortgage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801" w:right="239" w:bottom="1440" w:gutter="0" w:footer="0" w:header="0"/>
        </w:sectPr>
      </w:pPr>
    </w:p>
    <w:bookmarkStart w:id="190" w:name="page191"/>
    <w:bookmarkEnd w:id="190"/>
    <w:p>
      <w:pPr>
        <w:ind w:left="240" w:hanging="232"/>
        <w:spacing w:after="0"/>
        <w:tabs>
          <w:tab w:leader="none" w:pos="2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and/or Guarantee and, if such approval is so obtained), comply with Sections 9.08(a) and/or 9.08(b) or with Section 9.11, as the case may be.</w:t>
      </w:r>
    </w:p>
    <w:p>
      <w:pPr>
        <w:spacing w:after="0" w:line="236" w:lineRule="exact"/>
        <w:rPr>
          <w:rFonts w:ascii="Arial" w:cs="Arial" w:eastAsia="Arial" w:hAnsi="Arial"/>
          <w:sz w:val="17"/>
          <w:szCs w:val="17"/>
          <w:color w:val="auto"/>
        </w:rPr>
      </w:pPr>
    </w:p>
    <w:p>
      <w:pPr>
        <w:jc w:val="both"/>
        <w:ind w:firstLine="656"/>
        <w:spacing w:after="0" w:line="312" w:lineRule="auto"/>
        <w:tabs>
          <w:tab w:leader="none" w:pos="1087" w:val="left"/>
        </w:tabs>
        <w:numPr>
          <w:ilvl w:val="1"/>
          <w:numId w:val="14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or in any other Loan Document, no actions shall be required pursuant to Section 9.08(b) with respect to any Real Property until May 31, 2015, after which time the Credit Parties shall have ninety (90) days (or such longer period that is reasonably acceptable to Administrative Agent) to satisfy the requirements of Section 9.08(b) with respect to any Real Property previously acquired.</w:t>
      </w:r>
    </w:p>
    <w:p>
      <w:pPr>
        <w:spacing w:after="0" w:line="14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SECTION 9.09. Security Interests; Further Assurances</w:t>
      </w:r>
      <w:r>
        <w:rPr>
          <w:rFonts w:ascii="Arial" w:cs="Arial" w:eastAsia="Arial" w:hAnsi="Arial"/>
          <w:sz w:val="17"/>
          <w:szCs w:val="17"/>
          <w:color w:val="auto"/>
        </w:rPr>
        <w:t>. Each Credit Party shall, promptly, upon the reasonable request of Collateral Agent,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so long as such request (or compliance with such request) does not violate any Gaming Law (or, if such request is subject to an approval by the Gaming Authority, Borrower hereby agrees to use commercially reasonable efforts to obtain such approval), at Borrower’s expense, execute, acknowledge and deliver, or cause the execution, acknowledgment and delivery of, and thereafter register, file or record, or cause to be registered, filed or recorded, in an appropriate governmental office, any document or instrument supplemental to or confirmatory of the Security Documents or otherwise deemed by Collateral Agent reasonably necessary or desirable to create, protect or perfect or for the continued validity, perfection and priority of the Liens on the Collateral covered or purported to be covered thereby (subject to any applicable provisions set forth in the Security Agreement with respect to limitations on grant of security interests in certain types of Pledged Collateral and limitations or exclusions from the requirement to perfect Liens on such Pledged Collateral and any applicable Requirements of Law including, without limitation, any Gaming Laws) subject to no Liens other than Permitted Liens;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herein or in any other Credit Document, in no event shall any Company be required to enter into control agreements with respect to its deposit accounts, securities accounts or commodity accounts. In the case of the exercise by Collateral Agent or the Lenders or any other Secured Party of any power, right, privilege or remedy pursuant to any Credit Document following the occurrence and during the continuation of an Event of Default which requires any consent, approval, registration, qualification or authorization of any Governmental Authority, Borrower and each of its Restricted Subsidiaries shall use commercially reasonable efforts to promptly execute and deliver all applications, certifications, instruments and other documents and papers that Collateral Agent or the Lenders may be so required to obtain.</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9.10. Wynn Las Vegas Reorganization</w:t>
      </w:r>
      <w:r>
        <w:rPr>
          <w:rFonts w:ascii="Arial" w:cs="Arial" w:eastAsia="Arial" w:hAnsi="Arial"/>
          <w:sz w:val="17"/>
          <w:szCs w:val="17"/>
          <w:color w:val="auto"/>
        </w:rPr>
        <w:t>. Borrower shall use commercially reasonable efforts to cause the Wynn Las Vegas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Reorganization to occur;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immediately prior to giving effect to the consummation of the Wynn Las Vegas Reorganization, the aggregate amount of Indebtedness outstanding at Wynn Las Vegas and its Restricted Subsidiaries shall not exceed an amount equal to the sum of (a) the principal amount of the Wynn Las Vegas 2020 Notes as of the Closing Date, (b) the principal amount of any additional Indebtedness incurred substantially concurrently with the repayment or refinancing of all or a portion of the Wynn Las Vegas 2020 Notes, and (c) 105% of all Indebtedness (other than the Wynn Las Vegas 2020 Notes) outstanding at Wynn Las Vegas and its Restricted Subsidiaries as of the Closing Date.</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SECTION 9.11. Additional Credit Parties</w:t>
      </w:r>
      <w:r>
        <w:rPr>
          <w:rFonts w:ascii="Arial" w:cs="Arial" w:eastAsia="Arial" w:hAnsi="Arial"/>
          <w:sz w:val="16"/>
          <w:szCs w:val="16"/>
          <w:color w:val="auto"/>
        </w:rPr>
        <w:t>. Upon (i) any Credit Party creating or acquiring any Subsidiary that is a Wholly Owned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(other than any Excluded Subsidiary) after the Closing Date, (ii) any Wholly Owned Restricted Subsidiary of a Credit Party ceasing to be an Excluded Subsidiary (including, without limitation, an Immaterial Subsidiary being designated pursuant to Section 9.13 as an Excluded Immaterial Subsidiary) or (iii) any Revocation that results in an Unrestricted Subsidiary becoming a Wholly Owned Restricted Subsidiary (other than any Excluded Subsidiary) of a Credit Party (such Wholly Owned Restricted Subsidiary referenced in clause (i), (ii) or (iii) above, an “</w:t>
      </w:r>
      <w:r>
        <w:rPr>
          <w:rFonts w:ascii="Arial" w:cs="Arial" w:eastAsia="Arial" w:hAnsi="Arial"/>
          <w:sz w:val="16"/>
          <w:szCs w:val="16"/>
          <w:b w:val="1"/>
          <w:bCs w:val="1"/>
          <w:color w:val="auto"/>
        </w:rPr>
        <w:t>Additional Credit Party</w:t>
      </w:r>
      <w:r>
        <w:rPr>
          <w:rFonts w:ascii="Arial" w:cs="Arial" w:eastAsia="Arial" w:hAnsi="Arial"/>
          <w:sz w:val="16"/>
          <w:szCs w:val="16"/>
          <w:color w:val="auto"/>
        </w:rPr>
        <w:t>”), such Credit Party shall, assuming and to the extent that it does not violate any Gaming Law or assuming and to the extent it obtains the approval of the Gaming Authority to the extent such approval is required by applicable Gaming Laws (which Borrower hereby agrees to use commercially reasonable efforts to obtain), (A) cause each such Wholly Owned Restricted Subsidiary to promptly (but in any event within 45 days (or 95 days, in the event of any Discharge of any Indebtedness in connection with the acquisition of any such Subsidiary) after the later of such event described in clause (i), (ii) or (iii) above or receipt of such approval (or such longer period of time as Administrative Agent may agree to in its sole discretion), execute and deliver all such agreements, guarantees, documents and certificates (including Joinder Agreements, any amendments to the Credit Documents, lien searches and a Perfection Certificate) as Administrative Agent may reasonably request in order to have such Wholly Owned Restricted Subsidiary become a Guarantor and (B)(I) execute and deliver to Collateral Agent such amendments to or additional Security Documents as Collateral Agent deems necessary or advisable in order to grant to Collateral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800" w:right="239" w:bottom="1440" w:gutter="0" w:footer="0" w:header="0"/>
        </w:sectPr>
      </w:pPr>
    </w:p>
    <w:bookmarkStart w:id="191" w:name="page192"/>
    <w:bookmarkEnd w:id="191"/>
    <w:p>
      <w:pPr>
        <w:jc w:val="both"/>
        <w:spacing w:after="0" w:line="267" w:lineRule="auto"/>
        <w:rPr>
          <w:sz w:val="20"/>
          <w:szCs w:val="20"/>
          <w:color w:val="auto"/>
        </w:rPr>
      </w:pPr>
      <w:r>
        <w:rPr>
          <w:rFonts w:ascii="Arial" w:cs="Arial" w:eastAsia="Arial" w:hAnsi="Arial"/>
          <w:sz w:val="17"/>
          <w:szCs w:val="17"/>
          <w:color w:val="auto"/>
        </w:rPr>
        <w:t xml:space="preserve">Agent for the benefit of the Secured Parties, a perfected security interest in the Equity Interests of such Additional Credit Party which are owned by any Credit Party and required to be pledged pursuant to the Security Agreement, (II) deliver to Collateral Agent the certificates (if any) representing such Equity Interests together with in the case of such Equity Interests, undated stock powers endorsed in blank, (III) cause such Additional Credit Party to take such actions necessary or advisable (including executing and delivering a Joinder Agreement) to grant to Collateral Agent for the benefit of the Secured Parties, a perfected security interest in the collateral described in (subject to any requirements set forth in the Security Agreement with respect to limitations on grant of security interests in certain types of assets or Pledged Collateral and limitations or exclusions from the requirement to perfect Liens on such Pledged Collateral and excluding acts with respect to perfection of security interests and Liens not required under, or excluded from the requirements under, the Security Agreement) the Security Agreement and all other Property (limited, in the case of any first-tier Foreign Subsidiary or CFC Holdco, to 65% of the voting Equity Interests and 100% of the non-voting Equity Interests of such Foreign Subsidiary or CFC Holdco) of such Additional Credit Party in accordance with the provisions of Section 9.08 hereof with respect to such Additional Credit Party, or as necessary under applicable law or as may be reasonably requested by Collateral Agent, and (IV) deliver to Collateral Agent all legal opinions reasonably requested by Collateral Agent with respect to such Additional Credit Party relating to the matters described above covering matters similar to those covered in the opinions delivered on the Closing Date; </w:t>
      </w:r>
      <w:r>
        <w:rPr>
          <w:rFonts w:ascii="Arial" w:cs="Arial" w:eastAsia="Arial" w:hAnsi="Arial"/>
          <w:sz w:val="17"/>
          <w:szCs w:val="17"/>
          <w:i w:val="1"/>
          <w:iCs w:val="1"/>
          <w:color w:val="auto"/>
        </w:rPr>
        <w:t>provided</w:t>
      </w:r>
      <w:r>
        <w:rPr>
          <w:rFonts w:ascii="Arial" w:cs="Arial" w:eastAsia="Arial" w:hAnsi="Arial"/>
          <w:sz w:val="17"/>
          <w:szCs w:val="17"/>
          <w:color w:val="auto"/>
        </w:rPr>
        <w:t>, however, that Borrower shall use its commercially reasonable efforts to obtain such approvals for any Mortgage(s) and Lien(s) (including pledge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Equity Interests of such Subsidiary) to be granted by such Additional Credit Party and for the Guarantee of such Additional Credit Party as soon as reasonably practicable;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solely with respect of the Wynn Las Vegas Entities (including the Wynn Las Vegas Pledge), the requirements of subclause (B) above shall be subject to the limitations in any then outstanding Wynn Las Vegas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with respect to the Wynn Las Vegas Entities, the Borrower shall comply with the requirements of subclause (B) above to the maximum extent permitted by any then outstanding Wynn Las Vegas Notes, including, without limitation, Section 4.09 of the indenture governing the Wynn Las Vegas 2023 Notes and (ii) in connection with the Borrower’s compliance with clause (i) of this proviso, (x) the Borrower and the Administrative Agent shall amend or otherwise modify, without the consent of any other party, the Security Documents to the extent necessary to effectuate such compliance) and (y) the Administrative Agent shall enter into such intercreditor agreements (in forms reasonably satisfactory to the Administrative Agent) with respect to the Wynn Las Vegas Pledge with the holders of the Wynn Las Vegas Notes to the extent necessary to effectuate such compliance. All of the foregoing actions shall be at the sole cost and expense of the Credit Parties.</w:t>
      </w:r>
    </w:p>
    <w:p>
      <w:pPr>
        <w:spacing w:after="0" w:line="18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Notwithstanding the foregoing in this Section 9.11 to the contrary, it is understood and agreed that no Lien(s), Mortgage(s) and/or Guarantee of the applicable Additional Credit Party shall be required to be granted or delivered at such time as provided in the paragraph above in this Section 9.11 as a result of such Lien(s), Mortgage(s) and/or Guarantee being prohibited (i) by the applicable Gaming Authorities, any other applicable Governmental Authorities or applicable Law; provided, however, that Borrower has used its commercially reasonable efforts to obtain such approvals for such Lien(s), Mortgage(s) and/or Guarantee or (ii) any Contractual Obligation (except to the extent superseded by the applicable provisions of the UCC).</w:t>
      </w:r>
    </w:p>
    <w:p>
      <w:pPr>
        <w:spacing w:after="0" w:line="16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9.12.</w:t>
      </w:r>
      <w:r>
        <w:rPr>
          <w:sz w:val="20"/>
          <w:szCs w:val="20"/>
          <w:color w:val="auto"/>
        </w:rPr>
        <w:tab/>
      </w:r>
      <w:r>
        <w:rPr>
          <w:rFonts w:ascii="Arial" w:cs="Arial" w:eastAsia="Arial" w:hAnsi="Arial"/>
          <w:sz w:val="16"/>
          <w:szCs w:val="16"/>
          <w:b w:val="1"/>
          <w:bCs w:val="1"/>
          <w:color w:val="auto"/>
        </w:rPr>
        <w:t>Limitation on Designations of Unrestricted Subsidiaries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03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Borrower may, on or after the earlier of the Wynn Las Vegas Reorganization and the Wynn Massachusetts Project Opening Date, designate any Subsidiary of Borrower (other than a Subsidiary of Borrower which owns one or more Principal Assets) as an “Unrestricted Subsidiary” under this Agreement (a “</w:t>
      </w:r>
      <w:r>
        <w:rPr>
          <w:rFonts w:ascii="Arial" w:cs="Arial" w:eastAsia="Arial" w:hAnsi="Arial"/>
          <w:sz w:val="18"/>
          <w:szCs w:val="18"/>
          <w:b w:val="1"/>
          <w:bCs w:val="1"/>
          <w:color w:val="auto"/>
        </w:rPr>
        <w:t>Designation</w:t>
      </w:r>
      <w:r>
        <w:rPr>
          <w:rFonts w:ascii="Arial" w:cs="Arial" w:eastAsia="Arial" w:hAnsi="Arial"/>
          <w:sz w:val="18"/>
          <w:szCs w:val="18"/>
          <w:color w:val="auto"/>
        </w:rPr>
        <w:t>”) only if:</w:t>
      </w:r>
    </w:p>
    <w:p>
      <w:pPr>
        <w:spacing w:after="0" w:line="181" w:lineRule="exact"/>
        <w:rPr>
          <w:rFonts w:ascii="Arial" w:cs="Arial" w:eastAsia="Arial" w:hAnsi="Arial"/>
          <w:sz w:val="18"/>
          <w:szCs w:val="18"/>
          <w:color w:val="auto"/>
        </w:rPr>
      </w:pPr>
    </w:p>
    <w:p>
      <w:pPr>
        <w:ind w:left="1760" w:hanging="455"/>
        <w:spacing w:after="0"/>
        <w:tabs>
          <w:tab w:leader="none" w:pos="176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at the time of or immediately after giving effect to such</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Designation;</w:t>
      </w:r>
    </w:p>
    <w:p>
      <w:pPr>
        <w:spacing w:after="0" w:line="210" w:lineRule="exact"/>
        <w:rPr>
          <w:rFonts w:ascii="Arial" w:cs="Arial" w:eastAsia="Arial" w:hAnsi="Arial"/>
          <w:sz w:val="17"/>
          <w:szCs w:val="17"/>
          <w:color w:val="auto"/>
        </w:rPr>
      </w:pPr>
    </w:p>
    <w:p>
      <w:pPr>
        <w:jc w:val="both"/>
        <w:ind w:left="660" w:firstLine="645"/>
        <w:spacing w:after="0" w:line="259" w:lineRule="auto"/>
        <w:tabs>
          <w:tab w:leader="none" w:pos="173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Borrower would be permitted under this Agreement to make an Investment at the time of Designation (assuming the effectiveness of such Designation) in an amount (the “</w:t>
      </w:r>
      <w:r>
        <w:rPr>
          <w:rFonts w:ascii="Arial" w:cs="Arial" w:eastAsia="Arial" w:hAnsi="Arial"/>
          <w:sz w:val="18"/>
          <w:szCs w:val="18"/>
          <w:b w:val="1"/>
          <w:bCs w:val="1"/>
          <w:color w:val="auto"/>
        </w:rPr>
        <w:t>Designation Amount</w:t>
      </w:r>
      <w:r>
        <w:rPr>
          <w:rFonts w:ascii="Arial" w:cs="Arial" w:eastAsia="Arial" w:hAnsi="Arial"/>
          <w:sz w:val="18"/>
          <w:szCs w:val="18"/>
          <w:color w:val="auto"/>
        </w:rPr>
        <w:t>”) equal to the sum of (A) the fair market value of the Equity Interest of such Subsidiary owned by Borrower and/or any of the Restricted Subsidiaries on such date and (B) the aggregate amount of Indebtedness of such Subsidiary owed to Borrower and the Restricted Subsidiaries on such date; 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801" w:right="239" w:bottom="1440" w:gutter="0" w:footer="0" w:header="0"/>
        </w:sectPr>
      </w:pPr>
    </w:p>
    <w:bookmarkStart w:id="192" w:name="page193"/>
    <w:bookmarkEnd w:id="192"/>
    <w:p>
      <w:pPr>
        <w:jc w:val="both"/>
        <w:ind w:left="660" w:right="20" w:firstLine="645"/>
        <w:spacing w:after="0" w:line="259" w:lineRule="auto"/>
        <w:tabs>
          <w:tab w:leader="none" w:pos="187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after giving effect to such Designation, (x) prior to the Initial Test Date, the Consolidated Senior Secured Net Leverage Ratio calculated on a Pro Forma Basis shall not exceed 2.50 to 1.00 as of the most recent Calculation Date and (y) from and after the Initial Test Date, Borrower shall be in compliance on a Pro Forma Basis with the Financial Maintenance Covenant (whether or not then in effect) as of the most recent Calculation Date.</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Upon any such Designation, Borrower and its Restricted Subsidiaries shall be deemed to have made an Investment in such Unrestricted Subsidiary in an amount equal to the Designation Amount.</w:t>
      </w:r>
    </w:p>
    <w:p>
      <w:pPr>
        <w:spacing w:after="0" w:line="166" w:lineRule="exact"/>
        <w:rPr>
          <w:sz w:val="20"/>
          <w:szCs w:val="20"/>
          <w:color w:val="auto"/>
        </w:rPr>
      </w:pPr>
    </w:p>
    <w:p>
      <w:pPr>
        <w:ind w:firstLine="656"/>
        <w:spacing w:after="0" w:line="282" w:lineRule="auto"/>
        <w:tabs>
          <w:tab w:leader="none" w:pos="106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Borrower may revoke any Designation of a Subsidiary as an Unrestricted Subsidiary (a “</w:t>
      </w:r>
      <w:r>
        <w:rPr>
          <w:rFonts w:ascii="Arial" w:cs="Arial" w:eastAsia="Arial" w:hAnsi="Arial"/>
          <w:sz w:val="18"/>
          <w:szCs w:val="18"/>
          <w:b w:val="1"/>
          <w:bCs w:val="1"/>
          <w:color w:val="auto"/>
        </w:rPr>
        <w:t>Revocation</w:t>
      </w:r>
      <w:r>
        <w:rPr>
          <w:rFonts w:ascii="Arial" w:cs="Arial" w:eastAsia="Arial" w:hAnsi="Arial"/>
          <w:sz w:val="18"/>
          <w:szCs w:val="18"/>
          <w:color w:val="auto"/>
        </w:rPr>
        <w:t>”), whereupon such Subsidiary shall then constitute a Restricted Subsidiary, if:</w:t>
      </w:r>
    </w:p>
    <w:p>
      <w:pPr>
        <w:spacing w:after="0" w:line="165" w:lineRule="exact"/>
        <w:rPr>
          <w:rFonts w:ascii="Arial" w:cs="Arial" w:eastAsia="Arial" w:hAnsi="Arial"/>
          <w:sz w:val="18"/>
          <w:szCs w:val="18"/>
          <w:color w:val="auto"/>
        </w:rPr>
      </w:pPr>
    </w:p>
    <w:p>
      <w:pPr>
        <w:ind w:left="1780" w:hanging="475"/>
        <w:spacing w:after="0"/>
        <w:tabs>
          <w:tab w:leader="none" w:pos="178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at the time and immediately after giving effect to such</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Revocation;</w:t>
      </w:r>
    </w:p>
    <w:p>
      <w:pPr>
        <w:spacing w:after="0" w:line="210" w:lineRule="exact"/>
        <w:rPr>
          <w:rFonts w:ascii="Arial" w:cs="Arial" w:eastAsia="Arial" w:hAnsi="Arial"/>
          <w:sz w:val="17"/>
          <w:szCs w:val="17"/>
          <w:color w:val="auto"/>
        </w:rPr>
      </w:pPr>
    </w:p>
    <w:p>
      <w:pPr>
        <w:jc w:val="both"/>
        <w:ind w:left="660" w:firstLine="645"/>
        <w:spacing w:after="0" w:line="259" w:lineRule="auto"/>
        <w:tabs>
          <w:tab w:leader="none" w:pos="18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after giving effect to such Revocation, (x) prior to the Initial Test Date, the Consolidated Senior Secured Net Leverage Ratio calculated on a Pro Forma Basis shall not exceed 2.50 to 1.00 as of the most recent Calculation Date and (y) from and after the Initial Test Date, Borrower shall be in compliance on a Pro Forma Basis with the Financial Maintenance Covenant (whether or not then in effect) as of the most recent Calculation Date; and</w:t>
      </w:r>
    </w:p>
    <w:p>
      <w:pPr>
        <w:spacing w:after="0" w:line="186" w:lineRule="exact"/>
        <w:rPr>
          <w:rFonts w:ascii="Arial" w:cs="Arial" w:eastAsia="Arial" w:hAnsi="Arial"/>
          <w:sz w:val="18"/>
          <w:szCs w:val="18"/>
          <w:color w:val="auto"/>
        </w:rPr>
      </w:pPr>
    </w:p>
    <w:p>
      <w:pPr>
        <w:ind w:left="660" w:right="20" w:firstLine="645"/>
        <w:spacing w:after="0" w:line="277" w:lineRule="auto"/>
        <w:tabs>
          <w:tab w:leader="none" w:pos="179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all Liens and Indebtedness of such Unrestricted Subsidiary and its Subsidiaries outstanding immediately following such Revocation would, if incurred at the time of such Revocation, have been permitted to be incurred for all purposes of this Agreement.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9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Designations and Revocations occurring after the Closing Date must be evidenced by an Officer’s Certificate of Borrower delivered to Administrative Agent with the Responsible Officer so executing such certificate certifying compliance with the foregoing provisions of Section 9.12(a) (in the case of any such Designations) and of Section 9.12(b) (in the case of any such Revocations).</w:t>
      </w:r>
    </w:p>
    <w:p>
      <w:pPr>
        <w:spacing w:after="0" w:line="181" w:lineRule="exact"/>
        <w:rPr>
          <w:rFonts w:ascii="Arial" w:cs="Arial" w:eastAsia="Arial" w:hAnsi="Arial"/>
          <w:sz w:val="18"/>
          <w:szCs w:val="18"/>
          <w:color w:val="auto"/>
        </w:rPr>
      </w:pPr>
    </w:p>
    <w:p>
      <w:pPr>
        <w:jc w:val="both"/>
        <w:ind w:firstLine="656"/>
        <w:spacing w:after="0" w:line="290" w:lineRule="auto"/>
        <w:tabs>
          <w:tab w:leader="none" w:pos="10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If Borrower designates a Guarantor as an Unrestricted Subsidiary in accordance with this Section 9.12, the Obligations of such Guarantor under the Credit Documents shall terminate and be of no further force and effect and all Liens granted by such Guarantor under the applicable Security Documents shall terminate and be released and be of no further force and effect, and all Liens on the Equity Interests and debt obligations of such Guarantor shall be terminated and released and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such termination and release of such Liens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16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SECTION 9.13.</w:t>
      </w:r>
      <w:r>
        <w:rPr>
          <w:sz w:val="20"/>
          <w:szCs w:val="20"/>
          <w:color w:val="auto"/>
        </w:rPr>
        <w:tab/>
      </w:r>
      <w:r>
        <w:rPr>
          <w:rFonts w:ascii="Arial" w:cs="Arial" w:eastAsia="Arial" w:hAnsi="Arial"/>
          <w:sz w:val="16"/>
          <w:szCs w:val="16"/>
          <w:b w:val="1"/>
          <w:bCs w:val="1"/>
          <w:color w:val="auto"/>
        </w:rPr>
        <w:t>Limitation on Designation of Immaterial Subsidiaries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06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If for any reason the aggregate fair market value of the assets of all the Immaterial Subsidiaries exceeds the Immaterial Subsidiary Threshold Amount, then, promptly after the occurrence of such event that causes the aggregate fair market value of all Immaterial Subsidiaries to exceed the Immaterial Subsidiary Threshold Amount, Borrower shall designate (an “</w:t>
      </w:r>
      <w:r>
        <w:rPr>
          <w:rFonts w:ascii="Arial" w:cs="Arial" w:eastAsia="Arial" w:hAnsi="Arial"/>
          <w:sz w:val="17"/>
          <w:szCs w:val="17"/>
          <w:b w:val="1"/>
          <w:bCs w:val="1"/>
          <w:color w:val="auto"/>
        </w:rPr>
        <w:t>Excluded Designation</w:t>
      </w:r>
      <w:r>
        <w:rPr>
          <w:rFonts w:ascii="Arial" w:cs="Arial" w:eastAsia="Arial" w:hAnsi="Arial"/>
          <w:sz w:val="17"/>
          <w:szCs w:val="17"/>
          <w:color w:val="auto"/>
        </w:rPr>
        <w:t>”) one or more Immaterial Subsidiaries as no longer constituting Immaterial Subsidiaries for all purposes of this Agreement (an “</w:t>
      </w:r>
      <w:r>
        <w:rPr>
          <w:rFonts w:ascii="Arial" w:cs="Arial" w:eastAsia="Arial" w:hAnsi="Arial"/>
          <w:sz w:val="17"/>
          <w:szCs w:val="17"/>
          <w:b w:val="1"/>
          <w:bCs w:val="1"/>
          <w:color w:val="auto"/>
        </w:rPr>
        <w:t>Excluded Immaterial Subsidiary</w:t>
      </w:r>
      <w:r>
        <w:rPr>
          <w:rFonts w:ascii="Arial" w:cs="Arial" w:eastAsia="Arial" w:hAnsi="Arial"/>
          <w:sz w:val="17"/>
          <w:szCs w:val="17"/>
          <w:color w:val="auto"/>
        </w:rPr>
        <w:t>”) as may be necessary to ensure that the Immaterial Subsidiary Threshold is satisfied. Borrower may redesignate (a “</w:t>
      </w:r>
      <w:r>
        <w:rPr>
          <w:rFonts w:ascii="Arial" w:cs="Arial" w:eastAsia="Arial" w:hAnsi="Arial"/>
          <w:sz w:val="17"/>
          <w:szCs w:val="17"/>
          <w:b w:val="1"/>
          <w:bCs w:val="1"/>
          <w:color w:val="auto"/>
        </w:rPr>
        <w:t>Redesignation</w:t>
      </w:r>
      <w:r>
        <w:rPr>
          <w:rFonts w:ascii="Arial" w:cs="Arial" w:eastAsia="Arial" w:hAnsi="Arial"/>
          <w:sz w:val="17"/>
          <w:szCs w:val="17"/>
          <w:color w:val="auto"/>
        </w:rPr>
        <w:t>”) an Excluded Immaterial Subsidiary as constituting an Immaterial Subsidiary for purposes of this Agreement so long as such redesignated Excluded Immaterial Subsidiary is in compliance with the requirements of the definition of Immaterial Subsidiary and such Redesignation does not cause or otherwise result in the aggregate fair market value of the assets of all Immaterial Subsidiaries (after giving effect to the Redesignation of the Excluded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801" w:right="239" w:bottom="1440" w:gutter="0" w:footer="0" w:header="0"/>
        </w:sectPr>
      </w:pPr>
    </w:p>
    <w:bookmarkStart w:id="193" w:name="page194"/>
    <w:bookmarkEnd w:id="193"/>
    <w:p>
      <w:pPr>
        <w:ind w:right="20"/>
        <w:spacing w:after="0" w:line="277" w:lineRule="auto"/>
        <w:rPr>
          <w:sz w:val="20"/>
          <w:szCs w:val="20"/>
          <w:color w:val="auto"/>
        </w:rPr>
      </w:pPr>
      <w:r>
        <w:rPr>
          <w:rFonts w:ascii="Arial" w:cs="Arial" w:eastAsia="Arial" w:hAnsi="Arial"/>
          <w:sz w:val="18"/>
          <w:szCs w:val="18"/>
          <w:color w:val="auto"/>
        </w:rPr>
        <w:t>Immaterial Subsidiary as an Immaterial Subsidiary) to exceed the Immaterial Subsidiary Threshold Amount. For purposes of this Section 9.13(a), fair market value shall be determined as of the most recent Calculation Date.</w:t>
      </w:r>
    </w:p>
    <w:p>
      <w:pPr>
        <w:spacing w:after="0" w:line="170" w:lineRule="exact"/>
        <w:rPr>
          <w:sz w:val="20"/>
          <w:szCs w:val="20"/>
          <w:color w:val="auto"/>
        </w:rPr>
      </w:pPr>
    </w:p>
    <w:p>
      <w:pPr>
        <w:ind w:firstLine="656"/>
        <w:spacing w:after="0" w:line="308" w:lineRule="auto"/>
        <w:tabs>
          <w:tab w:leader="none" w:pos="1033"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Any such Excluded Designation or Redesignation must be evidenced by an Officer’s Certificate of Borrower delivered to Administrative Agent with the Responsible Officer executing such certificate certifying compliance with the foregoing provisions of Section 9.13(a).</w:t>
      </w:r>
    </w:p>
    <w:p>
      <w:pPr>
        <w:spacing w:after="0" w:line="146" w:lineRule="exact"/>
        <w:rPr>
          <w:rFonts w:ascii="Arial" w:cs="Arial" w:eastAsia="Arial" w:hAnsi="Arial"/>
          <w:sz w:val="17"/>
          <w:szCs w:val="17"/>
          <w:color w:val="auto"/>
        </w:rPr>
      </w:pPr>
    </w:p>
    <w:p>
      <w:pPr>
        <w:jc w:val="both"/>
        <w:ind w:firstLine="656"/>
        <w:spacing w:after="0" w:line="290" w:lineRule="auto"/>
        <w:tabs>
          <w:tab w:leader="none" w:pos="107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If Borrower redesignates an Excluded Immaterial Subsidiary as an Immaterial Subsidiary in accordance with this Section 9.13, so long as no Default or Event of Default exists, the Obligations of such Excluded Immaterial Subsidiary (as a Guarantor) under the Credit Documents shall terminate and be of no further force and all Liens granted by such Excluded Immaterial Subsidiary (as a Guarantor) under the applicable Security Documents shall terminate and be released and be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the termination and release of such Lien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9.14. Wynn Las Vegas Distributions</w:t>
      </w:r>
      <w:r>
        <w:rPr>
          <w:rFonts w:ascii="Arial" w:cs="Arial" w:eastAsia="Arial" w:hAnsi="Arial"/>
          <w:sz w:val="18"/>
          <w:szCs w:val="18"/>
          <w:color w:val="auto"/>
        </w:rPr>
        <w:t>. From and after the occurrence of the Wynn Las Vegas Reorganization and until the Wynn Las</w:t>
      </w:r>
      <w:r>
        <w:rPr>
          <w:rFonts w:ascii="Arial" w:cs="Arial" w:eastAsia="Arial" w:hAnsi="Arial"/>
          <w:sz w:val="18"/>
          <w:szCs w:val="18"/>
          <w:b w:val="1"/>
          <w:bCs w:val="1"/>
          <w:color w:val="auto"/>
        </w:rPr>
        <w:t xml:space="preserve"> </w:t>
      </w:r>
      <w:r>
        <w:rPr>
          <w:rFonts w:ascii="Arial" w:cs="Arial" w:eastAsia="Arial" w:hAnsi="Arial"/>
          <w:sz w:val="18"/>
          <w:szCs w:val="18"/>
          <w:color w:val="auto"/>
        </w:rPr>
        <w:t>Vegas 2020 and 2022 Note Repayment and to the maximum extent permitted by the Wynn Las Vegas Notes and other Contractual Obligations and applicable law, Borrower shall cause Wynn Las Vegas to distribute to Borrower or such other Credit Parties on a quarterly basis all unrestricted cash and Cash Equivalents held by the Wynn Las Vegas Subsidiaries that are Restricted Subsidiaries other than such unrestricted cash and cash equivalents that in the good faith determination of Wynn Las Vegas is necessary or advisable to maintain with such Wynn Las Vegas Subsidiaries for general corporate purposes, including without limitation anticipated future Capital Expenditures.</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9.15. Ratings</w:t>
      </w:r>
      <w:r>
        <w:rPr>
          <w:rFonts w:ascii="Arial" w:cs="Arial" w:eastAsia="Arial" w:hAnsi="Arial"/>
          <w:sz w:val="18"/>
          <w:szCs w:val="18"/>
          <w:color w:val="auto"/>
        </w:rPr>
        <w:t>. Borrower shall use commercially reasonable efforts to obtain ratings from each of Moody’s and S&amp;P for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Loans prior to the date that is 270 days after the Closing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Credit Party, for itself and on behalf of its Restricted Subsidiaries, covenants and agrees with the Administrative Agent, Collateral Agent and Lenders that until the Obligations have been Paid in Full (and each Credit Party covenants and agrees that it will cause its Restricted Subsidiaries to observe and perform the covenants herein set forth applicable to any such Restricted Subsidiary):</w:t>
      </w:r>
    </w:p>
    <w:p>
      <w:pPr>
        <w:spacing w:after="0" w:line="177"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b w:val="1"/>
          <w:bCs w:val="1"/>
          <w:color w:val="auto"/>
        </w:rPr>
        <w:t>SECTION 10.01.</w:t>
      </w:r>
      <w:r>
        <w:rPr>
          <w:sz w:val="20"/>
          <w:szCs w:val="20"/>
          <w:color w:val="auto"/>
        </w:rPr>
        <w:tab/>
      </w:r>
      <w:r>
        <w:rPr>
          <w:rFonts w:ascii="Arial" w:cs="Arial" w:eastAsia="Arial" w:hAnsi="Arial"/>
          <w:sz w:val="16"/>
          <w:szCs w:val="16"/>
          <w:b w:val="1"/>
          <w:bCs w:val="1"/>
          <w:color w:val="auto"/>
        </w:rPr>
        <w:t>Indebtedness</w:t>
      </w:r>
      <w:r>
        <w:rPr>
          <w:rFonts w:ascii="Arial" w:cs="Arial" w:eastAsia="Arial" w:hAnsi="Arial"/>
          <w:sz w:val="16"/>
          <w:szCs w:val="16"/>
          <w:color w:val="auto"/>
        </w:rPr>
        <w:t>. Borrower and its Restricted Subsidiaries will not incur any Indebtedness, except:</w:t>
      </w:r>
    </w:p>
    <w:p>
      <w:pPr>
        <w:spacing w:after="0" w:line="229" w:lineRule="exact"/>
        <w:rPr>
          <w:sz w:val="20"/>
          <w:szCs w:val="20"/>
          <w:color w:val="auto"/>
        </w:rPr>
      </w:pPr>
    </w:p>
    <w:p>
      <w:pPr>
        <w:ind w:left="1040" w:hanging="384"/>
        <w:spacing w:after="0"/>
        <w:tabs>
          <w:tab w:leader="none" w:pos="10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Indebtedness incurred pursuant to this Agreement and the other Credit Documents;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Indebtedness outstanding on the Closing Date and listed on </w:t>
      </w:r>
      <w:r>
        <w:rPr>
          <w:rFonts w:ascii="Arial" w:cs="Arial" w:eastAsia="Arial" w:hAnsi="Arial"/>
          <w:sz w:val="18"/>
          <w:szCs w:val="18"/>
          <w:u w:val="single" w:color="auto"/>
          <w:color w:val="auto"/>
        </w:rPr>
        <w:t>Schedule 10.01</w:t>
      </w:r>
      <w:r>
        <w:rPr>
          <w:rFonts w:ascii="Arial" w:cs="Arial" w:eastAsia="Arial" w:hAnsi="Arial"/>
          <w:sz w:val="18"/>
          <w:szCs w:val="18"/>
          <w:color w:val="auto"/>
        </w:rPr>
        <w:t>, and any Permitted Refinancings thereof;</w:t>
      </w:r>
    </w:p>
    <w:p>
      <w:pPr>
        <w:spacing w:after="0" w:line="225" w:lineRule="exact"/>
        <w:rPr>
          <w:rFonts w:ascii="Arial" w:cs="Arial" w:eastAsia="Arial" w:hAnsi="Arial"/>
          <w:sz w:val="18"/>
          <w:szCs w:val="18"/>
          <w:color w:val="auto"/>
        </w:rPr>
      </w:pPr>
    </w:p>
    <w:p>
      <w:pPr>
        <w:ind w:right="20" w:firstLine="656"/>
        <w:spacing w:after="0" w:line="277" w:lineRule="auto"/>
        <w:tabs>
          <w:tab w:leader="none" w:pos="110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Indebtedness under any Swap Contracts (including, without limitation, any Interest Rate Protection Agreements);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Swap Contracts are entered into for bona fide hedging activities and not for speculative purposes;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801" w:right="239" w:bottom="1440" w:gutter="0" w:footer="0" w:header="0"/>
        </w:sectPr>
      </w:pPr>
    </w:p>
    <w:bookmarkStart w:id="194" w:name="page195"/>
    <w:bookmarkEnd w:id="194"/>
    <w:p>
      <w:pPr>
        <w:ind w:left="1040" w:hanging="384"/>
        <w:spacing w:after="0"/>
        <w:tabs>
          <w:tab w:leader="none" w:pos="10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intercompany Indebtedness of Borrower and the Restricted Subsidiaries to Borrower or other Restricted Subsidiaries;</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0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from and after the Wynn Las Vegas Reorganization, Indebtedness under the Wynn Las Vegas Notes, any other Indebtedness permitted pursuant to Section 9.10 and, if the Wynn Las Vegas 2020 Notes have not been refinanced prior to the Wynn Las Vegas Reorganization, the principal amount of any additional Indebtedness incurred substantially concurrently with the repayment or refinancing of all or a portion of the Wynn Las Vegas 2020 Notes and, in each case, Permitted Refinancings thereof;</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04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Indebtedness in respect of workers’ compensation claims, self-insurance obligations, performance bonds, surety appeal or similar bonds, bank guarantees, warehouse receipts, completion guarantees, letters of credit and similar instruments provided by Borrower or any of its Restricted Subsidiaries in the ordinary course of its business (including to support Borrower’s or any of its Restricted Subsidiaries’ performance obligations, trade letters of credit and applications for Gaming Licenses or for the purposes referenced in this clause (f));</w:t>
      </w:r>
    </w:p>
    <w:p>
      <w:pPr>
        <w:spacing w:after="0" w:line="186" w:lineRule="exact"/>
        <w:rPr>
          <w:rFonts w:ascii="Arial" w:cs="Arial" w:eastAsia="Arial" w:hAnsi="Arial"/>
          <w:sz w:val="18"/>
          <w:szCs w:val="18"/>
          <w:color w:val="auto"/>
        </w:rPr>
      </w:pPr>
    </w:p>
    <w:p>
      <w:pPr>
        <w:ind w:firstLine="656"/>
        <w:spacing w:after="0" w:line="342" w:lineRule="auto"/>
        <w:tabs>
          <w:tab w:leader="none" w:pos="104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Indebtedness is extinguished within five (5) Business Days of its incurrence;</w:t>
      </w:r>
    </w:p>
    <w:p>
      <w:pPr>
        <w:spacing w:after="0" w:line="123" w:lineRule="exact"/>
        <w:rPr>
          <w:rFonts w:ascii="Arial" w:cs="Arial" w:eastAsia="Arial" w:hAnsi="Arial"/>
          <w:sz w:val="16"/>
          <w:szCs w:val="16"/>
          <w:color w:val="auto"/>
        </w:rPr>
      </w:pPr>
    </w:p>
    <w:p>
      <w:pPr>
        <w:ind w:firstLine="656"/>
        <w:spacing w:after="0" w:line="277" w:lineRule="auto"/>
        <w:tabs>
          <w:tab w:leader="none" w:pos="10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Indebtedness (other than Indebtedness referred to in Section 10.01(b)) in respect of Purchase Money Obligations and Capital Lease Obligations and refinancings or renewals thereof in an aggregate principal amount not to exceed at any time outstanding $150.0 million;</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 of instruments for deposit in the ordinary course of business;</w:t>
      </w:r>
    </w:p>
    <w:p>
      <w:pPr>
        <w:spacing w:after="0" w:line="225" w:lineRule="exact"/>
        <w:rPr>
          <w:rFonts w:ascii="Arial" w:cs="Arial" w:eastAsia="Arial" w:hAnsi="Arial"/>
          <w:sz w:val="18"/>
          <w:szCs w:val="18"/>
          <w:color w:val="auto"/>
        </w:rPr>
      </w:pPr>
    </w:p>
    <w:p>
      <w:pPr>
        <w:ind w:firstLine="656"/>
        <w:spacing w:after="0" w:line="277" w:lineRule="auto"/>
        <w:tabs>
          <w:tab w:leader="none" w:pos="100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guarantees by Borrower or Restricted Subsidiaries of Indebtedness otherwise permitted to be incurred by Borrower or any Restricted Subsidiary under this Section 10.01;</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5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Indebtedness of a Person that becomes a Subsidiary of Borrower or any of its Restricted Subsidiaries after the date hereof in connection with a Permitted Acquisition or other Acquisition permitted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existed at the time such Person became a Subsidiary and was not created in anticipation or contemplation thereof, and Permitted Refinancings thereof;</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032"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 from and after the earlier of the Wynn Las Vegas Reorganization and the Wynn Massachusetts Project Opening Date, Permitted Unsecured Indebtedness and Permitted Second Lien Indebtedness in an aggregate principal amount not to exceed $1.0 billion prior to the Wynn Massachusetts Project Opening Date and $1.5 billion from and after the Wynn Massachusetts Project Opening Date, so long as in any such case (x) prior to the Initial Test Date, immediately after giving effect to such Indebtedness, the Consolidated Senior Secured Net Leverage Ratio calculated on a Pro Forma Basis shall not exceed 2.50 to 1.00 as of the most recent Calculation Date, (y) from and after the Initial Test Date, immediately after giving effect to such Indebtedness Borrower shall be in compliance on a Pro Forma Basis with the Financial Maintenance Covenant (whether or not then in effect) as of the most recent Calculation Date and (z) no Event of Default shall have occurred and be continuing after giving effect thereto and (ii) Permitted Refinancings of any Indebtedness incurred pursuant to clause (i) so long as (x) in the case of Permitted Refinancings of Permitted Second Lien Indebtedness, such Permitted Refinancings qualify as either Permitted Second Lien Indebtedness or Permitted Unsecured Indebtedness or (y) in the case of Permitted Refinancings of Permitted Unsecured Indebtedness, such Permitted Refinancings qualify as Permitted Unsecured Indebtedness;</w:t>
      </w:r>
    </w:p>
    <w:p>
      <w:pPr>
        <w:spacing w:after="0" w:line="177" w:lineRule="exact"/>
        <w:rPr>
          <w:rFonts w:ascii="Arial" w:cs="Arial" w:eastAsia="Arial" w:hAnsi="Arial"/>
          <w:sz w:val="17"/>
          <w:szCs w:val="17"/>
          <w:color w:val="auto"/>
        </w:rPr>
      </w:pPr>
    </w:p>
    <w:p>
      <w:pPr>
        <w:jc w:val="both"/>
        <w:ind w:firstLine="656"/>
        <w:spacing w:after="0" w:line="276" w:lineRule="auto"/>
        <w:tabs>
          <w:tab w:leader="none" w:pos="111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 from and after the earlier of the Wynn Las Vegas Reorganization and the Wynn Massachusetts Project Opening Date, Permitted First Lien Indebtedness in an aggregate principal amount not to exceed the sum of (A) $</w:t>
      </w:r>
      <w:r>
        <w:rPr>
          <w:rFonts w:ascii="Arial" w:cs="Arial" w:eastAsia="Arial" w:hAnsi="Arial"/>
          <w:sz w:val="17"/>
          <w:szCs w:val="17"/>
          <w:b w:val="1"/>
          <w:bCs w:val="1"/>
          <w:color w:val="FF0000"/>
          <w:strike w:val="1"/>
        </w:rPr>
        <w:t>250.0</w:t>
      </w:r>
      <w:r>
        <w:rPr>
          <w:rFonts w:ascii="Arial" w:cs="Arial" w:eastAsia="Arial" w:hAnsi="Arial"/>
          <w:sz w:val="17"/>
          <w:szCs w:val="17"/>
          <w:b w:val="1"/>
          <w:bCs w:val="1"/>
          <w:u w:val="single" w:color="auto"/>
          <w:color w:val="0000FF"/>
        </w:rPr>
        <w:t>125.0</w:t>
      </w:r>
      <w:r>
        <w:rPr>
          <w:rFonts w:ascii="Arial" w:cs="Arial" w:eastAsia="Arial" w:hAnsi="Arial"/>
          <w:sz w:val="17"/>
          <w:szCs w:val="17"/>
          <w:color w:val="auto"/>
        </w:rPr>
        <w:t xml:space="preserve"> million prior to the Wynn Massachusetts Project Opening Date and $</w:t>
      </w:r>
      <w:r>
        <w:rPr>
          <w:rFonts w:ascii="Arial" w:cs="Arial" w:eastAsia="Arial" w:hAnsi="Arial"/>
          <w:sz w:val="17"/>
          <w:szCs w:val="17"/>
          <w:b w:val="1"/>
          <w:bCs w:val="1"/>
          <w:color w:val="FF0000"/>
          <w:strike w:val="1"/>
        </w:rPr>
        <w:t>500.0</w:t>
      </w:r>
      <w:r>
        <w:rPr>
          <w:rFonts w:ascii="Arial" w:cs="Arial" w:eastAsia="Arial" w:hAnsi="Arial"/>
          <w:sz w:val="17"/>
          <w:szCs w:val="17"/>
          <w:b w:val="1"/>
          <w:bCs w:val="1"/>
          <w:u w:val="single" w:color="auto"/>
          <w:color w:val="0000FF"/>
        </w:rPr>
        <w:t>375.0</w:t>
      </w:r>
      <w:r>
        <w:rPr>
          <w:rFonts w:ascii="Arial" w:cs="Arial" w:eastAsia="Arial" w:hAnsi="Arial"/>
          <w:sz w:val="17"/>
          <w:szCs w:val="17"/>
          <w:color w:val="auto"/>
        </w:rPr>
        <w:t xml:space="preserve"> million from and after the Wynn Massachusetts Project Opening Date and (B) the aggregate principal amount of Development Financing (including Permitted Refinancings thereof) that no longer qualifies as Development Financing pursuant to clause (B) of the definition thereof, so long as in any such case (x) prior to the Initial Test Date, immediately after giving effect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801" w:right="239" w:bottom="1440" w:gutter="0" w:footer="0" w:header="0"/>
        </w:sectPr>
      </w:pPr>
    </w:p>
    <w:bookmarkStart w:id="195" w:name="page196"/>
    <w:bookmarkEnd w:id="195"/>
    <w:p>
      <w:pPr>
        <w:jc w:val="both"/>
        <w:spacing w:after="0" w:line="297" w:lineRule="auto"/>
        <w:rPr>
          <w:sz w:val="20"/>
          <w:szCs w:val="20"/>
          <w:color w:val="auto"/>
        </w:rPr>
      </w:pPr>
      <w:r>
        <w:rPr>
          <w:rFonts w:ascii="Arial" w:cs="Arial" w:eastAsia="Arial" w:hAnsi="Arial"/>
          <w:sz w:val="16"/>
          <w:szCs w:val="16"/>
          <w:color w:val="auto"/>
        </w:rPr>
        <w:t>to such Indebtedness the Consolidated Senior Secured Net Leverage Ratio shall not exceed 2.50 to 1.00 on a Pro Forma Basis as of the most recent Calculation Date, (y) from and after the Initial Test Date, immediately after giving effect to such Indebtedness Borrower shall be in compliance on a Pro Forma Basis with the Financial Maintenance Covenant (whether or not then in effect) as of the most recent Calculation Date and (z) no Event of Default shall have occurred and be continuing after giving effect thereto, and (ii) Permitted Refinancings of any Indebtedness incurred pursuant to clause (i) so long as such Permitted Refinancings qualify as Permitted First Lien Indebtedness, Permitted Second Lien Indebtedness or Permitted Unsecured Indebtedness;</w:t>
      </w:r>
    </w:p>
    <w:p>
      <w:pPr>
        <w:spacing w:after="0" w:line="158" w:lineRule="exact"/>
        <w:rPr>
          <w:sz w:val="20"/>
          <w:szCs w:val="20"/>
          <w:color w:val="auto"/>
        </w:rPr>
      </w:pPr>
    </w:p>
    <w:p>
      <w:pPr>
        <w:jc w:val="both"/>
        <w:ind w:firstLine="656"/>
        <w:spacing w:after="0" w:line="273" w:lineRule="auto"/>
        <w:tabs>
          <w:tab w:leader="none" w:pos="106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from and after the earlier of the Wynn Las Vegas Reorganization and the Wynn Massachusetts Project Opening Date, unsecured Indebtedness of the kind described in clause (d) of the definition of “Indebtedness” so long as, in the case of any such Indebtedness other than earn-out obligations, at the time of incurrence thereof, (i) no Event of Default shall have occurred and be continuing after giving effect thereto and (ii) (x) prior to the Initial Test Date, the Consolidated Senior Secured Net Leverage Ratio shall not exceed 2.50 to 1.00 on a Pro Forma Basis as of the most recent Calculation Date and (y) from and after the Initial Test Date, Borrower and its Restricted Subsidiaries shall be in compliance with the Financial Maintenance Covenant (whether or not then in effect) on a Pro Forma Basis as of the most recent Calculation Date (whether or not then in effect);</w:t>
      </w:r>
    </w:p>
    <w:p>
      <w:pPr>
        <w:spacing w:after="0" w:line="178" w:lineRule="exact"/>
        <w:rPr>
          <w:rFonts w:ascii="Arial" w:cs="Arial" w:eastAsia="Arial" w:hAnsi="Arial"/>
          <w:sz w:val="17"/>
          <w:szCs w:val="17"/>
          <w:color w:val="auto"/>
        </w:rPr>
      </w:pPr>
    </w:p>
    <w:p>
      <w:pPr>
        <w:ind w:left="1040" w:hanging="384"/>
        <w:spacing w:after="0"/>
        <w:tabs>
          <w:tab w:leader="none" w:pos="10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Permitted Unsecured Refinancing Debt, Permitted First Priority Refinancing Debt and Permitted Second Priority Refinancing Debt;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07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Indebtedness of Restricted Subsidiaries that are Foreign Subsidiaries in an aggregate principal amount not to exceed (x) prior to the earlier of the Wynn Las Vegas Reorganization and the Wynn Massachusetts Project Opening Date, $5.0 million and (y) thereafter, $100.0 million at any time outstanding, so long as such Indebtedness is not guaranteed by any Credit Party;</w:t>
      </w:r>
    </w:p>
    <w:p>
      <w:pPr>
        <w:spacing w:after="0" w:line="181" w:lineRule="exact"/>
        <w:rPr>
          <w:rFonts w:ascii="Arial" w:cs="Arial" w:eastAsia="Arial" w:hAnsi="Arial"/>
          <w:sz w:val="18"/>
          <w:szCs w:val="18"/>
          <w:color w:val="auto"/>
        </w:rPr>
      </w:pPr>
    </w:p>
    <w:p>
      <w:pPr>
        <w:ind w:left="1120" w:hanging="464"/>
        <w:spacing w:after="0"/>
        <w:tabs>
          <w:tab w:leader="none" w:pos="11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Indebtedness of Borrower or any Restricted Subsidiary in an aggregate principal amount not to exceed as of the time of incurrence thereof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$75.0 million;</w:t>
      </w:r>
    </w:p>
    <w:p>
      <w:pPr>
        <w:spacing w:after="0" w:line="210" w:lineRule="exact"/>
        <w:rPr>
          <w:rFonts w:ascii="Arial" w:cs="Arial" w:eastAsia="Arial" w:hAnsi="Arial"/>
          <w:sz w:val="16"/>
          <w:szCs w:val="16"/>
          <w:color w:val="auto"/>
        </w:rPr>
      </w:pPr>
    </w:p>
    <w:p>
      <w:pPr>
        <w:ind w:left="1020" w:hanging="364"/>
        <w:spacing w:after="0"/>
        <w:tabs>
          <w:tab w:leader="none" w:pos="10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Investments under Section 10.04(l), 10.04(q), 10.04(s) and 10.04(w) consisting of guarantees;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Development Financing (including Permitted Refinancings thereof);</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277" w:lineRule="auto"/>
        <w:tabs>
          <w:tab w:leader="none" w:pos="110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Intercompany Contribution Indebtedness (it being acknowledged that Wynn Resorts may fund its obligations under the Completion Guaranty in the form of Intercompany Contribution Indebtedness); and</w:t>
      </w:r>
    </w:p>
    <w:p>
      <w:pPr>
        <w:spacing w:after="0" w:line="170" w:lineRule="exact"/>
        <w:rPr>
          <w:rFonts w:ascii="Arial" w:cs="Arial" w:eastAsia="Arial" w:hAnsi="Arial"/>
          <w:sz w:val="18"/>
          <w:szCs w:val="18"/>
          <w:color w:val="auto"/>
        </w:rPr>
      </w:pPr>
    </w:p>
    <w:p>
      <w:pPr>
        <w:ind w:firstLine="656"/>
        <w:spacing w:after="0" w:line="308" w:lineRule="auto"/>
        <w:tabs>
          <w:tab w:leader="none" w:pos="1082" w:val="left"/>
        </w:tabs>
        <w:numPr>
          <w:ilvl w:val="0"/>
          <w:numId w:val="149"/>
        </w:numPr>
        <w:rPr>
          <w:rFonts w:ascii="Arial" w:cs="Arial" w:eastAsia="Arial" w:hAnsi="Arial"/>
          <w:sz w:val="17"/>
          <w:szCs w:val="17"/>
          <w:color w:val="auto"/>
        </w:rPr>
      </w:pPr>
      <w:r>
        <w:rPr>
          <w:rFonts w:ascii="Arial" w:cs="Arial" w:eastAsia="Arial" w:hAnsi="Arial"/>
          <w:sz w:val="17"/>
          <w:szCs w:val="17"/>
          <w:color w:val="auto"/>
        </w:rPr>
        <w:t>from and after the Wynn Las Vegas Reorganization, the incurrence of Indebtedness in an amount not to exceed the greater of (i) the Aircraft Note and (ii) 100% of the fair market value of the Aircraft, which in either case is secured only by Liens permitted by Section 10.02(ii).</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For purposes of determining compliance with this Section 10.01, (A) Indebtedness need not be permitted solely by reference to one category of permitted Indebtedness described in Sections 10.01(a) through (x) but may be permitted in part under any combination thereof and (B) in the event that an item of Indebtedness (or any portion thereof) meets the criteria of one or more of the categories of permitted Indebtedness described in Sections 10.01(a) through (x), Borrower shall, in its sole discretion, classify or reclassify, or later divide, classify or reclassify, such item of Indebtedness (or any portion thereof) in any manner that complies with this Section 10.01 and will only be required to include the amount and type of such item of Indebtedness (or any portion thereof) in one of the above clauses and such item of Indebtedness (or any portion thereof) shall be treated as having been incurred or existing pursuant to only one of such clauses, </w:t>
      </w:r>
      <w:r>
        <w:rPr>
          <w:rFonts w:ascii="Arial" w:cs="Arial" w:eastAsia="Arial" w:hAnsi="Arial"/>
          <w:sz w:val="16"/>
          <w:szCs w:val="16"/>
          <w:u w:val="single" w:color="auto"/>
          <w:color w:val="auto"/>
        </w:rPr>
        <w:t>provided</w:t>
      </w:r>
      <w:r>
        <w:rPr>
          <w:rFonts w:ascii="Arial" w:cs="Arial" w:eastAsia="Arial" w:hAnsi="Arial"/>
          <w:sz w:val="16"/>
          <w:szCs w:val="16"/>
          <w:color w:val="auto"/>
        </w:rPr>
        <w:t>, that all Indebtedness under this Agreement outstanding on the Closing Date shall at all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801" w:right="239" w:bottom="1440" w:gutter="0" w:footer="0" w:header="0"/>
        </w:sectPr>
      </w:pPr>
    </w:p>
    <w:bookmarkStart w:id="196" w:name="page197"/>
    <w:bookmarkEnd w:id="196"/>
    <w:p>
      <w:pPr>
        <w:jc w:val="both"/>
        <w:spacing w:after="0" w:line="264" w:lineRule="auto"/>
        <w:rPr>
          <w:sz w:val="20"/>
          <w:szCs w:val="20"/>
          <w:color w:val="auto"/>
        </w:rPr>
      </w:pPr>
      <w:r>
        <w:rPr>
          <w:rFonts w:ascii="Arial" w:cs="Arial" w:eastAsia="Arial" w:hAnsi="Arial"/>
          <w:sz w:val="18"/>
          <w:szCs w:val="18"/>
          <w:color w:val="auto"/>
        </w:rPr>
        <w:t>times be deemed to have been incurred pursuant to clause (a) of this Section 10.01 and may not be reclassified. In addition, with respect to any Indebtedness that was permitted to be incurred hereunder on the date of such incurrence, any Increased Amount of such Indebtedness shall also be permitted hereunder after the date of such incurrence.</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Additionally, for purposes of determining compliance with Section 10.01, if the use of proceeds from any incurrence, issuance or assumption of Indebtedness is to fund the refinancing of any Indebtedness, then such refinancing shall be deemed to have occurred substantially simultaneously with such incurrence, issuance or assumption so long as (1) such refinancing occurs on the same Business Day as such incurrence, issuance or assumption, (2) if such proceeds will be offered (through a tender offer or otherwise) to the holders of such Indebtedness to be refinanced, the proceeds thereof are deposited with a trustee, agent or other representative for such holders pending the completion of such offer on the same Business Day as such incurrence, issuance or assumption (and such proceeds are ultimately used in the consummation of such offer or otherwise used to refinance Indebtedness), (3) if such proceeds will be used to fund the redemption, discharge or defeasance of such Indebtedness to be refinanced, the proceeds thereof are deposited with a trustee, agent or other representative for such Indebtedness pending such redemption, discharge or defeasance on the same Business Day as such incurrence, issuance or assumption or (4) the proceeds thereof are otherwise set aside to fund such refinancing pursuant to procedures reasonably agreed with the Administrative Agent.</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10.02. Liens</w:t>
      </w:r>
      <w:r>
        <w:rPr>
          <w:rFonts w:ascii="Arial" w:cs="Arial" w:eastAsia="Arial" w:hAnsi="Arial"/>
          <w:sz w:val="18"/>
          <w:szCs w:val="18"/>
          <w:color w:val="auto"/>
        </w:rPr>
        <w:t>. Neither Borrower nor any Restricted Subsidiary shall create, incur, grant, assume or permit to exist,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any Lien on any Property now owned or hereafter acquired by it or on any income or revenues or rights in respect of any thereof, except (the “</w:t>
      </w:r>
      <w:r>
        <w:rPr>
          <w:rFonts w:ascii="Arial" w:cs="Arial" w:eastAsia="Arial" w:hAnsi="Arial"/>
          <w:sz w:val="18"/>
          <w:szCs w:val="18"/>
          <w:b w:val="1"/>
          <w:bCs w:val="1"/>
          <w:color w:val="auto"/>
        </w:rPr>
        <w:t>Permitted Liens</w:t>
      </w:r>
      <w:r>
        <w:rPr>
          <w:rFonts w:ascii="Arial" w:cs="Arial" w:eastAsia="Arial" w:hAnsi="Arial"/>
          <w:sz w:val="18"/>
          <w:szCs w:val="18"/>
          <w:color w:val="auto"/>
        </w:rPr>
        <w:t>”):</w:t>
      </w:r>
    </w:p>
    <w:p>
      <w:pPr>
        <w:spacing w:after="0" w:line="180" w:lineRule="exact"/>
        <w:rPr>
          <w:sz w:val="20"/>
          <w:szCs w:val="20"/>
          <w:color w:val="auto"/>
        </w:rPr>
      </w:pPr>
    </w:p>
    <w:p>
      <w:pPr>
        <w:ind w:firstLine="656"/>
        <w:spacing w:after="0" w:line="277" w:lineRule="auto"/>
        <w:tabs>
          <w:tab w:leader="none" w:pos="107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Liens for Taxes not yet due and payable or delinquent, or which are being contested in good faith by appropriate proceedings and for which adequate reserves have been established in accordance with GAAP;</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06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Liens in respect of property of Borrower or any Restricted Subsidiary imposed by law, which were incurred in the ordinary course of business and do not secure Indebtedness for borrowed money, such as carriers’, warehousemen’s, materialmen’s, landlord’s and mechanics’ liens, maritime liens and other similar Liens arising in the ordinary course of business (i) for amounts not yet overdue for a period of ninety (90) days, (ii) for amounts that are overdue for a period in excess of ninety (90) days that are being contested in good faith by appropriate proceedings (inclusive of amounts that remain unpaid as a result of bona fide disputes with contractors, including where the amount unpaid is greater than the amount in dispute), so long as adequate reserves have been established in accordance with GAAP or (iii) for amounts that are overdue for a period in excess of ninety (90) days not to exceed $10.0 million in the aggregate;</w:t>
      </w:r>
    </w:p>
    <w:p>
      <w:pPr>
        <w:spacing w:after="0" w:line="189" w:lineRule="exact"/>
        <w:rPr>
          <w:rFonts w:ascii="Arial" w:cs="Arial" w:eastAsia="Arial" w:hAnsi="Arial"/>
          <w:sz w:val="18"/>
          <w:szCs w:val="18"/>
          <w:color w:val="auto"/>
        </w:rPr>
      </w:pPr>
    </w:p>
    <w:p>
      <w:pPr>
        <w:jc w:val="both"/>
        <w:ind w:firstLine="656"/>
        <w:spacing w:after="0" w:line="259" w:lineRule="auto"/>
        <w:tabs>
          <w:tab w:leader="none" w:pos="105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pursuant to Section 10.01(b) and listed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such Liens do not encumber any Property of Borrower or any Restricted Subsidiary other than (x) any such Property subject thereto on the Closing Date, (y) after-acquired property that is affixed or incorporated into Property covered by such Lien and (z) proceeds and products thereof, and (ii) the amount of Indebtedness secured by such Liens does not increase, except as contemplated by Section 10.01(b);</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15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easements, rights-of-way, restrictions (including zoning restrictions), covenants, conditions, encroachments, protrusions and other similar charges or encumbrances, and minor title deficiencies on or with respect to any Real Property, in each case whether now or hereafter in existence, not (i) securing Indebtedness and (ii) individually or in the aggregate materially interfering with the conduct of the business of Borrower and its Restricted Subsidiaries, taken as a whole;</w:t>
      </w:r>
    </w:p>
    <w:p>
      <w:pPr>
        <w:spacing w:after="0" w:line="186" w:lineRule="exact"/>
        <w:rPr>
          <w:rFonts w:ascii="Arial" w:cs="Arial" w:eastAsia="Arial" w:hAnsi="Arial"/>
          <w:sz w:val="18"/>
          <w:szCs w:val="18"/>
          <w:color w:val="auto"/>
        </w:rPr>
      </w:pPr>
    </w:p>
    <w:p>
      <w:pPr>
        <w:ind w:left="1040" w:hanging="384"/>
        <w:spacing w:after="0"/>
        <w:tabs>
          <w:tab w:leader="none" w:pos="10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Liens arising out of judgments or awards not resulting in an Event of Default;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02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Liens (other than any Lien imposed by ERISA) (i) imposed by law or deposits made in connection therewith in the ordinary course of business in connection with workers’ compensation, unemployment insurance and other types of social security, (ii) incurred in the ordinary course of business to secure the performance of tenders, statutory obligations (other than excise taxes), surety, stay, customs and appeal bonds, statutory bonds, bids, leases, government contracts, trade contracts, rental obligations (limited, in the case of rental obligations, to security deposits and deposits to secure obligations for taxes, insurance, maintenance and similar obligations), utility services,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800" w:right="239" w:bottom="1440" w:gutter="0" w:footer="0" w:header="0"/>
        </w:sectPr>
      </w:pPr>
    </w:p>
    <w:bookmarkStart w:id="197" w:name="page198"/>
    <w:bookmarkEnd w:id="197"/>
    <w:p>
      <w:pPr>
        <w:jc w:val="both"/>
        <w:spacing w:after="0" w:line="257" w:lineRule="auto"/>
        <w:rPr>
          <w:sz w:val="20"/>
          <w:szCs w:val="20"/>
          <w:color w:val="auto"/>
        </w:rPr>
      </w:pPr>
      <w:r>
        <w:rPr>
          <w:rFonts w:ascii="Arial" w:cs="Arial" w:eastAsia="Arial" w:hAnsi="Arial"/>
          <w:sz w:val="18"/>
          <w:szCs w:val="18"/>
          <w:color w:val="auto"/>
        </w:rPr>
        <w:t xml:space="preserve">performance and return of money bonds and other similar obligations (exclusive of obligations for the payment of borrowed money), (iii) arising by virtue of deposits made in the ordinary course of business to secure liability for premiums to insurance carriers or (iv) Liens on deposits made to secure Borrower’s or any of its Subsidiaries’ Gaming License applications or to secure the performance of surety or other bonds issued in connection therewith;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to the extent such Liens are not imposed by Law, such Liens shall in no event encumber any Property other than cash and Cash Equivalents or, in the case of clause (iii), proceeds of insurance policies;</w:t>
      </w:r>
    </w:p>
    <w:p>
      <w:pPr>
        <w:spacing w:after="0" w:line="188" w:lineRule="exact"/>
        <w:rPr>
          <w:sz w:val="20"/>
          <w:szCs w:val="20"/>
          <w:color w:val="auto"/>
        </w:rPr>
      </w:pPr>
    </w:p>
    <w:p>
      <w:pPr>
        <w:jc w:val="both"/>
        <w:ind w:firstLine="656"/>
        <w:spacing w:after="0" w:line="270" w:lineRule="auto"/>
        <w:tabs>
          <w:tab w:leader="none" w:pos="105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Leases with respect to the assets or properties of any Credit Party or its respective Subsidiaries (including Leases of any portion of any Facility to persons who, either directly or through Affiliates of such persons, intend to operate or manage nightclubs, bars, restaurants, recreation areas, spas, pools, exercise or gym facilities, or entertainment or retail venues or similar, related or other establishments or facilities within any Facility), in each case entered into in the ordinary course of such Credit Party’s or Subsidiary’s business so long as each of the Leases entered into after the date hereof with respect to Real Property constituting Collateral (for purposes of clarification, excluding any such Leases on Real Property acquired in connection with an Acquisition (including the Wynn Las Vegas Reorganization)) are subordinate in all respects to the Liens granted and evidenced by the Security Documents and do not, individually or in the aggregate, (x) interfere in any material respect with the ordinary conduct of the business of the Credit Parties and their respective Subsidiaries, taken as a whole, or (y) materially impair the use (for its intended purposes) or the value of the Properties of the Credit Parties and their respective Subsidiaries, taken as a whole;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the request of Borrower, the Collateral Agent shall enter into a customary subordination and non-disturbance and attornment agreement in connection with any such Lease;</w:t>
      </w:r>
    </w:p>
    <w:p>
      <w:pPr>
        <w:spacing w:after="0" w:line="177" w:lineRule="exact"/>
        <w:rPr>
          <w:rFonts w:ascii="Arial" w:cs="Arial" w:eastAsia="Arial" w:hAnsi="Arial"/>
          <w:sz w:val="17"/>
          <w:szCs w:val="17"/>
          <w:color w:val="auto"/>
        </w:rPr>
      </w:pPr>
    </w:p>
    <w:p>
      <w:pPr>
        <w:ind w:right="20" w:firstLine="656"/>
        <w:spacing w:after="0" w:line="277" w:lineRule="auto"/>
        <w:tabs>
          <w:tab w:leader="none" w:pos="10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Borrower or such Restricted Subsidiary in the ordinary course of business;</w:t>
      </w:r>
    </w:p>
    <w:p>
      <w:pPr>
        <w:spacing w:after="0" w:line="170" w:lineRule="exact"/>
        <w:rPr>
          <w:rFonts w:ascii="Arial" w:cs="Arial" w:eastAsia="Arial" w:hAnsi="Arial"/>
          <w:sz w:val="18"/>
          <w:szCs w:val="18"/>
          <w:color w:val="auto"/>
        </w:rPr>
      </w:pPr>
    </w:p>
    <w:p>
      <w:pPr>
        <w:jc w:val="both"/>
        <w:ind w:firstLine="656"/>
        <w:spacing w:after="0" w:line="270" w:lineRule="auto"/>
        <w:tabs>
          <w:tab w:leader="none" w:pos="110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Liens arising pursuant to Purchase Money Obligations or Capital Lease Obligations (and refinancings or renewals thereof), in each case, incurred pursuant to Section 10.01(h);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the Indebtedness secured by any such Lien (including refinancings thereof) does not exceed 100% of the cost of the property being acquired, constructed, improved or leased at the time of the incurrence of such Indebtedness </w:t>
      </w:r>
      <w:r>
        <w:rPr>
          <w:rFonts w:ascii="Arial" w:cs="Arial" w:eastAsia="Arial" w:hAnsi="Arial"/>
          <w:sz w:val="17"/>
          <w:szCs w:val="17"/>
          <w:i w:val="1"/>
          <w:iCs w:val="1"/>
          <w:color w:val="auto"/>
        </w:rPr>
        <w:t>plus</w:t>
      </w:r>
      <w:r>
        <w:rPr>
          <w:rFonts w:ascii="Arial" w:cs="Arial" w:eastAsia="Arial" w:hAnsi="Arial"/>
          <w:sz w:val="17"/>
          <w:szCs w:val="17"/>
          <w:color w:val="auto"/>
        </w:rPr>
        <w:t>, the fees and expenses related thereto (</w:t>
      </w:r>
      <w:r>
        <w:rPr>
          <w:rFonts w:ascii="Arial" w:cs="Arial" w:eastAsia="Arial" w:hAnsi="Arial"/>
          <w:sz w:val="17"/>
          <w:szCs w:val="17"/>
          <w:i w:val="1"/>
          <w:iCs w:val="1"/>
          <w:color w:val="auto"/>
        </w:rPr>
        <w:t>plus</w:t>
      </w:r>
      <w:r>
        <w:rPr>
          <w:rFonts w:ascii="Arial" w:cs="Arial" w:eastAsia="Arial" w:hAnsi="Arial"/>
          <w:sz w:val="17"/>
          <w:szCs w:val="17"/>
          <w:color w:val="auto"/>
        </w:rPr>
        <w:t>, in the case of refinancings, accrued interest on the Indebtedness refinanced and fees and expenses relating thereto) and (ii) any such Liens attach only to the property being financed pursuant to such Purchase Money Obligations or Capital Lease Obligations (or in the case of refinancings which were previously financed pursuant to such Purchase Money Obligations or Capital Lease Obligations) (and directly related assets, including proceeds and replacements thereof and proceeds of such financing and any account solely used to hold such proceeds) and do not encumber any other Property of Borrower or any Restricted Subsidiary (it being understood that all Indebtedness to a single lender shall be considered to be a single Purchase Money Obligation, whether drawn at one time or from time to time but that individual financings provided by one lender may be cross-collateralized to other financings provided by such lender and incurred under Section 10.01(h));</w:t>
      </w:r>
    </w:p>
    <w:p>
      <w:pPr>
        <w:spacing w:after="0" w:line="177" w:lineRule="exact"/>
        <w:rPr>
          <w:rFonts w:ascii="Arial" w:cs="Arial" w:eastAsia="Arial" w:hAnsi="Arial"/>
          <w:sz w:val="17"/>
          <w:szCs w:val="17"/>
          <w:color w:val="auto"/>
        </w:rPr>
      </w:pPr>
    </w:p>
    <w:p>
      <w:pPr>
        <w:jc w:val="both"/>
        <w:ind w:firstLine="656"/>
        <w:spacing w:after="0" w:line="276" w:lineRule="auto"/>
        <w:tabs>
          <w:tab w:leader="none" w:pos="1062"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bankers’ Liens, rights of setoff and other similar Liens existing solely with respect to cash and Cash Equivalents on deposit in one or more accounts maintained by Borrower or any Restricted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unless such Liens are non-consensual and arise by operation of law, in no case shall any such Liens secure (either directly or indirectly) the repayment of any Indebtedness;</w:t>
      </w:r>
    </w:p>
    <w:p>
      <w:pPr>
        <w:spacing w:after="0" w:line="172" w:lineRule="exact"/>
        <w:rPr>
          <w:rFonts w:ascii="Arial" w:cs="Arial" w:eastAsia="Arial" w:hAnsi="Arial"/>
          <w:sz w:val="17"/>
          <w:szCs w:val="17"/>
          <w:color w:val="auto"/>
        </w:rPr>
      </w:pPr>
    </w:p>
    <w:p>
      <w:pPr>
        <w:jc w:val="both"/>
        <w:ind w:firstLine="656"/>
        <w:spacing w:after="0" w:line="259" w:lineRule="auto"/>
        <w:tabs>
          <w:tab w:leader="none" w:pos="104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Liens on assets of a Person existing at the time such Person is acquired or merged with or into or consolidated with Borrower or any Restricted Subsidiary (and not created in connection with or in anticipation or contemplation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Liens do not extend to assets not subject to such Liens at the time of acquisition (other than improvements and attachments thereon, accessions thereto and proceeds thereof) and are no more favorable to the lienholders than the existing Lien;</w:t>
      </w:r>
    </w:p>
    <w:p>
      <w:pPr>
        <w:spacing w:after="0" w:line="186" w:lineRule="exact"/>
        <w:rPr>
          <w:rFonts w:ascii="Arial" w:cs="Arial" w:eastAsia="Arial" w:hAnsi="Arial"/>
          <w:sz w:val="18"/>
          <w:szCs w:val="18"/>
          <w:color w:val="auto"/>
        </w:rPr>
      </w:pPr>
    </w:p>
    <w:p>
      <w:pPr>
        <w:ind w:firstLine="656"/>
        <w:spacing w:after="0" w:line="277" w:lineRule="auto"/>
        <w:tabs>
          <w:tab w:leader="none" w:pos="105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in addition to Liens otherwise permitted by this Section 10.02, other Liens incurred with respect to any Indebtedness or other obligations of Borrower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the aggregate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801" w:right="239" w:bottom="1440" w:gutter="0" w:footer="0" w:header="0"/>
        </w:sectPr>
      </w:pPr>
    </w:p>
    <w:bookmarkStart w:id="198" w:name="page199"/>
    <w:bookmarkEnd w:id="198"/>
    <w:p>
      <w:pPr>
        <w:jc w:val="both"/>
        <w:spacing w:after="0" w:line="264" w:lineRule="auto"/>
        <w:rPr>
          <w:sz w:val="20"/>
          <w:szCs w:val="20"/>
          <w:color w:val="auto"/>
        </w:rPr>
      </w:pPr>
      <w:r>
        <w:rPr>
          <w:rFonts w:ascii="Arial" w:cs="Arial" w:eastAsia="Arial" w:hAnsi="Arial"/>
          <w:sz w:val="18"/>
          <w:szCs w:val="18"/>
          <w:color w:val="auto"/>
        </w:rPr>
        <w:t>principal amount of such Indebtedness secured by such Liens shall not exceed as of the time of incurrence $75.0 million in the aggregate, and (B) any such Liens on Collateral shall be junior or otherwise subordinated in all respects to any Liens in favor of Collateral Agent on any of the Collateral to the reasonable satisfaction of Administrative Agent;</w:t>
      </w:r>
    </w:p>
    <w:p>
      <w:pPr>
        <w:spacing w:after="0" w:line="181" w:lineRule="exact"/>
        <w:rPr>
          <w:sz w:val="20"/>
          <w:szCs w:val="20"/>
          <w:color w:val="auto"/>
        </w:rPr>
      </w:pPr>
    </w:p>
    <w:p>
      <w:pPr>
        <w:ind w:firstLine="656"/>
        <w:spacing w:after="0" w:line="277" w:lineRule="auto"/>
        <w:tabs>
          <w:tab w:leader="none" w:pos="109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licenses of Intellectual Property granted by Borrower or any Restricted Subsidiary in the ordinary course of business and not interfering in any material respect with the ordinary conduct of the business of Borrower and its Restricted Subsidiaries, taken as a whole;</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Liens pursuant to the Credit Documents, including, without limitation, Liens related to Cash Collateralizations;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Liens associated with the Wynn Las Vegas Pledge;</w:t>
      </w:r>
    </w:p>
    <w:p>
      <w:pPr>
        <w:spacing w:after="0" w:line="225" w:lineRule="exact"/>
        <w:rPr>
          <w:rFonts w:ascii="Arial" w:cs="Arial" w:eastAsia="Arial" w:hAnsi="Arial"/>
          <w:sz w:val="18"/>
          <w:szCs w:val="18"/>
          <w:color w:val="auto"/>
        </w:rPr>
      </w:pPr>
    </w:p>
    <w:p>
      <w:pPr>
        <w:ind w:firstLine="656"/>
        <w:spacing w:after="0" w:line="277" w:lineRule="auto"/>
        <w:tabs>
          <w:tab w:leader="none" w:pos="106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Liens arising under applicable Gaming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Lien constitutes a Lien securing repayment of Indebtedness for borrowed money;</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06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Liens pursuant to leases entered into for the purpose of, or with respect to, operating or managing Facilities, which Liens are limited to the leased property under the applicable lease and granted to the landlord under such lease for the purpose of securing the obligations of the tenant under such lease to such landlord and (ii) Liens on cash and Cash Equivalents (and on the related escrow accounts or similar accounts, if any) required to be paid to the lessors (or lenders to such lessors) under such leases or maintained in an escrow account or similar account pending application of such proceeds in accordance with the applicable lease;</w:t>
      </w:r>
    </w:p>
    <w:p>
      <w:pPr>
        <w:spacing w:after="0" w:line="188" w:lineRule="exact"/>
        <w:rPr>
          <w:rFonts w:ascii="Arial" w:cs="Arial" w:eastAsia="Arial" w:hAnsi="Arial"/>
          <w:sz w:val="18"/>
          <w:szCs w:val="18"/>
          <w:color w:val="auto"/>
        </w:rPr>
      </w:pPr>
    </w:p>
    <w:p>
      <w:pPr>
        <w:ind w:firstLine="656"/>
        <w:spacing w:after="0" w:line="277" w:lineRule="auto"/>
        <w:tabs>
          <w:tab w:leader="none" w:pos="101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Liens to secure Indebtedness incurred pursuant to Section 10.01(p);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encumber any Property of Borrower or any Restricted Subsidiary other than any Foreign Subsidiary;</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Prior Mortgage Liens with respect to the applicable Mortgaged Real Property;</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Liens on cash and Cash Equivalents deposited to Discharge, redeem or defease Indebtedness that was permitted to so be repaid;</w:t>
      </w:r>
    </w:p>
    <w:p>
      <w:pPr>
        <w:spacing w:after="0" w:line="225" w:lineRule="exact"/>
        <w:rPr>
          <w:rFonts w:ascii="Arial" w:cs="Arial" w:eastAsia="Arial" w:hAnsi="Arial"/>
          <w:sz w:val="18"/>
          <w:szCs w:val="18"/>
          <w:color w:val="auto"/>
        </w:rPr>
      </w:pPr>
    </w:p>
    <w:p>
      <w:pPr>
        <w:ind w:firstLine="656"/>
        <w:spacing w:after="0" w:line="277" w:lineRule="auto"/>
        <w:tabs>
          <w:tab w:leader="none" w:pos="111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Liens arising from precautionary UCC financing statements filings regarding operating leases or consignment of goods entered into in the ordinary course of business;</w:t>
      </w:r>
    </w:p>
    <w:p>
      <w:pPr>
        <w:spacing w:after="0" w:line="170" w:lineRule="exact"/>
        <w:rPr>
          <w:rFonts w:ascii="Arial" w:cs="Arial" w:eastAsia="Arial" w:hAnsi="Arial"/>
          <w:sz w:val="18"/>
          <w:szCs w:val="18"/>
          <w:color w:val="auto"/>
        </w:rPr>
      </w:pPr>
    </w:p>
    <w:p>
      <w:pPr>
        <w:jc w:val="both"/>
        <w:ind w:firstLine="656"/>
        <w:spacing w:after="0" w:line="312" w:lineRule="auto"/>
        <w:tabs>
          <w:tab w:leader="none" w:pos="104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Liens on the Collateral securing (i) Permitted First Lien Indebtedness permitted under Section 10.01(m) or Permitted First Priority Refinancing Debt and, in each case, subject to the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Intercreditor Agreement or (ii) Permitted Second Lien Indebtedness permitted under Sections 10.01(l) or 10.01(m) or Permitted Second Priority Refinancing Debt and, in each case, subject to the Second Lien Intercreditor Agreement (as “Second Priority Liens”);</w:t>
      </w:r>
    </w:p>
    <w:p>
      <w:pPr>
        <w:spacing w:after="0" w:line="146" w:lineRule="exact"/>
        <w:rPr>
          <w:rFonts w:ascii="Arial" w:cs="Arial" w:eastAsia="Arial" w:hAnsi="Arial"/>
          <w:sz w:val="16"/>
          <w:szCs w:val="16"/>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308" w:lineRule="auto"/>
        <w:tabs>
          <w:tab w:leader="none" w:pos="10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Liens solely on any cash earnest money deposits made by Borrower or any of its Subsidiaries in connection with any letter of intent or purchase agreement in respect of a Permitted Acquisition or Investment (including any other Acquisition) not prohibited by this Agreement;</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09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any non-Wholly Owned Subsidiary or Joint Venture, any put and call arrangements or restrictions on disposition related to its Equity Interests set forth in its organizational documents or any related joint venture or similar agreement and, in the case of any Joint Venture, Liens on its Equity Interests securing obligations of such joint ventures;</w:t>
      </w:r>
    </w:p>
    <w:p>
      <w:pPr>
        <w:spacing w:after="0" w:line="181"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Liens arising in connection with transactions relating to the selling, factoring or discounting of accounts receivable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801" w:right="239" w:bottom="1440" w:gutter="0" w:footer="0" w:header="0"/>
        </w:sectPr>
      </w:pPr>
    </w:p>
    <w:bookmarkStart w:id="199" w:name="page200"/>
    <w:bookmarkEnd w:id="199"/>
    <w:p>
      <w:pPr>
        <w:ind w:firstLine="656"/>
        <w:spacing w:after="0" w:line="277" w:lineRule="auto"/>
        <w:tabs>
          <w:tab w:leader="none" w:pos="124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licenses, leases or subleases granted to other Persons not materially interfering with the conduct of the business of Borrower and its Subsidiaries taken as a whole;</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interest or title of a lessor, sublessor, licensee or licensor under any lease or license agreement permitted by this Agreement;</w:t>
      </w:r>
    </w:p>
    <w:p>
      <w:pPr>
        <w:spacing w:after="0" w:line="225" w:lineRule="exact"/>
        <w:rPr>
          <w:rFonts w:ascii="Arial" w:cs="Arial" w:eastAsia="Arial" w:hAnsi="Arial"/>
          <w:sz w:val="18"/>
          <w:szCs w:val="18"/>
          <w:color w:val="auto"/>
        </w:rPr>
      </w:pPr>
    </w:p>
    <w:p>
      <w:pPr>
        <w:ind w:firstLine="656"/>
        <w:spacing w:after="0" w:line="277" w:lineRule="auto"/>
        <w:tabs>
          <w:tab w:leader="none" w:pos="113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securing obligations of any Person in respect of employee deferred compensation and benefit plans in connection with “rabbi trusts” or other similar arrangements;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9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securing obligations in respect of trade-related letters of credit, bank guarantees or similar obligations permitted under Section 10.01 and covering the property (or the documents of title in respect of such property) financed by such letters of credit, bank guarantees or similar obligations and the proceeds and products thereof;</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2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Liens on goods or inventory the purchase, shipment or storage price of which is financed by a documentary letter of credit, bank guarantee or bankers’ acceptance issued or created for the account of Borrower or any Subsidiary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 secures only the obligations of Borrower or such Subsidiaries in respect of such letter of credit, bank guarantee or banker’s acceptance to the extent permitted under Section 10.01;</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08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Liens arising pursuant to Indebtedness incurred pursuant to Section 10.01(u) in an aggregate principal amount not to exceed $250.0 million at any time outstanding, at the direction of Borrower subject to the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 or the Second Lien Intercreditor Agreement, as may be applicable;</w:t>
      </w:r>
    </w:p>
    <w:p>
      <w:pPr>
        <w:spacing w:after="0" w:line="181" w:lineRule="exact"/>
        <w:rPr>
          <w:rFonts w:ascii="Arial" w:cs="Arial" w:eastAsia="Arial" w:hAnsi="Arial"/>
          <w:sz w:val="18"/>
          <w:szCs w:val="18"/>
          <w:color w:val="auto"/>
        </w:rPr>
      </w:pPr>
    </w:p>
    <w:p>
      <w:pPr>
        <w:ind w:left="1140" w:hanging="484"/>
        <w:spacing w:after="0"/>
        <w:tabs>
          <w:tab w:leader="none" w:pos="11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Liens on the Aircraft Assets to secure Indebtedness of World Travel, LLC, which is permitted to be incurred pursuant to Section 10.01(x);</w:t>
      </w:r>
    </w:p>
    <w:p>
      <w:pPr>
        <w:spacing w:after="0" w:line="236" w:lineRule="exact"/>
        <w:rPr>
          <w:rFonts w:ascii="Arial" w:cs="Arial" w:eastAsia="Arial" w:hAnsi="Arial"/>
          <w:sz w:val="17"/>
          <w:szCs w:val="17"/>
          <w:color w:val="auto"/>
        </w:rPr>
      </w:pPr>
    </w:p>
    <w:p>
      <w:pPr>
        <w:ind w:firstLine="656"/>
        <w:spacing w:after="0" w:line="277" w:lineRule="auto"/>
        <w:tabs>
          <w:tab w:leader="none" w:pos="117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filing of a reversion, subdivision or final map(s), record(s) of survey and/or amendments to any of the foregoing over Real Property the gross acreage and footprint of any applicable Mortgaged Real Property remains unaffected in any material respect; and</w:t>
      </w:r>
    </w:p>
    <w:p>
      <w:pPr>
        <w:spacing w:after="0" w:line="170" w:lineRule="exact"/>
        <w:rPr>
          <w:rFonts w:ascii="Arial" w:cs="Arial" w:eastAsia="Arial" w:hAnsi="Arial"/>
          <w:sz w:val="18"/>
          <w:szCs w:val="18"/>
          <w:color w:val="auto"/>
        </w:rPr>
      </w:pPr>
    </w:p>
    <w:p>
      <w:pPr>
        <w:ind w:firstLine="656"/>
        <w:spacing w:after="0" w:line="308" w:lineRule="auto"/>
        <w:tabs>
          <w:tab w:leader="none" w:pos="115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from and after the disposition or lease or sublease of any interest in Real Property otherwise permitted pursuant to this Agreement, any reciprocal easement or similar agreement entered into between Borrower or any Restricted Subsidiary and the acquirer or holder of such interest.</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the granting of Liens of the types described in this Section 10.02 by Borrower of any of its Restricted Subsidiaries, Administrative Agent and Collateral Agent shall be authorized to take any actions deemed appropriate by it in connection therewith (including, without limitation, by entering into or amending appropriate lien subordination or intercreditor agreements). For purposes of determining compliance with this Section 10.02, (A) a Lien securing an item of Indebtedness need not be permitted solely by reference to one category of permitted Liens described in Sections 10.02(a) through (ii) but may be permitted in part under any combination thereof and (B) in the event that a Lien securing an item of Indebtedness (or any portion thereof) meets the criteria of one or more of the categories of permitted Liens described in Sections 10.02(a) through (ii), Borrower shall, in its sole discretion, classify or reclassify, or later divide, classify or reclassify, such Lien securing such item of Indebtedness (or any portion thereof) in any manner that complies with this covenant and will only be required to include the amount and type of such Lien or such item of Indebtedness (or any portion thereof) secured by such Lien in one of the above clauses and such Lien securing such item of Indebtedness (or any portion thereof) will be treated as being incurred or existing pursuant to only one of such clauses. In addition, with respect to any Lien securing Indebtedness that was permitted to secure such Indebtedness at the time of the incurrence of such Indebtedness, such Lien shall also be permitted to secure any Increased Amount of such Indebtedness.</w:t>
      </w:r>
    </w:p>
    <w:p>
      <w:pPr>
        <w:spacing w:after="0" w:line="16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10.03.</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800" w:right="239" w:bottom="1440" w:gutter="0" w:footer="0" w:header="0"/>
        </w:sectPr>
      </w:pPr>
    </w:p>
    <w:bookmarkStart w:id="200" w:name="page201"/>
    <w:bookmarkEnd w:id="200"/>
    <w:p>
      <w:pPr>
        <w:ind w:left="660"/>
        <w:spacing w:after="0"/>
        <w:tabs>
          <w:tab w:leader="none" w:pos="2280" w:val="left"/>
        </w:tabs>
        <w:rPr>
          <w:sz w:val="20"/>
          <w:szCs w:val="20"/>
          <w:color w:val="auto"/>
        </w:rPr>
      </w:pPr>
      <w:r>
        <w:rPr>
          <w:rFonts w:ascii="Arial" w:cs="Arial" w:eastAsia="Arial" w:hAnsi="Arial"/>
          <w:sz w:val="18"/>
          <w:szCs w:val="18"/>
          <w:b w:val="1"/>
          <w:bCs w:val="1"/>
          <w:color w:val="auto"/>
        </w:rPr>
        <w:t>SECTION 10.04.</w:t>
      </w:r>
      <w:r>
        <w:rPr>
          <w:sz w:val="20"/>
          <w:szCs w:val="20"/>
          <w:color w:val="auto"/>
        </w:rPr>
        <w:tab/>
      </w:r>
      <w:r>
        <w:rPr>
          <w:rFonts w:ascii="Arial" w:cs="Arial" w:eastAsia="Arial" w:hAnsi="Arial"/>
          <w:sz w:val="17"/>
          <w:szCs w:val="17"/>
          <w:b w:val="1"/>
          <w:bCs w:val="1"/>
          <w:color w:val="auto"/>
        </w:rPr>
        <w:t>Investments, Loans and Advances</w:t>
      </w:r>
      <w:r>
        <w:rPr>
          <w:rFonts w:ascii="Arial" w:cs="Arial" w:eastAsia="Arial" w:hAnsi="Arial"/>
          <w:sz w:val="17"/>
          <w:szCs w:val="17"/>
          <w:color w:val="auto"/>
        </w:rPr>
        <w:t>. Neither Borrower nor any Restricted Subsidiary will, directly or indirectly, make 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 except for the following:</w:t>
      </w:r>
    </w:p>
    <w:p>
      <w:pPr>
        <w:spacing w:after="0" w:line="211" w:lineRule="exact"/>
        <w:rPr>
          <w:sz w:val="20"/>
          <w:szCs w:val="20"/>
          <w:color w:val="auto"/>
        </w:rPr>
      </w:pPr>
    </w:p>
    <w:p>
      <w:pPr>
        <w:ind w:firstLine="656"/>
        <w:spacing w:after="0" w:line="277" w:lineRule="auto"/>
        <w:tabs>
          <w:tab w:leader="none" w:pos="109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Investments outstanding on the Closing Date and identified on </w:t>
      </w:r>
      <w:r>
        <w:rPr>
          <w:rFonts w:ascii="Arial" w:cs="Arial" w:eastAsia="Arial" w:hAnsi="Arial"/>
          <w:sz w:val="18"/>
          <w:szCs w:val="18"/>
          <w:u w:val="single" w:color="auto"/>
          <w:color w:val="auto"/>
        </w:rPr>
        <w:t>Schedule 10.04</w:t>
      </w:r>
      <w:r>
        <w:rPr>
          <w:rFonts w:ascii="Arial" w:cs="Arial" w:eastAsia="Arial" w:hAnsi="Arial"/>
          <w:sz w:val="18"/>
          <w:szCs w:val="18"/>
          <w:color w:val="auto"/>
        </w:rPr>
        <w:t xml:space="preserve"> and any Investments received in respect thereof without the payment of additional consideration (other than through the issuance of or exchange of Qualified Capital Stock);</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Investments in cash and Cash Equivalents (including Investments that were Cash Equivalents when made);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Borrower may enter into Swap Contracts to the extent permitted by Section 10.01(c);</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06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Investments (i) by Borrower in any Restricted Subsidiary, (ii) by any Restricted Subsidiary in Borrower and (iii) by a Restricted Subsidiary in another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any intercompany loan (it being understood and agreed that intercompany receivables or advances made in the ordinary course of business do not constitute loans) in excess of $20.0 million individually shall be evidenced by a promissory note and, to the extent that the payee, holder or lender of such intercompany loan is a Credit Party, such promissory note shall be pledged (and delivered) by such Credit Party to Collateral Agent on behalf of the Secured Parties;</w:t>
      </w:r>
    </w:p>
    <w:p>
      <w:pPr>
        <w:spacing w:after="0" w:line="188" w:lineRule="exact"/>
        <w:rPr>
          <w:rFonts w:ascii="Arial" w:cs="Arial" w:eastAsia="Arial" w:hAnsi="Arial"/>
          <w:sz w:val="18"/>
          <w:szCs w:val="18"/>
          <w:color w:val="auto"/>
        </w:rPr>
      </w:pPr>
    </w:p>
    <w:p>
      <w:pPr>
        <w:ind w:left="1040" w:hanging="384"/>
        <w:spacing w:after="0"/>
        <w:tabs>
          <w:tab w:leader="none" w:pos="10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Borrower and its Restricted Subsidiaries may sell or transfer assets to the extent permitted by Section 10.05;</w:t>
      </w:r>
    </w:p>
    <w:p>
      <w:pPr>
        <w:spacing w:after="0" w:line="225" w:lineRule="exact"/>
        <w:rPr>
          <w:rFonts w:ascii="Arial" w:cs="Arial" w:eastAsia="Arial" w:hAnsi="Arial"/>
          <w:sz w:val="18"/>
          <w:szCs w:val="18"/>
          <w:color w:val="auto"/>
        </w:rPr>
      </w:pPr>
    </w:p>
    <w:p>
      <w:pPr>
        <w:ind w:firstLine="656"/>
        <w:spacing w:after="0" w:line="308" w:lineRule="auto"/>
        <w:tabs>
          <w:tab w:leader="none" w:pos="1109"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Investments in securities of trade creditors or customers received pursuant to any plan of reorganization or similar arrangement upon the bankruptcy or insolvency of such trade creditors or customers or in settlement of delinquent or overdue accounts in the ordinary course of business;</w:t>
      </w:r>
    </w:p>
    <w:p>
      <w:pPr>
        <w:spacing w:after="0" w:line="146" w:lineRule="exact"/>
        <w:rPr>
          <w:rFonts w:ascii="Arial" w:cs="Arial" w:eastAsia="Arial" w:hAnsi="Arial"/>
          <w:sz w:val="17"/>
          <w:szCs w:val="17"/>
          <w:color w:val="auto"/>
        </w:rPr>
      </w:pPr>
    </w:p>
    <w:p>
      <w:pPr>
        <w:ind w:firstLine="656"/>
        <w:spacing w:after="0" w:line="277" w:lineRule="auto"/>
        <w:tabs>
          <w:tab w:leader="none" w:pos="109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Investments made by Borrower or any Restricted Subsidiary with, or as a result of, consideration received in connection with an Asset Sale made in compliance with Section 10.05;</w:t>
      </w:r>
    </w:p>
    <w:p>
      <w:pPr>
        <w:spacing w:after="0" w:line="170" w:lineRule="exact"/>
        <w:rPr>
          <w:rFonts w:ascii="Arial" w:cs="Arial" w:eastAsia="Arial" w:hAnsi="Arial"/>
          <w:sz w:val="18"/>
          <w:szCs w:val="18"/>
          <w:color w:val="auto"/>
        </w:rPr>
      </w:pPr>
    </w:p>
    <w:p>
      <w:pPr>
        <w:ind w:firstLine="656"/>
        <w:spacing w:after="0" w:line="277" w:lineRule="auto"/>
        <w:tabs>
          <w:tab w:leader="none" w:pos="108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Investments made to officers, directors and employees in the ordinary course of business not to exceed $10.0 million in the aggregate at any time outstanding;</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firstLine="656"/>
        <w:spacing w:after="0" w:line="277" w:lineRule="auto"/>
        <w:tabs>
          <w:tab w:leader="none" w:pos="10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accounts receivable, security deposits, prepayments (including prepayments of expenses), credits and extensions of trade credit (including to gaming customers) in the ordinary course of business;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Investments resulting from pledges and deposits permitted under Section 10.02;</w:t>
      </w:r>
    </w:p>
    <w:p>
      <w:pPr>
        <w:spacing w:after="0" w:line="225" w:lineRule="exact"/>
        <w:rPr>
          <w:rFonts w:ascii="Arial" w:cs="Arial" w:eastAsia="Arial" w:hAnsi="Arial"/>
          <w:sz w:val="18"/>
          <w:szCs w:val="18"/>
          <w:color w:val="auto"/>
        </w:rPr>
      </w:pPr>
    </w:p>
    <w:p>
      <w:pPr>
        <w:jc w:val="both"/>
        <w:ind w:firstLine="656"/>
        <w:spacing w:after="0" w:line="270" w:lineRule="auto"/>
        <w:tabs>
          <w:tab w:leader="none" w:pos="102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in addition to Investments otherwise permitted by this Section 10.04, from and after the earlier of the Wynn Las Vegas Reorganization and the Wynn Massachusetts Project Opening Date, Investments by Borrower or any of its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amount of such Investments to be made pursuant to this Section 10.04(l) do not exceed the Available Amount determined at the time such Investment is made, (ii) immediately before and after giving effect thereto, no Event of Default has occurred and is continuing and (iii)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Investment pursuant to this clause (l)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(l) for so long as such person continues to be a Restricted Subsidiary of Borrower;</w:t>
      </w:r>
    </w:p>
    <w:p>
      <w:pPr>
        <w:spacing w:after="0" w:line="177" w:lineRule="exact"/>
        <w:rPr>
          <w:rFonts w:ascii="Arial" w:cs="Arial" w:eastAsia="Arial" w:hAnsi="Arial"/>
          <w:sz w:val="17"/>
          <w:szCs w:val="17"/>
          <w:color w:val="auto"/>
        </w:rPr>
      </w:pPr>
    </w:p>
    <w:p>
      <w:pPr>
        <w:ind w:left="1100" w:hanging="444"/>
        <w:spacing w:after="0"/>
        <w:tabs>
          <w:tab w:leader="none" w:pos="11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797" w:right="239" w:bottom="1440" w:gutter="0" w:footer="0" w:header="0"/>
        </w:sectPr>
      </w:pPr>
    </w:p>
    <w:bookmarkStart w:id="201" w:name="page202"/>
    <w:bookmarkEnd w:id="201"/>
    <w:p>
      <w:pPr>
        <w:ind w:firstLine="656"/>
        <w:spacing w:after="0" w:line="308" w:lineRule="auto"/>
        <w:tabs>
          <w:tab w:leader="none" w:pos="1045" w:val="left"/>
        </w:tabs>
        <w:numPr>
          <w:ilvl w:val="1"/>
          <w:numId w:val="155"/>
        </w:numPr>
        <w:rPr>
          <w:rFonts w:ascii="Arial" w:cs="Arial" w:eastAsia="Arial" w:hAnsi="Arial"/>
          <w:sz w:val="17"/>
          <w:szCs w:val="17"/>
          <w:color w:val="auto"/>
        </w:rPr>
      </w:pPr>
      <w:r>
        <w:rPr>
          <w:rFonts w:ascii="Arial" w:cs="Arial" w:eastAsia="Arial" w:hAnsi="Arial"/>
          <w:sz w:val="17"/>
          <w:szCs w:val="17"/>
          <w:color w:val="auto"/>
        </w:rPr>
        <w:t>payments with respect to any Qualified Contingent Obligations, so long as, at the time such Qualified Contingent Obligation was incurred or, if earlier, the agreement to incur such Qualified Contingent Obligations was entered into, such Investment was permitted under this Agreement;</w:t>
      </w:r>
    </w:p>
    <w:p>
      <w:pPr>
        <w:spacing w:after="0" w:line="146" w:lineRule="exact"/>
        <w:rPr>
          <w:rFonts w:ascii="Arial" w:cs="Arial" w:eastAsia="Arial" w:hAnsi="Arial"/>
          <w:sz w:val="17"/>
          <w:szCs w:val="17"/>
          <w:color w:val="auto"/>
        </w:rPr>
      </w:pPr>
    </w:p>
    <w:p>
      <w:pPr>
        <w:jc w:val="both"/>
        <w:ind w:firstLine="656"/>
        <w:spacing w:after="0" w:line="286" w:lineRule="auto"/>
        <w:tabs>
          <w:tab w:leader="none" w:pos="1125" w:val="left"/>
        </w:tabs>
        <w:numPr>
          <w:ilvl w:val="1"/>
          <w:numId w:val="155"/>
        </w:numPr>
        <w:rPr>
          <w:rFonts w:ascii="Arial" w:cs="Arial" w:eastAsia="Arial" w:hAnsi="Arial"/>
          <w:sz w:val="17"/>
          <w:szCs w:val="17"/>
          <w:color w:val="auto"/>
        </w:rPr>
      </w:pPr>
      <w:r>
        <w:rPr>
          <w:rFonts w:ascii="Arial" w:cs="Arial" w:eastAsia="Arial" w:hAnsi="Arial"/>
          <w:sz w:val="17"/>
          <w:szCs w:val="17"/>
          <w:color w:val="auto"/>
        </w:rPr>
        <w:t>Investments of a Restricted Subsidiary acquired after the Closing Date or of a Person merged or consolidated with or into Borrower or a Restricted Subsidiary, in each case in accordance with the terms of this Agreement to the extent that such Investments were not made in contemplation of or in connection with such acquisition, merger or consolidation and were in existence on the date of such acquisition, merger or consolidation;</w:t>
      </w:r>
    </w:p>
    <w:p>
      <w:pPr>
        <w:spacing w:after="0" w:line="165" w:lineRule="exact"/>
        <w:rPr>
          <w:rFonts w:ascii="Arial" w:cs="Arial" w:eastAsia="Arial" w:hAnsi="Arial"/>
          <w:sz w:val="17"/>
          <w:szCs w:val="17"/>
          <w:color w:val="auto"/>
        </w:rPr>
      </w:pPr>
    </w:p>
    <w:p>
      <w:pPr>
        <w:ind w:left="1040" w:hanging="384"/>
        <w:spacing w:after="0"/>
        <w:tabs>
          <w:tab w:leader="none" w:pos="104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Investments in the nature of pledges or deposits with respect to leases or utilities provided to third parties in the ordinary course of business;</w:t>
      </w:r>
    </w:p>
    <w:p>
      <w:pPr>
        <w:spacing w:after="0" w:line="248" w:lineRule="exact"/>
        <w:rPr>
          <w:rFonts w:ascii="Arial" w:cs="Arial" w:eastAsia="Arial" w:hAnsi="Arial"/>
          <w:sz w:val="16"/>
          <w:szCs w:val="16"/>
          <w:color w:val="auto"/>
        </w:rPr>
      </w:pPr>
    </w:p>
    <w:p>
      <w:pPr>
        <w:jc w:val="both"/>
        <w:ind w:firstLine="656"/>
        <w:spacing w:after="0" w:line="257" w:lineRule="auto"/>
        <w:tabs>
          <w:tab w:leader="none" w:pos="118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from and after the earlier of the Wynn Las Vegas Reorganization and the Wynn Massachusetts Project Opening Date, Investments in Unrestricted Subsidiaries in an amount as of the time of incurrence not to exceed $100.0 million (plus (x)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and (y) reductions in the amount of such Investments as provided in the definition of “Investment”);</w:t>
      </w:r>
    </w:p>
    <w:p>
      <w:pPr>
        <w:spacing w:after="0" w:line="188" w:lineRule="exact"/>
        <w:rPr>
          <w:rFonts w:ascii="Arial" w:cs="Arial" w:eastAsia="Arial" w:hAnsi="Arial"/>
          <w:sz w:val="18"/>
          <w:szCs w:val="18"/>
          <w:color w:val="auto"/>
        </w:rPr>
      </w:pPr>
    </w:p>
    <w:p>
      <w:pPr>
        <w:ind w:left="1020" w:hanging="364"/>
        <w:spacing w:after="0"/>
        <w:tabs>
          <w:tab w:leader="none" w:pos="10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occurrence of a Reverse Trigger Event under any applicable Transfer Agreement;</w:t>
      </w:r>
    </w:p>
    <w:p>
      <w:pPr>
        <w:spacing w:after="0" w:line="225" w:lineRule="exact"/>
        <w:rPr>
          <w:rFonts w:ascii="Arial" w:cs="Arial" w:eastAsia="Arial" w:hAnsi="Arial"/>
          <w:sz w:val="18"/>
          <w:szCs w:val="18"/>
          <w:color w:val="auto"/>
        </w:rPr>
      </w:pPr>
    </w:p>
    <w:p>
      <w:pPr>
        <w:jc w:val="both"/>
        <w:ind w:firstLine="656"/>
        <w:spacing w:after="0" w:line="283" w:lineRule="auto"/>
        <w:tabs>
          <w:tab w:leader="none" w:pos="1045"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from and after the earlier of the Wynn Las Vegas Reorganization and the Wynn Massachusetts Project Opening Date, so long as immediately before and after giving effect thereto no Event of Default has occurred and is continuing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and its Restricted Subsidiaries may make Investments in an aggregate amount not in excess of an amount equal to $225.0 million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Restricted Payments made pursuant to Section 10.06(i)(i) and the aggregate amount of Junior Prepayments made pursuant to Section 10.09(a)(i);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Investment pursuant to this clause (s)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w:t>
      </w:r>
    </w:p>
    <w:p>
      <w:pPr>
        <w:spacing w:after="0" w:line="4" w:lineRule="exact"/>
        <w:rPr>
          <w:rFonts w:ascii="Arial" w:cs="Arial" w:eastAsia="Arial" w:hAnsi="Arial"/>
          <w:sz w:val="16"/>
          <w:szCs w:val="16"/>
          <w:color w:val="auto"/>
        </w:rPr>
      </w:pPr>
    </w:p>
    <w:p>
      <w:pPr>
        <w:ind w:left="240" w:hanging="232"/>
        <w:spacing w:after="0"/>
        <w:tabs>
          <w:tab w:leader="none" w:pos="2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so long as such person continues to be a Restricted Subsidiary of Borrower;</w:t>
      </w:r>
    </w:p>
    <w:p>
      <w:pPr>
        <w:spacing w:after="0" w:line="210" w:lineRule="exact"/>
        <w:rPr>
          <w:rFonts w:ascii="Arial" w:cs="Arial" w:eastAsia="Arial" w:hAnsi="Arial"/>
          <w:sz w:val="18"/>
          <w:szCs w:val="18"/>
          <w:color w:val="auto"/>
        </w:rPr>
      </w:pPr>
    </w:p>
    <w:p>
      <w:pPr>
        <w:ind w:firstLine="656"/>
        <w:spacing w:after="0" w:line="277" w:lineRule="auto"/>
        <w:tabs>
          <w:tab w:leader="none" w:pos="1043"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Investments to the extent that payment for such Investments is made with (or such Investments are received substantially contemporaneously in exchange for) Qualified Capital Stock of Borrower or any parent entity of Borrower;</w:t>
      </w:r>
    </w:p>
    <w:p>
      <w:pPr>
        <w:spacing w:after="0" w:line="170" w:lineRule="exact"/>
        <w:rPr>
          <w:rFonts w:ascii="Arial" w:cs="Arial" w:eastAsia="Arial" w:hAnsi="Arial"/>
          <w:sz w:val="18"/>
          <w:szCs w:val="18"/>
          <w:color w:val="auto"/>
        </w:rPr>
      </w:pPr>
    </w:p>
    <w:p>
      <w:pPr>
        <w:ind w:firstLine="656"/>
        <w:spacing w:after="0" w:line="277" w:lineRule="auto"/>
        <w:tabs>
          <w:tab w:leader="none" w:pos="111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70" w:lineRule="exact"/>
        <w:rPr>
          <w:rFonts w:ascii="Arial" w:cs="Arial" w:eastAsia="Arial" w:hAnsi="Arial"/>
          <w:sz w:val="18"/>
          <w:szCs w:val="18"/>
          <w:color w:val="auto"/>
        </w:rPr>
      </w:pPr>
    </w:p>
    <w:p>
      <w:pPr>
        <w:ind w:firstLine="656"/>
        <w:spacing w:after="0" w:line="277" w:lineRule="auto"/>
        <w:tabs>
          <w:tab w:leader="none" w:pos="115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Investments consisting of the licensing or contribution of intellectual property pursuant to joint marketing or other arrangements with other persons in the ordinary course of business; and</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285" w:val="left"/>
        </w:tabs>
        <w:numPr>
          <w:ilvl w:val="1"/>
          <w:numId w:val="156"/>
        </w:numPr>
        <w:rPr>
          <w:rFonts w:ascii="Arial" w:cs="Arial" w:eastAsia="Arial" w:hAnsi="Arial"/>
          <w:sz w:val="17"/>
          <w:szCs w:val="17"/>
          <w:color w:val="auto"/>
        </w:rPr>
      </w:pPr>
      <w:r>
        <w:rPr>
          <w:rFonts w:ascii="Arial" w:cs="Arial" w:eastAsia="Arial" w:hAnsi="Arial"/>
          <w:sz w:val="17"/>
          <w:szCs w:val="17"/>
          <w:color w:val="auto"/>
        </w:rPr>
        <w:t>Investments in Joint Ventures established to develop or operate nightclubs, bars, restaurants, recreation, exercise or gym facilities, or entertainment or retail venues or similar, related or other establishments or facilities within any Facility not to exceed as of the time of incurrence in the aggregate (x) prior to the earlier of the Wynn Las Vegas Reorganization and the Wynn Massachusetts Project Opening Date, $5.0 million and (y) thereafter $100.0 million (in each case plus the amounts received by Borrower and its Restricted Subsidiaries with respect to such</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800" w:right="239" w:bottom="1440" w:gutter="0" w:footer="0" w:header="0"/>
        </w:sectPr>
      </w:pPr>
    </w:p>
    <w:bookmarkStart w:id="202" w:name="page203"/>
    <w:bookmarkEnd w:id="202"/>
    <w:p>
      <w:pPr>
        <w:spacing w:after="0" w:line="277" w:lineRule="auto"/>
        <w:rPr>
          <w:sz w:val="20"/>
          <w:szCs w:val="20"/>
          <w:color w:val="auto"/>
        </w:rPr>
      </w:pPr>
      <w:r>
        <w:rPr>
          <w:rFonts w:ascii="Arial" w:cs="Arial" w:eastAsia="Arial" w:hAnsi="Arial"/>
          <w:sz w:val="18"/>
          <w:szCs w:val="18"/>
          <w:color w:val="auto"/>
        </w:rPr>
        <w:t>Investments (including with respect to contracts related to such Investments and including principal, interest, dividends, distributions, sale proceeds, payments under contracts relating to such Investments or other amounts));</w:t>
      </w:r>
    </w:p>
    <w:p>
      <w:pPr>
        <w:spacing w:after="0" w:line="170" w:lineRule="exact"/>
        <w:rPr>
          <w:sz w:val="20"/>
          <w:szCs w:val="20"/>
          <w:color w:val="auto"/>
        </w:rPr>
      </w:pPr>
    </w:p>
    <w:p>
      <w:pPr>
        <w:jc w:val="both"/>
        <w:ind w:firstLine="656"/>
        <w:spacing w:after="0" w:line="271" w:lineRule="auto"/>
        <w:tabs>
          <w:tab w:leader="none" w:pos="115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Borrower and its Restricted Subsidiaries may make Investments in an aggregate amount not in excess of an amount equal to $50.0 million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aggregate amount of Restricted Payments made pursuant to Section 10.06(l) and the aggregate amount of Junior Prepayments made pursuant to Section 10.09(i);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Investment pursuant to this clause (x) is made in any person that is not a Subsidiary of Borrower at the date of the making of such Investment and such person becomes a Subsidiary of Borrower after such date, such Investment shall, upon the election of Borrower, thereafter be deemed to have been made pursuant to clause (d) above and shall cease to have been made pursuant to this clause (x) for so long as such person continues to be a Subsidiary of Borrower; and</w:t>
      </w:r>
    </w:p>
    <w:p>
      <w:pPr>
        <w:spacing w:after="0" w:line="178" w:lineRule="exact"/>
        <w:rPr>
          <w:rFonts w:ascii="Arial" w:cs="Arial" w:eastAsia="Arial" w:hAnsi="Arial"/>
          <w:sz w:val="17"/>
          <w:szCs w:val="17"/>
          <w:color w:val="auto"/>
        </w:rPr>
      </w:pPr>
    </w:p>
    <w:p>
      <w:pPr>
        <w:jc w:val="both"/>
        <w:ind w:firstLine="656"/>
        <w:spacing w:after="0" w:line="273" w:lineRule="auto"/>
        <w:tabs>
          <w:tab w:leader="none" w:pos="109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in addition to Investments otherwise permitted by this Section 10.04, Investments by Borrower or any of its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amount of such Investments to be made pursuant to this Section 10.04(y) do not exceed the Available Equity Amount determined at the time such Investment is made;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Investment pursuant to this clause (y)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(y) for so long as such person continues to be a Restricted Subsidiary of Borrower.</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Investment in any person other than a Restricted Subsidiary that is otherwise permitted by this Section 10.04 may be made through intermediate Investments in Subsidiaries that are not Restricted Subsidiaries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(as determined by Borrower in good faith) valued at the time of the making thereof, and without giving effect to any subsequent write-downs or write-offs thereof.</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10.05. Mergers, Consolidations and Sales of Assets</w:t>
      </w:r>
      <w:r>
        <w:rPr>
          <w:rFonts w:ascii="Arial" w:cs="Arial" w:eastAsia="Arial" w:hAnsi="Arial"/>
          <w:sz w:val="18"/>
          <w:szCs w:val="18"/>
          <w:color w:val="auto"/>
        </w:rPr>
        <w:t>. Neither Borrower nor any Restricted Subsidiary will wind up, liquidate or</w:t>
      </w:r>
      <w:r>
        <w:rPr>
          <w:rFonts w:ascii="Arial" w:cs="Arial" w:eastAsia="Arial" w:hAnsi="Arial"/>
          <w:sz w:val="18"/>
          <w:szCs w:val="18"/>
          <w:b w:val="1"/>
          <w:bCs w:val="1"/>
          <w:color w:val="auto"/>
        </w:rPr>
        <w:t xml:space="preserve"> </w:t>
      </w:r>
      <w:r>
        <w:rPr>
          <w:rFonts w:ascii="Arial" w:cs="Arial" w:eastAsia="Arial" w:hAnsi="Arial"/>
          <w:sz w:val="18"/>
          <w:szCs w:val="18"/>
          <w:color w:val="auto"/>
        </w:rPr>
        <w:t>dissolve its affairs or enter into any transaction of merger or consolidation (other than solely to change the jurisdiction of organization or type of organization (to the extent in compliance with the applicable provisions of the Security Agreement)), or convey, sell, lease or sublease (as lessor or sublessor), transfer or otherwise dispose of all or substantially all of its business, property or assets, except for:</w:t>
      </w:r>
    </w:p>
    <w:p>
      <w:pPr>
        <w:spacing w:after="0" w:line="184" w:lineRule="exact"/>
        <w:rPr>
          <w:sz w:val="20"/>
          <w:szCs w:val="20"/>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Capital Expenditures by Borrower and the Restricted Subsidiaries;</w:t>
      </w:r>
    </w:p>
    <w:p>
      <w:pPr>
        <w:spacing w:after="0" w:line="225" w:lineRule="exact"/>
        <w:rPr>
          <w:rFonts w:ascii="Arial" w:cs="Arial" w:eastAsia="Arial" w:hAnsi="Arial"/>
          <w:sz w:val="18"/>
          <w:szCs w:val="18"/>
          <w:color w:val="auto"/>
        </w:rPr>
      </w:pPr>
    </w:p>
    <w:p>
      <w:pPr>
        <w:jc w:val="both"/>
        <w:ind w:firstLine="656"/>
        <w:spacing w:after="0" w:line="302" w:lineRule="auto"/>
        <w:tabs>
          <w:tab w:leader="none" w:pos="108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Sales or dispositions of used, worn out, obsolete or surplus Property or Property no longer useful in the business of Borrower by Borrower and the Restricted Subsidiaries in the ordinary course of business and the abandonment or other sale of Intellectual Property that is, in the reasonable judgment of Borrower, no longer economically practicable to maintain or useful in the conduct of the business of Borrower and its Restricted Subsidiaries taken as a whole; and the termination or assignment of Contractual Obligations to the extent such termination or assignment does not have a Material Adverse Effect;</w:t>
      </w:r>
    </w:p>
    <w:p>
      <w:pPr>
        <w:spacing w:after="0" w:line="154" w:lineRule="exact"/>
        <w:rPr>
          <w:rFonts w:ascii="Arial" w:cs="Arial" w:eastAsia="Arial" w:hAnsi="Arial"/>
          <w:sz w:val="16"/>
          <w:szCs w:val="16"/>
          <w:color w:val="auto"/>
        </w:rPr>
      </w:pPr>
    </w:p>
    <w:p>
      <w:pPr>
        <w:jc w:val="both"/>
        <w:ind w:firstLine="656"/>
        <w:spacing w:after="0" w:line="291" w:lineRule="auto"/>
        <w:tabs>
          <w:tab w:leader="none" w:pos="107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Asset Sales by Borrower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at the time of such Asset Sale, no Event of Default then exists or would arise therefrom, (ii) Borrower or any of its Restricted Subsidiaries shall receive not less than 75% of such consideration in the form of (x) cash or Cash Equivalents or (y) Permitted Business Assets (in each case, free and clear of all Liens at the time received other than Permitted Liens) (it being understood that for the purposes of clause (c)(ii)(x), the following shall be deemed to be cash: (A) any liabilities (as shown on Borrower’s or such Restricted Subsidiary’s most recent balance sheet provided hereunder or in the footnotes thereto) of Borrower or such Restricted Subsidiary, other than liabilities that are by their terms subordinated to the payment in cash of the Obligations, that are assumed by the transferee with respect to the applicable Asset Sale and for which all of its Restricted Subsidiaries shall have been validly released by all applicable creditors in writing, (B) any securities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801" w:right="239" w:bottom="1440" w:gutter="0" w:footer="0" w:header="0"/>
        </w:sectPr>
      </w:pPr>
    </w:p>
    <w:bookmarkStart w:id="203" w:name="page204"/>
    <w:bookmarkEnd w:id="203"/>
    <w:p>
      <w:pPr>
        <w:jc w:val="both"/>
        <w:spacing w:after="0" w:line="273" w:lineRule="auto"/>
        <w:rPr>
          <w:sz w:val="20"/>
          <w:szCs w:val="20"/>
          <w:color w:val="auto"/>
        </w:rPr>
      </w:pPr>
      <w:r>
        <w:rPr>
          <w:rFonts w:ascii="Arial" w:cs="Arial" w:eastAsia="Arial" w:hAnsi="Arial"/>
          <w:sz w:val="17"/>
          <w:szCs w:val="17"/>
          <w:color w:val="auto"/>
        </w:rPr>
        <w:t>received by such Restricted Subsidiary from such transferee that are converted by such Restricted Subsidiary into cash or Cash Equivalents (to the extent of the cash or Cash Equivalents received) within one hundred and eighty (180) days following the closing of the applicable disposition, (C) any Designated Non-Cash Consideration received in respect of such disposition having an aggregate fair market value, taken together with all other Designated Non-Cash Consideration received pursuant to this clause (C) that is at that time outstanding, not in excess of $75.0 million, with the fair market value of each item of Designated Non-Cash Consideration being measured at such date of receipt or such agreement, as applicable, and without giving effect to subsequent changes in value) and (iii) the Net Available Proceeds therefrom shall be applied as specified in Section 2.10(a)(iii);</w:t>
      </w:r>
    </w:p>
    <w:p>
      <w:pPr>
        <w:spacing w:after="0" w:line="178" w:lineRule="exact"/>
        <w:rPr>
          <w:sz w:val="20"/>
          <w:szCs w:val="20"/>
          <w:color w:val="auto"/>
        </w:rPr>
      </w:pPr>
    </w:p>
    <w:p>
      <w:pPr>
        <w:ind w:firstLine="656"/>
        <w:spacing w:after="0" w:line="277" w:lineRule="auto"/>
        <w:tabs>
          <w:tab w:leader="none" w:pos="109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Liens permitted by Section 10.02, Investments may be made to the extent permitted by Sections 10.04 and Restricted Payments may be made to the extent permitted by Section 10.06;</w:t>
      </w:r>
    </w:p>
    <w:p>
      <w:pPr>
        <w:spacing w:after="0" w:line="170" w:lineRule="exact"/>
        <w:rPr>
          <w:rFonts w:ascii="Arial" w:cs="Arial" w:eastAsia="Arial" w:hAnsi="Arial"/>
          <w:sz w:val="18"/>
          <w:szCs w:val="18"/>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Borrower and the Restricted Subsidiaries may dispose of cash and Cash Equivalents;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Borrower and the Restricted Subsidiaries may lease (as lessor or sublessor) real or personal property to the extent permitted under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10.02;</w:t>
      </w:r>
    </w:p>
    <w:p>
      <w:pPr>
        <w:spacing w:after="0" w:line="210" w:lineRule="exact"/>
        <w:rPr>
          <w:rFonts w:ascii="Arial" w:cs="Arial" w:eastAsia="Arial" w:hAnsi="Arial"/>
          <w:sz w:val="16"/>
          <w:szCs w:val="16"/>
          <w:color w:val="auto"/>
        </w:rPr>
      </w:pPr>
    </w:p>
    <w:p>
      <w:pPr>
        <w:ind w:firstLine="656"/>
        <w:spacing w:after="0" w:line="277" w:lineRule="auto"/>
        <w:tabs>
          <w:tab w:leader="none" w:pos="117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licenses and sublicenses by Borrower or any of its Restricted Subsidiaries of software and Intellectual Property in the ordinary course of business shall be permitted;</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16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(A) Borrower or any Restricted Subsidiary may transfer or lease property to or acquire or lease property from Borrower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sum of (x) the aggregate fair market value of all Property transferred by Borrower and Domestic Subsidiaries of Borrower that are Restricted Subsidiaries to Foreign Subsidiaries of Borrower under this clause (A) plus (y) all lease payments made by Borrower and Domestic Subsidiaries of Borrower that are Restricted Subsidiaries to Foreign Subsidiaries of Borrower in respect of leasing of property by Borrower and Domestic Subsidiaries of Borrower that are Restricted Subsidiaries from Foreign Subsidiaries shall not exceed in any fiscal year of Borrower, (x) prior to the earlier of the Wynn Las Vegas Reorganization and the Wynn Massachusetts Project Opening Date, $5.0 million and (y) thereafter $25.0 million; (B) any Restricted Subsidiary may merge or consolidate with or into Borrower (as long as Borrower is the surviving Person) or any Guarantor (as long as the surviving Person is, or becomes substantially concurrently with such merger or consolidation, a Guarantor); (C) any Restricted Subsidiary may merge or consolidate with or into any other Restricted Subsidiary (so long as, if either Restricted Subsidiary is a Guarantor, the surviving Person is, or becomes substantially concurrently with such merger or consolidation, a Guarantor); and (D) any Restricted Subsidiary may be voluntarily liquidated, voluntarily wound up or voluntarily dissolved (so long as any such liquidation or winding up does not constitute or involve an Asset Sale to any Person other than to Borrower or any other Restricted Subsidiary or any other owner of equity interests in such Restricted Subsidiary unless such Asset Sale is otherwise permitted pursuant to this Section 10.05);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each case with respect to clauses (A), (B) and (C) of this Section 10.05(h) (other than in the case of a transfer to a Foreign Subsidiary permitted under clause (A) above), the Lien on such property granted in favor of Collateral Agent under the Security Documents shall be maintained in accordance with the provisions of this Agreement and the applicable Security Documents;</w:t>
      </w:r>
    </w:p>
    <w:p>
      <w:pPr>
        <w:spacing w:after="0" w:line="168" w:lineRule="exact"/>
        <w:rPr>
          <w:rFonts w:ascii="Arial" w:cs="Arial" w:eastAsia="Arial" w:hAnsi="Arial"/>
          <w:sz w:val="16"/>
          <w:szCs w:val="16"/>
          <w:color w:val="auto"/>
        </w:rPr>
      </w:pPr>
    </w:p>
    <w:p>
      <w:pPr>
        <w:ind w:left="1060" w:hanging="404"/>
        <w:spacing w:after="0"/>
        <w:tabs>
          <w:tab w:leader="none" w:pos="10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voluntary terminations of Swap Contracts and other assets or contracts in the ordinary course of business;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conveyances, sales, leases, transfers or other dispositions which do not constitute Asset Sales;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taking by a Governmental Authority of assets or property, or any part thereof, under the power of eminent domain or condemnation;</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sales, transfers or other dispositions of property subject to a Casualty Event;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801" w:right="239" w:bottom="1440" w:gutter="0" w:footer="0" w:header="0"/>
        </w:sectPr>
      </w:pPr>
    </w:p>
    <w:bookmarkStart w:id="204" w:name="page205"/>
    <w:bookmarkEnd w:id="204"/>
    <w:p>
      <w:pPr>
        <w:jc w:val="both"/>
        <w:ind w:firstLine="656"/>
        <w:spacing w:after="0" w:line="264" w:lineRule="auto"/>
        <w:tabs>
          <w:tab w:leader="none" w:pos="108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sales, transfers or other dispositions of Investments in Joint Ventures to the extent required by, or made pursuant to, customary buy/sell arrangements between the joint venture parties set forth in joint venture arrangements and similar binding arrangements;</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selling, factoring or discounting of accounts receivable (including defaulted receivables) in the ordinary course of business;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merger, consolidation or amalgamation in order to effect a Permitted Acquisition;</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03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any disposition of Equity Interests of a Subsidiary pursuant to an agreement or other obligation with or to a person from whom such Subsidiary was acquired or from whom such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165" w:lineRule="exact"/>
        <w:rPr>
          <w:rFonts w:ascii="Arial" w:cs="Arial" w:eastAsia="Arial" w:hAnsi="Arial"/>
          <w:sz w:val="17"/>
          <w:szCs w:val="17"/>
          <w:color w:val="auto"/>
        </w:rPr>
      </w:pPr>
    </w:p>
    <w:p>
      <w:pPr>
        <w:ind w:left="1040" w:hanging="384"/>
        <w:spacing w:after="0"/>
        <w:tabs>
          <w:tab w:leader="none" w:pos="10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from and after the Wynn Las Vegas Reorganization, the transfer or sale or disposition of any Aircraft Assets; and</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any transfer of Equity Interests of any Restricted Subsidiary or any Gaming Facility in connection with the occurrence of a Trigger Event.</w:t>
      </w:r>
    </w:p>
    <w:p>
      <w:pPr>
        <w:spacing w:after="0" w:line="23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any Collateral is sold, transferred or otherwise disposed of as permitted by this Section 10.05 or in connection with a transaction approved by the Required Lenders, in each case, to a Person other than a Credit Party, so long as no Event of Default exists, such Collateral (unless sold to Borrower or a Guarantor) shall, except as set forth in the proviso to Section 10.05(h), be sold, transferred or otherwise disposed of free and clear of the Liens created by the Security Documents, and Collateral Agent shall take all actions appropriate or reasonably requested by Borrower in order to effect the foregoing at the sole cost and expense of Borrower and without recourse or warranty by Collateral Agent (including the execution and delivery of appropriate UCC termination statements and such other instruments and releases as may be necessary and appropriate to effect such release). To the extent any such sale, transfer or other disposition results in a Guarantor no longer constituting a Subsidiary of Borrower, so long as no Event of Default exists, the Obligations of such Guarantor and all obligations of such Guarantor under the Credit Documents shall terminate and be of no further force and effect, and each of Administrative Agent and Collateral Agent shall take such actions, at the sole expense of Borrower, as are appropriate or requested by Borrower in connection with such termination.</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SECTION 10.06. Restricted Payments</w:t>
      </w:r>
      <w:r>
        <w:rPr>
          <w:rFonts w:ascii="Arial" w:cs="Arial" w:eastAsia="Arial" w:hAnsi="Arial"/>
          <w:sz w:val="16"/>
          <w:szCs w:val="16"/>
          <w:color w:val="auto"/>
        </w:rPr>
        <w:t>. Neither Borrower nor any of its Restricted Subsidiaries shall, directly or indirectly, declare or make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Restricted Payment at any time, except, without duplication, (a) Borrower or any Restricted Subsidiary may make Restricted Payments to the extent permitted pursuant to Section 2.09(b)(ii), (b) any Restricted Subsidiary of Borrower may declare and make Restricted Payments to Borrower or any Wholly Owned Subsidiary of Borrower which is a Restricted Subsidiary, (c) any Restricted Subsidiary of Borrower, if such Restricted Subsidiary is not a Wholly Owned Subsidiary, may declare and make Restricted Payments in respect of its Equity Interests to all holders of such Equity Interests generally so long as Borrower or its respective Restricted Subsidiary that owns such Equity Interest or interests in the Person making such Restricted Payments receives at least its proportionate share thereof (based upon its relative ownership of the subject Equity Interests and the terms thereof), (d) Borrower and its Restricted Subsidiaries may engage in transactions to the extent permitted by Section 10.04 and Section 10.05, (e) Borrower and its Restricted Subsidiaries may make Restricted Payments in respect of Disqualified Capital Stock issued in compliance with the terms hereof, (f) from and after the earlier of the Wynn Las Vegas Reorganization and the Wynn Massachusetts Project Opening Date, Borrower may repurchase (or make Restricted Payments in respect thereof) common stock or common stock options (including those issued by Wynn Resorts or such other parent entity of Borrower) from present or former officers, directors or employees (or heirs of, estates of or trusts formed by such Persons) of any Company or Wynn Resorts upon the death, disability, retirement or termination of employment of such officer, director or employee or pursuant to the terms of any stock option plan or like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aggregate amount of payments under this clause (f) shall not exceed $10.0 million in any fiscal year of Borrower, (g) from and after the earlier of the Wynn Las Vegas Reorganization and the Wynn Massachusetts Project Opening Date, Borrower and its Restricted Subsidiaries may (i) repurchase (or make Restricted Payments in respect thereof) Equity Interests (including those issued by Wynn Resorts or such other parent entity of Borrower) 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800" w:right="239" w:bottom="1440" w:gutter="0" w:footer="0" w:header="0"/>
        </w:sectPr>
      </w:pPr>
    </w:p>
    <w:bookmarkStart w:id="205" w:name="page206"/>
    <w:bookmarkEnd w:id="205"/>
    <w:p>
      <w:pPr>
        <w:jc w:val="both"/>
        <w:spacing w:after="0" w:line="284" w:lineRule="auto"/>
        <w:rPr>
          <w:sz w:val="20"/>
          <w:szCs w:val="20"/>
          <w:color w:val="auto"/>
        </w:rPr>
      </w:pPr>
      <w:r>
        <w:rPr>
          <w:rFonts w:ascii="Arial" w:cs="Arial" w:eastAsia="Arial" w:hAnsi="Arial"/>
          <w:sz w:val="16"/>
          <w:szCs w:val="16"/>
          <w:color w:val="auto"/>
        </w:rPr>
        <w:t xml:space="preserve">the extent deemed to occur upon exercise of stock options, warrants or rights in respect thereof to the extent such Equity Interests represent a portion of the exercise price of such options, warrants or rights in respect thereof and (ii) make payments in respect of (or make Restricted Payments in respect thereof) withholding or similar taxes payable or expected to be payable by any present or former member of management, director, officer, employee, or consultant of Borrower or any of its Subsidiaries or Wynn Resorts or such other parent entity of Borrower or family members, spouses or former spouses, heirs of, estates of or trusts formed by such Persons in connection with the exercise of stock options or grant, vesting or delivery of Equity Interests, (h) from and after the earlier of the Wynn Las Vegas Reorganization and the Wynn Massachusetts Project Opening Date, Borrower and its Restricted Subsidiaries may make Restricted Payments to allow the payment of cash in lieu of the issuance of fractional shares upon the exercise of options or, warrants or rights or upon the conversion or exchange of or into Equity Interests, or payments or distributions to dissenting stockholders pursuant to applicable law (in each case, including with respect to Wynn Resorts or such other parent entity of Borrower), (i) from and after the earlier of the Wynn Las Vegas Reorganization and the Wynn Massachusetts Project Opening Date, so long as immediately before and after giving effect thereto no Event of Default has occurred and is continuing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and its Restricted Subsidiaries may make Restricted Payments in an aggregate amount not to exceed (i) $225.0 million,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Junior Prepayments made pursuant to Section 10.09(a)(i) and the aggregate amount of Investments made (and as calculated) pursuant to Section 10.04(s),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Available Amount, (j) to the extent constituting Restricted Payments, Borrower may make payments to counterparties under Swap Contracts entered into in connection with the issuance of convertible or exchangeable debt, (k) Borrower and its Restricted Subsidiaries may make Tax Payments to the direct or indirect owners of Borrower or any of the Restricted Subsidiaries, (l) Borrower and its Restricted Subsidiaries may make Restricted Payments in an aggregate amount not to exceed $50.0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Junior Prepayments made pursuant to Section 10.09(i) and the aggregate amount of Investments made (and as calculated) pursuant to Section 10.04(x) million, (m) Borrower may pay Allocable Overhead to Wynn Resorts in respect of each Qualifying Project of Borrower and its Restricted Subsidiaries, (n) Borrower may pay Management Fees and IP Licensing Fees, (o) Borrower may make dividends or distributions to Wynn Resorts of amounts necessary for Wynn Resorts to pay amounts then due and payable under the Tax Indemnification Agreement, as in effect on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aggregate amount of payments under this clause (o) shall not exceed $20.0 million in any fiscal year of Borrower and (p) Borrower and its Restricted Subsidiaries may make Restricted Payments in an aggregate amount not to exceed the Available Equity Amount.</w:t>
      </w:r>
    </w:p>
    <w:p>
      <w:pPr>
        <w:spacing w:after="0" w:line="17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SECTION 10.07. Transactions with Affiliates</w:t>
      </w:r>
      <w:r>
        <w:rPr>
          <w:rFonts w:ascii="Arial" w:cs="Arial" w:eastAsia="Arial" w:hAnsi="Arial"/>
          <w:sz w:val="16"/>
          <w:szCs w:val="16"/>
          <w:color w:val="auto"/>
        </w:rPr>
        <w:t>. Neither Borrower nor any of its Restricted Subsidiaries shall enter into any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without limitation, any purchase, sale, lease or exchange of Property, the rendering of any service or the payment of any management, advisory or similar fees, with any Affiliate (other than Borrower or any Restricted Subsidiary) involving aggregate consideration in excess of $20.0 million unless such transaction (a) is required under this Agreement, or (b) is upon fair and reasonable terms no less favorable to Borrower or such Restricted Subsidiary, as the case may be, than it would obtain in a comparable arm’s length transaction with a Person that is not an Affiliate (such arms’ length standard being deemed to have been satisfied if such transaction is approved by a majority of the Disinterested Directors of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foregoing, Borrower and its Restricted Subsidiaries (i) may enter into indemnification and employment agreements and arrangements with directors, officers and employees (including for the provision of securities, or other payments, awards or grants in cash, securities or otherwise pursuant to, or the funding of, employment arrangements, equity purchase agreements, stock options and stock ownership plans), subscription agreements or similar agreement pertaining to the repurchase of Equity Interests pursuant to put/call rights or similar rights with directors, officers and employees and any employee compensation, benefit plan or arrangement, any health, disability or similar insurance plan which covers employees and, in each case any reasonable transactions pursuant thereto,</w:t>
      </w:r>
    </w:p>
    <w:p>
      <w:pPr>
        <w:jc w:val="both"/>
        <w:ind w:firstLine="8"/>
        <w:spacing w:after="0" w:line="271" w:lineRule="auto"/>
        <w:tabs>
          <w:tab w:leader="none" w:pos="26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may make Investments and Restricted Payments permitted hereunder, (iii) from and after the earlier of the Wynn Las Vegas Reorganization and the Wynn Massachusetts Project Opening Date, may enter into transactions with Unaffiliated Joint Ventures and Wholly Owned Subsidiaries of Unaffiliated Joint Ventures, in each case, relating to the provision of management services, overhead, sharing of customer lists and customer loyalty programs and, so long as in the ordinary course of business, the purchase or sale of goods, equipment, products, parts and services, (iv) may enter into agreements and other arrangements providing for the payment of Management Fees and IP Licensing Fees; (v) may issue, sell or transfer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801" w:right="239" w:bottom="1440" w:gutter="0" w:footer="0" w:header="0"/>
        </w:sectPr>
      </w:pPr>
    </w:p>
    <w:bookmarkStart w:id="206" w:name="page207"/>
    <w:bookmarkEnd w:id="206"/>
    <w:p>
      <w:pPr>
        <w:jc w:val="both"/>
        <w:spacing w:after="0" w:line="270" w:lineRule="auto"/>
        <w:rPr>
          <w:sz w:val="20"/>
          <w:szCs w:val="20"/>
          <w:color w:val="auto"/>
        </w:rPr>
      </w:pPr>
      <w:r>
        <w:rPr>
          <w:rFonts w:ascii="Arial" w:cs="Arial" w:eastAsia="Arial" w:hAnsi="Arial"/>
          <w:sz w:val="17"/>
          <w:szCs w:val="17"/>
          <w:color w:val="auto"/>
        </w:rPr>
        <w:t>Equity Interests of Borrower to any parent entity, including in connection with capital contributions by such parent entity to Borrower or any Subsidiary; (vi) may enter into transactions undertaken for the purpose of improving the consolidated tax efficiency of any parent entity of Borrower, Borrower and/or the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transactions, taken as a whole, are not materially adverse to Borrower and the Subsidiaries (as determined by Borrower in good faith); (vi) may enter into any transaction subject to Section 13.05; (vii) may enter into any transactions described in the Tax Indemnification Agreement or on </w:t>
      </w:r>
      <w:r>
        <w:rPr>
          <w:rFonts w:ascii="Arial" w:cs="Arial" w:eastAsia="Arial" w:hAnsi="Arial"/>
          <w:sz w:val="17"/>
          <w:szCs w:val="17"/>
          <w:u w:val="single" w:color="auto"/>
          <w:color w:val="auto"/>
        </w:rPr>
        <w:t>Schedule 10.07</w:t>
      </w:r>
      <w:r>
        <w:rPr>
          <w:rFonts w:ascii="Arial" w:cs="Arial" w:eastAsia="Arial" w:hAnsi="Arial"/>
          <w:sz w:val="17"/>
          <w:szCs w:val="17"/>
          <w:color w:val="auto"/>
        </w:rPr>
        <w:t xml:space="preserve"> or any amendment thereto or replacement thereof or similar arrangement to the extent such amendment, replacement or arrangement is not adverse to the Lenders when taken as a whole in any material respect (as determined by Borrower in good faith); (viii) may pay Allocable Overhead to Wynn Resorts in respect of each Qualifying Project of Borrower and its Restricted Subsidiaries; (ix) from and after the Wynn Las Vegas Reorganization, the transfer or sale or other disposition (including leasing or making available for use) of any Aircraft Assets; and (x) may incur any Indebtedness permitted pursuant to Section 10.01(w).</w:t>
      </w:r>
    </w:p>
    <w:p>
      <w:pPr>
        <w:spacing w:after="0" w:line="17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10.08.</w:t>
      </w:r>
      <w:r>
        <w:rPr>
          <w:sz w:val="20"/>
          <w:szCs w:val="20"/>
          <w:color w:val="auto"/>
        </w:rPr>
        <w:tab/>
      </w:r>
      <w:r>
        <w:rPr>
          <w:rFonts w:ascii="Arial" w:cs="Arial" w:eastAsia="Arial" w:hAnsi="Arial"/>
          <w:sz w:val="16"/>
          <w:szCs w:val="16"/>
          <w:b w:val="1"/>
          <w:bCs w:val="1"/>
          <w:color w:val="auto"/>
        </w:rPr>
        <w:t>Financial Covenant.</w:t>
      </w:r>
    </w:p>
    <w:p>
      <w:pPr>
        <w:spacing w:after="0" w:line="225" w:lineRule="exact"/>
        <w:rPr>
          <w:sz w:val="20"/>
          <w:szCs w:val="20"/>
          <w:color w:val="auto"/>
        </w:rPr>
      </w:pPr>
    </w:p>
    <w:p>
      <w:pPr>
        <w:jc w:val="both"/>
        <w:ind w:firstLine="656"/>
        <w:spacing w:after="0" w:line="289" w:lineRule="auto"/>
        <w:tabs>
          <w:tab w:leader="none" w:pos="1157" w:val="left"/>
        </w:tabs>
        <w:numPr>
          <w:ilvl w:val="0"/>
          <w:numId w:val="162"/>
        </w:numPr>
        <w:rPr>
          <w:rFonts w:ascii="Arial" w:cs="Arial" w:eastAsia="Arial" w:hAnsi="Arial"/>
          <w:sz w:val="17"/>
          <w:szCs w:val="17"/>
          <w:color w:val="auto"/>
        </w:rPr>
      </w:pPr>
      <w:r>
        <w:rPr>
          <w:rFonts w:ascii="Arial" w:cs="Arial" w:eastAsia="Arial" w:hAnsi="Arial"/>
          <w:sz w:val="17"/>
          <w:szCs w:val="17"/>
          <w:b w:val="1"/>
          <w:bCs w:val="1"/>
          <w:color w:val="auto"/>
        </w:rPr>
        <w:t xml:space="preserve">Maximum Consolidated Senior Secured Net Leverage Ratio. </w:t>
      </w:r>
      <w:r>
        <w:rPr>
          <w:rFonts w:ascii="Arial" w:cs="Arial" w:eastAsia="Arial" w:hAnsi="Arial"/>
          <w:sz w:val="17"/>
          <w:szCs w:val="17"/>
          <w:color w:val="auto"/>
        </w:rPr>
        <w:t>Borrower shall not permit the Consolidated Senior Secured Net Leverage</w:t>
      </w:r>
      <w:r>
        <w:rPr>
          <w:rFonts w:ascii="Arial" w:cs="Arial" w:eastAsia="Arial" w:hAnsi="Arial"/>
          <w:sz w:val="17"/>
          <w:szCs w:val="17"/>
          <w:b w:val="1"/>
          <w:bCs w:val="1"/>
          <w:color w:val="auto"/>
        </w:rPr>
        <w:t xml:space="preserve"> </w:t>
      </w:r>
      <w:r>
        <w:rPr>
          <w:rFonts w:ascii="Arial" w:cs="Arial" w:eastAsia="Arial" w:hAnsi="Arial"/>
          <w:sz w:val="17"/>
          <w:szCs w:val="17"/>
          <w:color w:val="auto"/>
        </w:rPr>
        <w:t>Ratio as of the last day of any fiscal quarter of Borrower commencing with the second full fiscal quarter ending after the fiscal quarter in which the Wynn Massachusetts Project Opening Date occurs (the last day of such fiscal quarter, the “</w:t>
      </w:r>
      <w:r>
        <w:rPr>
          <w:rFonts w:ascii="Arial" w:cs="Arial" w:eastAsia="Arial" w:hAnsi="Arial"/>
          <w:sz w:val="17"/>
          <w:szCs w:val="17"/>
          <w:b w:val="1"/>
          <w:bCs w:val="1"/>
          <w:color w:val="auto"/>
        </w:rPr>
        <w:t>Initial Test Date</w:t>
      </w:r>
      <w:r>
        <w:rPr>
          <w:rFonts w:ascii="Arial" w:cs="Arial" w:eastAsia="Arial" w:hAnsi="Arial"/>
          <w:sz w:val="17"/>
          <w:szCs w:val="17"/>
          <w:color w:val="auto"/>
        </w:rPr>
        <w:t>”) to exceed 2.75 to 1.00.</w:t>
      </w:r>
    </w:p>
    <w:p>
      <w:pPr>
        <w:spacing w:after="0" w:line="158" w:lineRule="exact"/>
        <w:rPr>
          <w:rFonts w:ascii="Arial" w:cs="Arial" w:eastAsia="Arial" w:hAnsi="Arial"/>
          <w:sz w:val="17"/>
          <w:szCs w:val="17"/>
          <w:color w:val="auto"/>
        </w:rPr>
      </w:pPr>
    </w:p>
    <w:p>
      <w:pPr>
        <w:jc w:val="both"/>
        <w:ind w:firstLine="656"/>
        <w:spacing w:after="0" w:line="266" w:lineRule="auto"/>
        <w:tabs>
          <w:tab w:leader="none" w:pos="1119"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Minimum Consolidated EBITDA</w:t>
      </w:r>
      <w:r>
        <w:rPr>
          <w:rFonts w:ascii="Arial" w:cs="Arial" w:eastAsia="Arial" w:hAnsi="Arial"/>
          <w:sz w:val="18"/>
          <w:szCs w:val="18"/>
          <w:color w:val="auto"/>
        </w:rPr>
        <w:t>. Borrower shall not permit Consolidated EBITDA as of the last day of any fiscal quarter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with the first full fiscal quarter ending after the fiscal quarter in which the Wynn Las Vegas Reorganization occurs and ending with the fiscal quarter prior to the fiscal quarter in which the Initial Test Date occurs to be less than $200.0 million.</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SECTION 10.09. Certain Payments of Indebtedness</w:t>
      </w:r>
      <w:r>
        <w:rPr>
          <w:rFonts w:ascii="Arial" w:cs="Arial" w:eastAsia="Arial" w:hAnsi="Arial"/>
          <w:sz w:val="16"/>
          <w:szCs w:val="16"/>
          <w:color w:val="auto"/>
        </w:rPr>
        <w:t>. None of Borrower or any of its Restricted Subsidiaries will, nor will they permit any</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Subsidiary to voluntarily prepay, redeem, purchase, defease or otherwise satisfy prior to the scheduled maturity thereof (or within one year thereof) in any manner (it being understood that payments of regularly scheduled principal and interest shall be permitted) any Disqualified Capital Stock or Other Junior Indebtedness (including Intercompany Contribution Indebtedness) or make any payment in violation of any subordination terms or intercreditor agreement applicable to any such Indebtedness (such payments, “</w:t>
      </w:r>
      <w:r>
        <w:rPr>
          <w:rFonts w:ascii="Arial" w:cs="Arial" w:eastAsia="Arial" w:hAnsi="Arial"/>
          <w:sz w:val="16"/>
          <w:szCs w:val="16"/>
          <w:b w:val="1"/>
          <w:bCs w:val="1"/>
          <w:color w:val="auto"/>
        </w:rPr>
        <w:t>Junior Prepayments</w:t>
      </w:r>
      <w:r>
        <w:rPr>
          <w:rFonts w:ascii="Arial" w:cs="Arial" w:eastAsia="Arial" w:hAnsi="Arial"/>
          <w:sz w:val="16"/>
          <w:szCs w:val="16"/>
          <w:color w:val="auto"/>
        </w:rPr>
        <w:t xml:space="preserve">”), except (a) from and after the earlier of the Wynn Las Vegas Reorganization and the Wynn Massachusetts Project Opening Date, long as no Event of Default shall have occurred and be continuing or would result therefrom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may make Junior Prepayments in an aggregate amount not to exceed (i) $225.0 million,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Restricted Payments made pursuant to Section 10.06(i)(i) and the aggregate amount of Investments made (and as calculated) pursuant to Section 10.04(s),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Available Amount, (b) a Permitted Refinancing of any such Indebtedness (including through exchange offers and similar transactions), (c) the conversion of any such Indebtedness to Equity Interests (or exchange of any such Indebtedness for Equity Interests) of Borrower or any direct or indirect parent of Borrower (other than Disqualified Capital Stock), (d) with respect to intercompany subordinated indebtedness, to the extent consistent with the subordination terms thereof and permitted under this Section 10.09 (other than pursuant to this clause (d)), (e) exchanges of Indebtedness issued in private placements and resold in reliance on Regulation S or Rule 144A for Indebtedness having substantially equivalent terms pursuant to customary exchange offers, (f) prepayment, redemption, purchase, defeasance or satisfaction of Indebtedness of Persons acquired pursuant to, or Indebtedness assumed in connection with, Permitted Acquisition or Investment (including any other Acquisition) not prohibited by this Agreement, (g) Junior Prepayments made pursuant to Section 2.09(b)(ii), (h) Junior Prepayments in respect of intercompany Indebtedness owing to Borrower or its Restricted Subsidiaries will be permitted, (i) scheduled payments thereon necessary to avoid the Other Junior Indebtedness constituting “applicable high yield discount obligations” within the meaning of Section 163(i)(1) of the Code, (j) Borrower may make Junior Prepayments in an aggregate amount not to exceed $50.0 million,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Restricted Payments made pursuant to Section 10.06(l) and the aggregate amount of Investments made (and as calculated) pursuant to Section 10.04(x), (k) prepayments, redemptions, purchases, defeasance or satisfaction of Disqualified Capital Stock with the proceeds of any issuance of Disqualified Capital Stock permitted to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800" w:right="239" w:bottom="1440" w:gutter="0" w:footer="0" w:header="0"/>
        </w:sectPr>
      </w:pPr>
    </w:p>
    <w:bookmarkStart w:id="207" w:name="page208"/>
    <w:bookmarkEnd w:id="207"/>
    <w:p>
      <w:pPr>
        <w:jc w:val="both"/>
        <w:ind w:right="20"/>
        <w:spacing w:after="0" w:line="277" w:lineRule="auto"/>
        <w:rPr>
          <w:sz w:val="20"/>
          <w:szCs w:val="20"/>
          <w:color w:val="auto"/>
        </w:rPr>
      </w:pPr>
      <w:r>
        <w:rPr>
          <w:rFonts w:ascii="Arial" w:cs="Arial" w:eastAsia="Arial" w:hAnsi="Arial"/>
          <w:sz w:val="18"/>
          <w:szCs w:val="18"/>
          <w:color w:val="auto"/>
        </w:rPr>
        <w:t>be issued hereunder or in exchange for Disqualified Capital Stock or other Equity Interests permitted to be issued hereunder, and (l) Borrower may make Junior Prepayments in an aggregate amount not to exceed the Available Equity Amount.</w:t>
      </w:r>
    </w:p>
    <w:p>
      <w:pPr>
        <w:spacing w:after="0" w:line="16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color w:val="auto"/>
        </w:rPr>
        <w:t>SECTION 10.10. Limitation on Certain Restrictions Affecting Subsidiaries</w:t>
      </w:r>
      <w:r>
        <w:rPr>
          <w:rFonts w:ascii="Arial" w:cs="Arial" w:eastAsia="Arial" w:hAnsi="Arial"/>
          <w:sz w:val="16"/>
          <w:szCs w:val="16"/>
          <w:color w:val="auto"/>
        </w:rPr>
        <w:t>. None of Borrower or any of its Restricted Subsidiaries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directly or indirectly, create any consensual encumbrance or restriction on the ability of any Restricted Subsidiary (other than any Foreign Subsidiary or Immaterial Subsidiary) of Borrower to (a) pay dividends or make any other distributions on such Restricted Subsidiary’s Equity Interests or any other interest or participation in its profits owned by Borrower or any of its Restricted Subsidiaries, or pay any Indebtedness or any other obligation owed to Borrower or any of its Restricted Subsidiaries, (b) make Investments in or to Borrower or any of its Restricted Subsidiaries, (c) transfer any of its Property to Borrower or any of its Restricted Subsidiaries or (d) in the case of any Guarantor, guarantee the Obligations hereunder or, in the case of any Credit Party, subject its portion of the Collateral to the Liens securing the Obligations in favor of the Secured Parties, except that each of the following shall be permitted: (i) any such encumbrances or restrictions existing under or by reason of (x) applicable Law (including any Gaming Law and any regulations, order or decrees of any Gaming Authority or other applicable Governmental Authority) or (y) the Credit Documents, (ii) restrictions on the transfer of Property, or the granting of Liens on Property, in each case, subject to Permitted Liens, (iii) customary restrictions on subletting or assignment of any lease or sublease governing a leasehold interest of any Company, (iv) restrictions on the transfer of any Property, or the granting of Liens on Property, subject to a contract with respect to an Asset Sale or other transfer, sale, conveyance or disposition permitted under this Agreement, (v) restrictions contained in the existing Indebtedness listed on </w:t>
      </w:r>
      <w:r>
        <w:rPr>
          <w:rFonts w:ascii="Arial" w:cs="Arial" w:eastAsia="Arial" w:hAnsi="Arial"/>
          <w:sz w:val="16"/>
          <w:szCs w:val="16"/>
          <w:u w:val="single" w:color="auto"/>
          <w:color w:val="auto"/>
        </w:rPr>
        <w:t>Schedule 10.01</w:t>
      </w:r>
      <w:r>
        <w:rPr>
          <w:rFonts w:ascii="Arial" w:cs="Arial" w:eastAsia="Arial" w:hAnsi="Arial"/>
          <w:sz w:val="16"/>
          <w:szCs w:val="16"/>
          <w:color w:val="auto"/>
        </w:rPr>
        <w:t xml:space="preserve">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restrictive provisions in any such Permitted Refinancing, taken as a whole and as determined by Borrower in good faith, are not materially more restrictive than the restrictive provisions in the Indebtedness being refinanced, (vi) restrictions contained in Indebtedness of Persons acquired pursuant to, or assumed in connection with, Permitted Acquisitions or other Acquisitions not prohibited hereunder after the Closing Date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restrictive provisions in any such Permitted Refinancing, taken as a whole and as determined by Borrower in good faith, are not materially more restrictive than the restrictive provisions in the Indebtedness being refinanced and such restrictions are limited to the Persons or assets being acquired and of the Subsidiaries of such Persons and their assets, (vii) with respect to clauses (a), (b) and (c) above, restrictions contained in any Permitted Unsecured Indebtedness and Permitted Refinancings thereof, or any Permitted Second Lien Indebtedness and Permitted Refinancings thereof, or any Permitted First Lien Indebtedness and Permitted Refinancings thereof, or any other Indebtedness permitted hereunder, in each case, taken as a whole and as determined by Borrower in good faith, to the extent not materially more restrictive than those contained in this Agreement, (viii) with respect to clauses (a), (b) and (c) above, restrictions contained in any Indebtedness permitted hereunder, in each case, taken as a whole and as determined by Borrower in good faith, to the extent not materially more restrictive than those contained in this Agreement, (ix) customary restrictions in joint venture arrangements or management contracts;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are limited to the assets of such joint ventures and the Equity Interests of the Persons party to such joint venture arrangements or the assignment of such management contract, as applicable, (x) customary non-assignment provisions or other customary restrictions arising under licenses, leases and other contracts entered into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that such restrictions are limited to the assets subject to such licenses, leases and contracts and the Equity Interests of the Persons party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licenses and contracts, (xi) restrictions contained in Indebtedness of Foreign Subsidiaries incurred pursuant to Section 10.01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apply only to the Foreign Subsidiaries incurring such Indebtedness and their Subsidiaries (and the assets thereof), (xii) restrictions contained in Indebtedness used to finance, or incurred for the purpose of financing (including Development Financing), Expansion Capital Expenditures and/or Investments, Capital Expenditures or other expenditures with respect to Development Projects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that such restrictions apply only to the asset (or the Person owning such asset) being financed pursuant to such Indebtedness, (xiii)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contained in subordination provisions applicable to intercompany debt owed by the Credit Parties; </w:t>
      </w:r>
      <w:r>
        <w:rPr>
          <w:rFonts w:ascii="Arial" w:cs="Arial" w:eastAsia="Arial" w:hAnsi="Arial"/>
          <w:sz w:val="16"/>
          <w:szCs w:val="16"/>
          <w:i w:val="1"/>
          <w:iCs w:val="1"/>
          <w:color w:val="auto"/>
        </w:rPr>
        <w:t>provided</w:t>
      </w:r>
      <w:r>
        <w:rPr>
          <w:rFonts w:ascii="Arial" w:cs="Arial" w:eastAsia="Arial" w:hAnsi="Arial"/>
          <w:sz w:val="16"/>
          <w:szCs w:val="16"/>
          <w:color w:val="auto"/>
        </w:rPr>
        <w:t>, that such intercompany debt is subordinated to the Obligations on terms at least as favorable to the Lenders as the subordination of such intercompany debt to any other obligations as determined by Borrower in good faith, (xiv) from and after the Wynn Las Vegas Reorganization, restrictions contained in the documentation governing the Wynn Las Vegas Notes and Permitted Refinancings thereof (so long as the restrictions in any such Permitted Refinancing, taken as a whole and as determined by Borrower in good faith, are no more restrictive in any material respect than those in the Wynn Las Vegas 2023 Notes) and (xv) from and after the Wynn Las Vegas Reorganization, restrictions contained in the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801" w:right="2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 xml:space="preserve">Note, </w:t>
      </w:r>
      <w:r>
        <w:rPr>
          <w:rFonts w:ascii="Arial" w:cs="Arial" w:eastAsia="Arial" w:hAnsi="Arial"/>
          <w:sz w:val="18"/>
          <w:szCs w:val="18"/>
          <w:i w:val="1"/>
          <w:iCs w:val="1"/>
          <w:color w:val="auto"/>
        </w:rPr>
        <w:t>provided</w:t>
      </w:r>
      <w:r>
        <w:rPr>
          <w:rFonts w:ascii="Arial" w:cs="Arial" w:eastAsia="Arial" w:hAnsi="Arial"/>
          <w:sz w:val="18"/>
          <w:szCs w:val="18"/>
          <w:color w:val="auto"/>
        </w:rPr>
        <w:t>, that such restrictions apply only to the asset (or the Person owning such asset) being financed pursuant to such Indebtedness.</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10.11. Limitation on Lines of Business</w:t>
      </w:r>
      <w:r>
        <w:rPr>
          <w:rFonts w:ascii="Arial" w:cs="Arial" w:eastAsia="Arial" w:hAnsi="Arial"/>
          <w:sz w:val="18"/>
          <w:szCs w:val="18"/>
          <w:color w:val="auto"/>
        </w:rPr>
        <w:t>. Neither Borrower nor any Restricted Subsidiary shall directly or indirectly engage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extent (determined on a consolidated basis) in any line or lines of business activity other than Permitted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10.12. Limitation on Changes to Fiscal Year</w:t>
      </w:r>
      <w:r>
        <w:rPr>
          <w:rFonts w:ascii="Arial" w:cs="Arial" w:eastAsia="Arial" w:hAnsi="Arial"/>
          <w:sz w:val="18"/>
          <w:szCs w:val="18"/>
          <w:color w:val="auto"/>
        </w:rPr>
        <w:t>. Neither Borrower nor any Restricted Subsidiary shall change its fiscal year end to a</w:t>
      </w:r>
      <w:r>
        <w:rPr>
          <w:rFonts w:ascii="Arial" w:cs="Arial" w:eastAsia="Arial" w:hAnsi="Arial"/>
          <w:sz w:val="18"/>
          <w:szCs w:val="18"/>
          <w:b w:val="1"/>
          <w:bCs w:val="1"/>
          <w:color w:val="auto"/>
        </w:rPr>
        <w:t xml:space="preserve"> </w:t>
      </w:r>
      <w:r>
        <w:rPr>
          <w:rFonts w:ascii="Arial" w:cs="Arial" w:eastAsia="Arial" w:hAnsi="Arial"/>
          <w:sz w:val="18"/>
          <w:szCs w:val="18"/>
          <w:color w:val="auto"/>
        </w:rPr>
        <w:t>date other than December 31 of each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Restricted Subsidiary acquired or formed, or Person designated as an Unrestricted Subsidiary, in each case, after the Closing Date may change its fiscal year to match the fiscal year of Borrower).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221"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11.01.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 If one or more of the following events (herein called “</w:t>
      </w:r>
      <w:r>
        <w:rPr>
          <w:rFonts w:ascii="Arial" w:cs="Arial" w:eastAsia="Arial" w:hAnsi="Arial"/>
          <w:sz w:val="16"/>
          <w:szCs w:val="16"/>
          <w:b w:val="1"/>
          <w:bCs w:val="1"/>
          <w:color w:val="auto"/>
        </w:rPr>
        <w:t>Events of Default</w:t>
      </w:r>
      <w:r>
        <w:rPr>
          <w:rFonts w:ascii="Arial" w:cs="Arial" w:eastAsia="Arial" w:hAnsi="Arial"/>
          <w:sz w:val="16"/>
          <w:szCs w:val="16"/>
          <w:color w:val="auto"/>
        </w:rPr>
        <w:t>”) shall occur and be continuing:</w:t>
      </w:r>
    </w:p>
    <w:p>
      <w:pPr>
        <w:spacing w:after="0" w:line="229" w:lineRule="exact"/>
        <w:rPr>
          <w:sz w:val="20"/>
          <w:szCs w:val="20"/>
          <w:color w:val="auto"/>
        </w:rPr>
      </w:pPr>
    </w:p>
    <w:p>
      <w:pPr>
        <w:jc w:val="both"/>
        <w:ind w:firstLine="656"/>
        <w:spacing w:after="0" w:line="255" w:lineRule="auto"/>
        <w:tabs>
          <w:tab w:leader="none" w:pos="108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Borrower or any other Credit Party pursuant to any Credit Document or the borrowings or issuances of Letters of Credit hereunder, or any representation, warranty or statement of fact made or deemed made by or on behalf of Borrower or any other Credit Party in any report, certificate, financial statement or other instrument furnished pursuant to any Credit Document, shall prove to have been false or misleading (i) in any material respect, if such representation and warranty is not qualified as to “materiality,” “Material Adverse Effect” or similar language, or (ii) in any respect, if such representation and warranty is so qualified, in each case when such representation or warranty is made, deemed made or furnished;</w:t>
      </w:r>
    </w:p>
    <w:p>
      <w:pPr>
        <w:spacing w:after="0" w:line="193" w:lineRule="exact"/>
        <w:rPr>
          <w:rFonts w:ascii="Arial" w:cs="Arial" w:eastAsia="Arial" w:hAnsi="Arial"/>
          <w:sz w:val="18"/>
          <w:szCs w:val="18"/>
          <w:color w:val="auto"/>
        </w:rPr>
      </w:pPr>
    </w:p>
    <w:p>
      <w:pPr>
        <w:jc w:val="both"/>
        <w:ind w:firstLine="656"/>
        <w:spacing w:after="0" w:line="291" w:lineRule="auto"/>
        <w:tabs>
          <w:tab w:leader="none" w:pos="1151" w:val="left"/>
        </w:tabs>
        <w:numPr>
          <w:ilvl w:val="1"/>
          <w:numId w:val="163"/>
        </w:numPr>
        <w:rPr>
          <w:rFonts w:ascii="Arial" w:cs="Arial" w:eastAsia="Arial" w:hAnsi="Arial"/>
          <w:sz w:val="16"/>
          <w:szCs w:val="16"/>
          <w:color w:val="auto"/>
        </w:rPr>
      </w:pPr>
      <w:r>
        <w:rPr>
          <w:rFonts w:ascii="Arial" w:cs="Arial" w:eastAsia="Arial" w:hAnsi="Arial"/>
          <w:sz w:val="16"/>
          <w:szCs w:val="16"/>
          <w:color w:val="auto"/>
        </w:rPr>
        <w:t>default shall be made in the payment of (i) any principal of any Loan or the reimbursement with respect to any Reimbursement Obligation when and as the same shall become due and payable (whether at the stated maturity upon prepayment or repayment or by acceleration thereof or otherwise) or</w:t>
      </w:r>
    </w:p>
    <w:p>
      <w:pPr>
        <w:ind w:firstLine="8"/>
        <w:spacing w:after="0" w:line="261" w:lineRule="auto"/>
        <w:tabs>
          <w:tab w:leader="none" w:pos="27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interest on any Loans when and as the same shall become due and payable, and such default under this clause (ii) shall continue unremedied for a period of five (5) Business Days;</w:t>
      </w:r>
    </w:p>
    <w:p>
      <w:pPr>
        <w:spacing w:after="0" w:line="183" w:lineRule="exact"/>
        <w:rPr>
          <w:rFonts w:ascii="Arial" w:cs="Arial" w:eastAsia="Arial" w:hAnsi="Arial"/>
          <w:sz w:val="18"/>
          <w:szCs w:val="18"/>
          <w:color w:val="auto"/>
        </w:rPr>
      </w:pPr>
    </w:p>
    <w:p>
      <w:pPr>
        <w:ind w:firstLine="656"/>
        <w:spacing w:after="0" w:line="342" w:lineRule="auto"/>
        <w:tabs>
          <w:tab w:leader="none" w:pos="1095" w:val="left"/>
        </w:tabs>
        <w:numPr>
          <w:ilvl w:val="1"/>
          <w:numId w:val="164"/>
        </w:numPr>
        <w:rPr>
          <w:rFonts w:ascii="Arial" w:cs="Arial" w:eastAsia="Arial" w:hAnsi="Arial"/>
          <w:sz w:val="16"/>
          <w:szCs w:val="16"/>
          <w:color w:val="auto"/>
        </w:rPr>
      </w:pPr>
      <w:r>
        <w:rPr>
          <w:rFonts w:ascii="Arial" w:cs="Arial" w:eastAsia="Arial" w:hAnsi="Arial"/>
          <w:sz w:val="16"/>
          <w:szCs w:val="16"/>
          <w:color w:val="auto"/>
        </w:rPr>
        <w:t>default shall be made in the payment of any fee or any other amount (other than an amount referred to in (b) above) due under any Credit Document, when and as the same shall become due and payable, and such default shall continue unremedied for a period of five (5) Business Days;</w:t>
      </w:r>
    </w:p>
    <w:p>
      <w:pPr>
        <w:spacing w:after="0" w:line="123" w:lineRule="exact"/>
        <w:rPr>
          <w:rFonts w:ascii="Arial" w:cs="Arial" w:eastAsia="Arial" w:hAnsi="Arial"/>
          <w:sz w:val="16"/>
          <w:szCs w:val="16"/>
          <w:color w:val="auto"/>
        </w:rPr>
      </w:pPr>
    </w:p>
    <w:p>
      <w:pPr>
        <w:jc w:val="both"/>
        <w:ind w:firstLine="656"/>
        <w:spacing w:after="0" w:line="286" w:lineRule="auto"/>
        <w:tabs>
          <w:tab w:leader="none" w:pos="1049" w:val="left"/>
        </w:tabs>
        <w:numPr>
          <w:ilvl w:val="1"/>
          <w:numId w:val="164"/>
        </w:numPr>
        <w:rPr>
          <w:rFonts w:ascii="Arial" w:cs="Arial" w:eastAsia="Arial" w:hAnsi="Arial"/>
          <w:sz w:val="17"/>
          <w:szCs w:val="17"/>
          <w:color w:val="auto"/>
        </w:rPr>
      </w:pPr>
      <w:r>
        <w:rPr>
          <w:rFonts w:ascii="Arial" w:cs="Arial" w:eastAsia="Arial" w:hAnsi="Arial"/>
          <w:sz w:val="17"/>
          <w:szCs w:val="17"/>
          <w:color w:val="auto"/>
        </w:rPr>
        <w:t>default shall be made in the due observance or performance by Borrower or any Restricted Subsidiary of any covenant, condition or agreement contained in Section 9.01(a) (with respect to Borrower only), 9.04(d), 9.06, 9.10 or in Article X (provided in the case of Section 10.08 only, in no case shall any default in the due observance or performance thereof during a Covenant Suspension Period constitute a Default or Event of Default);</w:t>
      </w:r>
    </w:p>
    <w:p>
      <w:pPr>
        <w:spacing w:after="0" w:line="165" w:lineRule="exact"/>
        <w:rPr>
          <w:rFonts w:ascii="Arial" w:cs="Arial" w:eastAsia="Arial" w:hAnsi="Arial"/>
          <w:sz w:val="17"/>
          <w:szCs w:val="17"/>
          <w:color w:val="auto"/>
        </w:rPr>
      </w:pPr>
    </w:p>
    <w:p>
      <w:pPr>
        <w:jc w:val="both"/>
        <w:ind w:firstLine="656"/>
        <w:spacing w:after="0" w:line="302" w:lineRule="auto"/>
        <w:tabs>
          <w:tab w:leader="none" w:pos="1082" w:val="left"/>
        </w:tabs>
        <w:numPr>
          <w:ilvl w:val="1"/>
          <w:numId w:val="164"/>
        </w:numPr>
        <w:rPr>
          <w:rFonts w:ascii="Arial" w:cs="Arial" w:eastAsia="Arial" w:hAnsi="Arial"/>
          <w:sz w:val="16"/>
          <w:szCs w:val="16"/>
          <w:color w:val="auto"/>
        </w:rPr>
      </w:pPr>
      <w:r>
        <w:rPr>
          <w:rFonts w:ascii="Arial" w:cs="Arial" w:eastAsia="Arial" w:hAnsi="Arial"/>
          <w:sz w:val="16"/>
          <w:szCs w:val="16"/>
          <w:color w:val="auto"/>
        </w:rPr>
        <w:t>default shall be made in the due observance or performance by Borrower or any of its Restricted Subsidiaries of any covenant, condition or agreement contained in any Credit Document (other than those specified in Section 11.01(b), 11.01(c) or 11.01(d)) and, unless such default has been waived, such default shall continue unremedied for a period of thirty (30) days (or 60 days if such default results solely from an Immaterial Subsidiary’s or a Foreign Subsidiary’s failure to observe or perform any such covenant, condition or agreement) after written notice thereof from Administrative Agent to Borrower;</w:t>
      </w:r>
    </w:p>
    <w:p>
      <w:pPr>
        <w:spacing w:after="0" w:line="154" w:lineRule="exact"/>
        <w:rPr>
          <w:rFonts w:ascii="Arial" w:cs="Arial" w:eastAsia="Arial" w:hAnsi="Arial"/>
          <w:sz w:val="16"/>
          <w:szCs w:val="16"/>
          <w:color w:val="auto"/>
        </w:rPr>
      </w:pPr>
    </w:p>
    <w:p>
      <w:pPr>
        <w:jc w:val="both"/>
        <w:ind w:firstLine="656"/>
        <w:spacing w:after="0" w:line="312" w:lineRule="auto"/>
        <w:tabs>
          <w:tab w:leader="none" w:pos="1025" w:val="left"/>
        </w:tabs>
        <w:numPr>
          <w:ilvl w:val="1"/>
          <w:numId w:val="164"/>
        </w:numPr>
        <w:rPr>
          <w:rFonts w:ascii="Arial" w:cs="Arial" w:eastAsia="Arial" w:hAnsi="Arial"/>
          <w:sz w:val="16"/>
          <w:szCs w:val="16"/>
          <w:color w:val="auto"/>
        </w:rPr>
      </w:pPr>
      <w:r>
        <w:rPr>
          <w:rFonts w:ascii="Arial" w:cs="Arial" w:eastAsia="Arial" w:hAnsi="Arial"/>
          <w:sz w:val="16"/>
          <w:szCs w:val="16"/>
          <w:color w:val="auto"/>
        </w:rPr>
        <w:t>Borrower or any of its Restricted Subsidiaries (other than any Immaterial Subsidiary) shall (i) fail to pay any principal or interest, regardless of amount, due in respect of any Indebtedness (other than the Obligations), when and as the same shall become due and payable (after giving effect to any applicable grace period), or (ii) fail to observe or perform any other term, covenant, condition or agreement contained in any agreement or instrument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801" w:right="239" w:bottom="1440" w:gutter="0" w:footer="0" w:header="0"/>
        </w:sectPr>
      </w:pPr>
    </w:p>
    <w:bookmarkStart w:id="209" w:name="page210"/>
    <w:bookmarkEnd w:id="209"/>
    <w:p>
      <w:pPr>
        <w:jc w:val="both"/>
        <w:spacing w:after="0" w:line="270" w:lineRule="auto"/>
        <w:rPr>
          <w:sz w:val="20"/>
          <w:szCs w:val="20"/>
          <w:color w:val="auto"/>
        </w:rPr>
      </w:pPr>
      <w:r>
        <w:rPr>
          <w:rFonts w:ascii="Arial" w:cs="Arial" w:eastAsia="Arial" w:hAnsi="Arial"/>
          <w:sz w:val="17"/>
          <w:szCs w:val="17"/>
          <w:color w:val="auto"/>
        </w:rPr>
        <w:t xml:space="preserve">evidencing or governing any such Indebtedness or any event or condition occurs, if the effect of any failure or occurrence referred to in this clause (ii) is to cause, or to permit the holder or holders of such Indebtedness or a trustee on its or their behalf (with or without the giving of notice but giving effect to applicable grace periods) to cause, such Indebtedness (other than Qualified Contingent Obligations)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(x) clauses (i) and (ii) shall not apply to any offer to repurchase, prepay or redeem Indebtedness of a Person acquired in an</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permitted hereunder, to the extent such offer is required as a result of, or in connection with, such Acquisition, (y) any event or condition causing or permitting the holders of any Indebtedness to cause such Indebtedness to be converted into Qualified Capital Stock (including any such event or condition which, pursuant to its terms may, at the option of Borrower, be satisfied in cash in lieu of conversion into Qualified Capital Stock) shall not constitute an Event of Default pursuant to this paragraph (f) and (z) it shall not constitute an Event of Default pursuant to this paragraph (f) unless the aggregate amount of all such Indebtedness referred to in clauses (i) and (ii) exceeds $125.0 million at any one time;</w:t>
      </w:r>
    </w:p>
    <w:p>
      <w:pPr>
        <w:spacing w:after="0" w:line="178" w:lineRule="exact"/>
        <w:rPr>
          <w:sz w:val="20"/>
          <w:szCs w:val="20"/>
          <w:color w:val="auto"/>
        </w:rPr>
      </w:pPr>
    </w:p>
    <w:p>
      <w:pPr>
        <w:jc w:val="both"/>
        <w:ind w:firstLine="656"/>
        <w:spacing w:after="0" w:line="254" w:lineRule="auto"/>
        <w:tabs>
          <w:tab w:leader="none" w:pos="105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in a court of competent jurisdiction in either case under the Bankruptcy Code or any other federal, state or foreign bankruptcy, insolvency, receivership or similar law, in each case seeking (i) relief in respect of Borrower or any of its Restricted Subsidiaries (other than any Immaterial Subsidiary), or of a substantial part of the property or assets of Borrower or any of its Restricted Subsidiaries (other than any Immaterial Subsidiary); (ii)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or (iii) the winding-up or liquidation of Borrower or of its Restricted Subsidiaries (other than any Immaterial Subsidiary); and such proceeding or petition shall continue undismissed for 60 days or an order or decree approving or ordering any of the foregoing shall be entered;</w:t>
      </w:r>
    </w:p>
    <w:p>
      <w:pPr>
        <w:spacing w:after="0" w:line="192" w:lineRule="exact"/>
        <w:rPr>
          <w:rFonts w:ascii="Arial" w:cs="Arial" w:eastAsia="Arial" w:hAnsi="Arial"/>
          <w:sz w:val="18"/>
          <w:szCs w:val="18"/>
          <w:color w:val="auto"/>
        </w:rPr>
      </w:pPr>
    </w:p>
    <w:p>
      <w:pPr>
        <w:jc w:val="both"/>
        <w:ind w:firstLine="656"/>
        <w:spacing w:after="0" w:line="270" w:lineRule="auto"/>
        <w:tabs>
          <w:tab w:leader="none" w:pos="104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Borrower or any of its Restricted Subsidiaries (other than any Immaterial Subsidiary) shall (i) voluntarily commence any proceeding or file any petition seeking relief under the Bankruptcy Code or any other federal, state or foreign bankruptcy, insolvency, receivership or similar law; (ii) consent to the institution of, or fail to contest in a timely and appropriate manner, any proceeding or the filing of any petition described in Section 11.01(g); (iii) apply for or consent to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in any proceeding under the Bankruptcy Code or any other federal, state or foreign bankruptcy, insolvency, receivership, or similar law; (iv) 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 (viii) wind up or liquidate (except as permitted hereunder);</w:t>
      </w:r>
    </w:p>
    <w:p>
      <w:pPr>
        <w:spacing w:after="0" w:line="181" w:lineRule="exact"/>
        <w:rPr>
          <w:rFonts w:ascii="Arial" w:cs="Arial" w:eastAsia="Arial" w:hAnsi="Arial"/>
          <w:sz w:val="17"/>
          <w:szCs w:val="17"/>
          <w:color w:val="auto"/>
        </w:rPr>
      </w:pPr>
    </w:p>
    <w:p>
      <w:pPr>
        <w:jc w:val="both"/>
        <w:ind w:firstLine="656"/>
        <w:spacing w:after="0" w:line="257" w:lineRule="auto"/>
        <w:tabs>
          <w:tab w:leader="none" w:pos="102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$125.0 million (to the extent not covered by third party insurance) shall be rendered against Borrower or any of its Restricted Subsidiaries (other than any Immaterial Subsidiary) or any combination thereof and the same shall remain undischarged for a period of 60 consecutive days during which execution shall not be effectively stayed, or any action (to the extent such action is not effectively stayed) shall be legally taken by a judgment creditor to levy upon assets or properties of Borrower or any of its Restricted Subsidiaries to enforce any such judgment;</w:t>
      </w:r>
    </w:p>
    <w:p>
      <w:pPr>
        <w:spacing w:after="0" w:line="188" w:lineRule="exact"/>
        <w:rPr>
          <w:rFonts w:ascii="Arial" w:cs="Arial" w:eastAsia="Arial" w:hAnsi="Arial"/>
          <w:sz w:val="18"/>
          <w:szCs w:val="18"/>
          <w:color w:val="auto"/>
        </w:rPr>
      </w:pPr>
    </w:p>
    <w:p>
      <w:pPr>
        <w:ind w:firstLine="656"/>
        <w:spacing w:after="0" w:line="277" w:lineRule="auto"/>
        <w:tabs>
          <w:tab w:leader="none" w:pos="103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such ERISA Events, would reasonably be expected to result in a Material Adverse Effect;</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06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with respect to any material Collateral, any security interest and Lien purported to be created by the applicable Security Document shall cease to be in full force and effect, or shall cease to give Collateral Agent, for the benefit of the Secured Parties, the first priority Liens and rights, powers and privileges in each case purported to be created and granted under such Security Document in favor of Collateral Agent, or shall be asserted by any Credit Party or any Affiliate thereof not to be a valid, perfected (except as otherwise provided in this Agreement or such Security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801" w:right="239" w:bottom="1440" w:gutter="0" w:footer="0" w:header="0"/>
        </w:sectPr>
      </w:pPr>
    </w:p>
    <w:bookmarkStart w:id="210" w:name="page211"/>
    <w:bookmarkEnd w:id="210"/>
    <w:p>
      <w:pPr>
        <w:spacing w:after="0" w:line="277" w:lineRule="auto"/>
        <w:rPr>
          <w:sz w:val="20"/>
          <w:szCs w:val="20"/>
          <w:color w:val="auto"/>
        </w:rPr>
      </w:pPr>
      <w:r>
        <w:rPr>
          <w:rFonts w:ascii="Arial" w:cs="Arial" w:eastAsia="Arial" w:hAnsi="Arial"/>
          <w:sz w:val="18"/>
          <w:szCs w:val="18"/>
          <w:color w:val="auto"/>
        </w:rPr>
        <w:t>Document) security interest in or Lien on the Collateral covered thereby, in each case, other than as a result of an act of the Administrative Agent, the Collateral Agent or any other Secured Party;</w:t>
      </w:r>
    </w:p>
    <w:p>
      <w:pPr>
        <w:spacing w:after="0" w:line="170" w:lineRule="exact"/>
        <w:rPr>
          <w:sz w:val="20"/>
          <w:szCs w:val="20"/>
          <w:color w:val="auto"/>
        </w:rPr>
      </w:pPr>
    </w:p>
    <w:p>
      <w:pPr>
        <w:jc w:val="both"/>
        <w:ind w:firstLine="656"/>
        <w:spacing w:after="0" w:line="264" w:lineRule="auto"/>
        <w:tabs>
          <w:tab w:leader="none" w:pos="1006"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Guarantee shall cease to be in full force and effect or any of the Guarantors repudiates, or attempts to repudiate, any of its obligations under any of the Guarantees (except to the extent such Guarantee ceases to be in effect in connection with any transaction permitted pursuant to Sections 9.12 or 10.05);</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8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Credit Document or any material provisions thereof shall at any time and for any reason be declared by a court of competent jurisdiction to be null and void, or a proceeding shall be commenced by any Credit Party seeking to establish the invalidity or unenforceability thereof (exclusive of questions of interpretation of any provision thereof), or any Credit Party shall repudiate or deny that it has any liability or obligation for the payment of principal or interest purported to be created under any Credit Document;</w:t>
      </w:r>
    </w:p>
    <w:p>
      <w:pPr>
        <w:spacing w:after="0" w:line="186" w:lineRule="exact"/>
        <w:rPr>
          <w:rFonts w:ascii="Arial" w:cs="Arial" w:eastAsia="Arial" w:hAnsi="Arial"/>
          <w:sz w:val="18"/>
          <w:szCs w:val="18"/>
          <w:color w:val="auto"/>
        </w:rPr>
      </w:pPr>
    </w:p>
    <w:p>
      <w:pPr>
        <w:ind w:left="1100" w:hanging="444"/>
        <w:spacing w:after="0"/>
        <w:tabs>
          <w:tab w:leader="none" w:pos="11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there shall have occurred a Change of Control;</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146"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there shall have occurred a License Revocation by any Gaming Authority in one or more jurisdictions in which Borrower or any of its Restricted Subsidiaries owns or operates Gaming Facilities, which License Revocation (in the aggregate with any other License Revocations then in existence) would reasonably be expected to have a Material Adverse Effect (for purposes of clarification, without giving effect to the first proviso to the definition of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License Revocation continues for at least thirty (30) consecutive days after the earlier of</w:t>
      </w:r>
    </w:p>
    <w:p>
      <w:pPr>
        <w:spacing w:after="0" w:line="1" w:lineRule="exact"/>
        <w:rPr>
          <w:rFonts w:ascii="Arial" w:cs="Arial" w:eastAsia="Arial" w:hAnsi="Arial"/>
          <w:sz w:val="16"/>
          <w:szCs w:val="16"/>
          <w:color w:val="auto"/>
        </w:rPr>
      </w:pPr>
    </w:p>
    <w:p>
      <w:pPr>
        <w:ind w:right="20" w:firstLine="8"/>
        <w:spacing w:after="0" w:line="261" w:lineRule="auto"/>
        <w:tabs>
          <w:tab w:leader="none" w:pos="26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date of cessation of the affected operations as a result of such License Revocation and (y) the date that none of Borrower, nor any of its Restricted Subsidiaries nor the Lenders receive the net cash flows generated by any such operations; or</w:t>
      </w:r>
    </w:p>
    <w:p>
      <w:pPr>
        <w:spacing w:after="0" w:line="183" w:lineRule="exact"/>
        <w:rPr>
          <w:rFonts w:ascii="Arial" w:cs="Arial" w:eastAsia="Arial" w:hAnsi="Arial"/>
          <w:sz w:val="18"/>
          <w:szCs w:val="18"/>
          <w:color w:val="auto"/>
        </w:rPr>
      </w:pPr>
    </w:p>
    <w:p>
      <w:pPr>
        <w:jc w:val="both"/>
        <w:ind w:right="20" w:firstLine="656"/>
        <w:spacing w:after="0" w:line="264" w:lineRule="auto"/>
        <w:tabs>
          <w:tab w:leader="none" w:pos="1124"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the provisions of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 or Second Lien Intercreditor Agreement shall, in whole or in part, following such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Intercreditor Agreement or Second Lien Intercreditor Agreement being entered into, terminate, cease to be effective or cease to be legally valid,</w:t>
      </w:r>
      <w:r>
        <w:rPr>
          <w:rFonts w:ascii="Arial" w:cs="Arial" w:eastAsia="Arial" w:hAnsi="Arial"/>
          <w:sz w:val="18"/>
          <w:szCs w:val="18"/>
          <w:i w:val="1"/>
          <w:iCs w:val="1"/>
          <w:color w:val="auto"/>
        </w:rPr>
        <w:t xml:space="preserve"> </w:t>
      </w:r>
      <w:r>
        <w:rPr>
          <w:rFonts w:ascii="Arial" w:cs="Arial" w:eastAsia="Arial" w:hAnsi="Arial"/>
          <w:sz w:val="18"/>
          <w:szCs w:val="18"/>
          <w:color w:val="auto"/>
        </w:rPr>
        <w:t>binding and enforceable against the Persons party thereto, except in accordance with its terms;</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then, and in every such event (other than an event described in Section 11.01(g) or 11.01(h) with respect to Borrower), and at any time thereafter during the continuance of such event, Administrative Agent, at the request of the Required Lenders, shall, by notice to Borrower, take any or all of the following actions, at the same or different times: (i) terminate forthwith the Commitments, (ii) declare the Loans and Reimbursement Obligations then outstanding to be forthwith due and payable in whole or in part, whereupon the principal of the Loans and Reimbursement Obligations so declared to be due and payable, together with accrued interest thereon and any unpaid accrued fees and all other liabilities and Obligations of Borrower accrued hereunder and under any other Credit Document (other than Swap Contracts and Cash Management Agreements), shall become forthwith due and payable, without presentment, demand, protest or any other notice of any kind, all of which are hereby expressly waived by Borrower, anything contained herein or in any other Credit Document (other than Swap Contracts and Cash Management Agreements) to the contrary notwithstanding; (iii) exercise any other right or remedy provided under the Credit Documents or at law or in equity and (iv) direct Borrower to pay (and Borrower hereby agrees upon receipt of such notice, or upon the occurrence of any Event of Default specified in Section 11.01(g) or 11.01(h) with respect to Borrower, to pay) to Collateral Agent at the Principal Office such additional amounts of cash, to be held as security by Collateral Agent for L/C Liabilities then outstanding, equal to the aggregate L/C Liabilities then outstanding; and in any event described in Section 11.01(g) or 11.01(h) above with respect to Borrower, the Commitments shall automatically terminate and the principal of the Loans and Reimbursement Obligations then outstanding, together with accrued interest thereon and any unpaid accrued fees and all other liabilities and Obligations of Borrower accrued hereunder and under any other Credit Document, shall automatically become due and payable, without presentment, demand, protest or any other notice of any kind, all of which are hereby expressly waived by Borrower, anything contained herein or in any other Credit Document to the contrary notwithstanding. Notwithstanding anything to the contrary, if the only Event of Default then having occurred and continuing is an Event of Default with respect to the financial maintenance covenants set forth in Section 10.08, then the Administrative Agent may not take any of the actions set forth in this Section 11.01 during the period commencing on the date that the Administrative Agent receives a Notice of Intent to Cure and ending on the Cure Expiration Date with respect thereto in accordance with and to the extent permitted by Section 11.03.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801" w:right="239" w:bottom="1440" w:gutter="0" w:footer="0" w:header="0"/>
        </w:sectPr>
      </w:pPr>
    </w:p>
    <w:bookmarkStart w:id="211" w:name="page212"/>
    <w:bookmarkEnd w:id="211"/>
    <w:p>
      <w:pPr>
        <w:jc w:val="both"/>
        <w:ind w:firstLine="648"/>
        <w:spacing w:after="0" w:line="261" w:lineRule="auto"/>
        <w:rPr>
          <w:sz w:val="20"/>
          <w:szCs w:val="20"/>
          <w:color w:val="auto"/>
        </w:rPr>
      </w:pPr>
      <w:r>
        <w:rPr>
          <w:rFonts w:ascii="Arial" w:cs="Arial" w:eastAsia="Arial" w:hAnsi="Arial"/>
          <w:sz w:val="18"/>
          <w:szCs w:val="18"/>
          <w:b w:val="1"/>
          <w:bCs w:val="1"/>
          <w:color w:val="auto"/>
        </w:rPr>
        <w:t>SECTION 11.02. Application of Proceeds</w:t>
      </w:r>
      <w:r>
        <w:rPr>
          <w:rFonts w:ascii="Arial" w:cs="Arial" w:eastAsia="Arial" w:hAnsi="Arial"/>
          <w:sz w:val="18"/>
          <w:szCs w:val="18"/>
          <w:color w:val="auto"/>
        </w:rPr>
        <w:t>. The proceeds received by Collateral Agent in respect of any sale of, collection from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realization upon all or any part of the Collateral pursuant to the exercise by Collateral Agent of its remedies, or otherwise received after acceleration of the Loans, shall be applied, in full or in part, together with any other sums then held by Collateral Agent pursuant to this Agreement, promptly by Collateral Agent as follows:</w:t>
      </w:r>
    </w:p>
    <w:p>
      <w:pPr>
        <w:spacing w:after="0" w:line="184" w:lineRule="exact"/>
        <w:rPr>
          <w:sz w:val="20"/>
          <w:szCs w:val="20"/>
          <w:color w:val="auto"/>
        </w:rPr>
      </w:pPr>
    </w:p>
    <w:p>
      <w:pPr>
        <w:jc w:val="both"/>
        <w:ind w:firstLine="656"/>
        <w:spacing w:after="0" w:line="259" w:lineRule="auto"/>
        <w:tabs>
          <w:tab w:leader="none" w:pos="1100"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reasonable costs and expenses, fees, commissions and Taxes of such sale, collection or other realization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to Administrative Agent and Collateral Agent and their respective agents and counsel, and all expenses, liabilities and advances made or incurred by Administrative Agent or Collateral Agent in connection therewith and all amounts for which Administrative Agent or Collateral Agent, as applicable is entitled to indemnification pursuant to the provisions of any Credit Document;</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038"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of all other reasonable costs and expenses of such sale, collection or other realization and of any receiver of any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Collateral appointed pursuant to the applicable Security Documents including compensation to the other Secured Parties and their agents and counsel and all costs, liabilities and advances made or incurred by the other Secured Parties in connection therewith;</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068"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without duplication of amounts applied pursuant to clauses (a) and (b) above, to the indefeasible payment in full in cash,</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other amounts constituting Obligations (other than principal, reimbursement obligations in respect of L/C Liabilities and obligations to Cash Collateralize L/C Liabilities) and any fees, premiums and scheduled periodic payments due under Obligations arising under Secured Cash Management Agreements and Swap Contracts that constitute Secured Obligations (as defined in the Security Agreement) and any interest accrued thereon, in each case equally and ratably in accordance with the respective amounts thereof then due and owing;</w:t>
      </w:r>
    </w:p>
    <w:p>
      <w:pPr>
        <w:spacing w:after="0" w:line="188" w:lineRule="exact"/>
        <w:rPr>
          <w:rFonts w:ascii="Arial" w:cs="Arial" w:eastAsia="Arial" w:hAnsi="Arial"/>
          <w:sz w:val="18"/>
          <w:szCs w:val="18"/>
          <w:color w:val="auto"/>
        </w:rPr>
      </w:pPr>
    </w:p>
    <w:p>
      <w:pPr>
        <w:jc w:val="both"/>
        <w:ind w:firstLine="656"/>
        <w:spacing w:after="0" w:line="259" w:lineRule="auto"/>
        <w:tabs>
          <w:tab w:leader="none" w:pos="1119"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indefeasible payment in full in cash,</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principal amount of the Obligations and any premium thereon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obligations in respect of L/C Liabilities and obligations to Cash Collateralize L/C Liabilities) and any breakage, termination or other payments under Obligations arising under Secured Cash Management Agreements and Swap Contracts that constitute Secured Obligations (as defined in the Security Agreement) and any interest accrued thereon; and</w:t>
      </w:r>
    </w:p>
    <w:p>
      <w:pPr>
        <w:spacing w:after="0" w:line="186" w:lineRule="exact"/>
        <w:rPr>
          <w:rFonts w:ascii="Arial" w:cs="Arial" w:eastAsia="Arial" w:hAnsi="Arial"/>
          <w:sz w:val="18"/>
          <w:szCs w:val="18"/>
          <w:color w:val="auto"/>
        </w:rPr>
      </w:pPr>
    </w:p>
    <w:p>
      <w:pPr>
        <w:ind w:firstLine="656"/>
        <w:spacing w:after="0" w:line="277" w:lineRule="auto"/>
        <w:tabs>
          <w:tab w:leader="none" w:pos="1041"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the balance, if any, to the Person lawfully entitled thereto (including the applicable Credit Party or its successors or assigns) or as a court</w:t>
      </w:r>
      <w:r>
        <w:rPr>
          <w:rFonts w:ascii="Arial" w:cs="Arial" w:eastAsia="Arial" w:hAnsi="Arial"/>
          <w:sz w:val="18"/>
          <w:szCs w:val="18"/>
          <w:i w:val="1"/>
          <w:iCs w:val="1"/>
          <w:color w:val="auto"/>
        </w:rPr>
        <w:t xml:space="preserve"> </w:t>
      </w:r>
      <w:r>
        <w:rPr>
          <w:rFonts w:ascii="Arial" w:cs="Arial" w:eastAsia="Arial" w:hAnsi="Arial"/>
          <w:sz w:val="18"/>
          <w:szCs w:val="18"/>
          <w:color w:val="auto"/>
        </w:rPr>
        <w:t>of competent jurisdiction may direct.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that any such proceeds are insufficient to pay in full the items described in clauses (a) through (c) of this Section 11.02, the Credit Parties shall remain liable, jointly and severally, for any deficiency.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the foregoing, Obligations arising under Secured Cash Management Agreements and Credit Swap Contracts shall be excluded from the application described above if Administrative Agent has not received written notice thereof, together with such supporting documentation as Administrative Agent may request, from the applicable Cash Management Bank or Swap Provider, as the case may be. Each Cash Management Bank or Swap Provider not a party to this Agreement that has given the notice contemplated by the preceding sentence shall, by such notice, be deemed to have acknowledged and accepted the appointment of Administrative Agent and the Collateral Agent pursuant to the terms of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hereof for itself and its Affiliates as if a “Lender” party hereto.</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SECTION 11.03. Borrower’s Right to Cure</w:t>
      </w:r>
      <w:r>
        <w:rPr>
          <w:rFonts w:ascii="Arial" w:cs="Arial" w:eastAsia="Arial" w:hAnsi="Arial"/>
          <w:sz w:val="17"/>
          <w:szCs w:val="17"/>
          <w:color w:val="auto"/>
        </w:rPr>
        <w:t>. Notwithstanding anything to the contrary contained in Section 10.08, in the event that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shall fail to comply with the financial maintenance covenants set forth in Section 10.08, any equity contribution (in the form of common equity or other equity having terms reasonably acceptable to the Administrative Agent) made or contributed to Borrower, or cash proceeds of Intercompany Contribution Indebtedness incurred by Borrower, after the last day of any fiscal quarter and on or prior to the day that is ten (10) Business Days after the day on which financial statements are required to be delivered for that fiscal quarter (such date, the “</w:t>
      </w:r>
      <w:r>
        <w:rPr>
          <w:rFonts w:ascii="Arial" w:cs="Arial" w:eastAsia="Arial" w:hAnsi="Arial"/>
          <w:sz w:val="17"/>
          <w:szCs w:val="17"/>
          <w:b w:val="1"/>
          <w:bCs w:val="1"/>
          <w:color w:val="auto"/>
        </w:rPr>
        <w:t>Cure Expiration Date</w:t>
      </w:r>
      <w:r>
        <w:rPr>
          <w:rFonts w:ascii="Arial" w:cs="Arial" w:eastAsia="Arial" w:hAnsi="Arial"/>
          <w:sz w:val="17"/>
          <w:szCs w:val="17"/>
          <w:color w:val="auto"/>
        </w:rPr>
        <w:t>”) will, at the request of Borrower, be included in the calculation of Consolidated EBITDA solely for the purposes of determining compliance with such financial maintenance covenants at the end of such fiscal quarter and any subsequent period that includes such fiscal quarter (any such equity contribution or cash proceeds, a “</w:t>
      </w:r>
      <w:r>
        <w:rPr>
          <w:rFonts w:ascii="Arial" w:cs="Arial" w:eastAsia="Arial" w:hAnsi="Arial"/>
          <w:sz w:val="17"/>
          <w:szCs w:val="17"/>
          <w:b w:val="1"/>
          <w:bCs w:val="1"/>
          <w:color w:val="auto"/>
        </w:rPr>
        <w:t>Specified Equity</w:t>
      </w:r>
      <w:r>
        <w:rPr>
          <w:rFonts w:ascii="Arial" w:cs="Arial" w:eastAsia="Arial" w:hAnsi="Arial"/>
          <w:sz w:val="17"/>
          <w:szCs w:val="17"/>
          <w:color w:val="auto"/>
        </w:rPr>
        <w:t xml:space="preserve"> </w:t>
      </w:r>
      <w:r>
        <w:rPr>
          <w:rFonts w:ascii="Arial" w:cs="Arial" w:eastAsia="Arial" w:hAnsi="Arial"/>
          <w:sz w:val="17"/>
          <w:szCs w:val="17"/>
          <w:b w:val="1"/>
          <w:bCs w:val="1"/>
          <w:color w:val="auto"/>
        </w:rPr>
        <w:t>Contribution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(a) no Lender shall be required to make any extension of credit during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796" w:right="239" w:bottom="1440" w:gutter="0" w:footer="0" w:header="0"/>
        </w:sectPr>
      </w:pPr>
    </w:p>
    <w:bookmarkStart w:id="212" w:name="page213"/>
    <w:bookmarkEnd w:id="212"/>
    <w:p>
      <w:pPr>
        <w:jc w:val="both"/>
        <w:spacing w:after="0" w:line="269" w:lineRule="auto"/>
        <w:rPr>
          <w:sz w:val="20"/>
          <w:szCs w:val="20"/>
          <w:color w:val="auto"/>
        </w:rPr>
      </w:pPr>
      <w:r>
        <w:rPr>
          <w:rFonts w:ascii="Arial" w:cs="Arial" w:eastAsia="Arial" w:hAnsi="Arial"/>
          <w:sz w:val="17"/>
          <w:szCs w:val="17"/>
          <w:color w:val="auto"/>
        </w:rPr>
        <w:t>the ten (10) Business Day period referred to above if Borrower has not received the proceeds of such Specified Equity Contribution, (b) Borrower shall not be permitted to so request that a Specified Equity Contribution be included in the calculation of Consolidated EBITDA with respect to any fiscal quarter unless, after giving effect to such requested Specified Equity Contribution, there will be a period of at least two (2) fiscal quarters in the Relevant Four Fiscal Quarter Period in which no Specified Equity Contribution has been made and there shall be no more than five (5) Specified Equity Contributions in total, (c) the amount of any Specified Equity Contribution and the use of proceeds therefrom will be no greater than the amount required to cause Borrower to be in compliance with such financial maintenance covenants, (d) all proceeds of Specified Equity Contributions will be disregarded for all other purposes under the Credit Documents (including calculating Consolidated EBITDA for purposes of determining basket levels and other items governed by reference to Consolidated EBITDA, and for purposes of negative covenants (other than such financial maintenance covenants)), (e) the proceeds of each Specified Equity Contributions shall have been contributed to Borrower as equity solely in exchange for Qualified Capital Stock of Borrower or as Intercompany Contribution Indebtedness and (f) there shall be no reduction in Indebtedness (whether on a pro forma basis or otherwise) with the proceeds of any Specified Equity Contribution for purposes of determining compliance with such financial maintenance covenants for the fiscal quarter for which such Specified Equity Contribution was made.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AGENTS</w:t>
      </w:r>
    </w:p>
    <w:p>
      <w:pPr>
        <w:spacing w:after="0" w:line="2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SECTION 12.01. Appointment</w:t>
      </w:r>
      <w:r>
        <w:rPr>
          <w:rFonts w:ascii="Arial" w:cs="Arial" w:eastAsia="Arial" w:hAnsi="Arial"/>
          <w:sz w:val="16"/>
          <w:szCs w:val="16"/>
          <w:color w:val="auto"/>
        </w:rPr>
        <w:t>. Each of the Lenders hereby irrevocably appoints DB to act on its behalf as the Administrative Agent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Collateral Agent hereunder and under the other Credit Documents, and authorizes the Administrative Agent and the Collateral Agent to take such actions on its behalf and to exercise such powers as are delegated to the Administrative Agent or the Collateral Agent by the terms hereof or thereof, together with such actions and powers as are reasonably incidental thereto, including pursuant to regulatory requirements of any Gaming Authority consistent with the intents and purposes of this Agreement and the other Credit Documents. DB is hereby appointed Auction Manager hereunder, and each Lender hereby authorizes the Auction Manager to act as its agent in accordance with the terms hereof and of the other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that Borrower shall have the right to select and appoint a replacement Auction Manager from time to time by written notice to Administrative Agent, and any such replacement shall also be so authorized to act in such capacity. Each Lender agrees that the Auction Manager shall have solely the obligations in its capacity as the Auction Manager as are specifically described in this Agreement and shall be entitled to the benefits of Article XII, as applicable. Each of the Lenders hereby irrevocably authorize each of the Agents (other than the Administrative Agent, Collateral Agent and the Auction Manager) to take such action on its behalf under the provisions of this Agreement and the other Credit Documents and to exercise such powers and perform such duties as are expressly delegated to such Agent by the terms of this Agreement and the other Credit Documents, together with such other powers as are reasonably incidental thereto. The provisions of this Article are solely for the benefit of the Agents and the Lenders, and neither Borrower nor any other Credit Party shall have rights as a third party beneficiary of any of the provisions of this Article XII, except to the extent set forth in this Section 12.01, Section 12.06 and Section 12.07(b). It is understood and agreed that the use of the term “agent” herein or in any other Credit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12.02. Rights as a Lender</w:t>
      </w:r>
      <w:r>
        <w:rPr>
          <w:rFonts w:ascii="Arial" w:cs="Arial" w:eastAsia="Arial" w:hAnsi="Arial"/>
          <w:sz w:val="18"/>
          <w:szCs w:val="18"/>
          <w:color w:val="auto"/>
        </w:rPr>
        <w:t>. Any Person serving as an Agent hereunder shall have the same rights and powers in its capacity as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(if applicable) as any other Lender and may exercise the same as though it were not an Agent, and the term “Lender” or “Lenders” shall, unless otherwise expressly indicated or unless the context otherwise requires, include the Person serving as such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an Agent hereunder and without any duty to account therefor to the Lenders.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801" w:right="239" w:bottom="1440" w:gutter="0" w:footer="0" w:header="0"/>
        </w:sectPr>
      </w:pPr>
    </w:p>
    <w:bookmarkStart w:id="213" w:name="page214"/>
    <w:bookmarkEnd w:id="213"/>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12.03.</w:t>
      </w:r>
      <w:r>
        <w:rPr>
          <w:sz w:val="20"/>
          <w:szCs w:val="20"/>
          <w:color w:val="auto"/>
        </w:rPr>
        <w:tab/>
      </w:r>
      <w:r>
        <w:rPr>
          <w:rFonts w:ascii="Arial" w:cs="Arial" w:eastAsia="Arial" w:hAnsi="Arial"/>
          <w:sz w:val="16"/>
          <w:szCs w:val="16"/>
          <w:b w:val="1"/>
          <w:bCs w:val="1"/>
          <w:color w:val="auto"/>
        </w:rPr>
        <w:t>Exculpatory Provisions</w:t>
      </w:r>
      <w:r>
        <w:rPr>
          <w:rFonts w:ascii="Arial" w:cs="Arial" w:eastAsia="Arial" w:hAnsi="Arial"/>
          <w:sz w:val="16"/>
          <w:szCs w:val="16"/>
          <w:color w:val="auto"/>
        </w:rPr>
        <w:t>. No Agent shall have any duties or obligations except those expressly set forth herein and in the other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Credit Documents, and each Agent’s duties hereunder shall be administrative in nature. Without limiting the generality of the foregoing, no Agent:</w:t>
      </w:r>
    </w:p>
    <w:p>
      <w:pPr>
        <w:spacing w:after="0" w:line="222" w:lineRule="exact"/>
        <w:rPr>
          <w:sz w:val="20"/>
          <w:szCs w:val="20"/>
          <w:color w:val="auto"/>
        </w:rPr>
      </w:pPr>
    </w:p>
    <w:p>
      <w:pPr>
        <w:ind w:firstLine="656"/>
        <w:spacing w:after="0" w:line="277" w:lineRule="auto"/>
        <w:tabs>
          <w:tab w:leader="none" w:pos="104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with respect to any Credit Party, any Lender or any other Person, regardless of whether a Default has occurred and is continuing;</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106"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shall have any duty to take any discretionary action or exercise any discretionary powers, except discretionary rights and powers expressly contemplated hereby or by the other Credit Documents that the Agent is required to exercise as directed in writing by the Required Lenders (or such other number or percentage of the Lenders as shall be expressly provided for herein or in the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4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shall, except as expressly set forth herein and in the other Credit Documents, have any duty to disclose, and shall not be liable for the failure to disclose, any information relating to any of Borrower or any of its respective Affiliates that is communicated to or obtained by the Person serving as such Agent or any of its Affiliates in any capacity.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Agent 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11.01 and 13.04) or (ii) in the absence of its own gross negligence or willful misconduct as determined by a court of competent jurisdiction by final and nonappealable judgment. No Agent shall be deemed to have knowledge of any Default unless and until notice describing such Default is given in writing to such Agent by Borrower or a Lender.</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Agent shall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or (v) the satisfaction of any condition set forth in Article VII or elsewhere herein, other than to confirm receipt of items expressly required to be delivered to such Agent.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Administrative Agent shall not be responsible for, and shall not incur any liability with respect to, determining whether any assignee or potential assignee of the Loans or Commitments hereunder is a Competitor or a Disqualified Lender. 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12.04. Reliance by Agents</w:t>
      </w:r>
      <w:r>
        <w:rPr>
          <w:rFonts w:ascii="Arial" w:cs="Arial" w:eastAsia="Arial" w:hAnsi="Arial"/>
          <w:sz w:val="17"/>
          <w:szCs w:val="17"/>
          <w:color w:val="auto"/>
        </w:rPr>
        <w:t>. Each Agent shall be entitled to rely upon, and shall not incur any liability for relying upon, any notice,</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each Agent may presume that such condition is satisfactory to such Lender unless such Agent shall have received notice to the contrary from such Lender prior to the making of such Loan or the issuance of such Letter of Credit. Each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797" w:right="239" w:bottom="1440" w:gutter="0" w:footer="0" w:header="0"/>
        </w:sectPr>
      </w:pPr>
    </w:p>
    <w:bookmarkStart w:id="214" w:name="page215"/>
    <w:bookmarkEnd w:id="214"/>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12.05. Delegation of Duties. </w:t>
      </w:r>
      <w:r>
        <w:rPr>
          <w:rFonts w:ascii="Arial" w:cs="Arial" w:eastAsia="Arial" w:hAnsi="Arial"/>
          <w:sz w:val="17"/>
          <w:szCs w:val="17"/>
          <w:color w:val="auto"/>
        </w:rPr>
        <w:t>Each Agent may perform any and all of its duties and exercise its rights and powers hereunder or under</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Credit Document by or through any one or more sub agents appointed by such Agent. Each Agent and any such sub agent may perform any and all of its duties and exercise its rights and powers by or through their respective Related Parties. The exculpatory provisions of this Article shall apply to any such sub agent and to the Related Parties of each Agent and any such sub agent, and shall apply to their respective activities in connection with the syndication of the credit facilities provided for herein as well as activities as an Agent. No Agent shall be responsible for the negligence or misconduct of any sub-agents except to the extent that a court of competent jurisdiction determines in a final and non appealable judgment that an Agent acted with gross negligence, bad faith or willful misconduct in the selection of such sub-agents.</w:t>
      </w:r>
    </w:p>
    <w:p>
      <w:pPr>
        <w:spacing w:after="0" w:line="17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12.06.</w:t>
      </w:r>
      <w:r>
        <w:rPr>
          <w:sz w:val="20"/>
          <w:szCs w:val="20"/>
          <w:color w:val="auto"/>
        </w:rPr>
        <w:tab/>
      </w:r>
      <w:r>
        <w:rPr>
          <w:rFonts w:ascii="Arial" w:cs="Arial" w:eastAsia="Arial" w:hAnsi="Arial"/>
          <w:sz w:val="16"/>
          <w:szCs w:val="16"/>
          <w:b w:val="1"/>
          <w:bCs w:val="1"/>
          <w:color w:val="auto"/>
        </w:rPr>
        <w:t>Resignation of Administrative Agent and Collateral Agent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8" w:lineRule="auto"/>
        <w:tabs>
          <w:tab w:leader="none" w:pos="105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Administrative Agent and Collateral Agent may at any time give notice of their resignation to the Lenders and Borrower. Upon receipt of any such notice of resignation, the Required Lenders shall have the right, with the prior written consent of Borrower (unless an Event of Default specified in Section 11.01(b) or 11.01(c) or an Event of Default specified in Section 11.01(g) or 11.01(h) with respect to Borrower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and Collateral Agent gives notice of their resignation (or such earlier day as shall be agreed by the Required Lenders and Borrower (unless an Event of Default specified in Section 11.01(b) or 11.01(c) or an Event of Default specified in Section 11.01(g) or 11.01(h) with respect to Borrower has occurred and is continuing)) (the “</w:t>
      </w:r>
      <w:r>
        <w:rPr>
          <w:rFonts w:ascii="Arial" w:cs="Arial" w:eastAsia="Arial" w:hAnsi="Arial"/>
          <w:sz w:val="16"/>
          <w:szCs w:val="16"/>
          <w:b w:val="1"/>
          <w:bCs w:val="1"/>
          <w:color w:val="auto"/>
        </w:rPr>
        <w:t>Resignation Effective Date</w:t>
      </w:r>
      <w:r>
        <w:rPr>
          <w:rFonts w:ascii="Arial" w:cs="Arial" w:eastAsia="Arial" w:hAnsi="Arial"/>
          <w:sz w:val="16"/>
          <w:szCs w:val="16"/>
          <w:color w:val="auto"/>
        </w:rPr>
        <w:t>”), then the retiring Administrative Agent and Collateral Agent may (but shall not be obligated to) on behalf of the Lenders, appoint a successor Administrative Agent and Collateral Agent meeting the qualifications set forth above. Whether or not a successor has been appointed, such resignation shall become effective in accordance with such notice on the Resignation Effective Date.</w:t>
      </w:r>
    </w:p>
    <w:p>
      <w:pPr>
        <w:spacing w:after="0" w:line="169" w:lineRule="exact"/>
        <w:rPr>
          <w:rFonts w:ascii="Arial" w:cs="Arial" w:eastAsia="Arial" w:hAnsi="Arial"/>
          <w:sz w:val="16"/>
          <w:szCs w:val="16"/>
          <w:color w:val="auto"/>
        </w:rPr>
      </w:pPr>
    </w:p>
    <w:p>
      <w:pPr>
        <w:jc w:val="both"/>
        <w:ind w:firstLine="656"/>
        <w:spacing w:after="0" w:line="276" w:lineRule="auto"/>
        <w:tabs>
          <w:tab w:leader="none" w:pos="105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the Person serving as Administrative Agent and Collateral Agent is a Defaulting Lender pursuant to clause (iii) of the definition thereof, the Required Lenders may, to the extent permitted by applicable law, by notice in writing to Borrower and such Person remove such Person as Administrative Agent and Collateral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7"/>
          <w:szCs w:val="17"/>
          <w:b w:val="1"/>
          <w:bCs w:val="1"/>
          <w:color w:val="auto"/>
        </w:rPr>
        <w:t>Removal Effective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then such removal shall nonetheless become effective in accordance with such notice on the Removal Effective Date.</w:t>
      </w:r>
    </w:p>
    <w:p>
      <w:pPr>
        <w:spacing w:after="0" w:line="172" w:lineRule="exact"/>
        <w:rPr>
          <w:rFonts w:ascii="Arial" w:cs="Arial" w:eastAsia="Arial" w:hAnsi="Arial"/>
          <w:sz w:val="17"/>
          <w:szCs w:val="17"/>
          <w:color w:val="auto"/>
        </w:rPr>
      </w:pPr>
    </w:p>
    <w:p>
      <w:pPr>
        <w:jc w:val="both"/>
        <w:ind w:firstLine="656"/>
        <w:spacing w:after="0" w:line="268" w:lineRule="auto"/>
        <w:tabs>
          <w:tab w:leader="none" w:pos="1027" w:val="left"/>
        </w:tabs>
        <w:numPr>
          <w:ilvl w:val="0"/>
          <w:numId w:val="170"/>
        </w:numPr>
        <w:rPr>
          <w:rFonts w:ascii="Arial" w:cs="Arial" w:eastAsia="Arial" w:hAnsi="Arial"/>
          <w:sz w:val="17"/>
          <w:szCs w:val="17"/>
          <w:color w:val="auto"/>
        </w:rPr>
      </w:pPr>
      <w:r>
        <w:rPr>
          <w:rFonts w:ascii="Arial" w:cs="Arial" w:eastAsia="Arial" w:hAnsi="Arial"/>
          <w:sz w:val="17"/>
          <w:szCs w:val="17"/>
          <w:color w:val="auto"/>
        </w:rPr>
        <w:t>With effect from the Resignation Effective Date or the Removal Effective Date (as applicable) (1) the retiring or removed Administrative Agent and Collateral Agent shall be discharged from its duties and obligations hereunder and under the other Credit Documents (except that in the case of any collateral security held by the Administrative Agent or Collateral Agent on behalf of the Secured Parties under any of the Credit Documents, the retiring or removed Administrative Agent or Collateral Agent, as applicable, shall continue to hold such collateral security until such time as a successor Administrative Agent and Collateral Agent is appointed) and (2) except for any indemnity payments or other amounts then owed to the retiring or removed Administrative Agent or Collateral Agent, all payments, communications and determinations provided to be made by, to or through the Administrative Agent or the Collateral Agent shall instead be made by or to each Secured Party directly, until such time, if any, as the Required Lenders appoint a successor Administrative Agent and Collateral Agent as provided for above. Upon the acceptance of a successor’s appointment as Administrative Agent and Collateral Agent hereunder, such successor shall succeed to and become vested with all of the rights, powers, privileges and duties of the retiring (or removed) Administrative Agent and Collateral Agent (other than any rights to indemnity payments or other amounts owed to the retiring or removed Administrative Agent or Collateral Agent as of the Resignation Effective Date or the Removal Effective Date, as applicable), and the retiring or removed Administrative Agent and Collateral Agent shall be discharged from all of its duties and obligations hereunder or under the other Credit Documents (if not already discharged therefrom as provided above in this Section). The fees payable by Borrower to a successor Administrative Agent and Collateral Agent shall be the same as those payable to its predecessor unless otherwise agreed between Borrower and such successor. After the retiring or removed Administrative Agent’s and Collateral Agent’s resignation or removal hereunder and under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797" w:right="239" w:bottom="1440" w:gutter="0" w:footer="0" w:header="0"/>
        </w:sectPr>
      </w:pPr>
    </w:p>
    <w:bookmarkStart w:id="215" w:name="page216"/>
    <w:bookmarkEnd w:id="215"/>
    <w:p>
      <w:pPr>
        <w:jc w:val="both"/>
        <w:spacing w:after="0" w:line="286" w:lineRule="auto"/>
        <w:rPr>
          <w:sz w:val="20"/>
          <w:szCs w:val="20"/>
          <w:color w:val="auto"/>
        </w:rPr>
      </w:pPr>
      <w:r>
        <w:rPr>
          <w:rFonts w:ascii="Arial" w:cs="Arial" w:eastAsia="Arial" w:hAnsi="Arial"/>
          <w:sz w:val="17"/>
          <w:szCs w:val="17"/>
          <w:color w:val="auto"/>
        </w:rPr>
        <w:t>other Credit Documents, the provisions of this Article and Section 13.03 shall continue in effect for the benefit of such retiring or removed Administrative Agent and Collateral Agent, their sub agents and their respective Related Parties in respect of any actions taken or omitted to be taken by any of them while the retiring or removed Administrative Agent and Collateral Agent was acting as Administrative Agent or Collateral Agent.</w:t>
      </w:r>
    </w:p>
    <w:p>
      <w:pPr>
        <w:spacing w:after="0" w:line="166" w:lineRule="exact"/>
        <w:rPr>
          <w:sz w:val="20"/>
          <w:szCs w:val="20"/>
          <w:color w:val="auto"/>
        </w:rPr>
      </w:pPr>
    </w:p>
    <w:p>
      <w:pPr>
        <w:jc w:val="both"/>
        <w:ind w:firstLine="656"/>
        <w:spacing w:after="0" w:line="284" w:lineRule="auto"/>
        <w:tabs>
          <w:tab w:leader="none" w:pos="1123"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Any resignation by DB as Administrative Agent and Collateral Agent pursuant to this Section shall also constitute its resignation as L/C Lender. If DB resigns as an L/C Lender, it shall retain all the rights, powers, privileges and duties of an L/C Lender hereunder with respect to all of its Letters of Credit outstanding as of the effective date of its resignation as L/C Lender and all L/C Liability with respect thereto, including the right to require the Revolving Lenders to make ABR Loans or fund risk participations in Unreimbursed Amounts pursuant to Sections 2.03(e) and (f). Upon the appointment by Borrower of a successor L/C Lender hereunder and such successor’s acceptance of such appointment (which successor shall in all cases be a Lender other than a Defaulting Lender), (a) such successor shall succeed to and become vested with all of the rights, powers, privileges and duties of the retiring L/C Lender, (b) the retiring L/C Lender shall be discharged from all of their respective duties and obligations hereunder or under the other Credit Documents, and</w:t>
      </w:r>
    </w:p>
    <w:p>
      <w:pPr>
        <w:spacing w:after="0" w:line="2" w:lineRule="exact"/>
        <w:rPr>
          <w:rFonts w:ascii="Arial" w:cs="Arial" w:eastAsia="Arial" w:hAnsi="Arial"/>
          <w:sz w:val="16"/>
          <w:szCs w:val="16"/>
          <w:color w:val="auto"/>
        </w:rPr>
      </w:pPr>
    </w:p>
    <w:p>
      <w:pPr>
        <w:jc w:val="both"/>
        <w:ind w:firstLine="8"/>
        <w:spacing w:after="0" w:line="255" w:lineRule="auto"/>
        <w:tabs>
          <w:tab w:leader="none" w:pos="25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successor L/C Lender shall issue letters of credit in substitution for the Letters of Credit of the retiring L/C Lender, if any, outstanding at the time of such succession or make other arrangements satisfactory to the retiring L/C Lender to effectively assume the obligations of the retiring L/C Lender with respect to such Letters of Credit.</w:t>
      </w:r>
    </w:p>
    <w:p>
      <w:pPr>
        <w:spacing w:after="0" w:line="186"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12.07.</w:t>
      </w:r>
      <w:r>
        <w:rPr>
          <w:sz w:val="20"/>
          <w:szCs w:val="20"/>
          <w:color w:val="auto"/>
        </w:rPr>
        <w:tab/>
      </w:r>
      <w:r>
        <w:rPr>
          <w:rFonts w:ascii="Arial" w:cs="Arial" w:eastAsia="Arial" w:hAnsi="Arial"/>
          <w:sz w:val="16"/>
          <w:szCs w:val="16"/>
          <w:b w:val="1"/>
          <w:bCs w:val="1"/>
          <w:color w:val="auto"/>
        </w:rPr>
        <w:t>Nonreliance on Agents and Other Lenders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7" w:lineRule="auto"/>
        <w:tabs>
          <w:tab w:leader="none" w:pos="1053" w:val="left"/>
        </w:tabs>
        <w:numPr>
          <w:ilvl w:val="1"/>
          <w:numId w:val="173"/>
        </w:numPr>
        <w:rPr>
          <w:rFonts w:ascii="Arial" w:cs="Arial" w:eastAsia="Arial" w:hAnsi="Arial"/>
          <w:sz w:val="16"/>
          <w:szCs w:val="16"/>
          <w:color w:val="auto"/>
        </w:rPr>
      </w:pPr>
      <w:r>
        <w:rPr>
          <w:rFonts w:ascii="Arial" w:cs="Arial" w:eastAsia="Arial" w:hAnsi="Arial"/>
          <w:sz w:val="16"/>
          <w:szCs w:val="16"/>
          <w:color w:val="auto"/>
        </w:rPr>
        <w:t>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58" w:lineRule="exact"/>
        <w:rPr>
          <w:rFonts w:ascii="Arial" w:cs="Arial" w:eastAsia="Arial" w:hAnsi="Arial"/>
          <w:sz w:val="16"/>
          <w:szCs w:val="16"/>
          <w:color w:val="auto"/>
        </w:rPr>
      </w:pPr>
    </w:p>
    <w:p>
      <w:pPr>
        <w:jc w:val="both"/>
        <w:ind w:firstLine="656"/>
        <w:spacing w:after="0" w:line="291" w:lineRule="auto"/>
        <w:tabs>
          <w:tab w:leader="none" w:pos="105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Each Lender acknowledges that in connection with Borrower Loan Purchases, (i) Borrower may purchase or acquire Term Loans or Revolving Loans hereunder from the Lenders from time to time, subject to the restrictions set forth in the definition of Eligible Assignee and in Section 13.05(d),</w:t>
      </w:r>
    </w:p>
    <w:p>
      <w:pPr>
        <w:jc w:val="both"/>
        <w:ind w:firstLine="8"/>
        <w:spacing w:after="0" w:line="268" w:lineRule="auto"/>
        <w:tabs>
          <w:tab w:leader="none" w:pos="276" w:val="left"/>
        </w:tabs>
        <w:numPr>
          <w:ilvl w:val="0"/>
          <w:numId w:val="174"/>
        </w:numPr>
        <w:rPr>
          <w:rFonts w:ascii="Arial" w:cs="Arial" w:eastAsia="Arial" w:hAnsi="Arial"/>
          <w:sz w:val="17"/>
          <w:szCs w:val="17"/>
          <w:color w:val="auto"/>
        </w:rPr>
      </w:pPr>
      <w:r>
        <w:rPr>
          <w:rFonts w:ascii="Arial" w:cs="Arial" w:eastAsia="Arial" w:hAnsi="Arial"/>
          <w:sz w:val="17"/>
          <w:szCs w:val="17"/>
          <w:color w:val="auto"/>
        </w:rPr>
        <w:t>Borrower currently may have, and later may come into possession of, information regarding such Term Loans or Revolving Loans or the Credit Parties hereunder that is not known to such Lender and that may be material to a decision by such Lender to enter into an assignment of such Loans hereunder (“</w:t>
      </w:r>
      <w:r>
        <w:rPr>
          <w:rFonts w:ascii="Arial" w:cs="Arial" w:eastAsia="Arial" w:hAnsi="Arial"/>
          <w:sz w:val="17"/>
          <w:szCs w:val="17"/>
          <w:b w:val="1"/>
          <w:bCs w:val="1"/>
          <w:color w:val="auto"/>
        </w:rPr>
        <w:t>Excluded Information</w:t>
      </w:r>
      <w:r>
        <w:rPr>
          <w:rFonts w:ascii="Arial" w:cs="Arial" w:eastAsia="Arial" w:hAnsi="Arial"/>
          <w:sz w:val="17"/>
          <w:szCs w:val="17"/>
          <w:color w:val="auto"/>
        </w:rPr>
        <w:t xml:space="preserve">”), (iii) such Lender has independently and without reliance on any other party made such Lender’s own analysis and determined to enter into an assignment of such Loans and to consummate the transactions contemplated thereby notwithstanding such Lender’s lack of knowledge of the Excluded Information and (iv) Borrower shall have no liability to such Lender, and such Lender hereby waives and releases, to the extent permitted by law, any claims such Lender may have against Borrower, under applicable laws or otherwise, with respect to the nondisclosure of the Excluded Information;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Excluded Information shall not and does not affect the truth or accuracy of the representations or warranties of Borrower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Terms and Conditions set forth in the applicable assignment agreement. Each Lender further acknowledges that the Excluded Information may not be available to Administrative Agent, Auction Manager or the other Lenders hereunder.</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12.08. Indemnification</w:t>
      </w:r>
      <w:r>
        <w:rPr>
          <w:rFonts w:ascii="Arial" w:cs="Arial" w:eastAsia="Arial" w:hAnsi="Arial"/>
          <w:sz w:val="17"/>
          <w:szCs w:val="17"/>
          <w:color w:val="auto"/>
        </w:rPr>
        <w:t>. The Lenders agree to reimburse and indemnify each Agent in its capacity as such ratably according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“percentage” as used in determining the Required Lenders at such time or, if the Commitments have terminated and all Loans have been repaid in full, as determined immediately prior to such termination and repayment (with such “percentages” to be determined as if there are no Defaulting Lenders), from and against any and all liabilities, obligations, losses, damages, penalties, actions, judgments, suits, costs, reasonable expenses or disbursements of any kind whatsoever which may at any time (including, without limitation, at any time following the payment of the Obligations) be imposed on, incurred by or asserted against such Agent in its capacity as such in any way relating to or arising out of this Agreement or any other Credit Document, or any documents contemplated by or referred to herein or the transactions contemplated hereby or any action taken or omitted to be taken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800" w:right="239" w:bottom="1440" w:gutter="0" w:footer="0" w:header="0"/>
        </w:sectPr>
      </w:pPr>
    </w:p>
    <w:bookmarkStart w:id="216" w:name="page217"/>
    <w:bookmarkEnd w:id="216"/>
    <w:p>
      <w:pPr>
        <w:jc w:val="both"/>
        <w:spacing w:after="0" w:line="255" w:lineRule="auto"/>
        <w:rPr>
          <w:sz w:val="20"/>
          <w:szCs w:val="20"/>
          <w:color w:val="auto"/>
        </w:rPr>
      </w:pPr>
      <w:r>
        <w:rPr>
          <w:rFonts w:ascii="Arial" w:cs="Arial" w:eastAsia="Arial" w:hAnsi="Arial"/>
          <w:sz w:val="18"/>
          <w:szCs w:val="18"/>
          <w:color w:val="auto"/>
        </w:rPr>
        <w:t xml:space="preserve">by such Agent under or in connection with any of the foregoing, but only to the extent that any of the foregoing is not paid by Borrower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Lender shall be liable to any Agent for the payment of any portion of such liabilities, obligations, losses, damages, penalties, actions, judgments, suits, costs, expenses or disbursements (x) resulting primarily from the gross negligence, or willful misconduct of such Agent (as determined by a court of competent jurisdiction in a final and non-appealable decision) or (y) relating to or arising out of the Fee Letter. If any indemnity furnished to any Agent for any purpose shall, in the opinion of such Agent be insufficient or become impaired, such Agent may call for additional indemnity and cease, or not commence, to do the acts indemnified against until such additional indemnity is furnished. The agreements in this Section 12.08 shall survive the payment of all Obligations.</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12.09. No Other Duties</w:t>
      </w:r>
      <w:r>
        <w:rPr>
          <w:rFonts w:ascii="Arial" w:cs="Arial" w:eastAsia="Arial" w:hAnsi="Arial"/>
          <w:sz w:val="18"/>
          <w:szCs w:val="18"/>
          <w:color w:val="auto"/>
        </w:rPr>
        <w:t>. Anything herein to the contrary notwithstanding, none of the Administrative Agent, Collateral Agent,</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Documentation Agent, Syndication Agents, Lead Arrangers, or Arrangers shall have any powers, duties or responsibilities under this Agreement or any of the other Credit Documents, except in its capacity, as applicable, as the Administrative Agent, the Collateral Agent, an L/C Lender, the Auction Manager or a Lender hereunder.</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12.10. Holders</w:t>
      </w:r>
      <w:r>
        <w:rPr>
          <w:rFonts w:ascii="Arial" w:cs="Arial" w:eastAsia="Arial" w:hAnsi="Arial"/>
          <w:sz w:val="18"/>
          <w:szCs w:val="18"/>
          <w:color w:val="auto"/>
        </w:rPr>
        <w:t>. Administrative Agent may deem and treat the payee of any Note as the owner thereof for all purposes hereof unless</w:t>
      </w:r>
      <w:r>
        <w:rPr>
          <w:rFonts w:ascii="Arial" w:cs="Arial" w:eastAsia="Arial" w:hAnsi="Arial"/>
          <w:sz w:val="18"/>
          <w:szCs w:val="18"/>
          <w:b w:val="1"/>
          <w:bCs w:val="1"/>
          <w:color w:val="auto"/>
        </w:rPr>
        <w:t xml:space="preserve"> </w:t>
      </w:r>
      <w:r>
        <w:rPr>
          <w:rFonts w:ascii="Arial" w:cs="Arial" w:eastAsia="Arial" w:hAnsi="Arial"/>
          <w:sz w:val="18"/>
          <w:szCs w:val="18"/>
          <w:color w:val="auto"/>
        </w:rPr>
        <w:t>and until a written notice of the assignment, transfer or endorsement thereof, as the case may be, shall have been filed with Administrative Agent. Any request, authority or consent of any Person or entity who, at the time of making such request or giving such authority or consent, is the holder of any Note shall be conclusive and binding on any subsequent holder, transferee, assignee or indorsee, as the case may be, of such Note or of any Note or Notes issued in exchange therefor.</w:t>
      </w:r>
    </w:p>
    <w:p>
      <w:pPr>
        <w:spacing w:after="0" w:line="188"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7"/>
          <w:szCs w:val="17"/>
          <w:b w:val="1"/>
          <w:bCs w:val="1"/>
          <w:color w:val="auto"/>
        </w:rPr>
        <w:t>SECTION 12.11. Administrative Agent May File Proofs of Claim</w:t>
      </w:r>
      <w:r>
        <w:rPr>
          <w:rFonts w:ascii="Arial" w:cs="Arial" w:eastAsia="Arial" w:hAnsi="Arial"/>
          <w:sz w:val="20"/>
          <w:szCs w:val="20"/>
          <w:b w:val="1"/>
          <w:b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case of the pendency of any proceeding under any Debtor Relief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judicial proceeding relative to any Credit Party, the Administrative Agent (irrespective of whether the principal of any Loan or L/C Liability shall then be due and payable as herein expressed or by declaration or otherwise and irrespective of whether the Administrative Agent shall have made any demand on Borrower) shall be entitled and empowered, by intervention in such proceeding or otherwise:</w:t>
      </w:r>
    </w:p>
    <w:p>
      <w:pPr>
        <w:spacing w:after="0" w:line="147" w:lineRule="exact"/>
        <w:rPr>
          <w:sz w:val="20"/>
          <w:szCs w:val="20"/>
          <w:color w:val="auto"/>
        </w:rPr>
      </w:pPr>
    </w:p>
    <w:p>
      <w:pPr>
        <w:jc w:val="both"/>
        <w:ind w:firstLine="656"/>
        <w:spacing w:after="0" w:line="302" w:lineRule="auto"/>
        <w:tabs>
          <w:tab w:leader="none" w:pos="106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the principal and interest owing and unpaid in respect of the Loans, L/C Liabilities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under Sections 2.03, 2.05 and 13.03) allowed in such judicial proceeding; and</w:t>
      </w:r>
    </w:p>
    <w:p>
      <w:pPr>
        <w:spacing w:after="0" w:line="154" w:lineRule="exact"/>
        <w:rPr>
          <w:rFonts w:ascii="Arial" w:cs="Arial" w:eastAsia="Arial" w:hAnsi="Arial"/>
          <w:sz w:val="16"/>
          <w:szCs w:val="16"/>
          <w:color w:val="auto"/>
        </w:rPr>
      </w:pPr>
    </w:p>
    <w:p>
      <w:pPr>
        <w:ind w:left="1040" w:hanging="384"/>
        <w:spacing w:after="0"/>
        <w:tabs>
          <w:tab w:leader="none" w:pos="10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(and each Secured Party by accepting the benefits of the Collateral) to make such payments to the Administrative Agent and, in the event that the Administrative Agent shall consent to the making of such payments directly to the Secured Parties, to pay to the Administrative Agent any amount due for the reasonable compensation, expenses, disbursements and advances of the Administrative Agent and its agents and counsel, and any other amounts due the Administrative Agent under Sections 2.03, 2.05 and 13.03.</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Secured Party any plan of reorganization, arrangement, adjustment or composition affecting the Obligations or the rights of any Secured Party to authorize the Administrative Agent to vote in respect of the claim of any Secured Party in any such proceeding.</w:t>
      </w:r>
    </w:p>
    <w:p>
      <w:pPr>
        <w:spacing w:after="0" w:line="17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12.12.</w:t>
      </w:r>
      <w:r>
        <w:rPr>
          <w:sz w:val="20"/>
          <w:szCs w:val="20"/>
          <w:color w:val="auto"/>
        </w:rPr>
        <w:tab/>
      </w:r>
      <w:r>
        <w:rPr>
          <w:rFonts w:ascii="Arial" w:cs="Arial" w:eastAsia="Arial" w:hAnsi="Arial"/>
          <w:sz w:val="17"/>
          <w:szCs w:val="17"/>
          <w:b w:val="1"/>
          <w:bCs w:val="1"/>
          <w:color w:val="auto"/>
        </w:rPr>
        <w:t>Collateral Matters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801" w:right="239" w:bottom="1440" w:gutter="0" w:footer="0" w:header="0"/>
        </w:sectPr>
      </w:pPr>
    </w:p>
    <w:bookmarkStart w:id="217" w:name="page218"/>
    <w:bookmarkEnd w:id="217"/>
    <w:p>
      <w:pPr>
        <w:jc w:val="both"/>
        <w:ind w:firstLine="656"/>
        <w:spacing w:after="0" w:line="272" w:lineRule="auto"/>
        <w:tabs>
          <w:tab w:leader="none" w:pos="1045"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Each Lender (and each other Secured Party by accepting the benefits of the Collateral) authorizes and directs Collateral Agent to enter into the Security Documents for the benefit of the Secured Parties and to hold and enforce the Liens on the Collateral on behalf of the Secured Parties. Collateral Agent is hereby authorized on behalf of all of the Lenders, without the necessity of any notice to or further consent from any Lender, from time to time prior to an Event of Default, to take any action with respect to any Collateral or Security Documents which may be necessary to perfect and maintain perfected the security interest in and liens upon the Collateral granted pursuant to the Security Documents. The Lenders hereby authorize Collateral Agent to take the actions set forth in Section 13.04(g). Upon request by Administrative Agent at any time, the Lenders will confirm in writing Collateral Agent’s authority to release particular types or items of Collateral pursuant to Section 13.04(g).</w:t>
      </w:r>
    </w:p>
    <w:p>
      <w:pPr>
        <w:spacing w:after="0" w:line="177" w:lineRule="exact"/>
        <w:rPr>
          <w:rFonts w:ascii="Arial" w:cs="Arial" w:eastAsia="Arial" w:hAnsi="Arial"/>
          <w:sz w:val="17"/>
          <w:szCs w:val="17"/>
          <w:color w:val="auto"/>
        </w:rPr>
      </w:pPr>
    </w:p>
    <w:p>
      <w:pPr>
        <w:jc w:val="both"/>
        <w:ind w:firstLine="656"/>
        <w:spacing w:after="0" w:line="270" w:lineRule="auto"/>
        <w:tabs>
          <w:tab w:leader="none" w:pos="1057" w:val="left"/>
        </w:tabs>
        <w:numPr>
          <w:ilvl w:val="0"/>
          <w:numId w:val="176"/>
        </w:numPr>
        <w:rPr>
          <w:rFonts w:ascii="Arial" w:cs="Arial" w:eastAsia="Arial" w:hAnsi="Arial"/>
          <w:sz w:val="17"/>
          <w:szCs w:val="17"/>
          <w:color w:val="auto"/>
        </w:rPr>
      </w:pPr>
      <w:r>
        <w:rPr>
          <w:rFonts w:ascii="Arial" w:cs="Arial" w:eastAsia="Arial" w:hAnsi="Arial"/>
          <w:sz w:val="17"/>
          <w:szCs w:val="17"/>
          <w:color w:val="auto"/>
        </w:rPr>
        <w:t>Collateral Agent shall have no obligation whatsoever to the Lenders, the other Secured Parties or any other Person to assure that the Collateral exists or is owned by any Credit Party or is cared for, protected or insured or that the Liens granted to Collateral Agent pursuant to the applicable Security Documents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Collateral Agent in Section 12.01 or in this Section 12.12 or in any of the Security Documents, it being understood and agreed that in respect of the Collateral or any part thereof, or any act, omission or event related thereto, Collateral Agent may act in any manner it may deem appropriate, in its sole discretion, given Collateral Agent’s own interest in the Collateral or any part thereof as one of the Lenders and that Collateral Agent shall have no duty or liability whatsoever to the Lenders or the other Secured Parties, except for its gross negligence or willful misconduct (as determined by a court of competent jurisdiction in a final and non-appealable decision).</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SECTION 12.13. Withholding Tax</w:t>
      </w:r>
      <w:r>
        <w:rPr>
          <w:rFonts w:ascii="Arial" w:cs="Arial" w:eastAsia="Arial" w:hAnsi="Arial"/>
          <w:sz w:val="17"/>
          <w:szCs w:val="17"/>
          <w:color w:val="auto"/>
        </w:rPr>
        <w:t>. To the extent required by any applicable Requirement of Law, the Administrative Agent may withhold from</w:t>
      </w:r>
      <w:r>
        <w:rPr>
          <w:rFonts w:ascii="Arial" w:cs="Arial" w:eastAsia="Arial" w:hAnsi="Arial"/>
          <w:sz w:val="17"/>
          <w:szCs w:val="17"/>
          <w:b w:val="1"/>
          <w:bCs w:val="1"/>
          <w:color w:val="auto"/>
        </w:rPr>
        <w:t xml:space="preserve"> </w:t>
      </w:r>
      <w:r>
        <w:rPr>
          <w:rFonts w:ascii="Arial" w:cs="Arial" w:eastAsia="Arial" w:hAnsi="Arial"/>
          <w:sz w:val="17"/>
          <w:szCs w:val="17"/>
          <w:color w:val="auto"/>
        </w:rPr>
        <w:t>any payment to any Lender, an amount equivalent to any applicable withholding tax. Without limiting or expanding the provisions of Section 5.06, each Lender shall, indemnify the relevant Administrative Agent (to the extent that Administrative Agent has not already been reimbursed by the Credit Parties and without limiting or expanding the obligation of the Credit Parties to do so), and shall make payable in respect thereof within thirty (30) calendar days after demand therefor, against any and all Taxes and any and all related losses, claims, liabilities and expenses (including fees, charges and disbursements of any counsel for Administrative Agent) incurred by or asserted against Administrative Agent by the Internal Revenue Service or any other Governmental Authority as a result of the failure of Administrative Agent to properly withhold tax from amounts paid to or for the account of such Lender for any reason (including, without limitation, because the appropriate form was not delivered or not property executed, or because such Lender failed to notify Administrative Agent of a change in circumstance that rendered the exemption from, or reduction of withholding tax ineffective).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this Agreement or any other Security Document against any amount due Administrative Agent under this Section 12.13. The agreements in this Section 12.13 shall survive the resignation and/or replacement of Administrative Agent, any assignment of rights by, or the replacement of, a Lender, and the repayment, satisfaction or discharge of any Loans and all other amounts payable hereunder.</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SECTION 12.14. Secured Cash Management Agreements and Swap Contracts</w:t>
      </w:r>
      <w:r>
        <w:rPr>
          <w:rFonts w:ascii="Arial" w:cs="Arial" w:eastAsia="Arial" w:hAnsi="Arial"/>
          <w:sz w:val="18"/>
          <w:szCs w:val="18"/>
          <w:color w:val="auto"/>
        </w:rPr>
        <w:t>. Except as otherwise expressly set forth herein or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Document, no Cash Management Bank or Swap Provider that obtains the benefits of Section 11.02, Article VI or any Collateral by virtue of the provisions hereof or of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Article XII to the contrary, the Administrative Agent shall not be required to verify the payment of, or that other satisfactory arrangements have been made with respect to, Obligations arising under Secured Cash Management Agreements and Swap Contracts unless the Administrative Agent has received written notice of such Obligations, together with such supporting documentation as the Administrative Agent may request, from the applicable Cash Management Bank or Swap Provider, as the case may be.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801" w:right="2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color w:val="auto"/>
        </w:rPr>
        <w:t>ARTICLE XIII.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13.01. Waiver</w:t>
      </w:r>
      <w:r>
        <w:rPr>
          <w:rFonts w:ascii="Arial" w:cs="Arial" w:eastAsia="Arial" w:hAnsi="Arial"/>
          <w:sz w:val="17"/>
          <w:szCs w:val="17"/>
          <w:color w:val="auto"/>
        </w:rPr>
        <w:t>. No failure on the part of Administrative Agent, Collateral Agent or any other Secured Party to exercise and no delay in</w:t>
      </w:r>
      <w:r>
        <w:rPr>
          <w:rFonts w:ascii="Arial" w:cs="Arial" w:eastAsia="Arial" w:hAnsi="Arial"/>
          <w:sz w:val="17"/>
          <w:szCs w:val="17"/>
          <w:b w:val="1"/>
          <w:bCs w:val="1"/>
          <w:color w:val="auto"/>
        </w:rPr>
        <w:t xml:space="preserve"> </w:t>
      </w:r>
      <w:r>
        <w:rPr>
          <w:rFonts w:ascii="Arial" w:cs="Arial" w:eastAsia="Arial" w:hAnsi="Arial"/>
          <w:sz w:val="17"/>
          <w:szCs w:val="17"/>
          <w:color w:val="auto"/>
        </w:rPr>
        <w:t>exercising, and no course of dealing with respect to, any right, power or privilege under any Credit Document shall operate as a waiver thereof, nor shall any single or partial exercise of any right, power or privilege under any Credit Document preclude any other or further exercise thereof or the exercise of any other right, power or privilege. The remedies provided herein are cumulative and not exclusive of any remedies provided by law.</w:t>
      </w:r>
    </w:p>
    <w:p>
      <w:pPr>
        <w:spacing w:after="0" w:line="16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13.02.</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61" w:lineRule="auto"/>
        <w:tabs>
          <w:tab w:leader="none" w:pos="1149" w:val="left"/>
        </w:tabs>
        <w:numPr>
          <w:ilvl w:val="0"/>
          <w:numId w:val="177"/>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Unless otherwise expressly provided herein, all notices and other communications provided for hereunder shall be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by facsimile or electronic mail). All such written notices shall be mailed certified or registered mail, faxed or delivered to the applicable address, telecopy or facsimile number or (subject to Section 13.02(b) below) electronic mail address, and all notices and other communications expressly permitted hereunder to be given by telephone shall be made to the applicable telephone number, as follows:</w:t>
      </w:r>
    </w:p>
    <w:p>
      <w:pPr>
        <w:spacing w:after="0" w:line="184" w:lineRule="exact"/>
        <w:rPr>
          <w:rFonts w:ascii="Arial" w:cs="Arial" w:eastAsia="Arial" w:hAnsi="Arial"/>
          <w:sz w:val="18"/>
          <w:szCs w:val="18"/>
          <w:color w:val="auto"/>
        </w:rPr>
      </w:pPr>
    </w:p>
    <w:p>
      <w:pPr>
        <w:ind w:left="660" w:right="20" w:firstLine="645"/>
        <w:spacing w:after="0" w:line="277" w:lineRule="auto"/>
        <w:tabs>
          <w:tab w:leader="none" w:pos="1739"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if to any Credit Party, any Agent, and L/C Lender to the address, facsimile number, electronic mail address or telephone number specified for such Person below its name on the signature pages hereof;</w:t>
      </w:r>
    </w:p>
    <w:p>
      <w:pPr>
        <w:spacing w:after="0" w:line="170" w:lineRule="exact"/>
        <w:rPr>
          <w:rFonts w:ascii="Arial" w:cs="Arial" w:eastAsia="Arial" w:hAnsi="Arial"/>
          <w:sz w:val="18"/>
          <w:szCs w:val="18"/>
          <w:color w:val="auto"/>
        </w:rPr>
      </w:pPr>
    </w:p>
    <w:p>
      <w:pPr>
        <w:ind w:left="660" w:firstLine="645"/>
        <w:spacing w:after="0" w:line="277" w:lineRule="auto"/>
        <w:tabs>
          <w:tab w:leader="none" w:pos="172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for such Person below its name on the signature pages hereof or, in the case of any assignee Lender, the applicable Assignment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13.02(b) below, shall be effective as provided in such Section 13.02(b).</w:t>
      </w:r>
    </w:p>
    <w:p>
      <w:pPr>
        <w:spacing w:after="0" w:line="183" w:lineRule="exact"/>
        <w:rPr>
          <w:sz w:val="20"/>
          <w:szCs w:val="20"/>
          <w:color w:val="auto"/>
        </w:rPr>
      </w:pPr>
    </w:p>
    <w:p>
      <w:pPr>
        <w:jc w:val="both"/>
        <w:ind w:firstLine="656"/>
        <w:spacing w:after="0" w:line="220" w:lineRule="exact"/>
        <w:tabs>
          <w:tab w:leader="none" w:pos="1157"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Electronic Communications</w:t>
      </w:r>
      <w:r>
        <w:rPr>
          <w:rFonts w:ascii="Arial" w:cs="Arial" w:eastAsia="Arial" w:hAnsi="Arial"/>
          <w:sz w:val="18"/>
          <w:szCs w:val="18"/>
          <w:color w:val="auto"/>
        </w:rPr>
        <w:t>. Notices and other communications to the Lenders hereunder may be delivered or furnished by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(including e</w:t>
      </w:r>
      <w:r>
        <w:rPr>
          <w:rFonts w:ascii="MS PGothic" w:cs="MS PGothic" w:eastAsia="MS PGothic" w:hAnsi="MS PGothic"/>
          <w:sz w:val="18"/>
          <w:szCs w:val="18"/>
          <w:color w:val="auto"/>
        </w:rPr>
        <w:t>‑</w:t>
      </w:r>
      <w:r>
        <w:rPr>
          <w:rFonts w:ascii="Arial" w:cs="Arial" w:eastAsia="Arial" w:hAnsi="Arial"/>
          <w:sz w:val="18"/>
          <w:szCs w:val="18"/>
          <w:color w:val="auto"/>
        </w:rPr>
        <w:t xml:space="preserve">mail and Internet or intranet websites) pursuant to procedures approved by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foregoing shall not apply to notices to any Lender pursuant to Article II, Article III or Article IV if such Lender has notified Administrative Agent that it is incapable of receiving notices under such Article by electronic communication. Each Agent or any Credit Party may, in its discretion, agree to accept notices and other communications to it hereunder by electronic communications pursuant to procedures approved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Unless Administrative Agent otherwise prescribes, (i) notices and other communications sent to an electronic mail address shall be deemed received upon the sender’s receipt of an acknowledgement from the intended recipient (such as by the “return receipt requested” function, as available, return electronic mail address or other written acknowledgement);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5" w:lineRule="exact"/>
        <w:rPr>
          <w:sz w:val="20"/>
          <w:szCs w:val="20"/>
          <w:color w:val="auto"/>
        </w:rPr>
      </w:pPr>
    </w:p>
    <w:p>
      <w:pPr>
        <w:jc w:val="both"/>
        <w:ind w:firstLine="656"/>
        <w:spacing w:after="0" w:line="266" w:lineRule="auto"/>
        <w:tabs>
          <w:tab w:leader="none" w:pos="1043"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Change of Address, Etc</w:t>
      </w:r>
      <w:r>
        <w:rPr>
          <w:rFonts w:ascii="Arial" w:cs="Arial" w:eastAsia="Arial" w:hAnsi="Arial"/>
          <w:sz w:val="18"/>
          <w:szCs w:val="18"/>
          <w:color w:val="auto"/>
        </w:rPr>
        <w:t>. Each Credit Party, each Agent and each L/C Lender may change its respective address, facsimile number,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mail address or telephone number for notices and other communications hereunder by notice to the other parties hereto. Each other Lender may change its address, facsimile number, electronic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800" w:right="239" w:bottom="1440" w:gutter="0" w:footer="0" w:header="0"/>
        </w:sectPr>
      </w:pPr>
    </w:p>
    <w:bookmarkStart w:id="219" w:name="page220"/>
    <w:bookmarkEnd w:id="219"/>
    <w:p>
      <w:pPr>
        <w:spacing w:after="0"/>
        <w:rPr>
          <w:sz w:val="20"/>
          <w:szCs w:val="20"/>
          <w:color w:val="auto"/>
        </w:rPr>
      </w:pPr>
      <w:r>
        <w:rPr>
          <w:rFonts w:ascii="Arial" w:cs="Arial" w:eastAsia="Arial" w:hAnsi="Arial"/>
          <w:sz w:val="17"/>
          <w:szCs w:val="17"/>
          <w:color w:val="auto"/>
        </w:rPr>
        <w:t>mail address or telephone number for notices and other communications hereunder by notice to Borrower, Administrative Agent and each L/C Lender.</w:t>
      </w:r>
    </w:p>
    <w:p>
      <w:pPr>
        <w:spacing w:after="0" w:line="233" w:lineRule="exact"/>
        <w:rPr>
          <w:sz w:val="20"/>
          <w:szCs w:val="20"/>
          <w:color w:val="auto"/>
        </w:rPr>
      </w:pPr>
    </w:p>
    <w:p>
      <w:pPr>
        <w:jc w:val="both"/>
        <w:ind w:firstLine="656"/>
        <w:spacing w:after="0" w:line="272" w:lineRule="auto"/>
        <w:tabs>
          <w:tab w:leader="none" w:pos="1065" w:val="left"/>
        </w:tabs>
        <w:numPr>
          <w:ilvl w:val="0"/>
          <w:numId w:val="180"/>
        </w:numPr>
        <w:rPr>
          <w:rFonts w:ascii="Arial" w:cs="Arial" w:eastAsia="Arial" w:hAnsi="Arial"/>
          <w:sz w:val="17"/>
          <w:szCs w:val="17"/>
          <w:color w:val="auto"/>
        </w:rPr>
      </w:pPr>
      <w:r>
        <w:rPr>
          <w:rFonts w:ascii="Arial" w:cs="Arial" w:eastAsia="Arial" w:hAnsi="Arial"/>
          <w:sz w:val="17"/>
          <w:szCs w:val="17"/>
          <w:b w:val="1"/>
          <w:bCs w:val="1"/>
          <w:color w:val="auto"/>
        </w:rPr>
        <w:t>Reliance by Agents and Lenders</w:t>
      </w:r>
      <w:r>
        <w:rPr>
          <w:rFonts w:ascii="Arial" w:cs="Arial" w:eastAsia="Arial" w:hAnsi="Arial"/>
          <w:sz w:val="17"/>
          <w:szCs w:val="17"/>
          <w:color w:val="auto"/>
        </w:rPr>
        <w:t>. Agents and the Lenders shall be entitled to rely and act upon any notices (including telephonic Notices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Borrowing and Letter of Credit Requests)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each Indemnitee from all Losses resulting from the reliance by such Indemnitee on each notice purportedly given by or on behalf of Borrower (except to the extent resulting from such Indemnitee’s own gross negligence, bad faith or willful misconduct or material breach of any Credit Document) and believed by such Indemnitee in good faith to be genuine. All telephonic notices to and other communications with Administrative Agent or Collateral Agent may be recorded by Administrative Agent or Collateral Agent, as the case may be, and each of the parties hereto hereby consents to such recording.</w:t>
      </w:r>
    </w:p>
    <w:p>
      <w:pPr>
        <w:spacing w:after="0" w:line="172" w:lineRule="exact"/>
        <w:rPr>
          <w:rFonts w:ascii="Arial" w:cs="Arial" w:eastAsia="Arial" w:hAnsi="Arial"/>
          <w:sz w:val="17"/>
          <w:szCs w:val="17"/>
          <w:color w:val="auto"/>
        </w:rPr>
      </w:pPr>
    </w:p>
    <w:p>
      <w:pPr>
        <w:jc w:val="both"/>
        <w:ind w:firstLine="656"/>
        <w:spacing w:after="0" w:line="269" w:lineRule="auto"/>
        <w:tabs>
          <w:tab w:leader="none" w:pos="1057" w:val="left"/>
        </w:tabs>
        <w:numPr>
          <w:ilvl w:val="0"/>
          <w:numId w:val="180"/>
        </w:numPr>
        <w:rPr>
          <w:rFonts w:ascii="Arial" w:cs="Arial" w:eastAsia="Arial" w:hAnsi="Arial"/>
          <w:sz w:val="17"/>
          <w:szCs w:val="17"/>
          <w:color w:val="auto"/>
        </w:rPr>
      </w:pPr>
      <w:r>
        <w:rPr>
          <w:rFonts w:ascii="Arial" w:cs="Arial" w:eastAsia="Arial" w:hAnsi="Arial"/>
          <w:sz w:val="17"/>
          <w:szCs w:val="17"/>
          <w:b w:val="1"/>
          <w:bCs w:val="1"/>
          <w:color w:val="auto"/>
        </w:rPr>
        <w:t>The Platform</w:t>
      </w:r>
      <w:r>
        <w:rPr>
          <w:rFonts w:ascii="Arial" w:cs="Arial" w:eastAsia="Arial" w:hAnsi="Arial"/>
          <w:sz w:val="17"/>
          <w:szCs w:val="17"/>
          <w:color w:val="auto"/>
        </w:rPr>
        <w:t>. THE PLATFORM IS PROVIDED “AS IS” AND “AS AVAILABLE.” THE AGENT PARTIES (AS DEFINED BELOW) DO</w:t>
      </w:r>
      <w:r>
        <w:rPr>
          <w:rFonts w:ascii="Arial" w:cs="Arial" w:eastAsia="Arial" w:hAnsi="Arial"/>
          <w:sz w:val="17"/>
          <w:szCs w:val="17"/>
          <w:b w:val="1"/>
          <w:bCs w:val="1"/>
          <w:color w:val="auto"/>
        </w:rPr>
        <w:t xml:space="preserve"> </w:t>
      </w:r>
      <w:r>
        <w:rPr>
          <w:rFonts w:ascii="Arial" w:cs="Arial" w:eastAsia="Arial" w:hAnsi="Arial"/>
          <w:sz w:val="17"/>
          <w:szCs w:val="17"/>
          <w:color w:val="auto"/>
        </w:rPr>
        <w:t>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any Agent or any of their respective Affiliates, directors, officers, employees, counsel, agents, trustees, investment advisors and attorneys-in-fact (collectively, the “</w:t>
      </w:r>
      <w:r>
        <w:rPr>
          <w:rFonts w:ascii="Arial" w:cs="Arial" w:eastAsia="Arial" w:hAnsi="Arial"/>
          <w:sz w:val="17"/>
          <w:szCs w:val="17"/>
          <w:b w:val="1"/>
          <w:bCs w:val="1"/>
          <w:color w:val="auto"/>
        </w:rPr>
        <w:t>Agent Parties</w:t>
      </w:r>
      <w:r>
        <w:rPr>
          <w:rFonts w:ascii="Arial" w:cs="Arial" w:eastAsia="Arial" w:hAnsi="Arial"/>
          <w:sz w:val="17"/>
          <w:szCs w:val="17"/>
          <w:color w:val="auto"/>
        </w:rPr>
        <w:t xml:space="preserve">”) have any liability to Borrower, any other Credit Party, any Lender, any L/C Lender or any other Person for losses, claims, damages, liabilities or expenses of any kind (whether in tort, contract or otherwise) arising out of Borrower’s or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any Credit Document by, such Agent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in no event shall any Agent Party have any liability to Borrower, any other Credit Party, any Lender, any L/C Lender or any other Person for indirect, special, incidental, consequential or punitive damages (as opposed to direct or actual damages).</w:t>
      </w:r>
    </w:p>
    <w:p>
      <w:pPr>
        <w:spacing w:after="0" w:line="17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13.03.</w:t>
      </w:r>
      <w:r>
        <w:rPr>
          <w:sz w:val="20"/>
          <w:szCs w:val="20"/>
          <w:color w:val="auto"/>
        </w:rPr>
        <w:tab/>
      </w:r>
      <w:r>
        <w:rPr>
          <w:rFonts w:ascii="Arial" w:cs="Arial" w:eastAsia="Arial" w:hAnsi="Arial"/>
          <w:sz w:val="16"/>
          <w:szCs w:val="16"/>
          <w:b w:val="1"/>
          <w:bCs w:val="1"/>
          <w:color w:val="auto"/>
        </w:rPr>
        <w:t>Expenses, Indemnification, Etc</w:t>
      </w:r>
      <w:r>
        <w:rPr>
          <w:rFonts w:ascii="Arial" w:cs="Arial" w:eastAsia="Arial" w:hAnsi="Arial"/>
          <w:sz w:val="16"/>
          <w:szCs w:val="16"/>
          <w:color w:val="auto"/>
        </w:rPr>
        <w:t>.</w:t>
      </w:r>
    </w:p>
    <w:p>
      <w:pPr>
        <w:spacing w:after="0" w:line="229" w:lineRule="exact"/>
        <w:rPr>
          <w:sz w:val="20"/>
          <w:szCs w:val="20"/>
          <w:color w:val="auto"/>
        </w:rPr>
      </w:pPr>
    </w:p>
    <w:p>
      <w:pPr>
        <w:ind w:left="1040" w:hanging="384"/>
        <w:spacing w:after="0"/>
        <w:tabs>
          <w:tab w:leader="none" w:pos="10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Credit Parties, jointly and severally, agree to pay or reimburse:</w:t>
      </w:r>
    </w:p>
    <w:p>
      <w:pPr>
        <w:spacing w:after="0" w:line="225" w:lineRule="exact"/>
        <w:rPr>
          <w:rFonts w:ascii="Arial" w:cs="Arial" w:eastAsia="Arial" w:hAnsi="Arial"/>
          <w:sz w:val="18"/>
          <w:szCs w:val="18"/>
          <w:color w:val="auto"/>
        </w:rPr>
      </w:pPr>
    </w:p>
    <w:p>
      <w:pPr>
        <w:jc w:val="both"/>
        <w:ind w:left="660" w:firstLine="645"/>
        <w:spacing w:after="0" w:line="293" w:lineRule="auto"/>
        <w:tabs>
          <w:tab w:leader="none" w:pos="1699"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Agents for all of their reasonable and documented out-of-pocket costs and expenses (including, but limited to in the case of counsel, the reasonable fees, expenses and disbursements of one primary legal counsel for Lenders and Agents selected by Administrative Agent and one local counsel in each applicable jurisdiction reasonably deemed necessary by Agents and any “ClearPar” costs and expenses) in connection with (1) the negotiation, preparation, execution and delivery of the Credit Documents and the extension and syndication of credit (including the Loans and Commitments) hereunder and (2) the negotiation, preparation, execution and delivery of any modification, supplement, amendment or waiver of any of the terms of any Credit Document (whether or not consummated or effective) requested by the Credit Parties;</w:t>
      </w:r>
    </w:p>
    <w:p>
      <w:pPr>
        <w:spacing w:after="0" w:line="164" w:lineRule="exact"/>
        <w:rPr>
          <w:rFonts w:ascii="Arial" w:cs="Arial" w:eastAsia="Arial" w:hAnsi="Arial"/>
          <w:sz w:val="16"/>
          <w:szCs w:val="16"/>
          <w:color w:val="auto"/>
        </w:rPr>
      </w:pPr>
    </w:p>
    <w:p>
      <w:pPr>
        <w:jc w:val="both"/>
        <w:ind w:left="660" w:firstLine="645"/>
        <w:spacing w:after="0" w:line="272" w:lineRule="auto"/>
        <w:tabs>
          <w:tab w:leader="none" w:pos="1735" w:val="left"/>
        </w:tabs>
        <w:numPr>
          <w:ilvl w:val="1"/>
          <w:numId w:val="181"/>
        </w:numPr>
        <w:rPr>
          <w:rFonts w:ascii="Arial" w:cs="Arial" w:eastAsia="Arial" w:hAnsi="Arial"/>
          <w:sz w:val="17"/>
          <w:szCs w:val="17"/>
          <w:color w:val="auto"/>
        </w:rPr>
      </w:pPr>
      <w:r>
        <w:rPr>
          <w:rFonts w:ascii="Arial" w:cs="Arial" w:eastAsia="Arial" w:hAnsi="Arial"/>
          <w:sz w:val="17"/>
          <w:szCs w:val="17"/>
          <w:color w:val="auto"/>
        </w:rPr>
        <w:t>each Agent and each Lender for all reasonable and documented out-of-pocket costs and expenses of such Agent or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legal expenses shall be limited to the reasonable fees, expenses and disbursements of one primary legal counsel for Lenders and Agents selected by Administrative Agent and of one local counsel in each applicable jurisdiction reasonably deemed necessary by Agents)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(1) any enforcement or collection proceedings resulting from any Event of Default, including all manner of participation in or other involvement with (x) bankruptcy, insolvency, receivership, foreclosure,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801" w:right="239" w:bottom="1440" w:gutter="0" w:footer="0" w:header="0"/>
        </w:sectPr>
      </w:pPr>
    </w:p>
    <w:bookmarkStart w:id="220" w:name="page221"/>
    <w:bookmarkEnd w:id="220"/>
    <w:p>
      <w:pPr>
        <w:jc w:val="both"/>
        <w:ind w:left="660"/>
        <w:spacing w:after="0" w:line="286" w:lineRule="auto"/>
        <w:rPr>
          <w:sz w:val="20"/>
          <w:szCs w:val="20"/>
          <w:color w:val="auto"/>
        </w:rPr>
      </w:pPr>
      <w:r>
        <w:rPr>
          <w:rFonts w:ascii="Arial" w:cs="Arial" w:eastAsia="Arial" w:hAnsi="Arial"/>
          <w:sz w:val="17"/>
          <w:szCs w:val="17"/>
          <w:color w:val="auto"/>
        </w:rPr>
        <w:t>winding up or liquidation proceedings, (y) judicial or regulatory proceedings and (z) workout, restructuring or other negotiations or proceedings (whether or not the workout, restructuring or transaction contemplated thereby is consummated), (2) following the occurrence and during the continuance of an Event of Default, the enforcement of any Credit Document and (3) the enforcement of this Section 13.03; and</w:t>
      </w:r>
    </w:p>
    <w:p>
      <w:pPr>
        <w:spacing w:after="0" w:line="166" w:lineRule="exact"/>
        <w:rPr>
          <w:sz w:val="20"/>
          <w:szCs w:val="20"/>
          <w:color w:val="auto"/>
        </w:rPr>
      </w:pPr>
    </w:p>
    <w:p>
      <w:pPr>
        <w:jc w:val="both"/>
        <w:ind w:left="660" w:firstLine="645"/>
        <w:spacing w:after="0" w:line="259" w:lineRule="auto"/>
        <w:tabs>
          <w:tab w:leader="none" w:pos="178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Administrative Agent or Collateral Agent, as applicable but without duplication, for all reasonable and documented costs, expenses, assessments and other charges (including reasonable fees and disbursements of one counsel in each applicable jurisdiction) incurred in connection with any filing, registration, recording or perfection of any security interest contemplated by any Credit Document or any other document referred to therein.</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Without limiting the rights of any Agent under this Section 13.03(a), each Agent, promptly after a request of Borrower from time to time, will advise Borrower of an estimate of any amount anticipated to be incurred by such Agent and reimbursed by Borrower under this Section 13.03(a).</w:t>
      </w:r>
    </w:p>
    <w:p>
      <w:pPr>
        <w:spacing w:after="0" w:line="147" w:lineRule="exact"/>
        <w:rPr>
          <w:sz w:val="20"/>
          <w:szCs w:val="20"/>
          <w:color w:val="auto"/>
        </w:rPr>
      </w:pPr>
    </w:p>
    <w:p>
      <w:pPr>
        <w:jc w:val="both"/>
        <w:ind w:firstLine="656"/>
        <w:spacing w:after="0" w:line="285" w:lineRule="auto"/>
        <w:tabs>
          <w:tab w:leader="none" w:pos="105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Credit Parties, jointly and severally, hereby agree to indemnify each Agent, each Lender and their respective Affiliates, directors, trustees, officers, employees, representatives, advisors, partners and agents (each, an “</w:t>
      </w:r>
      <w:r>
        <w:rPr>
          <w:rFonts w:ascii="Arial" w:cs="Arial" w:eastAsia="Arial" w:hAnsi="Arial"/>
          <w:sz w:val="16"/>
          <w:szCs w:val="16"/>
          <w:b w:val="1"/>
          <w:bCs w:val="1"/>
          <w:color w:val="auto"/>
        </w:rPr>
        <w:t>Indemnitee</w:t>
      </w:r>
      <w:r>
        <w:rPr>
          <w:rFonts w:ascii="Arial" w:cs="Arial" w:eastAsia="Arial" w:hAnsi="Arial"/>
          <w:sz w:val="16"/>
          <w:szCs w:val="16"/>
          <w:color w:val="auto"/>
        </w:rPr>
        <w:t>”) from, and hold each of them harmless against, any and all Losses incurred by, imposed on or asserted against any of them directly or indirectly arising out of or by reason of or relating to the negotiation, execution, delivery, performance, administration or enforcement of any Credit Document, any of the transactions contemplated by the Credit Documents (including the Transactions), any breach by any Credit Party of any representation, warranty, covenant or other agreement contained in any Credit Document in connection with any of the Transactions, the use or proposed use of any of the Loans or Letters of Credit, the issuance of or performance under any Letter of Credit or, the use of any collateral security for the Obligations (including the exercise by any Agent or Lender of the rights and remedies or any power of attorney with respect thereto or any action or inaction in respect thereof), including all amounts payable by any Lender pursuant to Section 12.08, but excluding (i) any such Losses relating to matters referred to in Sections 5.01 or 5.06 (which shall be the sole remedy in respect of matters referred to therein), (ii) any such Losses arising from the gross negligence, bad faith or willful misconduct or material breach of any Credit Documents by such Indemnitee or its Related Indemnified Persons (as determined by a court of competent jurisdiction in a final and non-appealable decision) and (iii) any such Losses relating to any dispute between and among Indemnitees that does not involve an act or omission by any Company (other than any claims against Administrative Agent, Collateral Agent, any other agent or bookrunner named on the cover page hereto or any L/C Lender, in each case, acting in such capacities or fulfilling such roles). For purposes of this Section 13.03(b), a “</w:t>
      </w:r>
      <w:r>
        <w:rPr>
          <w:rFonts w:ascii="Arial" w:cs="Arial" w:eastAsia="Arial" w:hAnsi="Arial"/>
          <w:sz w:val="16"/>
          <w:szCs w:val="16"/>
          <w:u w:val="single" w:color="auto"/>
          <w:color w:val="auto"/>
        </w:rPr>
        <w:t>Related Indemnified Person</w:t>
      </w:r>
      <w:r>
        <w:rPr>
          <w:rFonts w:ascii="Arial" w:cs="Arial" w:eastAsia="Arial" w:hAnsi="Arial"/>
          <w:sz w:val="16"/>
          <w:szCs w:val="16"/>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at the instructions of such Indemnitee, controlling person or such controlled Affiliate;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reference to a controlled Affiliate or controlling person in this sentence pertains to a controlled Affiliate or controlling person involved in the performance of the Indemnitee’s obligations under the facilities.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Without limiting the generality of the foregoing, the Credit Parties, jointly and severally, will indemnify each Agent, each Lender and each other Indemnitee from, and hold each Agent, each Lender and each other Indemnitee harmless against, any Losses incurred by, imposed on or asserted against any of them arising under any Environmental Law as a result of (i) the past, present or future operations of any Company (or any predecessor-in-interest to any Company), (ii) the past, present or future condition of any site or facility owned, operated, leased or used at any time by any Company (or any such predecessor-in-interest)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or (iii) any Release or threatened Release of any Hazardous Materials at, on, under or from any such site or facility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including any such Release or threatened Release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800" w:right="239" w:bottom="1440" w:gutter="0" w:footer="0" w:header="0"/>
        </w:sectPr>
      </w:pPr>
    </w:p>
    <w:bookmarkStart w:id="221" w:name="page222"/>
    <w:bookmarkEnd w:id="221"/>
    <w:p>
      <w:pPr>
        <w:jc w:val="both"/>
        <w:spacing w:after="0" w:line="264" w:lineRule="auto"/>
        <w:rPr>
          <w:sz w:val="20"/>
          <w:szCs w:val="20"/>
          <w:color w:val="auto"/>
        </w:rPr>
      </w:pPr>
      <w:r>
        <w:rPr>
          <w:rFonts w:ascii="Arial" w:cs="Arial" w:eastAsia="Arial" w:hAnsi="Arial"/>
          <w:sz w:val="18"/>
          <w:szCs w:val="18"/>
          <w:color w:val="auto"/>
        </w:rPr>
        <w:t xml:space="preserve">that shall occur during any period when any Agent or Lender shall be in possession of any such site or facility following the exercise by such Agent or Lender, as the case may be, of any of its rights and remedies hereunder or under any of the Security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indemnity hereunder shall be subject to the exclusions from indemnification set forth in the preceding sentence.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that the undertaking to indemnify and hold harmless set forth in this Section 13.03 or any other provision of any Credit Document providing for indemnification is unenforceable because it is violative of any law or public policy or otherwise, the Credit Parties, jointly and severally, shall contribute the maximum portion that each of them is permitted to pay and satisfy under applicable law to the payment and satisfaction of all indemnified liabilities incurred by any of the Persons indemnified hereunder.</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To the fullest extent permitted by applicable law, no party hereto shall assert, and the parties hereto hereby waive, any claim against any Person,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contained in this sentence shall limit the Credit Parties’ indemnity and reimbursement obligations to the extent set forth in this Section 13.03 (including the Credit Parties’ indemnity and reimbursement obligations to indemnify the Indemnitees for indirect, special, punitive or consequential damage that are included in any third party claim in connection with which such Indemnitee is entitled to indemnification hereunder).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Credit Documents or the transactions contemplated hereby or thereby other than for direct or actual damages resulting from the gross negligence, bad faith or willful misconduct or material breach of any Credit Document by such Indemnitee as determined by a final and non-appealable judgment of a court of competent jurisdiction.</w:t>
      </w:r>
    </w:p>
    <w:p>
      <w:pPr>
        <w:spacing w:after="0" w:line="169"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13.04.</w:t>
      </w:r>
      <w:r>
        <w:rPr>
          <w:sz w:val="20"/>
          <w:szCs w:val="20"/>
          <w:color w:val="auto"/>
        </w:rPr>
        <w:tab/>
      </w:r>
      <w:r>
        <w:rPr>
          <w:rFonts w:ascii="Arial" w:cs="Arial" w:eastAsia="Arial" w:hAnsi="Arial"/>
          <w:sz w:val="16"/>
          <w:szCs w:val="16"/>
          <w:b w:val="1"/>
          <w:bCs w:val="1"/>
          <w:color w:val="auto"/>
        </w:rPr>
        <w:t>Amendments and Waiver</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04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Neither this Agreement nor any other Credit Document nor any terms hereof or thereof may be amended, modified, changed or waived, unless such amendment, modification, change or waiver is in writing signed by the respective Credit Parties party thereto and the Required Lenders (or Administrative Agent with the consent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amendment, modification, change or waiver shall (and any such amendment, modification, change or waiver set forth below in clauses (i) through (vi) of this Section 13.04(a) shall only require the approval of the Agents and/or Lenders whose consent is required therefor pursuant to such clauses):</w:t>
      </w:r>
    </w:p>
    <w:p>
      <w:pPr>
        <w:spacing w:after="0" w:line="188" w:lineRule="exact"/>
        <w:rPr>
          <w:rFonts w:ascii="Arial" w:cs="Arial" w:eastAsia="Arial" w:hAnsi="Arial"/>
          <w:sz w:val="18"/>
          <w:szCs w:val="18"/>
          <w:color w:val="auto"/>
        </w:rPr>
      </w:pPr>
    </w:p>
    <w:p>
      <w:pPr>
        <w:jc w:val="both"/>
        <w:ind w:left="660" w:firstLine="888"/>
        <w:spacing w:after="0" w:line="253" w:lineRule="auto"/>
        <w:tabs>
          <w:tab w:leader="none" w:pos="1939" w:val="left"/>
        </w:tabs>
        <w:numPr>
          <w:ilvl w:val="1"/>
          <w:numId w:val="184"/>
        </w:numPr>
        <w:rPr>
          <w:rFonts w:ascii="Arial" w:cs="Arial" w:eastAsia="Arial" w:hAnsi="Arial"/>
          <w:sz w:val="18"/>
          <w:szCs w:val="18"/>
          <w:color w:val="auto"/>
        </w:rPr>
      </w:pPr>
      <w:r>
        <w:rPr>
          <w:rFonts w:ascii="Arial" w:cs="Arial" w:eastAsia="Arial" w:hAnsi="Arial"/>
          <w:sz w:val="18"/>
          <w:szCs w:val="18"/>
          <w:color w:val="auto"/>
        </w:rPr>
        <w:t>extend the date for any scheduled payment of principal on any Loan or Note or extend the stated maturity of any Letter of Credit beyond any R/C Maturity Date (unless such Letter of Credit is required to be cash collateralized or otherwise backstopped (with a letter of credit on customary terms) to the Administrative Agent’s and applicable L/C Lender’s reasonable satisfaction or the participations therein are required to be assumed by Lenders that have Revolving Commitments which extend beyond such R/C Maturity Date) or extend the termination date of any of the Commitments, or reduce the rate or extend the time of payment of interest (other than as a result of any waiver of the applicability of any post-default increase in interest rates) or fees thereon, or forgive or reduce the principal amount thereof, without the consent of each Lender directly affected thereby (it being understood that any amendment or modification to the financial definitions in this Agreement shall not constitute a reduction in any rate of interest or fees for purposes of this clause (i), notwithstanding the fact that such amendment or modification actually results in such a reduction);</w:t>
      </w:r>
    </w:p>
    <w:p>
      <w:pPr>
        <w:spacing w:after="0" w:line="197" w:lineRule="exact"/>
        <w:rPr>
          <w:rFonts w:ascii="Arial" w:cs="Arial" w:eastAsia="Arial" w:hAnsi="Arial"/>
          <w:sz w:val="18"/>
          <w:szCs w:val="18"/>
          <w:color w:val="auto"/>
        </w:rPr>
      </w:pPr>
    </w:p>
    <w:p>
      <w:pPr>
        <w:ind w:left="660" w:firstLine="888"/>
        <w:spacing w:after="0" w:line="277" w:lineRule="auto"/>
        <w:tabs>
          <w:tab w:leader="none" w:pos="209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release (x) all or substantially all of the Collateral (except as provided in the Security Documents) under all the Security Documents or (y) all or substantially all of the Guarantors from the Guarantees, without the consent of each Lender;</w:t>
      </w:r>
    </w:p>
    <w:p>
      <w:pPr>
        <w:spacing w:after="0" w:line="170" w:lineRule="exact"/>
        <w:rPr>
          <w:rFonts w:ascii="Arial" w:cs="Arial" w:eastAsia="Arial" w:hAnsi="Arial"/>
          <w:sz w:val="18"/>
          <w:szCs w:val="18"/>
          <w:color w:val="auto"/>
        </w:rPr>
      </w:pPr>
    </w:p>
    <w:p>
      <w:pPr>
        <w:ind w:left="660" w:right="20" w:firstLine="888"/>
        <w:spacing w:after="0" w:line="277" w:lineRule="auto"/>
        <w:tabs>
          <w:tab w:leader="none" w:pos="2025"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amend, modify, change or waive (x) any provision of Section 11.02 or this Section 13.04 without the consent of each Lender, (y) any other provision of any Credit Document or any other provision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801" w:right="239" w:bottom="1440" w:gutter="0" w:footer="0" w:header="0"/>
        </w:sectPr>
      </w:pPr>
    </w:p>
    <w:bookmarkStart w:id="222" w:name="page223"/>
    <w:bookmarkEnd w:id="222"/>
    <w:p>
      <w:pPr>
        <w:jc w:val="both"/>
        <w:ind w:left="4"/>
        <w:spacing w:after="0" w:line="273" w:lineRule="auto"/>
        <w:rPr>
          <w:sz w:val="20"/>
          <w:szCs w:val="20"/>
          <w:color w:val="auto"/>
        </w:rPr>
      </w:pPr>
      <w:r>
        <w:rPr>
          <w:rFonts w:ascii="Arial" w:cs="Arial" w:eastAsia="Arial" w:hAnsi="Arial"/>
          <w:sz w:val="17"/>
          <w:szCs w:val="17"/>
          <w:color w:val="auto"/>
        </w:rPr>
        <w:t>of this Agreement that expressly provides that the consent of all Lenders is required, without the consent of each Lender or (z) any provision of any Credit Document that expressly provides that the consent of the Required Tranche Lenders of a particular Tranche or Required Revolving Lenders is required, without the consent of the Required Tranche Lenders of such Tranche or the Required Revolving Lenders, as the case may be (in each case, except for technical amendments with respect to additional extensions of credit (including Extended Term Loans or Extended Revolving Loans) pursuant to this Agreement which afford the benefits or protections to such additional extensions of credit of the type provided to the Term Loans and/or the Revolving Commitments and Revolving Loans, as applicable);</w:t>
      </w:r>
    </w:p>
    <w:p>
      <w:pPr>
        <w:spacing w:after="0" w:line="178" w:lineRule="exact"/>
        <w:rPr>
          <w:sz w:val="20"/>
          <w:szCs w:val="20"/>
          <w:color w:val="auto"/>
        </w:rPr>
      </w:pPr>
    </w:p>
    <w:p>
      <w:pPr>
        <w:jc w:val="both"/>
        <w:ind w:left="4" w:firstLine="888"/>
        <w:spacing w:after="0" w:line="291" w:lineRule="auto"/>
        <w:tabs>
          <w:tab w:leader="none" w:pos="139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(x) reduce the percentage specified in the definition of Required Lenders or Required Tranche Lenders or otherwise amend the definition of Required Lenders or Required Tranche Lenders without the consent of each Lender or (y) reduce the percentage specified in the definition of Required Revolving Lenders or otherwise amend the definition of Required Revolving Lenders without the consent of each Revolving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no such consent shall be required for technical amendments with respect to additional extensions of credit pursuant to this Agreement, and (y) with the consent of the Required Lenders, additional extensions of credit (including Extended Term Loans and Extended Revolving Loans) pursuant to this Agreement may be included in the determination of the Required Lenders, Required Tranche Lenders and/or Required Revolving Lenders on substantially the same basis as the extensions of Loans and Commitments are included on the Closing Date);</w:t>
      </w:r>
    </w:p>
    <w:p>
      <w:pPr>
        <w:spacing w:after="0" w:line="167" w:lineRule="exact"/>
        <w:rPr>
          <w:rFonts w:ascii="Arial" w:cs="Arial" w:eastAsia="Arial" w:hAnsi="Arial"/>
          <w:sz w:val="16"/>
          <w:szCs w:val="16"/>
          <w:color w:val="auto"/>
        </w:rPr>
      </w:pPr>
    </w:p>
    <w:p>
      <w:pPr>
        <w:jc w:val="both"/>
        <w:ind w:left="4" w:firstLine="888"/>
        <w:spacing w:after="0" w:line="302" w:lineRule="auto"/>
        <w:tabs>
          <w:tab w:leader="none" w:pos="134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amend, modify, change or waive Section 4.02 or Section 4.07(b) in a manner that would alter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sharing of payments required thereby, without the consent of each Lender directly affected thereby (except for technical amendments with respect to additional extensions of credit (including Extended Term Loans or Extended Revolving Loans) pursuant to this Agreement which afford the protections to such additional extensions of credit of the type provided to the Term Loans and/or the Revolving Commitments and Revolving Loans, as applicable);</w:t>
      </w:r>
    </w:p>
    <w:p>
      <w:pPr>
        <w:spacing w:after="0" w:line="154" w:lineRule="exact"/>
        <w:rPr>
          <w:rFonts w:ascii="Arial" w:cs="Arial" w:eastAsia="Arial" w:hAnsi="Arial"/>
          <w:sz w:val="16"/>
          <w:szCs w:val="16"/>
          <w:color w:val="auto"/>
        </w:rPr>
      </w:pPr>
    </w:p>
    <w:p>
      <w:pPr>
        <w:ind w:left="4" w:right="20" w:firstLine="888"/>
        <w:spacing w:after="0" w:line="277" w:lineRule="auto"/>
        <w:tabs>
          <w:tab w:leader="none" w:pos="139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Tranche to assign any of its rights or obligations hereunder without the written consent of the Required Tranche Lenders for such Tranche; or</w:t>
      </w:r>
    </w:p>
    <w:p>
      <w:pPr>
        <w:spacing w:after="0" w:line="170" w:lineRule="exact"/>
        <w:rPr>
          <w:rFonts w:ascii="Arial" w:cs="Arial" w:eastAsia="Arial" w:hAnsi="Arial"/>
          <w:sz w:val="18"/>
          <w:szCs w:val="18"/>
          <w:color w:val="auto"/>
        </w:rPr>
      </w:pPr>
    </w:p>
    <w:p>
      <w:pPr>
        <w:jc w:val="both"/>
        <w:ind w:left="4" w:firstLine="888"/>
        <w:spacing w:after="0" w:line="257" w:lineRule="auto"/>
        <w:tabs>
          <w:tab w:leader="none" w:pos="143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amend, modify, change or waive any provision in Section 7.02 or waive any Default or Event of Default (or amend any Credit Document to effectively waive any Default or Event of Default), excluding any general waiver of any Default or Event of Default by the Required Lenders (as opposed to a waive only for the purpose of making such extension of credit), if the effect of such amendment, modification, change or waiver would require Lenders under a Tranche to fund its Loans when such Lenders would otherwise not be required to do so, without the written consent of the Required Tranche Lenders for such Tranche;</w:t>
      </w:r>
    </w:p>
    <w:p>
      <w:pPr>
        <w:spacing w:after="0" w:line="188"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no such amendment, modification, change or waiver shall (A) increase the Commitments of any Lender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thereof then in effect without the consent of such Lender (it being understood that waivers or modifications of conditions precedent, covenants, Defaults or Events of Default or of a mandatory reduction in the total Commitments or Total Revolving Commitments or a waiver of a mandatory prepayment shall not constitute an increase of the Commitment of any Lender), (B) without the consent of each L/C Lender, amend, modify, change or waive any provision of Section 2.03 or alter such L/C Lender’s rights or obligations with respect to Letters of Credit, (C) without the consent of any applicable Agent, amend, modify, change or waive any provision as same relates to the rights or obligations of such Agent,</w:t>
      </w:r>
    </w:p>
    <w:p>
      <w:pPr>
        <w:spacing w:after="0" w:line="5" w:lineRule="exact"/>
        <w:rPr>
          <w:sz w:val="20"/>
          <w:szCs w:val="20"/>
          <w:color w:val="auto"/>
        </w:rPr>
      </w:pPr>
    </w:p>
    <w:p>
      <w:pPr>
        <w:jc w:val="both"/>
        <w:ind w:left="4" w:hanging="4"/>
        <w:spacing w:after="0" w:line="290" w:lineRule="auto"/>
        <w:tabs>
          <w:tab w:leader="none" w:pos="3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amend, modify, change or waive Section 2.10(b) in a manner that by its terms adversely affects the rights in respect of prepayments due to Lenders holding Loans of one Tranche differently from the rights of Lenders holding Loans of any other Tranche without the prior written consent of the Required Tranche Lenders of each adversely affected Tranche (such consent being in lieu of the consent of the Required Lenders required above in this Section 13.04(a)) (except for technical amendments with respect to additional extensions of credit pursuant to this Agreement (including Extended Term Loans or Extended Revolving Loans) so that such additional extensions may share in the application of prepayments (or commitment reductions) with any Tranche of Term Loans or Revolving Loans,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Required Lenders may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764"/>
          </w:cols>
          <w:pgMar w:left="896" w:top="801" w:right="239" w:bottom="1440" w:gutter="0" w:footer="0" w:header="0"/>
        </w:sectPr>
      </w:pPr>
    </w:p>
    <w:bookmarkStart w:id="223" w:name="page224"/>
    <w:bookmarkEnd w:id="223"/>
    <w:p>
      <w:pPr>
        <w:jc w:val="both"/>
        <w:ind w:left="660"/>
        <w:spacing w:after="0" w:line="286" w:lineRule="auto"/>
        <w:rPr>
          <w:sz w:val="20"/>
          <w:szCs w:val="20"/>
          <w:color w:val="auto"/>
        </w:rPr>
      </w:pPr>
      <w:r>
        <w:rPr>
          <w:rFonts w:ascii="Arial" w:cs="Arial" w:eastAsia="Arial" w:hAnsi="Arial"/>
          <w:sz w:val="16"/>
          <w:szCs w:val="16"/>
          <w:color w:val="auto"/>
        </w:rPr>
        <w:t>waive, in whole or in part, any prepayment so long as the application, as between Tranches, of any portion of such prepayment which is still required to be made is not altered or (E) amend or modify the definition of “Alternate Currency” or Section 1.05 without the prior written consent of all the Revolving Lenders (such consent being in lieu of the consent of the Required Lenders required above in this Section 13.04(a)). Notwithstanding anything to the contrary herein, no Defaulting Lender shall have any right to approve or disapprove any amendment, waiver or consent hereunder, except that (x) the Commitment of such Defaulting Lender may not be increased or extended without the consent of such Defaulting Lender, (y) the principal and accrued and unpaid interest of such Defaulting Lender’s Loans shall not be reduced or forgiven (other than as a result of any waiver of the applicability of any post-default increase in interest rates), nor shall the date for any scheduled payment of any such amounts be postponed, without the consent of such Defaulting Lender (it being understood that any amendment or modification to the financial definitions in this Agreement shall not constitute a reduction in any rate of interest or fees for purposes of this clause (y), notwithstanding the fact that such amendment or modification actually results in such a reduction) and (z) any waiver, amendment or modification requiring the consent of all Lenders or each affected Lender that by its terms affects any Defaulting Lender more adversely than other affected Lenders shall require the consent of such Defaulting Lender (other than in the case of a consent by the Administrative Agent to permit Borrower and its Subsidiaries to purchase Revolving Commitments (and Revolving Loans made pursuant thereto) of Defaulting Lenders in excess of the amount permitted pursuant to Section 13.04(h)).</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notwithstanding the foregoing, the Fee Letter may only be amended or changed, or rights or privileges thereunder waived, only by the parties thereto in accordance with the respective provisions thereof.</w:t>
      </w:r>
    </w:p>
    <w:p>
      <w:pPr>
        <w:spacing w:after="0" w:line="170" w:lineRule="exact"/>
        <w:rPr>
          <w:sz w:val="20"/>
          <w:szCs w:val="20"/>
          <w:color w:val="auto"/>
        </w:rPr>
      </w:pPr>
    </w:p>
    <w:p>
      <w:pPr>
        <w:jc w:val="both"/>
        <w:ind w:firstLine="656"/>
        <w:spacing w:after="0" w:line="257" w:lineRule="auto"/>
        <w:tabs>
          <w:tab w:leader="none" w:pos="103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in connection with any proposed amendment, modification, change or waiver of or to any of the provisions of this Agreement, the consent of the Required Lenders (or in the case of a proposed amendment, modification, change or waiver affecting a particular Class or Tranche, the Lenders holding a majority of the Loans and Commitments with respect to such Class or Tranche) is obtained but the consent of one or more of such other Lenders whose consent is required is not obtained, then Borrower shall have the right, so long as all non-consenting Lenders whose individual consent is required are treated as described in either clause (A) or (B) below, to either:</w:t>
      </w:r>
    </w:p>
    <w:p>
      <w:pPr>
        <w:spacing w:after="0" w:line="188" w:lineRule="exact"/>
        <w:rPr>
          <w:rFonts w:ascii="Arial" w:cs="Arial" w:eastAsia="Arial" w:hAnsi="Arial"/>
          <w:sz w:val="18"/>
          <w:szCs w:val="18"/>
          <w:color w:val="auto"/>
        </w:rPr>
      </w:pPr>
    </w:p>
    <w:p>
      <w:pPr>
        <w:jc w:val="both"/>
        <w:ind w:left="660" w:firstLine="645"/>
        <w:spacing w:after="0" w:line="285" w:lineRule="auto"/>
        <w:tabs>
          <w:tab w:leader="none" w:pos="1605" w:val="left"/>
        </w:tabs>
        <w:numPr>
          <w:ilvl w:val="1"/>
          <w:numId w:val="187"/>
        </w:numPr>
        <w:rPr>
          <w:rFonts w:ascii="Arial" w:cs="Arial" w:eastAsia="Arial" w:hAnsi="Arial"/>
          <w:sz w:val="16"/>
          <w:szCs w:val="16"/>
          <w:color w:val="auto"/>
        </w:rPr>
      </w:pPr>
      <w:r>
        <w:rPr>
          <w:rFonts w:ascii="Arial" w:cs="Arial" w:eastAsia="Arial" w:hAnsi="Arial"/>
          <w:sz w:val="16"/>
          <w:szCs w:val="16"/>
          <w:color w:val="auto"/>
        </w:rPr>
        <w:t>replace each such non-consenting Lender or Lenders (or, at the option of Borrower, if such non-consenting Lender’s consent is required with respect to a particular Class or Tranche of Loans (or related Commitments), to replace only the Classes or Tranches of Commitments and/or Loans of such non-consenting Lender with respect to which such Lender’s individual consent is required (such Classes or Tranches, the “</w:t>
      </w:r>
      <w:r>
        <w:rPr>
          <w:rFonts w:ascii="Arial" w:cs="Arial" w:eastAsia="Arial" w:hAnsi="Arial"/>
          <w:sz w:val="16"/>
          <w:szCs w:val="16"/>
          <w:b w:val="1"/>
          <w:bCs w:val="1"/>
          <w:color w:val="auto"/>
        </w:rPr>
        <w:t>Affected</w:t>
      </w:r>
      <w:r>
        <w:rPr>
          <w:rFonts w:ascii="Arial" w:cs="Arial" w:eastAsia="Arial" w:hAnsi="Arial"/>
          <w:sz w:val="16"/>
          <w:szCs w:val="16"/>
          <w:color w:val="auto"/>
        </w:rPr>
        <w:t xml:space="preserve"> </w:t>
      </w:r>
      <w:r>
        <w:rPr>
          <w:rFonts w:ascii="Arial" w:cs="Arial" w:eastAsia="Arial" w:hAnsi="Arial"/>
          <w:sz w:val="16"/>
          <w:szCs w:val="16"/>
          <w:b w:val="1"/>
          <w:bCs w:val="1"/>
          <w:color w:val="auto"/>
        </w:rPr>
        <w:t>Classes</w:t>
      </w:r>
      <w:r>
        <w:rPr>
          <w:rFonts w:ascii="Arial" w:cs="Arial" w:eastAsia="Arial" w:hAnsi="Arial"/>
          <w:sz w:val="16"/>
          <w:szCs w:val="16"/>
          <w:color w:val="auto"/>
        </w:rPr>
        <w:t>”)) with one or more Replacement Lenders, so long as, at the time of such replacement, each such Replacement Lender consents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proposed amendment, modification, change or waiver;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at the time of any such replacement, the Replacement Lender shall enter into one or more Assignment Agreements (and with all fees payable pursuant to Section 13.05(b) to be paid by the Replacement Lender) pursuant to which the Replacement Lender shall acquire all of the Commitments and outstanding Loans of, and in each case L/C Interests of, the Replaced Lender (or, at the option of Borrower if the respective Lender’s consent is required with respect to less than all Tranches of Loans (or related Commitments), the Commitments, outstanding Loans and L/C Interests of the Affected Classes), (ii) at the time of any replacement, the Replaced Lender shall receive an amount equal to the sum of (A) the principal of, and all accrued interest on, all outstanding Loans of such Lender (other than any Loans not being acquired by the Replacement Lender), (B) all Reimbursement Obligations (expressed in Dollars in the amount of the Dollar Equivalent thereof in the case of a Letter of Credit denominated in the Alternate Currency) owing to such Lender, together with all then unpaid interest with respect thereto at such time, in the event Revolving Loans or Revolving Commitments owing to such Lender are being acquired and (C) all accrued, but theretofore unpaid, fees and other amounts owing to the Lender with respect to the Loans being so assigned and (iii) all obligations of Borrower owing to such Replaced Lender (other than those specifically described in clause (ii) above in respect of Replaced Lenders for which the assignment purchase price has been, or is concurrently being, paid, and other than those relating to Loans or Commitments not being acquired by the Replacement Lender, but including any amounts which would be paid to a Lender pursuant to Section 5.05 if Borrower were prepaying a LIBOR Loan), as applicable, shall be paid in full to such Replaced Lender, as applicable, concurrently with such replacement. Upon the execution of the respective Assignment Agreement, the payment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801" w:right="239" w:bottom="1440" w:gutter="0" w:footer="0" w:header="0"/>
        </w:sectPr>
      </w:pPr>
    </w:p>
    <w:bookmarkStart w:id="224" w:name="page225"/>
    <w:bookmarkEnd w:id="224"/>
    <w:p>
      <w:pPr>
        <w:jc w:val="both"/>
        <w:ind w:left="660"/>
        <w:spacing w:after="0" w:line="291" w:lineRule="auto"/>
        <w:rPr>
          <w:sz w:val="20"/>
          <w:szCs w:val="20"/>
          <w:color w:val="auto"/>
        </w:rPr>
      </w:pPr>
      <w:r>
        <w:rPr>
          <w:rFonts w:ascii="Arial" w:cs="Arial" w:eastAsia="Arial" w:hAnsi="Arial"/>
          <w:sz w:val="16"/>
          <w:szCs w:val="16"/>
          <w:color w:val="auto"/>
        </w:rPr>
        <w:t xml:space="preserve">of amounts referred to in clauses (i), (ii) and (iii) above, as applicable, the receipt of any consents that would be required for an assignment of the subject Loans and Commitments to such Replacement Lender in accordance with Section 13.05,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Arial" w:cs="Arial" w:eastAsia="Arial" w:hAnsi="Arial"/>
          <w:sz w:val="16"/>
          <w:szCs w:val="16"/>
          <w:i w:val="1"/>
          <w:iCs w:val="1"/>
          <w:color w:val="auto"/>
        </w:rPr>
        <w:t>provided</w:t>
      </w:r>
      <w:r>
        <w:rPr>
          <w:rFonts w:ascii="Arial" w:cs="Arial" w:eastAsia="Arial" w:hAnsi="Arial"/>
          <w:sz w:val="16"/>
          <w:szCs w:val="16"/>
          <w:color w:val="auto"/>
        </w:rPr>
        <w:t>, that if the applicable Replaced Lender does not execute the Assignment Agreement within three (3) Business Days after Borrower’s request, execution of such Assignment Agreement by the Replaced Lender shall not be required to effect such assignment; or</w:t>
      </w:r>
    </w:p>
    <w:p>
      <w:pPr>
        <w:spacing w:after="0" w:line="167" w:lineRule="exact"/>
        <w:rPr>
          <w:sz w:val="20"/>
          <w:szCs w:val="20"/>
          <w:color w:val="auto"/>
        </w:rPr>
      </w:pPr>
    </w:p>
    <w:p>
      <w:pPr>
        <w:jc w:val="both"/>
        <w:ind w:left="660" w:firstLine="645"/>
        <w:spacing w:after="0" w:line="284" w:lineRule="auto"/>
        <w:tabs>
          <w:tab w:leader="none" w:pos="1613"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terminate such non-consenting Lender’s Commitment and/or repay Loans held by such Lender (or, if such non-consenting Lender’s consent is required with respect to a particular Class or Tranche of Loans, the Commitment and Loans of the Affected Class) and, if applicable, Cash Collateralize its applicable R/C Percentage of the L/C Liability, in either case, upon three (3) Business Days’ (or such shorter period as is acceptable to Administrative Agent) prior written notice to Administrative Agent at the Principal Office (which notice Administrative Agent shall promptly transmit to each of the Lenders). Any such prepayment of the Loans or termination of the Commitments of such Lender shall be made together with accrued and unpaid interest, fees and other amounts owing to such Lender (including all amounts, if any, owing pursuant to Section 5.05) (or if the applicable consent requires approval of all Lenders of a particular Tranche but not all Lenders, then Borrower shall terminate all Commitments and/or repay all Loans, in each case together with payment of all accrued and unpaid interest, fees and other amounts owing to such Lender (including all amounts, if any, owing pursuant to Section 5.05) under such Tranche), so long as (i) in the case of the repayment of Revolving Loans of any Lender pursuant to this Section 13.04(b)(B), (A) the Revolving Commitment of such Lender is terminated concurrently with such repayment and (B) such Lender’s R/C Percentage of all outstanding Letters of Credit is Cash Collateralized or backstopped by Borrower in a manner reasonably satisfactory to Administrative Agent and the L/C Lenders. Immediately upon any repayment of Loans by Borrower pursuant to this Section 13.04(b) (B), such Loans repaid or acquired pursuant hereto shall be cancelled for all purposes and no longer outstanding (and may not be resold, assigned or participated out by Borrower) for all purposes of this Agreement and all other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purchases and cancellations shall not constitute prepayments or repayments of the Loans for any purpose hereunder (except for purposes of Section 2.09(c))),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unless the Commitments which are terminated and Loans which are repaid pursuant to this clause (B) are immediately replaced in full at such time through the addition of new Lenders or the increase of the Commitments and/or outstanding Loans of existing Lenders (who in each case must consent thereto), then, in the case of any action pursuant to this clause (B), the Required Lenders (determined after giving effect to the proposed action) shall specifically consent thereto;</w:t>
      </w:r>
    </w:p>
    <w:p>
      <w:pPr>
        <w:spacing w:after="0" w:line="18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Borrower shall not have the right to replace a Lender, or terminate the Commitments of or repay the Loans of a Lender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13.04(b), solely as a result of the exercise of such Lender’s rights (and the withholding of any required consent by such Lender) pursuant to clauses</w:t>
      </w:r>
    </w:p>
    <w:p>
      <w:pPr>
        <w:ind w:left="300" w:hanging="292"/>
        <w:spacing w:after="0"/>
        <w:tabs>
          <w:tab w:leader="none" w:pos="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through (F) of the second proviso to Section 13.04(a).</w:t>
      </w:r>
    </w:p>
    <w:p>
      <w:pPr>
        <w:spacing w:after="0" w:line="210" w:lineRule="exact"/>
        <w:rPr>
          <w:rFonts w:ascii="Arial" w:cs="Arial" w:eastAsia="Arial" w:hAnsi="Arial"/>
          <w:sz w:val="18"/>
          <w:szCs w:val="18"/>
          <w:color w:val="auto"/>
        </w:rPr>
      </w:pPr>
    </w:p>
    <w:p>
      <w:pPr>
        <w:jc w:val="both"/>
        <w:ind w:firstLine="656"/>
        <w:spacing w:after="0" w:line="255" w:lineRule="auto"/>
        <w:tabs>
          <w:tab w:leader="none" w:pos="1064"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Administrative Agent and Borrower may (without the consent of Lenders) amend any Credit Document to the extent (but only to the extent) necessary to reflect the existence and terms of Other Term Loans, Other Revolving Loans, Extended Term Loans and Extended Revolving Loans. Notwithstanding anything to the contrary contained herein, such amendment shall become effective without any further consent of any other party to such Credit Document. In addition, upon the effectiveness of any Refinancing Amendment, Administrative Agent, Borrower and the Lenders providing the relevant Credit Agreement Refinancing Indebtedness may amend this Agreement to the extent (but only to the extent) necessary to reflect the existence and terms of the Credit Agreement Refinancing Indebtedness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801" w:right="239" w:bottom="1440" w:gutter="0" w:footer="0" w:header="0"/>
        </w:sectPr>
      </w:pPr>
    </w:p>
    <w:bookmarkStart w:id="225" w:name="page226"/>
    <w:bookmarkEnd w:id="225"/>
    <w:p>
      <w:pPr>
        <w:jc w:val="both"/>
        <w:spacing w:after="0" w:line="254" w:lineRule="auto"/>
        <w:rPr>
          <w:sz w:val="20"/>
          <w:szCs w:val="20"/>
          <w:color w:val="auto"/>
        </w:rPr>
      </w:pPr>
      <w:r>
        <w:rPr>
          <w:rFonts w:ascii="Arial" w:cs="Arial" w:eastAsia="Arial" w:hAnsi="Arial"/>
          <w:sz w:val="18"/>
          <w:szCs w:val="18"/>
          <w:color w:val="auto"/>
        </w:rPr>
        <w:t>incurred pursuant thereto (including any amendments necessary to treat the Loans and Commitments subject thereto as Other Term Loans, Other Revolving Loans, Other Revolving Commitments and/or Other Term Loan Commitments). Administrative Agent and Borrower may effect such amendments to this Agreement and the other Credit Documents as may be necessary or appropriate, in the reasonable opinion of Administrative Agent and Borrower, to effect the terms of any Refinancing Amendment. Administrative Agent and Collateral Agent may enter into amendments to this Agreement and the other Credit Documents with Borrower as may be necessary in order to establish new tranches or sub-tranches in respect of the Loans and/or Commitments extended pursuant to Section 2.13 or incurred pursuant to Sections 2.12 or 2.15 and such technical amendments as may be necessary or appropriate in the reasonable opinion of Administrative Agent and Borrower in connection with the establishment of such new tranches or sub-tranches, in each case on terms consistent with Section 2.13, Section 2.12 or Section 2.15.</w:t>
      </w:r>
    </w:p>
    <w:p>
      <w:pPr>
        <w:spacing w:after="0" w:line="192" w:lineRule="exact"/>
        <w:rPr>
          <w:sz w:val="20"/>
          <w:szCs w:val="20"/>
          <w:color w:val="auto"/>
        </w:rPr>
      </w:pPr>
    </w:p>
    <w:p>
      <w:pPr>
        <w:jc w:val="both"/>
        <w:ind w:firstLine="656"/>
        <w:spacing w:after="0" w:line="273" w:lineRule="auto"/>
        <w:tabs>
          <w:tab w:leader="none" w:pos="106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Notwithstanding the foregoing, this Agreement may be amended (or amended and restated) with the written consent of the Required Lenders, Administrative Agent and Borrower (a) to add one or more additional credit facilities to this Agreement and to permit extensions of credit from time to time outstanding thereunder and the accrued interest and fees in respect thereof to share ratably in the benefits of this Agreement and the other Credit Documents with the Term Loans (or any Tranche thereof in the case of additional Term Loans) and the Revolving Loans (or any Tranche of Revolving Commitments in the case of additional Revolving Loans or Revolving Commitments) and the accrued interest and fees in respect thereof and (b) to include appropriately the Lenders holding such credit facilities in any determination of the Required Lenders.</w:t>
      </w:r>
    </w:p>
    <w:p>
      <w:pPr>
        <w:spacing w:after="0" w:line="178" w:lineRule="exact"/>
        <w:rPr>
          <w:rFonts w:ascii="Arial" w:cs="Arial" w:eastAsia="Arial" w:hAnsi="Arial"/>
          <w:sz w:val="17"/>
          <w:szCs w:val="17"/>
          <w:color w:val="auto"/>
        </w:rPr>
      </w:pPr>
    </w:p>
    <w:p>
      <w:pPr>
        <w:jc w:val="both"/>
        <w:ind w:firstLine="656"/>
        <w:spacing w:after="0" w:line="285" w:lineRule="auto"/>
        <w:tabs>
          <w:tab w:leader="none" w:pos="105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(i) any Credit Document may be waived, amended, supplemented or modified pursuant to an agreement or agreements in writing entered into by Borrower and Administrative Agent (without the consent of any Lender) solely to effect administrative changes that are not adverse to any Lender or to correct administrative errors or omissions or to cure an ambiguity, defect or error (including, without limitation, to revise the legal description of any Mortgaged Real Property based on surveys), or to grant a new Lien for the benefit of the Secured Parties or extend an existing Lien over additional property or to make modifications which are not materially adverse to the Lenders and are requested or required by Gaming Authorities or Gaming Laws and (ii) any Credit Document may be waived, amended, supplemented or modified pursuant to an agreement or agreements in writing entered into by Borrower and Administrative Agent (without the consent of any Lender) to permit any changes requested or required by any Governmental Authority that are not materially adverse to the Lenders (including any changes relating to qualifications as a permitted holder of debt, licensing or limits on Property that may be pledged as Collateral or available remedies). Notwithstanding anything to the contrary herein, (A) additional extensions of credit consented to by Required Lenders shall be permitted hereunder on a ratable basis with the existing Loans (including as to proceeds of, and sharing in the benefits of, Collateral and sharing of prepayments), (B) Collateral Agent shall enter into the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Intercreditor Agreement upon the request of Borrower in connection with the incurrence of Permitted First Priority Refinancing Debt or Permitted First Lien Indebtedness (and Permitted Refinancings thereof that qualify as Permitted First Lien Indebtedness) (or any amendments and supplements thereto in connection with the incurrence of additional Permitted First Priority Refinancing Debt, Permitted First Lien Indebtedness (and Permitted Refinancings thereof that qualify as Permitted First Lien Indebtedness), and (C) Collateral Agent shall enter into the Second Lien Intercreditor Agreement upon the request of Borrower in connection with the incurrence of Permitted Second Priority Refinancing Debt or Permitted Second Lien Indebtedness (and Permitted Refinancings thereof that qualify as Permitted Second Lien Indebtedness) (or any amendments and supplements thereto in connection with the incurrence of additional Permitted Second Priority Refinancing Debt or Permitted Second Lien Indebtedness (and Permitted Refinancings thereof that qualify as Permitted Second Lien Indebtedness).</w:t>
      </w:r>
    </w:p>
    <w:p>
      <w:pPr>
        <w:spacing w:after="0" w:line="172" w:lineRule="exact"/>
        <w:rPr>
          <w:rFonts w:ascii="Arial" w:cs="Arial" w:eastAsia="Arial" w:hAnsi="Arial"/>
          <w:sz w:val="16"/>
          <w:szCs w:val="16"/>
          <w:color w:val="auto"/>
        </w:rPr>
      </w:pPr>
    </w:p>
    <w:p>
      <w:pPr>
        <w:jc w:val="both"/>
        <w:ind w:firstLine="656"/>
        <w:spacing w:after="0" w:line="273" w:lineRule="auto"/>
        <w:tabs>
          <w:tab w:leader="none" w:pos="10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applicable Credit Party or Parties and Administrative Agent and/or Collateral Agent may (in its or their respective sole discretion, or shall, to the extent required by any Credit Document) enter into any amendment or waiver of any Credit Document, or enter into any new agreement or instrument, without the consent of any other Person,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Requirements of Law or to release any Collateral which is not required under the Security Documents.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800" w:right="239" w:bottom="1440" w:gutter="0" w:footer="0" w:header="0"/>
        </w:sectPr>
      </w:pPr>
    </w:p>
    <w:bookmarkStart w:id="226" w:name="page227"/>
    <w:bookmarkEnd w:id="226"/>
    <w:p>
      <w:pPr>
        <w:jc w:val="both"/>
        <w:ind w:firstLine="656"/>
        <w:spacing w:after="0" w:line="268" w:lineRule="auto"/>
        <w:tabs>
          <w:tab w:leader="none" w:pos="1081" w:val="left"/>
        </w:tabs>
        <w:numPr>
          <w:ilvl w:val="0"/>
          <w:numId w:val="191"/>
        </w:numPr>
        <w:rPr>
          <w:rFonts w:ascii="Arial" w:cs="Arial" w:eastAsia="Arial" w:hAnsi="Arial"/>
          <w:sz w:val="17"/>
          <w:szCs w:val="17"/>
          <w:color w:val="auto"/>
        </w:rPr>
      </w:pPr>
      <w:r>
        <w:rPr>
          <w:rFonts w:ascii="Arial" w:cs="Arial" w:eastAsia="Arial" w:hAnsi="Arial"/>
          <w:sz w:val="17"/>
          <w:szCs w:val="17"/>
          <w:color w:val="auto"/>
        </w:rPr>
        <w:t>Notwithstanding anything to the contrary herein, Administrative Agent and Collateral Agent shall (A) release any Lien granted to or held by Administrative Agent or Collateral Agent upon any Collateral (i) upon Payment in Full of the Obligations (other than (x) obligations under any Swap Contracts as to which acceptable arrangements have been made to the satisfaction of the relevant counterparties and (y) Cash Management Agreements not yet due and payable), (ii) upon the sale, transfer or other disposition of Collateral to the extent required pursuant to the last paragraph in Section 10.05 (and Administrative Agent or Collateral Agent may rely conclusively on a certificate to that effect provided to it by any Credit Party upon its reasonable request without further inquiry) to any Person other than a Credit Party, (iii) if approved, authorized or ratified in writing by the Required Lenders (or all of the Lenders to the extent required by Section 13.04(a)), (iv) if the property subject to such Lien is owned by a Guarantor, upon release of such Guarantor from its obligations under its Guarantee pursuant to Section 6.08, (v) constituting Equity Interests in or property of an Unrestricted Subsidiary, (vi) subject to Liens permitted under Sections 10.02(i) or 10.02(k), in each case, to the extent the documents governing such Liens do not permit such Collateral to secure the Obligations, or (vii) as otherwise may be provided herein or in the relevant Security Documents, and (B)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Borrower with respect to leases entered into by Borrower and its Restricted Subsidiaries, to the extent requested by Borrower and not materially adverse to the interests of the Lenders.</w:t>
      </w:r>
    </w:p>
    <w:p>
      <w:pPr>
        <w:spacing w:after="0" w:line="185" w:lineRule="exact"/>
        <w:rPr>
          <w:sz w:val="20"/>
          <w:szCs w:val="20"/>
          <w:color w:val="auto"/>
        </w:rPr>
      </w:pPr>
    </w:p>
    <w:p>
      <w:pPr>
        <w:jc w:val="both"/>
        <w:ind w:firstLine="656"/>
        <w:spacing w:after="0" w:line="282" w:lineRule="auto"/>
        <w:tabs>
          <w:tab w:leader="none" w:pos="1073" w:val="left"/>
        </w:tabs>
        <w:numPr>
          <w:ilvl w:val="1"/>
          <w:numId w:val="192"/>
        </w:numPr>
        <w:rPr>
          <w:rFonts w:ascii="Arial" w:cs="Arial" w:eastAsia="Arial" w:hAnsi="Arial"/>
          <w:sz w:val="16"/>
          <w:szCs w:val="16"/>
          <w:color w:val="auto"/>
        </w:rPr>
      </w:pPr>
      <w:r>
        <w:rPr>
          <w:rFonts w:ascii="Arial" w:cs="Arial" w:eastAsia="Arial" w:hAnsi="Arial"/>
          <w:sz w:val="16"/>
          <w:szCs w:val="16"/>
          <w:color w:val="auto"/>
        </w:rPr>
        <w:t xml:space="preserve">If any Lender is a Defaulting Lender, Borrower shall have the right to terminate such Defaulting Lender’s Revolving Commitment and repay the Loans related thereto as provided below so long as Borrower Cash Collateralizes or backstops such Defaulting Lender’s applicable R/C Percentage of the L/C Liability to the reasonable satisfaction of the L/C Issuer and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terminations of Revolving Commitments shall not exceed 20% of the initial aggregate principal amount of the Revolving Commitments on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Borrower and its Subsidiaries may terminate additional Revolving Commitments of Defaulting Lenders and repay the Loans related thereto pursuant to this Section 13.04(h) with the consent of the Administrative Agent. At the time of any such termination and/or repayment, and as a condition thereto, the Replaced Lender shall receive an amount equal to the sum of (A) the principal of, and all accrued interest on, all outstanding Loans of such Lender provided pursuant to such Revolving Commitments,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Section 2.05 with respect to the Loans being so repaid, as the case may be and all other obligations of Borrower owing to such Replaced Lender (other than those relating to Loans or Commitments not being terminated or repaid) shall be paid in full to such Defaulting Lender concurrently with such termination. At such time, unless the respective Lender continues to have outstanding Loans or Commitments hereunder, such Lender shall no longer constitute a “Lender” for purposes of this Agreement, except with respect to indemnifications under this Agreement (including, without limitation, Sections 4.02, 5.01, 5.03, 5.05, 5.06 and 13.03), which shall survive as to such repaid Lender. Immediately upon any repayment of Loans by Borrower pursuant to this Section 13.04(h), such Loans repaid pursuant hereto shall be cancelled for all purposes and no longer outstanding (and may not be resold, assigned or participated out by Borrower) for all purposes of this Agreement and all other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that such purchases and cancellations shall not constitute prepayments or repayments of the Loans (including, without limitation, pursuant to Section 2.09, Section 2.10 or Article IV)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w:t>
      </w:r>
    </w:p>
    <w:p>
      <w:pPr>
        <w:spacing w:after="0" w:line="12" w:lineRule="exact"/>
        <w:rPr>
          <w:rFonts w:ascii="Arial" w:cs="Arial" w:eastAsia="Arial" w:hAnsi="Arial"/>
          <w:sz w:val="16"/>
          <w:szCs w:val="16"/>
          <w:color w:val="auto"/>
        </w:rPr>
      </w:pPr>
    </w:p>
    <w:p>
      <w:pPr>
        <w:ind w:left="300" w:hanging="292"/>
        <w:spacing w:after="0"/>
        <w:tabs>
          <w:tab w:leader="none" w:pos="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determination of Required Lenders, or for any similar or related purpose, under this Agreement or any other Credit Document.</w:t>
      </w:r>
    </w:p>
    <w:p>
      <w:pPr>
        <w:spacing w:after="0" w:line="20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13.05.</w:t>
      </w:r>
      <w:r>
        <w:rPr>
          <w:sz w:val="20"/>
          <w:szCs w:val="20"/>
          <w:color w:val="auto"/>
        </w:rPr>
        <w:tab/>
      </w:r>
      <w:r>
        <w:rPr>
          <w:rFonts w:ascii="Arial" w:cs="Arial" w:eastAsia="Arial" w:hAnsi="Arial"/>
          <w:sz w:val="16"/>
          <w:szCs w:val="16"/>
          <w:b w:val="1"/>
          <w:bCs w:val="1"/>
          <w:color w:val="auto"/>
        </w:rPr>
        <w:t>Benefit of Agreement; Assignments; Participations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08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This Agreement shall be binding upon and inure to the benefit of and be enforceable by the respective successors and assigns of the parties 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 Credit Party may assign or transfer any of its rights, obligations or interest hereunder or under any other Credit Document (it being understood that a merger or consolidation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801" w:right="239" w:bottom="1440" w:gutter="0" w:footer="0" w:header="0"/>
        </w:sectPr>
      </w:pPr>
    </w:p>
    <w:bookmarkStart w:id="227" w:name="page228"/>
    <w:bookmarkEnd w:id="227"/>
    <w:p>
      <w:pPr>
        <w:jc w:val="both"/>
        <w:spacing w:after="0" w:line="283" w:lineRule="auto"/>
        <w:rPr>
          <w:sz w:val="20"/>
          <w:szCs w:val="20"/>
          <w:color w:val="auto"/>
        </w:rPr>
      </w:pPr>
      <w:r>
        <w:rPr>
          <w:rFonts w:ascii="Arial" w:cs="Arial" w:eastAsia="Arial" w:hAnsi="Arial"/>
          <w:sz w:val="16"/>
          <w:szCs w:val="16"/>
          <w:color w:val="auto"/>
        </w:rPr>
        <w:t xml:space="preserve">not prohibited by this Agreement shall not constitute an assignment or transfer) without the prior written consent of all of the Lenders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although any Lender may transfer, assign or grant participations in its rights hereunder, such Lender shall remain a “Lender” for all purposes hereunder (and may not transfer or assign all or any portion of its Commitments, Loans or related Obligations hereunder except as provided in Section 13.05(b)) and the participant shall not constitute a “Lender” hereunder;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Lender shall transfer, assign or grant any participation (w) to a natural person, (x) to a Competitor (unless consented to by Borrower), (y) to a Disqualified Lender (unless consented to by Borrower) or (z) under which the participant shall have rights to approve any amendment to or waiver of this Agreement or any other Credit Document except to the extent such amendment or waiver would (i) extend the date for any scheduled payment on, or the final scheduled maturity of, any Loan, Note or Letter of Credit (unless such Letter of Credit is not extended beyond any applicable R/C Maturity Date (unless such Letter of Credit is required to be cash collateralized or otherwise backstopped (with a letter of credit on customary terms) to the applicable L/C Lender’s and the Administrative Agent’s reasonable satisfaction or the participations therein are required to be assumed by Lenders that have commitments which extend beyond such R/C Maturity Date))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or of a mandatory reduction in the total Commitments or Total Revolving Commitments or of a mandatory prepayment shall not constitute a change in the terms of such participation, that an increase in any Commitment (or the available portion thereof) or Loan shall be permitted without the consent of any participant if the participant’s participation is not increased as a result thereof and that any amendment or modification to the financial definitions in this Agreement shall not constitute a reduction in any rate of interest or fees for purposes of this clause (i), notwithstanding the fact that such amendment or modification actually results in such a reduction), (ii) consent to the assignment or transfer by any Credit Party of any of its rights and obligations under this Agreement or other Credit Document to which it is a party or (iii) release all or substantially all of the Collateral under all of the Security Documents (except as expressly provided in the Credit Documents) supporting the Loans or Letters of Credit hereunder in which such participant is participating. 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Subject to the last sentence of this paragraph (a), Borrower agrees that each participant shall be entitled to the benefits of Sections 5.01, and 5.06 (subject to the obligations and limitations of such Sections, including Section 5.06(b), (c) and (d) (it being understood that the documentation required under Section 5.06(b), (c) and (d) shall be delivered to the participating Lender)) to the same extent as if it were a Lender and had acquired its interest by assignment pursuant to paragraph (b) of this Section 13.05. To the extent permitted by law, each participant also shall be entitled to the benefits of Section 4.07 as though it were a Lender. Each Lender that sells a participation shall, acting solely for this purpose as a non-fiduciary agent of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Section 5f.103-1(c) of the United States Treasury Regulations. A participant shall not be entitled to receive any greater payment under Sections 5.01 or 5.06 than the applicable Lender would have been entitled to receive with respect to the participation sold to such participant, unless the entitlement to a greater payment results from any change in applicable Laws after the date the participant became a participant.</w:t>
      </w:r>
    </w:p>
    <w:p>
      <w:pPr>
        <w:spacing w:after="0" w:line="200" w:lineRule="exact"/>
        <w:rPr>
          <w:sz w:val="20"/>
          <w:szCs w:val="20"/>
          <w:color w:val="auto"/>
        </w:rPr>
      </w:pPr>
    </w:p>
    <w:p>
      <w:pPr>
        <w:spacing w:after="0" w:line="202" w:lineRule="exact"/>
        <w:rPr>
          <w:sz w:val="20"/>
          <w:szCs w:val="20"/>
          <w:color w:val="auto"/>
        </w:rPr>
      </w:pPr>
    </w:p>
    <w:p>
      <w:pPr>
        <w:jc w:val="both"/>
        <w:ind w:firstLine="656"/>
        <w:spacing w:after="0" w:line="257" w:lineRule="auto"/>
        <w:tabs>
          <w:tab w:leader="none" w:pos="111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 Lender (or any Lender together with one or more other Lenders) may assign all or any portion of its Commitments, Loans and related outstanding Obligations (or, if the Commitments with respect to the relevant Tranche have terminated, outstanding Loans and Obligations) hereunder, except to one or more Eligible Assignees (treating any fund that invests in loans and any other fund that invests in loans and is managed or advised by the same investment advisor of such fund or by an Affiliate of such investment advisor as a single Eligible Assignee) with the consent of Administrative Agent and in the case of an assignment of Revolving Loans or Revolving Commitments,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801" w:right="239" w:bottom="1440" w:gutter="0" w:footer="0" w:header="0"/>
        </w:sectPr>
      </w:pPr>
    </w:p>
    <w:bookmarkStart w:id="228" w:name="page229"/>
    <w:bookmarkEnd w:id="228"/>
    <w:p>
      <w:pPr>
        <w:jc w:val="both"/>
        <w:spacing w:after="0" w:line="283" w:lineRule="auto"/>
        <w:rPr>
          <w:sz w:val="20"/>
          <w:szCs w:val="20"/>
          <w:color w:val="auto"/>
        </w:rPr>
      </w:pPr>
      <w:r>
        <w:rPr>
          <w:rFonts w:ascii="Arial" w:cs="Arial" w:eastAsia="Arial" w:hAnsi="Arial"/>
          <w:sz w:val="16"/>
          <w:szCs w:val="16"/>
          <w:color w:val="auto"/>
        </w:rPr>
        <w:t xml:space="preserve">consent of each L/C Lender and, so long as no Event of Default pursuant to Section 11.01(b) or 11.01(c), or, with respect to Borrower, 11.01(g) or 11.01(h), has occurred and is continuing, Borrower (each such consent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except in the case of an assignment of the entire remaining amount of the assigning Lender’s Commitments and Loans at the time owing to it, the aggregate amount of the Commitments or Loans subject to such assignment shall not be less than $5.0 million; (y) no such consent of Borrower shall be necessary in the case of (i) an assignment of Revolving Loans or Revolving Commitments by a Revolving Lender to another Revolving Lender and (ii) an assignment of Term Facility Loans </w:t>
      </w:r>
      <w:r>
        <w:rPr>
          <w:rFonts w:ascii="Arial" w:cs="Arial" w:eastAsia="Arial" w:hAnsi="Arial"/>
          <w:sz w:val="16"/>
          <w:szCs w:val="16"/>
          <w:b w:val="1"/>
          <w:bCs w:val="1"/>
          <w:u w:val="single" w:color="auto"/>
          <w:color w:val="0000FF"/>
        </w:rPr>
        <w:t>or Term Facility II Loans</w:t>
      </w:r>
      <w:r>
        <w:rPr>
          <w:rFonts w:ascii="Arial" w:cs="Arial" w:eastAsia="Arial" w:hAnsi="Arial"/>
          <w:sz w:val="16"/>
          <w:szCs w:val="16"/>
          <w:color w:val="auto"/>
        </w:rPr>
        <w:t xml:space="preserve"> by a Lender to (A) its parent company and/or any Affiliate of such Lender which is at least 50% owned by such Lender or its parent company or (B) one or more other Lenders or any Affiliate of any such other Lender which is at least 50% owned by such other Lender or its parent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fund that invests in loans and is managed or advised by the same investment advisor of another fund which is a Lender (or by an Affiliate of such investment advisor) shall be treated as an Affiliate that is at least 50% owned by such other Lender or its parent company for the purposes of this sub-clause (x)(ii)(B)), or (C) in the case of any Lender that is a fund that invests in loans, any other fund that invests in loans and is managed or advised by the same investment advisor of any Lender or by an Affiliate of such investment advisor, and (y) Borrower shall be deemed to have consented to any such assignment unless it shall object thereto by written notice to Administrative Agent within ten (10) Business Days after having received notice thereof. Notwithstanding the foregoing, so long as no Event of Default pursuant to Section 11.01(b) or 11.01(c), or, with respect to Borrower, 11.01(g) or 11.01(h), has occurred and is continuing, no assignment will be permitted to any Lender that will result in such Lender holding, collectively with its Affiliates (including any Person deemed to be an Affiliate for purposes of sub-clause (x)(ii)(B) above), Loans and Commitments having an aggregate principal amount of $100.0 million, or greater, without the prior written consent of Borrower (such consent not to be unreasonably withheld, conditioned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shall be deemed to have consented to any such assignment unless it shall object thereto by written notice to Administrative Agent within ten (10) Business Days after a Responsible Officer has received notice thereof. Each assignee shall become a party to this Agreement as a Lender by execution of an Assignment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Administrative Agent shall, unless it otherwise agrees in its sole discretion, receive at the time of each such assignment, from the assigning or assignee Lender, the payment of a non-refundable assignment fee of $3,500, (II) no such transfer or assignment will be effective until recorded by Administrative Agent on the Register pursuant to Section 2.08, and (III) such assignments may be made on a pro rata basis among Commitments and/or Loans (and related Obligations). To the extent of any assignment permitted pursuant to this Section 13.05(b), the assigning Lender shall be relieved of its obligations hereunder with respect to its assigned Commitments and outstanding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assignment shall not release such Lender of any claims or liabilities that may exist against such Lender at the time of such assignment). At the time of each assignment pursuant to this Section 13.05(b) to a Person which is not already a Lender hereunder, the respective assignee Lender shall, to the extent legally eligible to do so, provide to Borrower and Administrative Agent the appropriate Internal Revenue Service Forms and other information as described in Sections 5.06(b) and 5.06(d), as applicable. To the extent that an assignment of all or any portion of a Lender’s Commitments, Loans and related outstanding Obligations pursuant to Section 2.11, Section 13.04(b)(B) or this Section 13.05(b) would, under the laws in effect at the time of such assignment, result in increased costs under Section 5.01 or 5.03 from those being charged by the respective assigning Lender prior to such assignment, then Borrower shall not be obligated to pay such increased costs (although Borrower, in accordance with and pursuant to the other provisions of this Agreement, shall be obligated to pay any other increased costs of the type described above resulting from Changes in Law after the date of the respective assignment).</w:t>
      </w:r>
    </w:p>
    <w:p>
      <w:pPr>
        <w:spacing w:after="0" w:line="204" w:lineRule="exact"/>
        <w:rPr>
          <w:sz w:val="20"/>
          <w:szCs w:val="20"/>
          <w:color w:val="auto"/>
        </w:rPr>
      </w:pPr>
    </w:p>
    <w:p>
      <w:pPr>
        <w:jc w:val="both"/>
        <w:ind w:firstLine="656"/>
        <w:spacing w:after="0" w:line="254" w:lineRule="auto"/>
        <w:tabs>
          <w:tab w:leader="none" w:pos="103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Nothing in this Agreement shall prevent or prohibit any Lender from pledging or assigning a security interest in its rights under this Agreement to secure obligations of such Lender, including any pledge or assignment of a security interest to a Federal Reserve Bank or other central banking authority. No pledge pursuant to this Section 13.05(c) shall release the transferor Lender from any of its obligations hereunder or permit the pledgee to become a lender hereunder without otherwise complying with Section 13.05(b).</w:t>
      </w:r>
    </w:p>
    <w:p>
      <w:pPr>
        <w:spacing w:after="0" w:line="189" w:lineRule="exact"/>
        <w:rPr>
          <w:rFonts w:ascii="Arial" w:cs="Arial" w:eastAsia="Arial" w:hAnsi="Arial"/>
          <w:sz w:val="18"/>
          <w:szCs w:val="18"/>
          <w:color w:val="auto"/>
        </w:rPr>
      </w:pPr>
    </w:p>
    <w:p>
      <w:pPr>
        <w:jc w:val="both"/>
        <w:ind w:firstLine="656"/>
        <w:spacing w:after="0" w:line="286" w:lineRule="auto"/>
        <w:tabs>
          <w:tab w:leader="none" w:pos="1184" w:val="left"/>
        </w:tabs>
        <w:numPr>
          <w:ilvl w:val="0"/>
          <w:numId w:val="196"/>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13.05 or any other provision of this Agreement, Borrower and its Subsidiaries may, but shall not be required to, purchase (x) outstanding Loans pursuant to the Auction Procedures established for each such purchase in an auction managed by Auction Manager and (y) outstanding Term Loans through open market purchases, subject solely to the following conditions:</w:t>
      </w:r>
    </w:p>
    <w:p>
      <w:pPr>
        <w:spacing w:after="0" w:line="165" w:lineRule="exact"/>
        <w:rPr>
          <w:rFonts w:ascii="Arial" w:cs="Arial" w:eastAsia="Arial" w:hAnsi="Arial"/>
          <w:sz w:val="17"/>
          <w:szCs w:val="17"/>
          <w:color w:val="auto"/>
        </w:rPr>
      </w:pPr>
    </w:p>
    <w:p>
      <w:pPr>
        <w:ind w:left="660" w:firstLine="888"/>
        <w:spacing w:after="0" w:line="277" w:lineRule="auto"/>
        <w:tabs>
          <w:tab w:leader="none" w:pos="196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(x) with respect to any Borrower Loan Purchase pursuant to the Auction Procedures, at the time of the applicable Purchase Notice (as defined in </w:t>
      </w:r>
      <w:r>
        <w:rPr>
          <w:rFonts w:ascii="Arial" w:cs="Arial" w:eastAsia="Arial" w:hAnsi="Arial"/>
          <w:sz w:val="18"/>
          <w:szCs w:val="18"/>
          <w:u w:val="single" w:color="auto"/>
          <w:color w:val="auto"/>
        </w:rPr>
        <w:t>Exhibit N</w:t>
      </w:r>
      <w:r>
        <w:rPr>
          <w:rFonts w:ascii="Arial" w:cs="Arial" w:eastAsia="Arial" w:hAnsi="Arial"/>
          <w:sz w:val="18"/>
          <w:szCs w:val="18"/>
          <w:color w:val="auto"/>
        </w:rPr>
        <w:t>), no Event of Default under Section 11.01(a)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801" w:right="239" w:bottom="1440" w:gutter="0" w:footer="0" w:header="0"/>
        </w:sectPr>
      </w:pPr>
    </w:p>
    <w:bookmarkStart w:id="229" w:name="page230"/>
    <w:bookmarkEnd w:id="229"/>
    <w:p>
      <w:pPr>
        <w:jc w:val="both"/>
        <w:ind w:left="660"/>
        <w:spacing w:after="0" w:line="312" w:lineRule="auto"/>
        <w:rPr>
          <w:sz w:val="20"/>
          <w:szCs w:val="20"/>
          <w:color w:val="auto"/>
        </w:rPr>
      </w:pPr>
      <w:r>
        <w:rPr>
          <w:rFonts w:ascii="Arial" w:cs="Arial" w:eastAsia="Arial" w:hAnsi="Arial"/>
          <w:sz w:val="16"/>
          <w:szCs w:val="16"/>
          <w:color w:val="auto"/>
        </w:rPr>
        <w:t>or 11.01(b) or, with respect to Borrower, Section 11.01(g) or 11.01(h), has occurred and is continuing or would result therefrom, and (y) with respect to any Borrower Loan Purchase consummated through an open market purchase, at the time of the applicable assignment, no Event of Default under Section 11.01(a) or 11.01(b) or, with respect to Borrower, Section 11.01(g) or 11.01(h) has occurred and is continuing or would result therefrom;</w:t>
      </w:r>
    </w:p>
    <w:p>
      <w:pPr>
        <w:spacing w:after="0" w:line="147" w:lineRule="exact"/>
        <w:rPr>
          <w:sz w:val="20"/>
          <w:szCs w:val="20"/>
          <w:color w:val="auto"/>
        </w:rPr>
      </w:pPr>
    </w:p>
    <w:p>
      <w:pPr>
        <w:jc w:val="both"/>
        <w:ind w:left="660" w:firstLine="888"/>
        <w:spacing w:after="0" w:line="271" w:lineRule="auto"/>
        <w:tabs>
          <w:tab w:leader="none" w:pos="199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immediately upon any Borrower Loan Purchase, the Loans purchased pursuant thereto shall be cancelled for all purposes and no longer outstanding (and may not be resold, assigned or participated out by Borrower) for all purposes of this Agreement and all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that such purchases and cancellations shall not constitute prepayments or repayments of the Loans (including, without limitation, pursuant to Section 2.09, Section 2.10 or Article IV)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178" w:lineRule="exact"/>
        <w:rPr>
          <w:rFonts w:ascii="Arial" w:cs="Arial" w:eastAsia="Arial" w:hAnsi="Arial"/>
          <w:sz w:val="17"/>
          <w:szCs w:val="17"/>
          <w:color w:val="auto"/>
        </w:rPr>
      </w:pPr>
    </w:p>
    <w:p>
      <w:pPr>
        <w:jc w:val="both"/>
        <w:ind w:left="660" w:firstLine="888"/>
        <w:spacing w:after="0" w:line="259" w:lineRule="auto"/>
        <w:tabs>
          <w:tab w:leader="none" w:pos="214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with respect to each Borrower Loan Purchase, Administrative Agent shall receive (x) if such Borrower Loan Purchase is consummated pursuant to the Auction Procedures, a fully executed and completed Borrower Assignment Agreement effecting the assignment thereof, and (y) if such Borrower Loan Purchase is consummated pursuant to an open market purchase, a fully executed and completed Open Market Assignment and Assumption Agreement effecting the assignment thereof;</w:t>
      </w:r>
    </w:p>
    <w:p>
      <w:pPr>
        <w:spacing w:after="0" w:line="186" w:lineRule="exact"/>
        <w:rPr>
          <w:rFonts w:ascii="Arial" w:cs="Arial" w:eastAsia="Arial" w:hAnsi="Arial"/>
          <w:sz w:val="18"/>
          <w:szCs w:val="18"/>
          <w:color w:val="auto"/>
        </w:rPr>
      </w:pPr>
    </w:p>
    <w:p>
      <w:pPr>
        <w:jc w:val="both"/>
        <w:ind w:left="660" w:firstLine="888"/>
        <w:spacing w:after="0" w:line="297" w:lineRule="auto"/>
        <w:tabs>
          <w:tab w:leader="none" w:pos="216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with respect to any Borrower Loan Purchase of Revolving Loans under any Revolving Facility (x) there shall occur a corresponding reduction in the Revolving Commitments of each applicable Revolving Lender and (y) after giving effect to such Borrower Loan Purchase, there shall be sufficient aggregate Revolving Commitments among the Revolving Lenders to apply to the aggregate amount of L/C Liabilities outstanding as of such date, unless Borrower shall concurrently with the payment of the purchase price by Borrower for such Revolving Loans, deposit cash collateral in an account with the Administrative Agent pursuant to Section 2.16 in the amount of any such excess L/C Liabilities;</w:t>
      </w:r>
    </w:p>
    <w:p>
      <w:pPr>
        <w:spacing w:after="0" w:line="158" w:lineRule="exact"/>
        <w:rPr>
          <w:rFonts w:ascii="Arial" w:cs="Arial" w:eastAsia="Arial" w:hAnsi="Arial"/>
          <w:sz w:val="16"/>
          <w:szCs w:val="16"/>
          <w:color w:val="auto"/>
        </w:rPr>
      </w:pPr>
    </w:p>
    <w:p>
      <w:pPr>
        <w:ind w:left="660" w:firstLine="888"/>
        <w:spacing w:after="0" w:line="277" w:lineRule="auto"/>
        <w:tabs>
          <w:tab w:leader="none" w:pos="198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open market purchases of Term Loans by Borrower and its Subsidiaries shall not in the aggregate exceed 25% of the sum of the initial aggregate principal amount of the Term Loans on the Closing Date; and</w:t>
      </w:r>
    </w:p>
    <w:p>
      <w:pPr>
        <w:spacing w:after="0" w:line="170" w:lineRule="exact"/>
        <w:rPr>
          <w:rFonts w:ascii="Arial" w:cs="Arial" w:eastAsia="Arial" w:hAnsi="Arial"/>
          <w:sz w:val="18"/>
          <w:szCs w:val="18"/>
          <w:color w:val="auto"/>
        </w:rPr>
      </w:pPr>
    </w:p>
    <w:p>
      <w:pPr>
        <w:ind w:left="2040" w:hanging="492"/>
        <w:spacing w:after="0"/>
        <w:tabs>
          <w:tab w:leader="none" w:pos="204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Borrower may not use the proceeds of any Revolving Loan to fund the purchase of outstanding Loans pursuant to this 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13.05(d).</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assignment fee set forth in Section 13.05(b) shall not be applicable to any Borrower Loan Purchase consummated pursuant to this Section 13.05(d).</w:t>
      </w:r>
    </w:p>
    <w:p>
      <w:pPr>
        <w:spacing w:after="0" w:line="170" w:lineRule="exact"/>
        <w:rPr>
          <w:sz w:val="20"/>
          <w:szCs w:val="20"/>
          <w:color w:val="auto"/>
        </w:rPr>
      </w:pPr>
    </w:p>
    <w:p>
      <w:pPr>
        <w:jc w:val="both"/>
        <w:ind w:firstLine="656"/>
        <w:spacing w:after="0" w:line="269" w:lineRule="auto"/>
        <w:tabs>
          <w:tab w:leader="none" w:pos="1057" w:val="left"/>
        </w:tabs>
        <w:numPr>
          <w:ilvl w:val="0"/>
          <w:numId w:val="198"/>
        </w:numPr>
        <w:rPr>
          <w:rFonts w:ascii="Arial" w:cs="Arial" w:eastAsia="Arial" w:hAnsi="Arial"/>
          <w:sz w:val="17"/>
          <w:szCs w:val="17"/>
          <w:color w:val="auto"/>
        </w:rPr>
      </w:pPr>
      <w:r>
        <w:rPr>
          <w:rFonts w:ascii="Arial" w:cs="Arial" w:eastAsia="Arial" w:hAnsi="Arial"/>
          <w:sz w:val="17"/>
          <w:szCs w:val="17"/>
          <w:color w:val="auto"/>
        </w:rPr>
        <w:t>Each Lender who is an Affiliate of Borrower (excluding (x) Borrower and its Subsidiaries and (y) any Debt Fund Affiliate Lenders) (each, an “</w:t>
      </w:r>
      <w:r>
        <w:rPr>
          <w:rFonts w:ascii="Arial" w:cs="Arial" w:eastAsia="Arial" w:hAnsi="Arial"/>
          <w:sz w:val="17"/>
          <w:szCs w:val="17"/>
          <w:b w:val="1"/>
          <w:bCs w:val="1"/>
          <w:color w:val="auto"/>
        </w:rPr>
        <w:t>Affiliate Lender</w:t>
      </w:r>
      <w:r>
        <w:rPr>
          <w:rFonts w:ascii="Arial" w:cs="Arial" w:eastAsia="Arial" w:hAnsi="Arial"/>
          <w:sz w:val="17"/>
          <w:szCs w:val="17"/>
          <w:color w:val="auto"/>
        </w:rPr>
        <w:t>”; it being understood that (x) neither Borrower nor any of its Subsidiaries may be Affiliate Lenders and (y) Debt Fund Affiliate Lenders and Affiliate Lenders may be lenders in accordance with this Section 13.05 subject, in the case of Affiliate Lenders, to this Section 13.05(e) and Section 13.05(f)), in connection with any (i) consent (or decision not to consent) to any amendment, modification, waiver, consent or other action with respect to any of the terms of any Credit Document, (ii) other action on any matter related to any Credit Document or (iii) direction to the Administrative Agent, Collateral Agent or any Lender to undertake any action (or refrain from taking any action) with respect to or under any Credit Document, agrees that, except with respect to any amendment, modification, waiver, consent or other action (1) described in clauses (i) through (vi) of Section 13.04(a) or (2) that adversely affects such Affiliate Lender (in its capacity as a Lender) in a disproportionately adverse manner as compared to other Lenders, such Affiliate Lender shall be deemed to have voted its interest as a Lender without discretion in such proportion as the allocation of voting with respect to such matter by Lenders who are not Affiliate Lenders. Each Affiliate Lender hereby irrevocably appoints the Administrative Agent (such appointment being coupled with an interest) as such Affiliate Lender’s attorney-in-fact, with full authority in the place and stead of such Affiliate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801" w:right="239" w:bottom="1440" w:gutter="0" w:footer="0" w:header="0"/>
        </w:sectPr>
      </w:pPr>
    </w:p>
    <w:bookmarkStart w:id="230" w:name="page231"/>
    <w:bookmarkEnd w:id="230"/>
    <w:p>
      <w:pPr>
        <w:spacing w:after="0" w:line="277" w:lineRule="auto"/>
        <w:rPr>
          <w:sz w:val="20"/>
          <w:szCs w:val="20"/>
          <w:color w:val="auto"/>
        </w:rPr>
      </w:pPr>
      <w:r>
        <w:rPr>
          <w:rFonts w:ascii="Arial" w:cs="Arial" w:eastAsia="Arial" w:hAnsi="Arial"/>
          <w:sz w:val="18"/>
          <w:szCs w:val="18"/>
          <w:color w:val="auto"/>
        </w:rPr>
        <w:t>Lender and in the name of such Affiliate Lender, from time to time in the Administrative Agent’s discretion to take any action and to execute any instrument that the Administrative Agent may deem reasonably necessary to carry out the provisions of this clause (e).</w:t>
      </w:r>
    </w:p>
    <w:p>
      <w:pPr>
        <w:spacing w:after="0" w:line="170" w:lineRule="exact"/>
        <w:rPr>
          <w:sz w:val="20"/>
          <w:szCs w:val="20"/>
          <w:color w:val="auto"/>
        </w:rPr>
      </w:pPr>
    </w:p>
    <w:p>
      <w:pPr>
        <w:jc w:val="both"/>
        <w:ind w:right="20" w:firstLine="656"/>
        <w:spacing w:after="0" w:line="291" w:lineRule="auto"/>
        <w:tabs>
          <w:tab w:leader="none" w:pos="1032" w:val="left"/>
        </w:tabs>
        <w:numPr>
          <w:ilvl w:val="1"/>
          <w:numId w:val="19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Affiliate Lender shall have any right to (i) attend (including by telephone) any meeting or discussions (or portion thereof) among the Administrative Agent or any Lender to which representatives of Borrower are not then present,</w:t>
      </w:r>
    </w:p>
    <w:p>
      <w:pPr>
        <w:jc w:val="both"/>
        <w:ind w:firstLine="8"/>
        <w:spacing w:after="0" w:line="252" w:lineRule="auto"/>
        <w:tabs>
          <w:tab w:leader="none" w:pos="27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receive any information or material prepared by Administrative Agent or any Lender or any communication by or among Administrative Agent and/or one or more Lenders, except to the extent such information or materials have been made available to Borrower or its representatives, (iii) make or bring (or participate in, other than as a passive participant in or recipient of its pro rata benefits of) any claim, in its capacity as a Lender, against Administrative Agent, the Collateral Agent or any other Lender with respect to any duties or obligations or alleged duties or obligations of such Agent or any other such Lender under the Credit Documents, (iv) purchase any Term Loan if, immediately after giving effect to such purchase, Affiliate Lenders in the aggregate would own Term Loans with an aggregate principal amount in excess of 25% of the aggregate principal amount of all Term Loans then outstanding or (v) purchase any Revolving Loans or Revolving Credit Commitments.</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13.06. Survival</w:t>
      </w:r>
      <w:r>
        <w:rPr>
          <w:rFonts w:ascii="Arial" w:cs="Arial" w:eastAsia="Arial" w:hAnsi="Arial"/>
          <w:sz w:val="17"/>
          <w:szCs w:val="17"/>
          <w:color w:val="auto"/>
        </w:rPr>
        <w:t>. The obligations of the Credit Parties under Sections 5.01, 5.05, 5.06, 13.03 and 13.20, the obligations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 under Section 6.03, and the obligations of the Lenders and Administrative Agent under Sections 5.06 and 12.08, in each case shall survive the repayment of the Loans and the other Obligations and the termination of the Commitments and, in the case of any Lender that may assign any interest in its Commitments, Loans or L/C Interest (and any related Obligations) hereunder, shall (to the extent relating to such time as it was a Lender) survive the making of such assignment, notwithstanding that such assigning Lender may cease to be a “Lender” hereunder. In addition, each representation and warranty made, or deemed to be made by a notice of any extension of credit, herein or pursuant hereto shall be considered to have been relied upon by the other parties hereto and shall survive the execution and delivery of this Agreement and the Notes and the making of any extension of credit hereunder, regardless of any investigation made by any such other party or on its behalf and notwithstanding that Administrative Agent or any Lender may have had notice or knowledge of any Default or incorrect representation or warranty.</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13.07. Captions</w:t>
      </w:r>
      <w:r>
        <w:rPr>
          <w:rFonts w:ascii="Arial" w:cs="Arial" w:eastAsia="Arial" w:hAnsi="Arial"/>
          <w:sz w:val="18"/>
          <w:szCs w:val="18"/>
          <w:color w:val="auto"/>
        </w:rPr>
        <w:t>. The table of contents and captions and Section headings appearing herein are included solely for convenience of</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and are not intended to affect the interpretation of any provision of this Agreement.</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13.08. Counterparts; Interpretation; Effectiveness</w:t>
      </w:r>
      <w:r>
        <w:rPr>
          <w:rFonts w:ascii="Arial" w:cs="Arial" w:eastAsia="Arial" w:hAnsi="Arial"/>
          <w:sz w:val="17"/>
          <w:szCs w:val="17"/>
          <w:color w:val="auto"/>
        </w:rPr>
        <w:t>. This Agreement may be executed in counterparts (and by different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on different counterparts), each of which shall constitute an original, but all of which when taken together shall constitute a single contract. This Agreement and the other Credit Documents, constitute the entire contract among the parties thereto relating to the subject matter hereof and supersede any and all previous agreements and understandings, oral or written, relating to the subject matter hereof, other than the Fee Letter, which are not superseded and survive solely as to the parties thereto (to the extent provided therein). This Agreement shall become effective when the Closing Date shall have occurred, and this Agreement shall have been executed and delivered by the Credit Parties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mail shall be effective as delivery of a manually executed counterpart of this Agreement.</w:t>
      </w:r>
    </w:p>
    <w:p>
      <w:pPr>
        <w:spacing w:after="0" w:line="17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13.09.</w:t>
      </w:r>
      <w:r>
        <w:rPr>
          <w:sz w:val="20"/>
          <w:szCs w:val="20"/>
          <w:color w:val="auto"/>
        </w:rPr>
        <w:tab/>
      </w:r>
      <w:r>
        <w:rPr>
          <w:rFonts w:ascii="Arial" w:cs="Arial" w:eastAsia="Arial" w:hAnsi="Arial"/>
          <w:sz w:val="16"/>
          <w:szCs w:val="16"/>
          <w:b w:val="1"/>
          <w:bCs w:val="1"/>
          <w:color w:val="auto"/>
        </w:rPr>
        <w:t>Governing Law; Submission to Jurisdiction; Waivers; Etc.</w:t>
      </w:r>
    </w:p>
    <w:p>
      <w:pPr>
        <w:spacing w:after="0" w:line="225" w:lineRule="exact"/>
        <w:rPr>
          <w:sz w:val="20"/>
          <w:szCs w:val="20"/>
          <w:color w:val="auto"/>
        </w:rPr>
      </w:pPr>
    </w:p>
    <w:p>
      <w:pPr>
        <w:jc w:val="both"/>
        <w:ind w:firstLine="656"/>
        <w:spacing w:after="0" w:line="256" w:lineRule="auto"/>
        <w:tabs>
          <w:tab w:leader="none" w:pos="1176" w:val="left"/>
        </w:tabs>
        <w:numPr>
          <w:ilvl w:val="0"/>
          <w:numId w:val="201"/>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AND THE OTHER CREDIT DOCUMENTS AND ANY CLAIMS, CONTROVERSIES,</w:t>
      </w:r>
      <w:r>
        <w:rPr>
          <w:rFonts w:ascii="Arial" w:cs="Arial" w:eastAsia="Arial" w:hAnsi="Arial"/>
          <w:sz w:val="18"/>
          <w:szCs w:val="18"/>
          <w:b w:val="1"/>
          <w:bCs w:val="1"/>
          <w:color w:val="auto"/>
        </w:rPr>
        <w:t xml:space="preserve"> </w:t>
      </w:r>
      <w:r>
        <w:rPr>
          <w:rFonts w:ascii="Arial" w:cs="Arial" w:eastAsia="Arial" w:hAnsi="Arial"/>
          <w:sz w:val="18"/>
          <w:szCs w:val="18"/>
          <w:color w:val="auto"/>
        </w:rPr>
        <w:t>DISPUTES, OR CAUSES OF ACTION (WHETHER ARISING UNDER CONTRACT LAW, TORT LAW OR OTHERWISE) BASED UPON OR RELATING TO THIS AGREEMENT OR THE OTHER CREDIT DOCUMENTS (EXCEPT AS TO ANY OTHER CREDIT DOCUMENT, AS EXPRESSLY SET FORTH IN SUCH OTHER CREDIT DOCUMENT), SHALL BE GOVERNED BY, AND CONSTRUED IN ACCORDANCE WITH, THE LAW OF THE STATE OF NEW YORK WITHOUT GIVING EFFECT TO ANY CHOICE OF LAW PRINCIPLES THAT WOULD APPLY THE LAWS OF ANOTHER JURISDICTION.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801" w:right="239" w:bottom="1440" w:gutter="0" w:footer="0" w:header="0"/>
        </w:sectPr>
      </w:pPr>
    </w:p>
    <w:bookmarkStart w:id="231" w:name="page232"/>
    <w:bookmarkEnd w:id="231"/>
    <w:p>
      <w:pPr>
        <w:jc w:val="both"/>
        <w:ind w:firstLine="656"/>
        <w:spacing w:after="0" w:line="252" w:lineRule="auto"/>
        <w:tabs>
          <w:tab w:leader="none" w:pos="1092"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SUBMISSION TO JURISDICTION</w:t>
      </w:r>
      <w:r>
        <w:rPr>
          <w:rFonts w:ascii="Arial" w:cs="Arial" w:eastAsia="Arial" w:hAnsi="Arial"/>
          <w:sz w:val="18"/>
          <w:szCs w:val="18"/>
          <w:color w:val="auto"/>
        </w:rPr>
        <w:t>. EACH CREDIT PARTY IRREVOCABLY AND UNCONDITIONALLY AGREES THAT IT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COMMENCE ANY ACTION, LITIGATION OR PROCEEDING OF ANY KIND OR DESCRIPTION, WHETHER AT LAW OR IN EQUITY, WHETHER IN CONTRACT OR IN TORT OR OTHERWISE, AGAINST THE ADMINISTRATIVE AGENT, ANY LENDER, ANY OF THEIR RESPECTIVE AFFILIATES, OR ANY OF THE PARTNERS, DIRECTORS, OFFICERS, EMPLOYEES, AGENTS OR ADVISORS OF THE FOREGOING IN ANY WAY RELATING TO THIS AGREEMENT OR ANY OTHER CREDIT DOCUMENT OR THE TRANSACTIONS RELATED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CREDIT DOCUMENT SHALL AFFECT ANY RIGHT THAT THE ADMINISTRATIVE AGENT OR ANY LENDER MAY OTHERWISE HAVE TO BRING ANY ACTION OR PROCEEDING RELATING TO THIS AGREEMENT OR ANY OTHER CREDIT DOCUMENT AGAINST ANY CREDIT PARTY OR ITS PROPERTIES IN THE COURTS OF ANY JURISDICTION.</w:t>
      </w:r>
    </w:p>
    <w:p>
      <w:pPr>
        <w:spacing w:after="0" w:line="196" w:lineRule="exact"/>
        <w:rPr>
          <w:rFonts w:ascii="Arial" w:cs="Arial" w:eastAsia="Arial" w:hAnsi="Arial"/>
          <w:sz w:val="18"/>
          <w:szCs w:val="18"/>
          <w:color w:val="auto"/>
        </w:rPr>
      </w:pPr>
    </w:p>
    <w:p>
      <w:pPr>
        <w:jc w:val="both"/>
        <w:ind w:firstLine="656"/>
        <w:spacing w:after="0" w:line="256" w:lineRule="auto"/>
        <w:tabs>
          <w:tab w:leader="none" w:pos="1068"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WAIVER OF VENUE</w:t>
      </w:r>
      <w:r>
        <w:rPr>
          <w:rFonts w:ascii="Arial" w:cs="Arial" w:eastAsia="Arial" w:hAnsi="Arial"/>
          <w:sz w:val="18"/>
          <w:szCs w:val="18"/>
          <w:color w:val="auto"/>
        </w:rPr>
        <w:t>. EACH PARTY HERETO HEREBY IRREVOCABLY AND UNCONDITIONALLY WAIVES, TO THE FULLEST</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BY APPLICABLE LAW, ANY OBJECTION THAT IT MAY NOW OR HEREAFTER HAVE TO THE LAYING OF VENUE OF ANY ACTION OR PROCEEDING ARISING OUT OF OR RELATING TO THIS AGREEMENT OR ANY OTHER CREDIT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Arial" w:cs="Arial" w:eastAsia="Arial" w:hAnsi="Arial"/>
          <w:sz w:val="18"/>
          <w:szCs w:val="18"/>
          <w:color w:val="auto"/>
        </w:rPr>
      </w:pPr>
    </w:p>
    <w:p>
      <w:pPr>
        <w:jc w:val="both"/>
        <w:ind w:firstLine="656"/>
        <w:spacing w:after="0" w:line="266" w:lineRule="auto"/>
        <w:tabs>
          <w:tab w:leader="none" w:pos="1160"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SERVICE OF PROCESS</w:t>
      </w:r>
      <w:r>
        <w:rPr>
          <w:rFonts w:ascii="Arial" w:cs="Arial" w:eastAsia="Arial" w:hAnsi="Arial"/>
          <w:sz w:val="18"/>
          <w:szCs w:val="18"/>
          <w:color w:val="auto"/>
        </w:rPr>
        <w:t>. EACH PARTY HERETO IRREVOCABLY CONSENTS TO SERVICE OF PROCESS IN THE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NOTICES IN SECTION 13.02. NOTHING IN THIS AGREEMENT WILL AFFECT THE RIGHT OF ANY PARTY HERETO TO SERVE PROCESS IN ANY OTHER MANNER PERMITTED BY APPLICABLE LAW.</w:t>
      </w:r>
    </w:p>
    <w:p>
      <w:pPr>
        <w:spacing w:after="0" w:line="176" w:lineRule="exact"/>
        <w:rPr>
          <w:rFonts w:ascii="Arial" w:cs="Arial" w:eastAsia="Arial" w:hAnsi="Arial"/>
          <w:sz w:val="18"/>
          <w:szCs w:val="18"/>
          <w:color w:val="auto"/>
        </w:rPr>
      </w:pPr>
    </w:p>
    <w:p>
      <w:pPr>
        <w:jc w:val="both"/>
        <w:ind w:firstLine="656"/>
        <w:spacing w:after="0" w:line="272" w:lineRule="auto"/>
        <w:tabs>
          <w:tab w:leader="none" w:pos="1055"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WAIVER OF JURY TRIAL</w:t>
      </w:r>
      <w:r>
        <w:rPr>
          <w:rFonts w:ascii="Arial" w:cs="Arial" w:eastAsia="Arial" w:hAnsi="Arial"/>
          <w:sz w:val="17"/>
          <w:szCs w:val="17"/>
          <w:color w:val="auto"/>
        </w:rPr>
        <w:t>. EACH PARTY HERETO HEREBY IRREVOCABLY WAIVES, TO THE FULLEST EXTENT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BY 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CREDIT DOCUMENTS BY, AMONG OTHER THINGS, THE MUTUAL WAIVERS AND CERTIFICATIONS IN THIS SECTION.</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13.10. Confidentiality</w:t>
      </w:r>
      <w:r>
        <w:rPr>
          <w:rFonts w:ascii="Arial" w:cs="Arial" w:eastAsia="Arial" w:hAnsi="Arial"/>
          <w:sz w:val="18"/>
          <w:szCs w:val="18"/>
          <w:color w:val="auto"/>
        </w:rPr>
        <w:t>. Each Agent and each Lender agrees to keep information obtained by it pursuant to the Credit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 accordance with such Agent’s or such Lender’s customary practices and agrees that it will only use such information in connection with the transactions contemplated hereby and not disclose any of such information other than (a) to such Agent’s or such Lender’s employees, representatives, directors, attorneys, auditors, agents, professional advisors, trustees or Affiliates who are advised of the confidential nature thereof and instructed to keep such information confidential or to any direct or indirect, actual or prospective, creditor or contractual counterparty in swap agreements or derivative or securitization transactions or such creditor’s or contractual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796" w:right="239" w:bottom="1440" w:gutter="0" w:footer="0" w:header="0"/>
        </w:sectPr>
      </w:pPr>
    </w:p>
    <w:bookmarkStart w:id="232" w:name="page233"/>
    <w:bookmarkEnd w:id="232"/>
    <w:p>
      <w:pPr>
        <w:jc w:val="both"/>
        <w:spacing w:after="0" w:line="286" w:lineRule="auto"/>
        <w:rPr>
          <w:sz w:val="20"/>
          <w:szCs w:val="20"/>
          <w:color w:val="auto"/>
        </w:rPr>
      </w:pPr>
      <w:r>
        <w:rPr>
          <w:rFonts w:ascii="Arial" w:cs="Arial" w:eastAsia="Arial" w:hAnsi="Arial"/>
          <w:sz w:val="16"/>
          <w:szCs w:val="16"/>
          <w:color w:val="auto"/>
        </w:rPr>
        <w:t>counterparty’s professional advisor (so long as such creditor, contractual counterparty or professional advisor to such creditor or contractual counterparty agrees in writing to be bound by the provision of this Section 13.10, such Agent or such Lender being liable for any breach of confidentiality by any Person described in this clause (a) and with respect to disclosures to Affiliates to the extent disclosed by such Lender to such Affiliate), (b) to the extent such information presently is or hereafter becomes available to such Agent or such Lender on a non-confidential basis from a Person not an Affiliate of such Agent or such Lender not known to such Agent or such Lender to be violating a confidentiality obligation by such disclosure, (c) to the extent disclosure is required by any Law, subpoena or judicial order or process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notice of such requirement or order shall be promptly furnished to Borrower unless such notice is legally prohibited) or requested or required by bank, securities, insurance or investment company regulations or auditors or any administrative body or commission (including the Securities Valuation Office of the NAIC) to whose jurisdiction such Agent or such Lender is subject, (d) to any rating agency to the extent required in connection with any rating to be assigned to such Agent or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notice thereof is furnished to Borrower, (e) to pledgees under Section 13.05(c), assignees, participants, prospective assignees or prospective participants, in each case who agree in writing to be bound by the provisions of this Section 13.10 (it being understood that any electronically recorded agreement from any Person listed above in this clause (e) in respect to any electronic information (whether posted or otherwise distributed on Intralinks or any other electronic distribution system) shall satisfy the requirements of this clause (e)), (f) in connection with the exercise of remedies hereunder or under any Credit Document or to the extent required in connection with any litigation with respect to the Loans or any Credit Document or (g) with Borrower’s prior written consent.</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13.11. Independence of Representations, Warranties and Covenants</w:t>
      </w:r>
      <w:r>
        <w:rPr>
          <w:rFonts w:ascii="Arial" w:cs="Arial" w:eastAsia="Arial" w:hAnsi="Arial"/>
          <w:sz w:val="18"/>
          <w:szCs w:val="18"/>
          <w:color w:val="auto"/>
        </w:rPr>
        <w:t>. The representations, warranties and covenants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be independent of each other and no exception to any representation, warranty or covenant shall be deemed to be an exception to any other representation, warranty or covenant contained herein unless expressly provided, nor shall any such exception be deemed to permit any action or omission that would be in contravention of applicable law.</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13.12. Severability</w:t>
      </w:r>
      <w:r>
        <w:rPr>
          <w:rFonts w:ascii="Arial" w:cs="Arial" w:eastAsia="Arial" w:hAnsi="Arial"/>
          <w:sz w:val="16"/>
          <w:szCs w:val="16"/>
          <w:color w:val="auto"/>
        </w:rPr>
        <w:t>. Wherever possible, each provision of this Agreement shall be interpreted in such manner as to be effective and</w:t>
      </w:r>
      <w:r>
        <w:rPr>
          <w:rFonts w:ascii="Arial" w:cs="Arial" w:eastAsia="Arial" w:hAnsi="Arial"/>
          <w:sz w:val="16"/>
          <w:szCs w:val="16"/>
          <w:b w:val="1"/>
          <w:bCs w:val="1"/>
          <w:color w:val="auto"/>
        </w:rPr>
        <w:t xml:space="preserve"> </w:t>
      </w:r>
      <w:r>
        <w:rPr>
          <w:rFonts w:ascii="Arial" w:cs="Arial" w:eastAsia="Arial" w:hAnsi="Arial"/>
          <w:sz w:val="16"/>
          <w:szCs w:val="16"/>
          <w:color w:val="auto"/>
        </w:rPr>
        <w:t>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4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13.13.</w:t>
      </w:r>
      <w:r>
        <w:rPr>
          <w:sz w:val="20"/>
          <w:szCs w:val="20"/>
          <w:color w:val="auto"/>
        </w:rPr>
        <w:tab/>
      </w:r>
      <w:r>
        <w:rPr>
          <w:rFonts w:ascii="Arial" w:cs="Arial" w:eastAsia="Arial" w:hAnsi="Arial"/>
          <w:sz w:val="16"/>
          <w:szCs w:val="16"/>
          <w:b w:val="1"/>
          <w:bCs w:val="1"/>
          <w:color w:val="auto"/>
        </w:rPr>
        <w:t>Gaming Laws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0" w:lineRule="auto"/>
        <w:tabs>
          <w:tab w:leader="none" w:pos="1038" w:val="left"/>
        </w:tabs>
        <w:numPr>
          <w:ilvl w:val="0"/>
          <w:numId w:val="203"/>
        </w:numPr>
        <w:rPr>
          <w:rFonts w:ascii="Arial" w:cs="Arial" w:eastAsia="Arial" w:hAnsi="Arial"/>
          <w:sz w:val="17"/>
          <w:szCs w:val="17"/>
          <w:b w:val="1"/>
          <w:bCs w:val="1"/>
          <w:color w:val="auto"/>
        </w:rPr>
      </w:pPr>
      <w:r>
        <w:rPr>
          <w:rFonts w:ascii="Arial" w:cs="Arial" w:eastAsia="Arial" w:hAnsi="Arial"/>
          <w:sz w:val="17"/>
          <w:szCs w:val="17"/>
          <w:color w:val="auto"/>
        </w:rPr>
        <w:t>Notwithstanding anything to the contrary in this Agreement or any other Credit Document, this Agreement and the other Credit Documents are subject to the Gaming Laws and the laws involving the sale, distribution and possession of alcoholic beverages and/or tobacco, as applicable (the “</w:t>
      </w:r>
      <w:r>
        <w:rPr>
          <w:rFonts w:ascii="Arial" w:cs="Arial" w:eastAsia="Arial" w:hAnsi="Arial"/>
          <w:sz w:val="17"/>
          <w:szCs w:val="17"/>
          <w:b w:val="1"/>
          <w:bCs w:val="1"/>
          <w:color w:val="auto"/>
        </w:rPr>
        <w:t>Liquor</w:t>
      </w:r>
      <w:r>
        <w:rPr>
          <w:rFonts w:ascii="Arial" w:cs="Arial" w:eastAsia="Arial" w:hAnsi="Arial"/>
          <w:sz w:val="17"/>
          <w:szCs w:val="17"/>
          <w:color w:val="auto"/>
        </w:rPr>
        <w:t xml:space="preserve"> </w:t>
      </w:r>
      <w:r>
        <w:rPr>
          <w:rFonts w:ascii="Arial" w:cs="Arial" w:eastAsia="Arial" w:hAnsi="Arial"/>
          <w:sz w:val="17"/>
          <w:szCs w:val="17"/>
          <w:b w:val="1"/>
          <w:bCs w:val="1"/>
          <w:color w:val="auto"/>
        </w:rPr>
        <w:t>Laws</w:t>
      </w:r>
      <w:r>
        <w:rPr>
          <w:rFonts w:ascii="Arial" w:cs="Arial" w:eastAsia="Arial" w:hAnsi="Arial"/>
          <w:sz w:val="17"/>
          <w:szCs w:val="17"/>
          <w:color w:val="auto"/>
        </w:rPr>
        <w:t>”). Without limiting the foregoing, Administrative Agent, each other Agent, each Lender and each participant acknowledges that (i) it is the subject of</w:t>
      </w:r>
      <w:r>
        <w:rPr>
          <w:rFonts w:ascii="Arial" w:cs="Arial" w:eastAsia="Arial" w:hAnsi="Arial"/>
          <w:sz w:val="17"/>
          <w:szCs w:val="17"/>
          <w:b w:val="1"/>
          <w:bCs w:val="1"/>
          <w:color w:val="auto"/>
        </w:rPr>
        <w:t xml:space="preserve"> </w:t>
      </w:r>
      <w:r>
        <w:rPr>
          <w:rFonts w:ascii="Arial" w:cs="Arial" w:eastAsia="Arial" w:hAnsi="Arial"/>
          <w:sz w:val="17"/>
          <w:szCs w:val="17"/>
          <w:color w:val="auto"/>
        </w:rPr>
        <w:t>being called forward by any Gaming Authority or any Governmental Authority enforcing the Liquor Laws (the “</w:t>
      </w:r>
      <w:r>
        <w:rPr>
          <w:rFonts w:ascii="Arial" w:cs="Arial" w:eastAsia="Arial" w:hAnsi="Arial"/>
          <w:sz w:val="17"/>
          <w:szCs w:val="17"/>
          <w:b w:val="1"/>
          <w:bCs w:val="1"/>
          <w:color w:val="auto"/>
        </w:rPr>
        <w:t>Liquor Authority</w:t>
      </w:r>
      <w:r>
        <w:rPr>
          <w:rFonts w:ascii="Arial" w:cs="Arial" w:eastAsia="Arial" w:hAnsi="Arial"/>
          <w:sz w:val="17"/>
          <w:szCs w:val="17"/>
          <w:color w:val="auto"/>
        </w:rPr>
        <w:t>”), in each of their discretion, for licensing or a finding of suitability or to file or provide other information, and (ii) all rights, remedies and powers under this Agreement and the other Credit Documents, including with respect to Pledged Collateral and the entry into and ownership and operation of the Gaming Facilities, and the possession or control of gaming equipment, alcoholic beverages or a gaming or liquor license, may be exercised only to the extent that the exercise thereof does not violate any applicable provisions of the Gaming Laws and Liquor Laws and only to the extent that required approvals (including prior approvals) are obtained from the requisite Governmental Authorities.</w:t>
      </w:r>
    </w:p>
    <w:p>
      <w:pPr>
        <w:spacing w:after="0" w:line="181" w:lineRule="exact"/>
        <w:rPr>
          <w:rFonts w:ascii="Arial" w:cs="Arial" w:eastAsia="Arial" w:hAnsi="Arial"/>
          <w:sz w:val="17"/>
          <w:szCs w:val="17"/>
          <w:b w:val="1"/>
          <w:bCs w:val="1"/>
          <w:color w:val="auto"/>
        </w:rPr>
      </w:pPr>
    </w:p>
    <w:p>
      <w:pPr>
        <w:jc w:val="both"/>
        <w:ind w:firstLine="656"/>
        <w:spacing w:after="0" w:line="276" w:lineRule="auto"/>
        <w:tabs>
          <w:tab w:leader="none" w:pos="1129" w:val="left"/>
        </w:tabs>
        <w:numPr>
          <w:ilvl w:val="0"/>
          <w:numId w:val="203"/>
        </w:numPr>
        <w:rPr>
          <w:rFonts w:ascii="Arial" w:cs="Arial" w:eastAsia="Arial" w:hAnsi="Arial"/>
          <w:sz w:val="17"/>
          <w:szCs w:val="17"/>
          <w:b w:val="1"/>
          <w:bCs w:val="1"/>
          <w:color w:val="auto"/>
        </w:rPr>
      </w:pPr>
      <w:r>
        <w:rPr>
          <w:rFonts w:ascii="Arial" w:cs="Arial" w:eastAsia="Arial" w:hAnsi="Arial"/>
          <w:sz w:val="17"/>
          <w:szCs w:val="17"/>
          <w:color w:val="auto"/>
        </w:rPr>
        <w:t>Notwithstanding anything to the contrary in this Agreement or any other Credit Document, Administrative Agent, each other Agent, each Lender and each participant agrees to cooperate with each Gaming Authority and each Liquor Authority (and, in each case, to be subject to Section 2.11) in connection with the administration of their regulatory jurisdiction over Borrower and the other Credit Parties, including, without limitation, the provision of such documents or other information as may be requested by any such Gaming Authorities and/or Liquor Authorities relating to Administrative Agent, any other Agent, any of the Lenders or participants, Borrower and its Subsidiaries or to the Credit Documents.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801" w:right="239" w:bottom="1440" w:gutter="0" w:footer="0" w:header="0"/>
        </w:sectPr>
      </w:pPr>
    </w:p>
    <w:bookmarkStart w:id="233" w:name="page234"/>
    <w:bookmarkEnd w:id="233"/>
    <w:p>
      <w:pPr>
        <w:jc w:val="both"/>
        <w:ind w:firstLine="656"/>
        <w:spacing w:after="0" w:line="255" w:lineRule="auto"/>
        <w:tabs>
          <w:tab w:leader="none" w:pos="1028"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this Agreement or any other Credit Document, to the extent any provision of this Agreement or any other Credit Document excludes any assets from the scope of the Pledged Collateral, or from any requirement to take any action to make effective or perfect any security interest in favor of Collateral Agent or any other Secured Party in the Pledged Collateral, the representations, warranties and covenants made by Borrower or any Restricted Subsidiary in this Agreement with respect to the creation, perfection or priority (as applicable) of the security interest granted in favor of Collateral Agent or any other Secured Party (including, without limitation, Article VIII of this Agreement) shall be deemed not to apply to such assets.</w:t>
      </w:r>
    </w:p>
    <w:p>
      <w:pPr>
        <w:spacing w:after="0" w:line="193" w:lineRule="exact"/>
        <w:rPr>
          <w:rFonts w:ascii="Arial" w:cs="Arial" w:eastAsia="Arial" w:hAnsi="Arial"/>
          <w:sz w:val="18"/>
          <w:szCs w:val="18"/>
          <w:b w:val="1"/>
          <w:bCs w:val="1"/>
          <w:color w:val="auto"/>
        </w:rPr>
      </w:pPr>
    </w:p>
    <w:p>
      <w:pPr>
        <w:jc w:val="both"/>
        <w:ind w:firstLine="656"/>
        <w:spacing w:after="0" w:line="264" w:lineRule="auto"/>
        <w:tabs>
          <w:tab w:leader="none" w:pos="1075" w:val="left"/>
        </w:tabs>
        <w:numPr>
          <w:ilvl w:val="0"/>
          <w:numId w:val="204"/>
        </w:numPr>
        <w:rPr>
          <w:rFonts w:ascii="Arial" w:cs="Arial" w:eastAsia="Arial" w:hAnsi="Arial"/>
          <w:sz w:val="18"/>
          <w:szCs w:val="18"/>
          <w:b w:val="1"/>
          <w:bCs w:val="1"/>
          <w:color w:val="auto"/>
        </w:rPr>
      </w:pPr>
      <w:r>
        <w:rPr>
          <w:rFonts w:ascii="Arial" w:cs="Arial" w:eastAsia="Arial" w:hAnsi="Arial"/>
          <w:sz w:val="18"/>
          <w:szCs w:val="18"/>
          <w:color w:val="auto"/>
        </w:rPr>
        <w:t>The Collateral Agent, Administrative Agent, Secured Parties and their respective successors and assignees are subject to being called forward by the Gaming Authorities, in their discretion, for licensing or findings of suitability in order to remain entitled to the benefits of this Agreement or any other Credit Document.</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13.14. USA Patriot Act</w:t>
      </w:r>
      <w:r>
        <w:rPr>
          <w:rFonts w:ascii="Arial" w:cs="Arial" w:eastAsia="Arial" w:hAnsi="Arial"/>
          <w:sz w:val="18"/>
          <w:szCs w:val="18"/>
          <w:color w:val="auto"/>
        </w:rPr>
        <w:t>. Each Lender that is subject to the Act (as hereinafter defined) to the extent required hereby, notifies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Guarantors that pursuant to the requirements of the USA Patriot Act (Title III of Pub. L. 107-56 (signed into law October 26, 2001)) (the “</w:t>
      </w:r>
      <w:r>
        <w:rPr>
          <w:rFonts w:ascii="Arial" w:cs="Arial" w:eastAsia="Arial" w:hAnsi="Arial"/>
          <w:sz w:val="18"/>
          <w:szCs w:val="18"/>
          <w:b w:val="1"/>
          <w:bCs w:val="1"/>
          <w:color w:val="auto"/>
        </w:rPr>
        <w:t>Act</w:t>
      </w:r>
      <w:r>
        <w:rPr>
          <w:rFonts w:ascii="Arial" w:cs="Arial" w:eastAsia="Arial" w:hAnsi="Arial"/>
          <w:sz w:val="18"/>
          <w:szCs w:val="18"/>
          <w:color w:val="auto"/>
        </w:rPr>
        <w:t>”), it is required to obtain, verify and record information that identifies Borrower and the Guarantors, which information includes the name and address of Borrower and the Guarantors and other information that will allow such Lender to identify Borrower and the Guarantors in accordance with the Act, and Borrower and the Guarantors agree to provide such information from time to time to any Lender.</w:t>
      </w:r>
    </w:p>
    <w:p>
      <w:pPr>
        <w:spacing w:after="0" w:line="18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13.15.</w:t>
      </w:r>
      <w:r>
        <w:rPr>
          <w:sz w:val="20"/>
          <w:szCs w:val="20"/>
          <w:color w:val="auto"/>
        </w:rPr>
        <w:tab/>
      </w:r>
      <w:r>
        <w:rPr>
          <w:rFonts w:ascii="Arial" w:cs="Arial" w:eastAsia="Arial" w:hAnsi="Arial"/>
          <w:sz w:val="16"/>
          <w:szCs w:val="16"/>
          <w:b w:val="1"/>
          <w:bCs w:val="1"/>
          <w:color w:val="auto"/>
        </w:rPr>
        <w:t>Judgment Currency</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0" w:lineRule="auto"/>
        <w:tabs>
          <w:tab w:leader="none" w:pos="105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Borrower’s obligations hereunder and under the other Credit Documents to make payments in Dollars (the “</w:t>
      </w:r>
      <w:r>
        <w:rPr>
          <w:rFonts w:ascii="Arial" w:cs="Arial" w:eastAsia="Arial" w:hAnsi="Arial"/>
          <w:sz w:val="17"/>
          <w:szCs w:val="17"/>
          <w:b w:val="1"/>
          <w:bCs w:val="1"/>
          <w:color w:val="auto"/>
        </w:rPr>
        <w:t>Obligation Currency</w:t>
      </w:r>
      <w:r>
        <w:rPr>
          <w:rFonts w:ascii="Arial" w:cs="Arial" w:eastAsia="Arial" w:hAnsi="Arial"/>
          <w:sz w:val="17"/>
          <w:szCs w:val="17"/>
          <w:color w:val="auto"/>
        </w:rPr>
        <w:t>”) shall not be discharged or satisfied by any tender or recovery pursuant to any judgment expressed in or converted into any currency other than the Obligation Currency, except to the extent that such tender or recovery results in the effective receipt by Administrative Agent, Collateral Agent, the respective L/C Lender or the respective Lender of the full amount of the Obligation Currency expressed to be payable to Administrative Agent, Collateral Agent, such L/C Lender or such Lender under this Agreement or the other Credit Documents. If, for the purpose of obtaining or enforcing judgment against Borrower in any court or in any jurisdiction, it becomes necessary to convert into or from any currency other than the Obligation Currency (such other currency being hereinafter referred to as the “</w:t>
      </w:r>
      <w:r>
        <w:rPr>
          <w:rFonts w:ascii="Arial" w:cs="Arial" w:eastAsia="Arial" w:hAnsi="Arial"/>
          <w:sz w:val="17"/>
          <w:szCs w:val="17"/>
          <w:b w:val="1"/>
          <w:bCs w:val="1"/>
          <w:color w:val="auto"/>
        </w:rPr>
        <w:t>Judgment Currency</w:t>
      </w:r>
      <w:r>
        <w:rPr>
          <w:rFonts w:ascii="Arial" w:cs="Arial" w:eastAsia="Arial" w:hAnsi="Arial"/>
          <w:sz w:val="17"/>
          <w:szCs w:val="17"/>
          <w:color w:val="auto"/>
        </w:rPr>
        <w:t>”) an amount due in the Obligation Currency, the conversion shall be made at the Dollar Equivalent thereof and, in the case of other currencies the rate of exchange (as quoted by Administrative Agent or if Administrative Agent does not quote a rate of exchange on such currency, by a known dealer in such currency designated by Administrative Agent) determined, in each case, as of the day on which the judgment is given (such day being hereinafter referred to as the “</w:t>
      </w:r>
      <w:r>
        <w:rPr>
          <w:rFonts w:ascii="Arial" w:cs="Arial" w:eastAsia="Arial" w:hAnsi="Arial"/>
          <w:sz w:val="17"/>
          <w:szCs w:val="17"/>
          <w:b w:val="1"/>
          <w:bCs w:val="1"/>
          <w:color w:val="auto"/>
        </w:rPr>
        <w:t>Judgment Currency Conversion Date</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firstLine="656"/>
        <w:spacing w:after="0" w:line="257" w:lineRule="auto"/>
        <w:tabs>
          <w:tab w:leader="none" w:pos="103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there is a change in the rate of exchange prevailing between the Judgment Currency Conversion and the date of actual payment of the amount due by Borrower, Borrower covenants and agrees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or exchange prevailing on the Judgment Currency Conversion Date.</w:t>
      </w:r>
    </w:p>
    <w:p>
      <w:pPr>
        <w:spacing w:after="0" w:line="188" w:lineRule="exact"/>
        <w:rPr>
          <w:rFonts w:ascii="Arial" w:cs="Arial" w:eastAsia="Arial" w:hAnsi="Arial"/>
          <w:sz w:val="18"/>
          <w:szCs w:val="18"/>
          <w:color w:val="auto"/>
        </w:rPr>
      </w:pPr>
    </w:p>
    <w:p>
      <w:pPr>
        <w:ind w:right="20" w:firstLine="656"/>
        <w:spacing w:after="0" w:line="277" w:lineRule="auto"/>
        <w:tabs>
          <w:tab w:leader="none" w:pos="112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For purposes of determining the Dollar Equivalent or any other rate of exchange for this Section 13.15, such amounts shall include any premium and costs payable in connection with the purchase of the Obligation Currency.</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13.16. Waiver of Claims</w:t>
      </w:r>
      <w:r>
        <w:rPr>
          <w:rFonts w:ascii="Arial" w:cs="Arial" w:eastAsia="Arial" w:hAnsi="Arial"/>
          <w:sz w:val="18"/>
          <w:szCs w:val="18"/>
          <w:color w:val="auto"/>
        </w:rPr>
        <w:t>. Notwithstanding anything in this Agreement or the other Credit Documents to the contrary,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Parties hereby agree that Borrower shall not acquire any rights as a Lender under this Agreement as a result of any Borrower Loan Purchase and may not make any claim as a Lender against any Agent or any Lender with respect to the duties and obligations of such Agent or Lender pursuant to this Agreement and the other Credit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the avoidance of doubt, the foregoing shall not impair Borrower’s ability to make a claim in respect of a breach of the representations or warranties or obligations of the relevant assignor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801" w:right="239" w:bottom="1440" w:gutter="0" w:footer="0" w:header="0"/>
        </w:sectPr>
      </w:pPr>
    </w:p>
    <w:bookmarkStart w:id="234" w:name="page235"/>
    <w:bookmarkEnd w:id="234"/>
    <w:p>
      <w:pPr>
        <w:spacing w:after="0"/>
        <w:rPr>
          <w:sz w:val="20"/>
          <w:szCs w:val="20"/>
          <w:color w:val="auto"/>
        </w:rPr>
      </w:pPr>
      <w:r>
        <w:rPr>
          <w:rFonts w:ascii="Arial" w:cs="Arial" w:eastAsia="Arial" w:hAnsi="Arial"/>
          <w:sz w:val="16"/>
          <w:szCs w:val="16"/>
          <w:color w:val="auto"/>
        </w:rPr>
        <w:t>in a Borrower Loan Purchase, including in the standard terms and conditions set forth in the assignment agreement applicable to a Borrower Loan Purchase.</w:t>
      </w:r>
    </w:p>
    <w:p>
      <w:pPr>
        <w:spacing w:after="0" w:line="24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SECTION 13.17. 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amendment, waiver or other modification hereof or of any other Credit Document), Borrower and each other Credit Party acknowledges and agrees, and acknowledges its Affiliates’ understanding, that: (i) (A) the arranging and other services regarding this Agreement provided by the Administrative Agent, the Collateral Agent, the Documentation Agent, the Syndication Agents, the Lead Arrangers, the Arrangers and the Lenders are arm’s-length commercial transactions between Borrower, each other Credit Party and their respective Affiliates, on the one hand, and the Administrative Agent, the Collateral Agent, the Documentation Agent, the Syndication Agents, the Lead Arrangers, the Arrangers and the Lenders, on the other hand, (B) each of Borrower and the other Credit Parties has consulted its own legal, accounting, regulatory and tax advisors to the extent it has deemed appropriate, and</w:t>
      </w:r>
    </w:p>
    <w:p>
      <w:pPr>
        <w:spacing w:after="0" w:line="2" w:lineRule="exact"/>
        <w:rPr>
          <w:sz w:val="20"/>
          <w:szCs w:val="20"/>
          <w:color w:val="auto"/>
        </w:rPr>
      </w:pPr>
    </w:p>
    <w:p>
      <w:pPr>
        <w:jc w:val="both"/>
        <w:ind w:firstLine="8"/>
        <w:spacing w:after="0" w:line="266" w:lineRule="auto"/>
        <w:tabs>
          <w:tab w:leader="none" w:pos="32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Borrower and each other Credit Party is capable of evaluating, and understands and accepts, the terms, risks and conditions of the transactions contemplated hereby and by the other Credit Documents; (ii) (A) the Administrative Agent, the Collateral Agent, the Documentation Agent, the Syndication Agents, the Lead Arrangers, the Arrangers and the Lenders is and has been acting solely as a principal and, except as expressly agreed in writing by the relevant parties, has not been, is not, and will not be acting as an advisor, agent or fiduciary for Borrower, any other Credit Party or any of their respective Affiliates, or any other Person and (B) none of the Administrative Agent, the Collateral Agent, the Documentation Agent, the Syndication Agents, the Lead Arrangers, the Arrangers or the Lenders has any obligation to Borrower, any other Credit Party or any of their respective Affiliates with respect to the transactions contemplated hereby except those obligations expressly set forth herein and in the other Credit Documents or in other written agreements between the Administrative Agent, the Collateral Agent, the Documentation Agent, the Syndication Agents, the Lead Arrangers, the Arrangers or any Lender on one hand and Borrower, any other Credit Party or any of their respective Affiliates on the other hand; and (iii) the Administrative Agent, the Collateral Agent, the Documentation Agent, the Syndication Agents, the Lead Arrangers, the Arrangers and the Lenders and their respective Affiliates may be engaged in a broad range of transactions that involve interests that differ from, or conflict with, those of Borrower, the other Credit Parties and their respective Affiliates, and none of the Administrative Agent, the Collateral Agent, the Documentation Agent, the Syndication Agents, the Lead Arrangers, the Arrangers or the Lenders has any obligation to disclose any of such interests to Borrower, any other Credit Party or any of their respective Affiliates. Each Credit Party agrees that nothing in the Credit Documents will be deemed to create an advisory, fiduciary or agency relationship or fiduciary or other implied duty between the Administrative Agent, the Collateral Agent, the Documentation Agent, the Syndication Agents, the Lead Arrangers, the Arrangers and the Lenders, on the one hand, and such Credit Party, its stockholders or its affiliates, on the other. To the fullest extent permitted by law, each of Borrower and each other Credit Party hereby waives and releases any claims that it may have against the Administrative Agent, the Collateral Agent, the Documentation Agent, the Syndication Agents, the Lead Arrangers, the Arrangers or any Lender with respect to any breach or alleged breach of agency or fiduciary duty in connection with any aspect of any transaction contemplated hereby (other than any agency or fiduciary duty expressly set forth in an any engagement letter referenced in clause (ii)(A)).</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13.18. Lender Action</w:t>
      </w:r>
      <w:r>
        <w:rPr>
          <w:rFonts w:ascii="Arial" w:cs="Arial" w:eastAsia="Arial" w:hAnsi="Arial"/>
          <w:sz w:val="17"/>
          <w:szCs w:val="17"/>
          <w:color w:val="auto"/>
        </w:rPr>
        <w:t>. Each Lender agrees that it shall not take or institute any actions or proceedings, judicial or otherwise,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right or remedy against any Credit Party or any other obligor under any of the Credit Documents or the Swap Contracts or (with respect to the exercise of rights against the collateral) Cash Management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Credit Party, without the prior written consent of Administrative Agent. The provisions of this Section 13.18 are for the sole benefit of the Agents and Lenders and shall not afford any right to, or constitute a defense available to, any Credit Party.</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13.19. Interest Rate Limitation</w:t>
      </w:r>
      <w:r>
        <w:rPr>
          <w:rFonts w:ascii="Arial" w:cs="Arial" w:eastAsia="Arial" w:hAnsi="Arial"/>
          <w:sz w:val="18"/>
          <w:szCs w:val="18"/>
          <w:color w:val="auto"/>
        </w:rPr>
        <w:t>. Notwithstanding anything to the contrary contained in any Credit Document, the interest paid or</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be paid under the Credit Documents (collectively, the “</w:t>
      </w:r>
      <w:r>
        <w:rPr>
          <w:rFonts w:ascii="Arial" w:cs="Arial" w:eastAsia="Arial" w:hAnsi="Arial"/>
          <w:sz w:val="18"/>
          <w:szCs w:val="18"/>
          <w:b w:val="1"/>
          <w:bCs w:val="1"/>
          <w:color w:val="auto"/>
        </w:rPr>
        <w:t>Charges</w:t>
      </w:r>
      <w:r>
        <w:rPr>
          <w:rFonts w:ascii="Arial" w:cs="Arial" w:eastAsia="Arial" w:hAnsi="Arial"/>
          <w:sz w:val="18"/>
          <w:szCs w:val="18"/>
          <w:color w:val="auto"/>
        </w:rPr>
        <w:t>”) shall not exceed the maximum rate of non-usurious interest permitted by applicable Law (the “</w:t>
      </w:r>
      <w:r>
        <w:rPr>
          <w:rFonts w:ascii="Arial" w:cs="Arial" w:eastAsia="Arial" w:hAnsi="Arial"/>
          <w:sz w:val="18"/>
          <w:szCs w:val="18"/>
          <w:b w:val="1"/>
          <w:bCs w:val="1"/>
          <w:color w:val="auto"/>
        </w:rPr>
        <w:t>Maximum Rate</w:t>
      </w:r>
      <w:r>
        <w:rPr>
          <w:rFonts w:ascii="Arial" w:cs="Arial" w:eastAsia="Arial" w:hAnsi="Arial"/>
          <w:sz w:val="18"/>
          <w:szCs w:val="18"/>
          <w:color w:val="auto"/>
        </w:rPr>
        <w:t>”). If any Agent or any Lender shall receive interest in an amount that exceeds the Maximum Rate, the excess interest shall be applied to the principal of the Loans or, if it exceeds such unpaid principal, refunded to Borrower. In determining whether the interest contracted for, charged, or received by an Agent or a Lender exceeds the Maximum Rate, such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800" w:right="239" w:bottom="1440" w:gutter="0" w:footer="0" w:header="0"/>
        </w:sectPr>
      </w:pPr>
    </w:p>
    <w:bookmarkStart w:id="235" w:name="page236"/>
    <w:bookmarkEnd w:id="235"/>
    <w:p>
      <w:pPr>
        <w:spacing w:after="0"/>
        <w:rPr>
          <w:sz w:val="20"/>
          <w:szCs w:val="20"/>
          <w:color w:val="auto"/>
        </w:rPr>
      </w:pPr>
      <w:r>
        <w:rPr>
          <w:rFonts w:ascii="Arial" w:cs="Arial" w:eastAsia="Arial" w:hAnsi="Arial"/>
          <w:sz w:val="16"/>
          <w:szCs w:val="16"/>
          <w:color w:val="auto"/>
        </w:rPr>
        <w:t>Person may, to the extent permitted by applicable Law, (a) characterize any payment that is not principal as an expense, fee, or premium rather than interest,</w:t>
      </w:r>
    </w:p>
    <w:p>
      <w:pPr>
        <w:spacing w:after="0" w:line="46" w:lineRule="exact"/>
        <w:rPr>
          <w:sz w:val="20"/>
          <w:szCs w:val="20"/>
          <w:color w:val="auto"/>
        </w:rPr>
      </w:pPr>
    </w:p>
    <w:p>
      <w:pPr>
        <w:jc w:val="both"/>
        <w:ind w:firstLine="8"/>
        <w:spacing w:after="0" w:line="267" w:lineRule="auto"/>
        <w:tabs>
          <w:tab w:leader="none" w:pos="257" w:val="left"/>
        </w:tabs>
        <w:numPr>
          <w:ilvl w:val="0"/>
          <w:numId w:val="207"/>
        </w:numPr>
        <w:rPr>
          <w:rFonts w:ascii="Arial" w:cs="Arial" w:eastAsia="Arial" w:hAnsi="Arial"/>
          <w:sz w:val="17"/>
          <w:szCs w:val="17"/>
          <w:color w:val="auto"/>
        </w:rPr>
      </w:pPr>
      <w:r>
        <w:rPr>
          <w:rFonts w:ascii="Arial" w:cs="Arial" w:eastAsia="Arial" w:hAnsi="Arial"/>
          <w:sz w:val="17"/>
          <w:szCs w:val="17"/>
          <w:color w:val="auto"/>
        </w:rPr>
        <w:t>exclude voluntary prepayments and the effects thereof, and (c) amortize, prorate, allocate, and spread in equal or unequal parts the total amount of interest throughout the contemplated term of the Obligations hereunder. To the extent permitted by applicable Law, the interest and other Charges that would have been payable in respect of such Loan but were not payable as a result of the operation of this Section 13.19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 Thereafter, interest hereunder shall be paid at the rate(s) of interest and in the manner provided in this Agreement, unless and until the rate of interest again exceeds the Maximum Rate, and at that time this Section 13.19 shall again apply. In no event shall the total interest received by any Lender pursuant to the terms hereof exceed the amount that such Lender could lawfully have received had the interest due hereunder been calculated for the full term hereof at the Maximum Rate. If the Maximum Rate is calculated pursuant to this Section 13.19, such interest shall be calculated at a daily rate equal to the Maximum Rate divided by the number of days in the year in which such calculation is made. If, notwithstanding the provisions of this Section 13.19, a court of competent jurisdiction shall finally determine that a Lender has received interest hereunder in excess of the Maximum Rate, Administrative Agent shall, to the extent permitted by applicable Law, promptly apply such excess in the order specified in this Agreement and thereafter shall refund any excess to Borrower or as a court of competent jurisdiction may otherwise order.</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13.20. Payments Set Aside</w:t>
      </w:r>
      <w:r>
        <w:rPr>
          <w:rFonts w:ascii="Arial" w:cs="Arial" w:eastAsia="Arial" w:hAnsi="Arial"/>
          <w:sz w:val="17"/>
          <w:szCs w:val="17"/>
          <w:color w:val="auto"/>
        </w:rPr>
        <w:t>. To the extent that any payment by or on behalf of Borrower is made to any Agent, any L/C Lender 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Lender, or any Agent, any L/C Lender or any Lender exercises its right of setoff, and such payment or the proceeds of such setoff or any part thereof is subsequently invalidated, declared to be fraudulent or preferential, set aside or required (including pursuant to any settlement entered into by such Agent, such L/C Lender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the Agents’, the L/C Lender’s and the Lenders’ Liens, security interests, rights, powers and remedies under this Agreement and each Credit Document shall continue in full force and effect, and (b) each Lender severally agrees to pay to Administrative Agent upon demand its applicable share of any amount so recovered from or repaid by any Agent or L/C Lender,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thereon from the date of such demand to the date such payment is made at a rate per annum equal to the Federal Funds Rate from time to time in effect. In such event, each Credit Document shall be automatically reinstated (to the extent that any Credit Document was terminated) and Borrower shall take (and shall cause each other Credit Party to take) such action as may be requested by Administrative Agent, the L/C Lenders and the Lenders to effect such reinstatement.</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13.21. </w:t>
      </w:r>
      <w:r>
        <w:rPr>
          <w:rFonts w:ascii="Arial" w:cs="Arial" w:eastAsia="Arial" w:hAnsi="Arial"/>
          <w:sz w:val="18"/>
          <w:szCs w:val="18"/>
          <w:b w:val="1"/>
          <w:bCs w:val="1"/>
          <w:u w:val="single" w:color="auto"/>
          <w:color w:val="0000FF"/>
        </w:rPr>
        <w:t>Acknowledgement and Consent to Bail-In of EEA Financial Institutions. Notwithstanding anything to the contrary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0000FF"/>
        </w:rPr>
        <w:t>any Credit Document or in any other agreement, arrangement or understanding among any such parties, each party hereto acknowledges that any liability of any Lender that is an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184" w:lineRule="exact"/>
        <w:rPr>
          <w:sz w:val="20"/>
          <w:szCs w:val="20"/>
          <w:color w:val="auto"/>
        </w:rPr>
      </w:pPr>
    </w:p>
    <w:p>
      <w:pPr>
        <w:ind w:right="20" w:firstLine="656"/>
        <w:spacing w:after="0" w:line="282" w:lineRule="auto"/>
        <w:tabs>
          <w:tab w:leader="none" w:pos="1100" w:val="left"/>
        </w:tabs>
        <w:numPr>
          <w:ilvl w:val="0"/>
          <w:numId w:val="208"/>
        </w:numPr>
        <w:rPr>
          <w:rFonts w:ascii="Arial" w:cs="Arial" w:eastAsia="Arial" w:hAnsi="Arial"/>
          <w:sz w:val="18"/>
          <w:szCs w:val="18"/>
          <w:color w:val="auto"/>
        </w:rPr>
      </w:pPr>
      <w:r>
        <w:rPr>
          <w:rFonts w:ascii="Arial" w:cs="Arial" w:eastAsia="Arial" w:hAnsi="Arial"/>
          <w:sz w:val="18"/>
          <w:szCs w:val="18"/>
          <w:b w:val="1"/>
          <w:bCs w:val="1"/>
          <w:u w:val="single" w:color="auto"/>
          <w:color w:val="0000FF"/>
        </w:rPr>
        <w:t>the application of any Write-Down and Conversion Powers by an EEA Resolution Authority to any such liabilities arising hereunder which may be payable to it by any Lender that is an EEA Financial Institution; and</w:t>
      </w:r>
    </w:p>
    <w:p>
      <w:pPr>
        <w:spacing w:after="0" w:line="161" w:lineRule="exact"/>
        <w:rPr>
          <w:rFonts w:ascii="Arial" w:cs="Arial" w:eastAsia="Arial" w:hAnsi="Arial"/>
          <w:sz w:val="18"/>
          <w:szCs w:val="18"/>
          <w:color w:val="auto"/>
        </w:rPr>
      </w:pPr>
    </w:p>
    <w:p>
      <w:pPr>
        <w:ind w:left="1040" w:hanging="384"/>
        <w:spacing w:after="0"/>
        <w:tabs>
          <w:tab w:leader="none" w:pos="1040" w:val="left"/>
        </w:tabs>
        <w:numPr>
          <w:ilvl w:val="0"/>
          <w:numId w:val="208"/>
        </w:numPr>
        <w:rPr>
          <w:rFonts w:ascii="Arial" w:cs="Arial" w:eastAsia="Arial" w:hAnsi="Arial"/>
          <w:sz w:val="18"/>
          <w:szCs w:val="18"/>
          <w:color w:val="auto"/>
        </w:rPr>
      </w:pPr>
      <w:r>
        <w:rPr>
          <w:rFonts w:ascii="Arial" w:cs="Arial" w:eastAsia="Arial" w:hAnsi="Arial"/>
          <w:sz w:val="18"/>
          <w:szCs w:val="18"/>
          <w:b w:val="1"/>
          <w:bCs w:val="1"/>
          <w:u w:val="single" w:color="auto"/>
          <w:color w:val="0000FF"/>
        </w:rPr>
        <w:t>the effects of any Bail-in Action on any such liability, including, if applicable:</w:t>
      </w:r>
    </w:p>
    <w:p>
      <w:pPr>
        <w:spacing w:after="0" w:line="225" w:lineRule="exact"/>
        <w:rPr>
          <w:rFonts w:ascii="Arial" w:cs="Arial" w:eastAsia="Arial" w:hAnsi="Arial"/>
          <w:sz w:val="18"/>
          <w:szCs w:val="18"/>
          <w:color w:val="auto"/>
        </w:rPr>
      </w:pPr>
    </w:p>
    <w:p>
      <w:pPr>
        <w:ind w:left="1900" w:hanging="352"/>
        <w:spacing w:after="0"/>
        <w:tabs>
          <w:tab w:leader="none" w:pos="1900" w:val="left"/>
        </w:tabs>
        <w:numPr>
          <w:ilvl w:val="1"/>
          <w:numId w:val="208"/>
        </w:numPr>
        <w:rPr>
          <w:rFonts w:ascii="Arial" w:cs="Arial" w:eastAsia="Arial" w:hAnsi="Arial"/>
          <w:sz w:val="18"/>
          <w:szCs w:val="18"/>
          <w:color w:val="auto"/>
        </w:rPr>
      </w:pPr>
      <w:r>
        <w:rPr>
          <w:rFonts w:ascii="Arial" w:cs="Arial" w:eastAsia="Arial" w:hAnsi="Arial"/>
          <w:sz w:val="18"/>
          <w:szCs w:val="18"/>
          <w:b w:val="1"/>
          <w:bCs w:val="1"/>
          <w:u w:val="single" w:color="auto"/>
          <w:color w:val="0000FF"/>
        </w:rPr>
        <w:t>a reduction in full or in part or cancellation of any such liability;</w:t>
      </w:r>
    </w:p>
    <w:p>
      <w:pPr>
        <w:spacing w:after="0" w:line="225" w:lineRule="exact"/>
        <w:rPr>
          <w:rFonts w:ascii="Arial" w:cs="Arial" w:eastAsia="Arial" w:hAnsi="Arial"/>
          <w:sz w:val="18"/>
          <w:szCs w:val="18"/>
          <w:color w:val="auto"/>
        </w:rPr>
      </w:pPr>
    </w:p>
    <w:p>
      <w:pPr>
        <w:jc w:val="both"/>
        <w:ind w:left="660" w:firstLine="888"/>
        <w:spacing w:after="0" w:line="266" w:lineRule="auto"/>
        <w:tabs>
          <w:tab w:leader="none" w:pos="2019" w:val="left"/>
        </w:tabs>
        <w:numPr>
          <w:ilvl w:val="1"/>
          <w:numId w:val="208"/>
        </w:numPr>
        <w:rPr>
          <w:rFonts w:ascii="Arial" w:cs="Arial" w:eastAsia="Arial" w:hAnsi="Arial"/>
          <w:sz w:val="18"/>
          <w:szCs w:val="18"/>
          <w:color w:val="auto"/>
        </w:rPr>
      </w:pPr>
      <w:r>
        <w:rPr>
          <w:rFonts w:ascii="Arial" w:cs="Arial" w:eastAsia="Arial" w:hAnsi="Arial"/>
          <w:sz w:val="18"/>
          <w:szCs w:val="18"/>
          <w:b w:val="1"/>
          <w:bCs w:val="1"/>
          <w:u w:val="single" w:color="auto"/>
          <w:color w:val="0000FF"/>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801" w:right="2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FF"/>
        </w:rPr>
        <w:t>be accepted by it in lieu of any rights with respect to any such liability under this Agreement or any other Loan Document; or</w:t>
      </w:r>
    </w:p>
    <w:p>
      <w:pPr>
        <w:spacing w:after="0" w:line="225" w:lineRule="exact"/>
        <w:rPr>
          <w:sz w:val="20"/>
          <w:szCs w:val="20"/>
          <w:color w:val="auto"/>
        </w:rPr>
      </w:pPr>
    </w:p>
    <w:p>
      <w:pPr>
        <w:ind w:firstLine="888"/>
        <w:spacing w:after="0" w:line="282" w:lineRule="auto"/>
        <w:tabs>
          <w:tab w:leader="none" w:pos="1355" w:val="left"/>
        </w:tabs>
        <w:numPr>
          <w:ilvl w:val="0"/>
          <w:numId w:val="209"/>
        </w:numPr>
        <w:rPr>
          <w:rFonts w:ascii="Arial" w:cs="Arial" w:eastAsia="Arial" w:hAnsi="Arial"/>
          <w:sz w:val="18"/>
          <w:szCs w:val="18"/>
          <w:color w:val="auto"/>
        </w:rPr>
      </w:pPr>
      <w:r>
        <w:rPr>
          <w:rFonts w:ascii="Arial" w:cs="Arial" w:eastAsia="Arial" w:hAnsi="Arial"/>
          <w:sz w:val="18"/>
          <w:szCs w:val="18"/>
          <w:b w:val="1"/>
          <w:bCs w:val="1"/>
          <w:u w:val="single" w:color="auto"/>
          <w:color w:val="0000FF"/>
        </w:rPr>
        <w:t>the variation of the terms of such liability in connection with the exercise of the write-down and conversion powers of any EEA Resolution Authority.</w:t>
      </w:r>
    </w:p>
    <w:p>
      <w:pPr>
        <w:spacing w:after="0" w:line="16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760"/>
          </w:cols>
          <w:pgMar w:left="900" w:top="796" w:right="239" w:bottom="1440" w:gutter="0" w:footer="0" w:header="0"/>
        </w:sectPr>
      </w:pPr>
    </w:p>
    <w:bookmarkStart w:id="237" w:name="page238"/>
    <w:bookmarkEnd w:id="237"/>
    <w:p>
      <w:pPr>
        <w:ind w:left="660"/>
        <w:spacing w:after="0"/>
        <w:rPr>
          <w:sz w:val="20"/>
          <w:szCs w:val="20"/>
          <w:color w:val="auto"/>
        </w:rPr>
      </w:pPr>
      <w:r>
        <w:rPr>
          <w:rFonts w:ascii="Arial" w:cs="Arial" w:eastAsia="Arial" w:hAnsi="Arial"/>
          <w:sz w:val="17"/>
          <w:szCs w:val="17"/>
          <w:color w:val="auto"/>
        </w:rPr>
        <w:t>IN WITNESS WHEREOF, the parties hereto have caused this Agreement to be duly executed and delivered as of the day and year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WYNN AMERICA, LLC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-10160</wp:posOffset>
            </wp:positionV>
            <wp:extent cx="2286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 for Borrower and each Subsidiary</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Guarantor:</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No.:</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1400"/>
          </w:cols>
          <w:pgMar w:left="240" w:top="801" w:right="259" w:bottom="1440" w:gutter="0" w:footer="0" w:header="0"/>
        </w:sectPr>
      </w:pPr>
    </w:p>
    <w:bookmarkStart w:id="238" w:name="page239"/>
    <w:bookmarkEnd w:id="238"/>
    <w:p>
      <w:pPr>
        <w:ind w:left="2700"/>
        <w:spacing w:after="0"/>
        <w:rPr>
          <w:sz w:val="20"/>
          <w:szCs w:val="20"/>
          <w:color w:val="auto"/>
        </w:rPr>
      </w:pPr>
      <w:r>
        <w:rPr>
          <w:rFonts w:ascii="Arial" w:cs="Arial" w:eastAsia="Arial" w:hAnsi="Arial"/>
          <w:sz w:val="18"/>
          <w:szCs w:val="18"/>
          <w:color w:val="auto"/>
        </w:rPr>
        <w:t>SUBSIDIARY GUARANTORS:</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►►[TO BE UPDATED AS APPROPRIATE]</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For each of the foregoing entities:</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2286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 w:lineRule="exact"/>
        <w:rPr>
          <w:sz w:val="20"/>
          <w:szCs w:val="20"/>
          <w:color w:val="auto"/>
        </w:rPr>
      </w:pPr>
    </w:p>
    <w:p>
      <w:pPr>
        <w:jc w:val="right"/>
        <w:ind w:right="1519"/>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801" w:right="1440" w:bottom="1440" w:gutter="0" w:footer="0" w:header="0"/>
        </w:sectPr>
      </w:pPr>
    </w:p>
    <w:bookmarkStart w:id="239" w:name="page240"/>
    <w:bookmarkEnd w:id="239"/>
    <w:p>
      <w:pPr>
        <w:spacing w:after="0" w:line="5"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DEUTSCHE BANK AG NEW YORK BRANCH</w:t>
      </w:r>
      <w:r>
        <w:rPr>
          <w:rFonts w:ascii="Arial" w:cs="Arial" w:eastAsia="Arial" w:hAnsi="Arial"/>
          <w:sz w:val="17"/>
          <w:szCs w:val="17"/>
          <w:color w:val="auto"/>
        </w:rPr>
        <w:t>, as Administrative Agent</w:t>
      </w: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2286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Facsimile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9019"/>
          </w:cols>
          <w:pgMar w:left="1440" w:top="1440" w:right="1440" w:bottom="1440" w:gutter="0" w:footer="0" w:header="0"/>
        </w:sectPr>
      </w:pPr>
    </w:p>
    <w:bookmarkStart w:id="240" w:name="page241"/>
    <w:bookmarkEnd w:id="240"/>
    <w:p>
      <w:pPr>
        <w:ind w:left="2700"/>
        <w:spacing w:after="0"/>
        <w:rPr>
          <w:sz w:val="20"/>
          <w:szCs w:val="20"/>
          <w:color w:val="auto"/>
        </w:rPr>
      </w:pPr>
      <w:r>
        <w:rPr>
          <w:rFonts w:ascii="Arial" w:cs="Arial" w:eastAsia="Arial" w:hAnsi="Arial"/>
          <w:sz w:val="17"/>
          <w:szCs w:val="17"/>
          <w:b w:val="1"/>
          <w:bCs w:val="1"/>
          <w:color w:val="auto"/>
        </w:rPr>
        <w:t>DEUTSCHE BANK AG NEW YORK BRANCH</w:t>
      </w:r>
      <w:r>
        <w:rPr>
          <w:rFonts w:ascii="Arial" w:cs="Arial" w:eastAsia="Arial" w:hAnsi="Arial"/>
          <w:sz w:val="17"/>
          <w:szCs w:val="17"/>
          <w:color w:val="auto"/>
        </w:rPr>
        <w:t>, as Collateral Agent</w:t>
      </w: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2286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Facsimile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9019"/>
          </w:cols>
          <w:pgMar w:left="1440" w:top="797" w:right="1440" w:bottom="1440" w:gutter="0" w:footer="0" w:header="0"/>
        </w:sectPr>
      </w:pPr>
    </w:p>
    <w:bookmarkStart w:id="241" w:name="page242"/>
    <w:bookmarkEnd w:id="241"/>
    <w:p>
      <w:pPr>
        <w:spacing w:after="0" w:line="5"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DEUTSCHE BANK AG NEW YORK BRANCH</w:t>
      </w:r>
      <w:r>
        <w:rPr>
          <w:rFonts w:ascii="Arial" w:cs="Arial" w:eastAsia="Arial" w:hAnsi="Arial"/>
          <w:sz w:val="17"/>
          <w:szCs w:val="17"/>
          <w:color w:val="auto"/>
        </w:rPr>
        <w:t>, as L/C Lender</w:t>
      </w: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2286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Facsimile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9019"/>
          </w:cols>
          <w:pgMar w:left="1440" w:top="1440" w:right="1440" w:bottom="1440" w:gutter="0" w:footer="0" w:header="0"/>
        </w:sectPr>
      </w:pPr>
    </w:p>
    <w:bookmarkStart w:id="242" w:name="page243"/>
    <w:bookmarkEnd w:id="242"/>
    <w:p>
      <w:pPr>
        <w:ind w:left="2700"/>
        <w:spacing w:after="0"/>
        <w:rPr>
          <w:sz w:val="20"/>
          <w:szCs w:val="20"/>
          <w:color w:val="auto"/>
        </w:rPr>
      </w:pPr>
      <w:r>
        <w:rPr>
          <w:rFonts w:ascii="Arial" w:cs="Arial" w:eastAsia="Arial" w:hAnsi="Arial"/>
          <w:sz w:val="18"/>
          <w:szCs w:val="18"/>
          <w:color w:val="auto"/>
        </w:rPr>
        <w:t>[●], as Lender</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2286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 w:lineRule="exact"/>
        <w:rPr>
          <w:sz w:val="20"/>
          <w:szCs w:val="20"/>
          <w:color w:val="auto"/>
        </w:rPr>
      </w:pPr>
    </w:p>
    <w:p>
      <w:pPr>
        <w:jc w:val="right"/>
        <w:ind w:right="1519"/>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______________________________</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Facsimile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Telephone No.: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9019"/>
          </w:cols>
          <w:pgMar w:left="1440" w:top="801" w:right="1440"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u w:val="single" w:color="auto"/>
          <w:color w:val="auto"/>
        </w:rPr>
        <w:t>ANNEX A-4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FACILITY II COMMITMENTS</w:t>
      </w:r>
    </w:p>
    <w:p>
      <w:pPr>
        <w:spacing w:after="0" w:line="200" w:lineRule="exact"/>
        <w:rPr>
          <w:sz w:val="20"/>
          <w:szCs w:val="20"/>
          <w:color w:val="auto"/>
        </w:rPr>
      </w:pPr>
    </w:p>
    <w:p>
      <w:pPr>
        <w:spacing w:after="0" w:line="375" w:lineRule="exact"/>
        <w:rPr>
          <w:sz w:val="20"/>
          <w:szCs w:val="20"/>
          <w:color w:val="auto"/>
        </w:rPr>
      </w:pPr>
    </w:p>
    <w:tbl>
      <w:tblPr>
        <w:tblLayout w:type="fixed"/>
        <w:tblInd w:w="450" w:type="dxa"/>
        <w:tblCellMar>
          <w:top w:w="0" w:type="dxa"/>
          <w:left w:w="0" w:type="dxa"/>
          <w:bottom w:w="0" w:type="dxa"/>
          <w:right w:w="0" w:type="dxa"/>
        </w:tblCellMar>
      </w:tblPr>
      <w:tr>
        <w:trPr>
          <w:trHeight w:val="248"/>
        </w:trPr>
        <w:tc>
          <w:tcPr>
            <w:tcW w:w="6900" w:type="dxa"/>
            <w:vAlign w:val="bottom"/>
            <w:tcBorders>
              <w:top w:val="single" w:sz="8" w:color="auto"/>
              <w:left w:val="single" w:sz="8" w:color="auto"/>
              <w:right w:val="single" w:sz="8" w:color="auto"/>
            </w:tcBorders>
          </w:tcPr>
          <w:p>
            <w:pPr>
              <w:ind w:left="2540"/>
              <w:spacing w:after="0"/>
              <w:rPr>
                <w:sz w:val="20"/>
                <w:szCs w:val="20"/>
                <w:color w:val="auto"/>
              </w:rPr>
            </w:pPr>
            <w:r>
              <w:rPr>
                <w:rFonts w:ascii="Arial" w:cs="Arial" w:eastAsia="Arial" w:hAnsi="Arial"/>
                <w:sz w:val="18"/>
                <w:szCs w:val="18"/>
                <w:b w:val="1"/>
                <w:bCs w:val="1"/>
                <w:color w:val="auto"/>
              </w:rPr>
              <w:t>Term Facility II Lender</w:t>
            </w:r>
          </w:p>
        </w:tc>
        <w:tc>
          <w:tcPr>
            <w:tcW w:w="338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Term Facility II Commitment</w:t>
            </w:r>
          </w:p>
        </w:tc>
      </w:tr>
      <w:tr>
        <w:trPr>
          <w:trHeight w:val="22"/>
        </w:trPr>
        <w:tc>
          <w:tcPr>
            <w:tcW w:w="6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r>
      <w:tr>
        <w:trPr>
          <w:trHeight w:val="257"/>
        </w:trPr>
        <w:tc>
          <w:tcPr>
            <w:tcW w:w="69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GOLDMAN SACHS BANK USA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$75,000,000.00</w:t>
            </w:r>
          </w:p>
        </w:tc>
      </w:tr>
      <w:tr>
        <w:trPr>
          <w:trHeight w:val="264"/>
        </w:trPr>
        <w:tc>
          <w:tcPr>
            <w:tcW w:w="69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JPMORGAN CHASE BANK, N.A.</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$50,000,000.00</w:t>
            </w:r>
          </w:p>
        </w:tc>
      </w:tr>
      <w:tr>
        <w:trPr>
          <w:trHeight w:val="234"/>
        </w:trPr>
        <w:tc>
          <w:tcPr>
            <w:tcW w:w="69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Total Term Facility II Commitments:</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$125,000,000.00</w:t>
            </w:r>
          </w:p>
        </w:tc>
      </w:tr>
      <w:tr>
        <w:trPr>
          <w:trHeight w:val="22"/>
        </w:trPr>
        <w:tc>
          <w:tcPr>
            <w:tcW w:w="6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220"/>
        <w:spacing w:after="0"/>
        <w:rPr>
          <w:sz w:val="20"/>
          <w:szCs w:val="20"/>
          <w:color w:val="auto"/>
        </w:rPr>
      </w:pPr>
      <w:r>
        <w:rPr>
          <w:rFonts w:ascii="Arial" w:cs="Arial" w:eastAsia="Arial" w:hAnsi="Arial"/>
          <w:sz w:val="20"/>
          <w:szCs w:val="20"/>
          <w:b w:val="1"/>
          <w:bCs w:val="1"/>
          <w:u w:val="single" w:color="auto"/>
          <w:color w:val="auto"/>
        </w:rPr>
        <w:t>EXHIBIT A-3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TERM FACILITY II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A-4</w:t>
      </w:r>
    </w:p>
    <w:p>
      <w:pPr>
        <w:sectPr>
          <w:pgSz w:w="11900" w:h="16838" w:orient="portrait"/>
          <w:cols w:equalWidth="0" w:num="1">
            <w:col w:w="11420"/>
          </w:cols>
          <w:pgMar w:left="240" w:top="135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3"/>
          <w:szCs w:val="13"/>
          <w:color w:val="auto"/>
        </w:rPr>
        <w:t>LA\4563262.2</w:t>
      </w:r>
    </w:p>
    <w:p>
      <w:pPr>
        <w:sectPr>
          <w:pgSz w:w="11900" w:h="16838" w:orient="portrait"/>
          <w:cols w:equalWidth="0" w:num="1">
            <w:col w:w="11420"/>
          </w:cols>
          <w:pgMar w:left="240" w:top="1354" w:right="239" w:bottom="1440" w:gutter="0" w:footer="0" w:header="0"/>
          <w:type w:val="continuous"/>
        </w:sectPr>
      </w:pPr>
    </w:p>
    <w:bookmarkStart w:id="244" w:name="page245"/>
    <w:bookmarkEnd w:id="244"/>
    <w:p>
      <w:pPr>
        <w:ind w:right="60" w:firstLine="1297"/>
        <w:spacing w:after="0" w:line="305" w:lineRule="auto"/>
        <w:rPr>
          <w:sz w:val="20"/>
          <w:szCs w:val="20"/>
          <w:color w:val="auto"/>
        </w:rPr>
      </w:pPr>
      <w:r>
        <w:rPr>
          <w:rFonts w:ascii="Arial" w:cs="Arial" w:eastAsia="Arial" w:hAnsi="Arial"/>
          <w:sz w:val="19"/>
          <w:szCs w:val="19"/>
          <w:color w:val="auto"/>
        </w:rPr>
        <w:t>THIS TERM FACILITY II NOTE AND THE OBLIGATIONS REPRESENTED HEREBY MAY NOT BE TRANSFERRED EXCEPT IN ACCORDANCE WITH THE TERMS OF THE CREDIT AGREEMENT (AS DEFINED HEREIN). THIS TERM FACILITY II NOTE AND THE LOANS EVIDENCED HEREBY MAY BE TRANSFERRED IN WHOLE OR IN PART ONLY BY REGISTRATION OF SUCH TRANSFER ON THE REGISTER OF THE ADMINISTRATIVE AGENT MAINTAINED FOR SUCH PURPOSE BY OR ON BEHALF OF THE UNDERSIGNED AS PROVIDED IN SECTION 2.08 OF THE CREDIT AGREEMENT (AS DEFINED HEREIN).</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TERM FACILITY II NOTE</w:t>
      </w:r>
    </w:p>
    <w:p>
      <w:pPr>
        <w:spacing w:after="0" w:line="200" w:lineRule="exact"/>
        <w:rPr>
          <w:sz w:val="20"/>
          <w:szCs w:val="20"/>
          <w:color w:val="auto"/>
        </w:rPr>
      </w:pPr>
    </w:p>
    <w:p>
      <w:pPr>
        <w:spacing w:after="0" w:line="245" w:lineRule="exact"/>
        <w:rPr>
          <w:sz w:val="20"/>
          <w:szCs w:val="20"/>
          <w:color w:val="auto"/>
        </w:rPr>
      </w:pPr>
    </w:p>
    <w:p>
      <w:pPr>
        <w:spacing w:after="0"/>
        <w:tabs>
          <w:tab w:leader="none" w:pos="600" w:val="left"/>
          <w:tab w:leader="none" w:pos="86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[Date]</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New York, New York</w:t>
      </w:r>
    </w:p>
    <w:p>
      <w:pPr>
        <w:spacing w:after="0" w:line="200" w:lineRule="exact"/>
        <w:rPr>
          <w:sz w:val="20"/>
          <w:szCs w:val="20"/>
          <w:color w:val="auto"/>
        </w:rPr>
      </w:pP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FOR VALUE RECEIVED, WYNN AMERICA, LLC, a Nevada limited liability company (“</w:t>
      </w:r>
      <w:r>
        <w:rPr>
          <w:rFonts w:ascii="Arial" w:cs="Arial" w:eastAsia="Arial" w:hAnsi="Arial"/>
          <w:sz w:val="19"/>
          <w:szCs w:val="19"/>
          <w:b w:val="1"/>
          <w:bCs w:val="1"/>
          <w:color w:val="auto"/>
        </w:rPr>
        <w:t>Borrower</w:t>
      </w:r>
      <w:r>
        <w:rPr>
          <w:rFonts w:ascii="Arial" w:cs="Arial" w:eastAsia="Arial" w:hAnsi="Arial"/>
          <w:sz w:val="19"/>
          <w:szCs w:val="19"/>
          <w:color w:val="auto"/>
        </w:rPr>
        <w:t>”), hereby promises to</w:t>
      </w:r>
    </w:p>
    <w:p>
      <w:pPr>
        <w:spacing w:after="0" w:line="52"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color w:val="auto"/>
        </w:rPr>
        <w:t>pay to [</w:t>
      </w:r>
      <w:r>
        <w:rPr>
          <w:sz w:val="20"/>
          <w:szCs w:val="20"/>
          <w:color w:val="auto"/>
        </w:rPr>
        <w:tab/>
      </w:r>
      <w:r>
        <w:rPr>
          <w:rFonts w:ascii="Arial" w:cs="Arial" w:eastAsia="Arial" w:hAnsi="Arial"/>
          <w:sz w:val="18"/>
          <w:szCs w:val="18"/>
          <w:color w:val="auto"/>
        </w:rPr>
        <w:t>] or its registered assigns (“</w:t>
      </w:r>
      <w:r>
        <w:rPr>
          <w:rFonts w:ascii="Arial" w:cs="Arial" w:eastAsia="Arial" w:hAnsi="Arial"/>
          <w:sz w:val="18"/>
          <w:szCs w:val="18"/>
          <w:b w:val="1"/>
          <w:bCs w:val="1"/>
          <w:color w:val="auto"/>
        </w:rPr>
        <w:t>Lender</w:t>
      </w:r>
      <w:r>
        <w:rPr>
          <w:rFonts w:ascii="Arial" w:cs="Arial" w:eastAsia="Arial" w:hAnsi="Arial"/>
          <w:sz w:val="18"/>
          <w:szCs w:val="18"/>
          <w:color w:val="auto"/>
        </w:rPr>
        <w:t>”), for the account of Lender’s Applicable Lending Office provided for by the Credit</w:t>
      </w:r>
    </w:p>
    <w:p>
      <w:pPr>
        <w:spacing w:after="0" w:line="46" w:lineRule="exact"/>
        <w:rPr>
          <w:sz w:val="20"/>
          <w:szCs w:val="20"/>
          <w:color w:val="auto"/>
        </w:rPr>
      </w:pPr>
    </w:p>
    <w:p>
      <w:pPr>
        <w:ind w:right="140"/>
        <w:spacing w:after="0" w:line="323" w:lineRule="auto"/>
        <w:rPr>
          <w:sz w:val="20"/>
          <w:szCs w:val="20"/>
          <w:color w:val="auto"/>
        </w:rPr>
      </w:pPr>
      <w:r>
        <w:rPr>
          <w:rFonts w:ascii="Arial" w:cs="Arial" w:eastAsia="Arial" w:hAnsi="Arial"/>
          <w:sz w:val="18"/>
          <w:szCs w:val="18"/>
          <w:color w:val="auto"/>
        </w:rPr>
        <w:t>Agreement referred to below, at the Principal Office of Administrative Agent, the principal sum of [ ] Dollars ($[ ]), or such lesser amount as shall equal the aggregate unpaid principal amount of the Term Facility II Loan made by Lender to Borrower under the Credit Agreement, in lawful money of the United States of America and in immediately available funds, on the dates and in the principal amounts provided in the Credit Agreement, and to pay interest on the unpaid principal amount of such Term Facility II Loan, at such office, in like money and funds, for the period commencing on the date of such Term Facility II Loan until, but excluding, the date on which such Term Facility II Loan shall be paid in full, at the rates per annum and on the dates provided in the Credit Agreement.</w:t>
      </w:r>
    </w:p>
    <w:p>
      <w:pPr>
        <w:spacing w:after="0" w:line="125" w:lineRule="exact"/>
        <w:rPr>
          <w:sz w:val="20"/>
          <w:szCs w:val="20"/>
          <w:color w:val="auto"/>
        </w:rPr>
      </w:pPr>
    </w:p>
    <w:p>
      <w:pPr>
        <w:ind w:right="80" w:firstLine="1297"/>
        <w:spacing w:after="0" w:line="287" w:lineRule="auto"/>
        <w:rPr>
          <w:sz w:val="20"/>
          <w:szCs w:val="20"/>
          <w:color w:val="auto"/>
        </w:rPr>
      </w:pPr>
      <w:r>
        <w:rPr>
          <w:rFonts w:ascii="Arial" w:cs="Arial" w:eastAsia="Arial" w:hAnsi="Arial"/>
          <w:sz w:val="20"/>
          <w:szCs w:val="20"/>
          <w:color w:val="auto"/>
        </w:rPr>
        <w:t xml:space="preserve">The date, amount, Type, interest rate and duration of Interest Period (if applicable) of the Term Facility II Loan made by Lender to Borrower and each payment made on account of the principal thereof, shall be recorded by Lender on its books and, prior to any transfer of this Term Facility II Note, endorsed by Lender on the schedule attached hereto or any continuation thereof;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failure of Lender to make any such recordation or endorsement shall not affect the obligation of Borrower to make a payment when due of any amount owing under the Credit Agreement or hereunder.</w:t>
      </w:r>
    </w:p>
    <w:p>
      <w:pPr>
        <w:spacing w:after="0" w:line="151" w:lineRule="exact"/>
        <w:rPr>
          <w:sz w:val="20"/>
          <w:szCs w:val="20"/>
          <w:color w:val="auto"/>
        </w:rPr>
      </w:pPr>
    </w:p>
    <w:p>
      <w:pPr>
        <w:ind w:firstLine="1297"/>
        <w:spacing w:after="0" w:line="325" w:lineRule="auto"/>
        <w:rPr>
          <w:sz w:val="20"/>
          <w:szCs w:val="20"/>
          <w:color w:val="auto"/>
        </w:rPr>
      </w:pPr>
      <w:r>
        <w:rPr>
          <w:rFonts w:ascii="Arial" w:cs="Arial" w:eastAsia="Arial" w:hAnsi="Arial"/>
          <w:sz w:val="18"/>
          <w:szCs w:val="18"/>
          <w:color w:val="auto"/>
        </w:rPr>
        <w:t>This Term Facility II Note is one of the Term Facility II Notes referred to in the Credit Agreement, dated as of November 20, 2014 (as amended, amended and restated,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among Borrower, the Guarantors from time to time party thereto, the Lenders from time to time party thereto, Deutsche Bank AG New York Branch, as Administrative Agent and as Collateral Agent, and the other parties party thereto, and evidences the Term Facility II Loan made by Lender thereunder. Terms used but not defined in this Term Facility II Note have the respective meanings assigned to them in the Credit Agreement.</w:t>
      </w:r>
    </w:p>
    <w:p>
      <w:pPr>
        <w:spacing w:after="0" w:line="125" w:lineRule="exact"/>
        <w:rPr>
          <w:sz w:val="20"/>
          <w:szCs w:val="20"/>
          <w:color w:val="auto"/>
        </w:rPr>
      </w:pPr>
    </w:p>
    <w:p>
      <w:pPr>
        <w:ind w:right="20" w:firstLine="1297"/>
        <w:spacing w:after="0" w:line="303" w:lineRule="auto"/>
        <w:rPr>
          <w:sz w:val="20"/>
          <w:szCs w:val="20"/>
          <w:color w:val="auto"/>
        </w:rPr>
      </w:pPr>
      <w:r>
        <w:rPr>
          <w:rFonts w:ascii="Arial" w:cs="Arial" w:eastAsia="Arial" w:hAnsi="Arial"/>
          <w:sz w:val="20"/>
          <w:szCs w:val="20"/>
          <w:color w:val="auto"/>
        </w:rPr>
        <w:t>The Credit Agreement provides, among other things, for the acceleration of the maturity of this Term Facility II Note upon the occurrence of certain events, for prepayments of the Term Facility</w:t>
      </w:r>
    </w:p>
    <w:p>
      <w:pPr>
        <w:sectPr>
          <w:pgSz w:w="11900" w:h="16838" w:orient="portrait"/>
          <w:cols w:equalWidth="0" w:num="1">
            <w:col w:w="11340"/>
          </w:cols>
          <w:pgMar w:left="240" w:top="393" w:right="31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t>II Loan and for the amendment or waiver of certain provisions of the Credit Agreement, each upon the terms and conditions specified therein.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Except as permitted by Section 13.05 of the Credit Agreement, this Term Facility II Note may not be assigned by Lender to any</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other Person.</w:t>
      </w:r>
    </w:p>
    <w:p>
      <w:pPr>
        <w:spacing w:after="0" w:line="216" w:lineRule="exact"/>
        <w:rPr>
          <w:sz w:val="20"/>
          <w:szCs w:val="20"/>
          <w:color w:val="auto"/>
        </w:rPr>
      </w:pPr>
    </w:p>
    <w:p>
      <w:pPr>
        <w:ind w:right="120" w:firstLine="1297"/>
        <w:spacing w:after="0" w:line="303" w:lineRule="auto"/>
        <w:rPr>
          <w:sz w:val="20"/>
          <w:szCs w:val="20"/>
          <w:color w:val="auto"/>
        </w:rPr>
      </w:pPr>
      <w:r>
        <w:rPr>
          <w:rFonts w:ascii="Arial" w:cs="Arial" w:eastAsia="Arial" w:hAnsi="Arial"/>
          <w:sz w:val="19"/>
          <w:szCs w:val="19"/>
          <w:color w:val="auto"/>
        </w:rPr>
        <w:t>This Term Facility II Note is issued pursuant to and entitled to the benefits of the Credit Agreement and the other Credit Documents, and is secured and guaranteed as provided in the Credit Agreement and the Security Documents. Reference is hereby made to the Credit Agreement and the other Credit Documents for a more complete statement of the terms and conditions under which the Term Facility II Loans evidenced hereby were made and are to be repaid and a description of the properties and assets in which a security interest has been granted, the nature and extent of the security and guarantees, the terms and conditions upon which the security interest and each guarantee was granted and the rights of the holder of this Term Facility II Note in respect thereof.</w:t>
      </w:r>
    </w:p>
    <w:p>
      <w:pPr>
        <w:spacing w:after="0" w:line="141" w:lineRule="exact"/>
        <w:rPr>
          <w:sz w:val="20"/>
          <w:szCs w:val="20"/>
          <w:color w:val="auto"/>
        </w:rPr>
      </w:pPr>
    </w:p>
    <w:p>
      <w:pPr>
        <w:ind w:right="160" w:firstLine="1297"/>
        <w:spacing w:after="0" w:line="287" w:lineRule="auto"/>
        <w:rPr>
          <w:sz w:val="20"/>
          <w:szCs w:val="20"/>
          <w:color w:val="auto"/>
        </w:rPr>
      </w:pPr>
      <w:r>
        <w:rPr>
          <w:rFonts w:ascii="Arial" w:cs="Arial" w:eastAsia="Arial" w:hAnsi="Arial"/>
          <w:sz w:val="20"/>
          <w:szCs w:val="20"/>
          <w:color w:val="auto"/>
        </w:rPr>
        <w:t>THIS TERM FACILITY II NOTE AND ANY CLAIMS, CONTROVERSIES, DISPUTES, OR CAUSES OF ACTION (WHETHER ARISING UNDER CONTRACT LAW, TORT LAW OR OTHERWISE) BASED UPON OR RELATING TO THIS TERM FACILITY II NOTE, SHALL BE GOVERNED BY, AND CONSTRUED IN ACCORDANCE WITH, THE LAW OF THE STATE OF NEW YORK WITHOUT GIVING EFFECT TO ANY CHOICE OF LAW PRINCIPLES THAT WOULD APPLY THE LAWS OF ANOTHER JURISDICTION.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p>
    <w:p>
      <w:pPr>
        <w:sectPr>
          <w:pgSz w:w="11900" w:h="16838" w:orient="portrait"/>
          <w:cols w:equalWidth="0" w:num="1">
            <w:col w:w="11420"/>
          </w:cols>
          <w:pgMar w:left="240" w:top="393" w:right="239" w:bottom="1440" w:gutter="0" w:footer="0" w:header="0"/>
        </w:sectPr>
      </w:pPr>
    </w:p>
    <w:bookmarkStart w:id="246" w:name="page247"/>
    <w:bookmarkEnd w:id="246"/>
    <w:p>
      <w:pPr>
        <w:ind w:left="2860"/>
        <w:spacing w:after="0"/>
        <w:rPr>
          <w:sz w:val="20"/>
          <w:szCs w:val="20"/>
          <w:color w:val="auto"/>
        </w:rPr>
      </w:pPr>
      <w:r>
        <w:rPr>
          <w:rFonts w:ascii="Arial" w:cs="Arial" w:eastAsia="Arial" w:hAnsi="Arial"/>
          <w:sz w:val="20"/>
          <w:szCs w:val="20"/>
          <w:color w:val="auto"/>
        </w:rPr>
        <w:t>WYNN AMERICA, LLC</w:t>
      </w:r>
    </w:p>
    <w:p>
      <w:pPr>
        <w:spacing w:after="0" w:line="200" w:lineRule="exact"/>
        <w:rPr>
          <w:sz w:val="20"/>
          <w:szCs w:val="20"/>
          <w:color w:val="auto"/>
        </w:rPr>
      </w:pPr>
    </w:p>
    <w:p>
      <w:pPr>
        <w:spacing w:after="0" w:line="259"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-14605</wp:posOffset>
            </wp:positionV>
            <wp:extent cx="1257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6"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Name:</w:t>
      </w:r>
    </w:p>
    <w:p>
      <w:pPr>
        <w:spacing w:after="0" w:line="216"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811" w:right="1440" w:bottom="1440" w:gutter="0" w:footer="0" w:header="0"/>
        </w:sectPr>
      </w:pPr>
    </w:p>
    <w:bookmarkStart w:id="247" w:name="page248"/>
    <w:bookmarkEnd w:id="247"/>
    <w:p>
      <w:pPr>
        <w:jc w:val="center"/>
        <w:ind w:right="-319"/>
        <w:spacing w:after="0"/>
        <w:rPr>
          <w:sz w:val="20"/>
          <w:szCs w:val="20"/>
          <w:color w:val="auto"/>
        </w:rPr>
      </w:pPr>
      <w:r>
        <w:rPr>
          <w:rFonts w:ascii="Arial" w:cs="Arial" w:eastAsia="Arial" w:hAnsi="Arial"/>
          <w:sz w:val="20"/>
          <w:szCs w:val="20"/>
          <w:color w:val="auto"/>
        </w:rPr>
        <w:t>SCHEDULE OF TERM FACILITY II LOAN</w:t>
      </w:r>
    </w:p>
    <w:p>
      <w:pPr>
        <w:spacing w:after="0" w:line="200" w:lineRule="exact"/>
        <w:rPr>
          <w:sz w:val="20"/>
          <w:szCs w:val="20"/>
          <w:color w:val="auto"/>
        </w:rPr>
      </w:pPr>
    </w:p>
    <w:p>
      <w:pPr>
        <w:spacing w:after="0" w:line="27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Term Facility II Note evidences the Term Facility II Loan made by Lender, continued or converted under the</w:t>
      </w:r>
    </w:p>
    <w:p>
      <w:pPr>
        <w:spacing w:after="0" w:line="5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within</w:t>
      </w:r>
      <w:r>
        <w:rPr>
          <w:rFonts w:ascii="MS PGothic" w:cs="MS PGothic" w:eastAsia="MS PGothic" w:hAnsi="MS PGothic"/>
          <w:sz w:val="16"/>
          <w:szCs w:val="16"/>
          <w:color w:val="auto"/>
        </w:rPr>
        <w:t>‑</w:t>
      </w:r>
      <w:r>
        <w:rPr>
          <w:rFonts w:ascii="Arial" w:cs="Arial" w:eastAsia="Arial" w:hAnsi="Arial"/>
          <w:sz w:val="16"/>
          <w:szCs w:val="16"/>
          <w:color w:val="auto"/>
        </w:rPr>
        <w:t>described Credit Agreement to Borrower, on the dates, in the principal amounts, of the Types, bearing interest at the rates and having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Interest Periods (if applicable) of the durations set forth below, subject to the payments, continuations, conversions and prepayments of</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principal set forth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20"/>
                <w:szCs w:val="20"/>
                <w:color w:val="auto"/>
                <w:w w:val="95"/>
              </w:rPr>
              <w:t>Amount</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5"/>
              </w:rPr>
              <w:t>Date</w:t>
            </w:r>
          </w:p>
        </w:tc>
        <w:tc>
          <w:tcPr>
            <w:tcW w:w="2080" w:type="dxa"/>
            <w:vAlign w:val="bottom"/>
            <w:gridSpan w:val="3"/>
            <w:vMerge w:val="restart"/>
          </w:tcPr>
          <w:p>
            <w:pPr>
              <w:jc w:val="center"/>
              <w:ind w:left="261"/>
              <w:spacing w:after="0"/>
              <w:rPr>
                <w:sz w:val="20"/>
                <w:szCs w:val="20"/>
                <w:color w:val="auto"/>
              </w:rPr>
            </w:pPr>
            <w:r>
              <w:rPr>
                <w:rFonts w:ascii="Arial" w:cs="Arial" w:eastAsia="Arial" w:hAnsi="Arial"/>
                <w:sz w:val="20"/>
                <w:szCs w:val="20"/>
                <w:color w:val="auto"/>
                <w:w w:val="93"/>
              </w:rPr>
              <w:t>Principal</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vMerge w:val="restart"/>
          </w:tcPr>
          <w:p>
            <w:pPr>
              <w:jc w:val="center"/>
              <w:ind w:right="20"/>
              <w:spacing w:after="0"/>
              <w:rPr>
                <w:sz w:val="20"/>
                <w:szCs w:val="20"/>
                <w:color w:val="auto"/>
              </w:rPr>
            </w:pPr>
            <w:r>
              <w:rPr>
                <w:rFonts w:ascii="Arial" w:cs="Arial" w:eastAsia="Arial" w:hAnsi="Arial"/>
                <w:sz w:val="20"/>
                <w:szCs w:val="20"/>
                <w:color w:val="auto"/>
                <w:w w:val="92"/>
              </w:rPr>
              <w:t>Duration</w:t>
            </w:r>
          </w:p>
        </w:tc>
        <w:tc>
          <w:tcPr>
            <w:tcW w:w="3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20"/>
                <w:szCs w:val="20"/>
                <w:color w:val="auto"/>
                <w:w w:val="87"/>
              </w:rPr>
              <w:t>Paid,</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20" w:type="dxa"/>
            <w:vAlign w:val="bottom"/>
          </w:tcPr>
          <w:p>
            <w:pPr>
              <w:jc w:val="center"/>
              <w:spacing w:after="0" w:line="216" w:lineRule="exact"/>
              <w:rPr>
                <w:sz w:val="20"/>
                <w:szCs w:val="20"/>
                <w:color w:val="auto"/>
              </w:rPr>
            </w:pPr>
            <w:r>
              <w:rPr>
                <w:rFonts w:ascii="Arial" w:cs="Arial" w:eastAsia="Arial" w:hAnsi="Arial"/>
                <w:sz w:val="20"/>
                <w:szCs w:val="20"/>
                <w:color w:val="auto"/>
                <w:w w:val="89"/>
              </w:rPr>
              <w:t>Made,</w:t>
            </w:r>
          </w:p>
        </w:tc>
        <w:tc>
          <w:tcPr>
            <w:tcW w:w="2080" w:type="dxa"/>
            <w:vAlign w:val="bottom"/>
            <w:gridSpan w:val="3"/>
            <w:vMerge w:val="continue"/>
          </w:tcPr>
          <w:p>
            <w:pPr>
              <w:spacing w:after="0"/>
              <w:rPr>
                <w:sz w:val="18"/>
                <w:szCs w:val="18"/>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20"/>
                <w:szCs w:val="20"/>
                <w:color w:val="auto"/>
                <w:w w:val="85"/>
              </w:rPr>
              <w:t>Type</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340"/>
              <w:spacing w:after="0" w:line="216" w:lineRule="exact"/>
              <w:rPr>
                <w:sz w:val="20"/>
                <w:szCs w:val="20"/>
                <w:color w:val="auto"/>
              </w:rPr>
            </w:pPr>
            <w:r>
              <w:rPr>
                <w:rFonts w:ascii="Arial" w:cs="Arial" w:eastAsia="Arial" w:hAnsi="Arial"/>
                <w:sz w:val="20"/>
                <w:szCs w:val="20"/>
                <w:color w:val="auto"/>
                <w:w w:val="88"/>
              </w:rPr>
              <w:t>Prepaid,</w:t>
            </w:r>
          </w:p>
        </w:tc>
        <w:tc>
          <w:tcPr>
            <w:tcW w:w="340" w:type="dxa"/>
            <w:vAlign w:val="bottom"/>
          </w:tcPr>
          <w:p>
            <w:pPr>
              <w:spacing w:after="0"/>
              <w:rPr>
                <w:sz w:val="18"/>
                <w:szCs w:val="18"/>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20"/>
                <w:szCs w:val="20"/>
                <w:color w:val="auto"/>
                <w:w w:val="91"/>
              </w:rPr>
              <w:t>Unpaid</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60" w:type="dxa"/>
            <w:vAlign w:val="bottom"/>
            <w:gridSpan w:val="2"/>
          </w:tcPr>
          <w:p>
            <w:pPr>
              <w:jc w:val="center"/>
              <w:spacing w:after="0" w:line="206" w:lineRule="exact"/>
              <w:rPr>
                <w:sz w:val="20"/>
                <w:szCs w:val="20"/>
                <w:color w:val="auto"/>
              </w:rPr>
            </w:pPr>
            <w:r>
              <w:rPr>
                <w:rFonts w:ascii="Arial" w:cs="Arial" w:eastAsia="Arial" w:hAnsi="Arial"/>
                <w:sz w:val="20"/>
                <w:szCs w:val="20"/>
                <w:color w:val="auto"/>
                <w:w w:val="92"/>
              </w:rPr>
              <w:t>Continued</w:t>
            </w:r>
          </w:p>
        </w:tc>
        <w:tc>
          <w:tcPr>
            <w:tcW w:w="2080" w:type="dxa"/>
            <w:vAlign w:val="bottom"/>
            <w:gridSpan w:val="3"/>
          </w:tcPr>
          <w:p>
            <w:pPr>
              <w:jc w:val="center"/>
              <w:ind w:left="261"/>
              <w:spacing w:after="0" w:line="206" w:lineRule="exact"/>
              <w:rPr>
                <w:sz w:val="20"/>
                <w:szCs w:val="20"/>
                <w:color w:val="auto"/>
              </w:rPr>
            </w:pPr>
            <w:r>
              <w:rPr>
                <w:rFonts w:ascii="Arial" w:cs="Arial" w:eastAsia="Arial" w:hAnsi="Arial"/>
                <w:sz w:val="20"/>
                <w:szCs w:val="20"/>
                <w:color w:val="auto"/>
                <w:w w:val="92"/>
              </w:rPr>
              <w:t>Amount</w:t>
            </w:r>
          </w:p>
        </w:tc>
        <w:tc>
          <w:tcPr>
            <w:tcW w:w="132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center"/>
              <w:ind w:right="420"/>
              <w:spacing w:after="0" w:line="206" w:lineRule="exact"/>
              <w:rPr>
                <w:sz w:val="20"/>
                <w:szCs w:val="20"/>
                <w:color w:val="auto"/>
              </w:rPr>
            </w:pPr>
            <w:r>
              <w:rPr>
                <w:rFonts w:ascii="Arial" w:cs="Arial" w:eastAsia="Arial" w:hAnsi="Arial"/>
                <w:sz w:val="20"/>
                <w:szCs w:val="20"/>
                <w:color w:val="auto"/>
              </w:rPr>
              <w:t>of</w:t>
            </w:r>
          </w:p>
        </w:tc>
        <w:tc>
          <w:tcPr>
            <w:tcW w:w="1440" w:type="dxa"/>
            <w:vAlign w:val="bottom"/>
            <w:gridSpan w:val="3"/>
          </w:tcPr>
          <w:p>
            <w:pPr>
              <w:jc w:val="center"/>
              <w:ind w:right="20"/>
              <w:spacing w:after="0" w:line="206" w:lineRule="exact"/>
              <w:rPr>
                <w:sz w:val="20"/>
                <w:szCs w:val="20"/>
                <w:color w:val="auto"/>
              </w:rPr>
            </w:pPr>
            <w:r>
              <w:rPr>
                <w:rFonts w:ascii="Arial" w:cs="Arial" w:eastAsia="Arial" w:hAnsi="Arial"/>
                <w:sz w:val="20"/>
                <w:szCs w:val="20"/>
                <w:color w:val="auto"/>
                <w:w w:val="89"/>
              </w:rPr>
              <w:t>Continued</w:t>
            </w:r>
          </w:p>
        </w:tc>
        <w:tc>
          <w:tcPr>
            <w:tcW w:w="3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or</w:t>
            </w:r>
          </w:p>
        </w:tc>
        <w:tc>
          <w:tcPr>
            <w:tcW w:w="1040" w:type="dxa"/>
            <w:vAlign w:val="bottom"/>
          </w:tcPr>
          <w:p>
            <w:pPr>
              <w:spacing w:after="0"/>
              <w:rPr>
                <w:sz w:val="19"/>
                <w:szCs w:val="19"/>
                <w:color w:val="auto"/>
              </w:rPr>
            </w:pPr>
          </w:p>
        </w:tc>
        <w:tc>
          <w:tcPr>
            <w:tcW w:w="1040" w:type="dxa"/>
            <w:vAlign w:val="bottom"/>
            <w:gridSpan w:val="2"/>
          </w:tcPr>
          <w:p>
            <w:pPr>
              <w:jc w:val="center"/>
              <w:ind w:right="680"/>
              <w:spacing w:after="0"/>
              <w:rPr>
                <w:sz w:val="20"/>
                <w:szCs w:val="20"/>
                <w:color w:val="auto"/>
              </w:rPr>
            </w:pPr>
            <w:r>
              <w:rPr>
                <w:rFonts w:ascii="Arial" w:cs="Arial" w:eastAsia="Arial" w:hAnsi="Arial"/>
                <w:sz w:val="20"/>
                <w:szCs w:val="20"/>
                <w:color w:val="auto"/>
                <w:w w:val="95"/>
              </w:rPr>
              <w:t>of</w:t>
            </w:r>
          </w:p>
        </w:tc>
        <w:tc>
          <w:tcPr>
            <w:tcW w:w="520" w:type="dxa"/>
            <w:vAlign w:val="bottom"/>
          </w:tcPr>
          <w:p>
            <w:pPr>
              <w:spacing w:after="0"/>
              <w:rPr>
                <w:sz w:val="19"/>
                <w:szCs w:val="19"/>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20"/>
                <w:szCs w:val="20"/>
                <w:color w:val="auto"/>
              </w:rPr>
              <w:t>of</w:t>
            </w:r>
          </w:p>
        </w:tc>
        <w:tc>
          <w:tcPr>
            <w:tcW w:w="1260" w:type="dxa"/>
            <w:vAlign w:val="bottom"/>
            <w:gridSpan w:val="3"/>
          </w:tcPr>
          <w:p>
            <w:pPr>
              <w:jc w:val="center"/>
              <w:ind w:left="21"/>
              <w:spacing w:after="0"/>
              <w:rPr>
                <w:sz w:val="20"/>
                <w:szCs w:val="20"/>
                <w:color w:val="auto"/>
              </w:rPr>
            </w:pPr>
            <w:r>
              <w:rPr>
                <w:rFonts w:ascii="Arial" w:cs="Arial" w:eastAsia="Arial" w:hAnsi="Arial"/>
                <w:sz w:val="20"/>
                <w:szCs w:val="20"/>
                <w:color w:val="auto"/>
                <w:w w:val="86"/>
              </w:rPr>
              <w:t>Interest</w:t>
            </w:r>
          </w:p>
        </w:tc>
        <w:tc>
          <w:tcPr>
            <w:tcW w:w="1280" w:type="dxa"/>
            <w:vAlign w:val="bottom"/>
            <w:gridSpan w:val="3"/>
          </w:tcPr>
          <w:p>
            <w:pPr>
              <w:jc w:val="center"/>
              <w:ind w:right="20"/>
              <w:spacing w:after="0"/>
              <w:rPr>
                <w:sz w:val="20"/>
                <w:szCs w:val="20"/>
                <w:color w:val="auto"/>
              </w:rPr>
            </w:pPr>
            <w:r>
              <w:rPr>
                <w:rFonts w:ascii="Arial" w:cs="Arial" w:eastAsia="Arial" w:hAnsi="Arial"/>
                <w:sz w:val="20"/>
                <w:szCs w:val="20"/>
                <w:color w:val="auto"/>
                <w:w w:val="86"/>
              </w:rPr>
              <w:t>Interest</w:t>
            </w:r>
          </w:p>
        </w:tc>
        <w:tc>
          <w:tcPr>
            <w:tcW w:w="3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20"/>
                <w:szCs w:val="20"/>
                <w:color w:val="auto"/>
                <w:w w:val="89"/>
              </w:rPr>
              <w:t>or</w:t>
            </w:r>
          </w:p>
        </w:tc>
        <w:tc>
          <w:tcPr>
            <w:tcW w:w="1340" w:type="dxa"/>
            <w:vAlign w:val="bottom"/>
            <w:gridSpan w:val="3"/>
          </w:tcPr>
          <w:p>
            <w:pPr>
              <w:jc w:val="center"/>
              <w:ind w:right="40"/>
              <w:spacing w:after="0"/>
              <w:rPr>
                <w:sz w:val="20"/>
                <w:szCs w:val="20"/>
                <w:color w:val="auto"/>
              </w:rPr>
            </w:pPr>
            <w:r>
              <w:rPr>
                <w:rFonts w:ascii="Arial" w:cs="Arial" w:eastAsia="Arial" w:hAnsi="Arial"/>
                <w:sz w:val="20"/>
                <w:szCs w:val="20"/>
                <w:color w:val="auto"/>
                <w:w w:val="91"/>
              </w:rPr>
              <w:t>Principal</w:t>
            </w:r>
          </w:p>
        </w:tc>
        <w:tc>
          <w:tcPr>
            <w:tcW w:w="1080" w:type="dxa"/>
            <w:vAlign w:val="bottom"/>
            <w:gridSpan w:val="3"/>
          </w:tcPr>
          <w:p>
            <w:pPr>
              <w:ind w:left="340"/>
              <w:spacing w:after="0"/>
              <w:rPr>
                <w:sz w:val="20"/>
                <w:szCs w:val="20"/>
                <w:color w:val="auto"/>
              </w:rPr>
            </w:pPr>
            <w:r>
              <w:rPr>
                <w:rFonts w:ascii="Arial" w:cs="Arial" w:eastAsia="Arial" w:hAnsi="Arial"/>
                <w:sz w:val="20"/>
                <w:szCs w:val="20"/>
                <w:color w:val="auto"/>
                <w:w w:val="96"/>
              </w:rPr>
              <w:t>Notation</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tcPr>
          <w:p>
            <w:pPr>
              <w:spacing w:after="0" w:line="209" w:lineRule="exact"/>
              <w:rPr>
                <w:sz w:val="20"/>
                <w:szCs w:val="20"/>
                <w:color w:val="auto"/>
              </w:rPr>
            </w:pPr>
            <w:r>
              <w:rPr>
                <w:rFonts w:ascii="Arial" w:cs="Arial" w:eastAsia="Arial" w:hAnsi="Arial"/>
                <w:sz w:val="20"/>
                <w:szCs w:val="20"/>
                <w:color w:val="auto"/>
                <w:w w:val="86"/>
              </w:rPr>
              <w:t>Converted</w:t>
            </w:r>
          </w:p>
        </w:tc>
        <w:tc>
          <w:tcPr>
            <w:tcW w:w="1040" w:type="dxa"/>
            <w:vAlign w:val="bottom"/>
          </w:tcPr>
          <w:p>
            <w:pPr>
              <w:spacing w:after="0"/>
              <w:rPr>
                <w:sz w:val="21"/>
                <w:szCs w:val="21"/>
                <w:color w:val="auto"/>
              </w:rPr>
            </w:pPr>
          </w:p>
        </w:tc>
        <w:tc>
          <w:tcPr>
            <w:tcW w:w="420" w:type="dxa"/>
            <w:vAlign w:val="bottom"/>
          </w:tcPr>
          <w:p>
            <w:pPr>
              <w:jc w:val="center"/>
              <w:spacing w:after="0" w:line="209" w:lineRule="exact"/>
              <w:rPr>
                <w:sz w:val="20"/>
                <w:szCs w:val="20"/>
                <w:color w:val="auto"/>
              </w:rPr>
            </w:pPr>
            <w:r>
              <w:rPr>
                <w:rFonts w:ascii="Arial" w:cs="Arial" w:eastAsia="Arial" w:hAnsi="Arial"/>
                <w:sz w:val="20"/>
                <w:szCs w:val="20"/>
                <w:color w:val="auto"/>
                <w:w w:val="94"/>
              </w:rPr>
              <w:t>Loan</w:t>
            </w: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Borders>
              <w:bottom w:val="single" w:sz="8" w:color="auto"/>
            </w:tcBorders>
          </w:tcPr>
          <w:p>
            <w:pPr>
              <w:spacing w:after="0" w:line="183" w:lineRule="exact"/>
              <w:rPr>
                <w:sz w:val="20"/>
                <w:szCs w:val="20"/>
                <w:color w:val="auto"/>
              </w:rPr>
            </w:pPr>
            <w:r>
              <w:rPr>
                <w:rFonts w:ascii="Arial" w:cs="Arial" w:eastAsia="Arial" w:hAnsi="Arial"/>
                <w:sz w:val="20"/>
                <w:szCs w:val="20"/>
                <w:color w:val="auto"/>
                <w:w w:val="85"/>
              </w:rPr>
              <w:t>Loan</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20"/>
                <w:szCs w:val="20"/>
                <w:color w:val="auto"/>
                <w:w w:val="89"/>
              </w:rPr>
              <w:t>Rate</w:t>
            </w:r>
          </w:p>
        </w:tc>
        <w:tc>
          <w:tcPr>
            <w:tcW w:w="360" w:type="dxa"/>
            <w:vAlign w:val="bottom"/>
          </w:tcPr>
          <w:p>
            <w:pPr>
              <w:spacing w:after="0"/>
              <w:rPr>
                <w:sz w:val="21"/>
                <w:szCs w:val="21"/>
                <w:color w:val="auto"/>
              </w:rPr>
            </w:pPr>
          </w:p>
        </w:tc>
        <w:tc>
          <w:tcPr>
            <w:tcW w:w="128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89"/>
              </w:rPr>
              <w:t>Period</w:t>
            </w:r>
          </w:p>
        </w:tc>
        <w:tc>
          <w:tcPr>
            <w:tcW w:w="144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88"/>
              </w:rPr>
              <w:t>Converted</w:t>
            </w:r>
          </w:p>
        </w:tc>
        <w:tc>
          <w:tcPr>
            <w:tcW w:w="340" w:type="dxa"/>
            <w:vAlign w:val="bottom"/>
          </w:tcPr>
          <w:p>
            <w:pPr>
              <w:spacing w:after="0"/>
              <w:rPr>
                <w:sz w:val="21"/>
                <w:szCs w:val="21"/>
                <w:color w:val="auto"/>
              </w:rPr>
            </w:pPr>
          </w:p>
        </w:tc>
        <w:tc>
          <w:tcPr>
            <w:tcW w:w="6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20"/>
                <w:szCs w:val="20"/>
                <w:color w:val="auto"/>
                <w:w w:val="95"/>
              </w:rPr>
              <w:t>Amount</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Borders>
              <w:bottom w:val="single" w:sz="8" w:color="auto"/>
            </w:tcBorders>
          </w:tcPr>
          <w:p>
            <w:pPr>
              <w:spacing w:after="0" w:line="183" w:lineRule="exact"/>
              <w:rPr>
                <w:sz w:val="20"/>
                <w:szCs w:val="20"/>
                <w:color w:val="auto"/>
              </w:rPr>
            </w:pPr>
            <w:r>
              <w:rPr>
                <w:rFonts w:ascii="Arial" w:cs="Arial" w:eastAsia="Arial" w:hAnsi="Arial"/>
                <w:sz w:val="20"/>
                <w:szCs w:val="20"/>
                <w:color w:val="auto"/>
                <w:w w:val="88"/>
              </w:rPr>
              <w:t>Made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00"/>
          </w:cols>
          <w:pgMar w:left="240" w:top="1055" w:right="559" w:bottom="1440" w:gutter="0" w:footer="0" w:header="0"/>
        </w:sectPr>
      </w:pPr>
    </w:p>
    <w:bookmarkStart w:id="248" w:name="page249"/>
    <w:bookmarkEnd w:id="248"/>
    <w:p>
      <w:pPr>
        <w:jc w:val="right"/>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NOTICE OF BORROWING</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Date: [</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400" w:right="40" w:hanging="404"/>
        <w:spacing w:after="0" w:line="246" w:lineRule="auto"/>
        <w:rPr>
          <w:sz w:val="20"/>
          <w:szCs w:val="20"/>
          <w:color w:val="auto"/>
        </w:rPr>
      </w:pPr>
      <w:r>
        <w:rPr>
          <w:rFonts w:ascii="Arial" w:cs="Arial" w:eastAsia="Arial" w:hAnsi="Arial"/>
          <w:sz w:val="20"/>
          <w:szCs w:val="20"/>
          <w:color w:val="auto"/>
        </w:rPr>
        <w:t>To: Administrative Agent under the Credit Agreement, dated as of November 20, 2014 (as amended, amended and restated, supplemented or otherwise modified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among Wynn America, LLC (“</w:t>
      </w:r>
      <w:r>
        <w:rPr>
          <w:rFonts w:ascii="Arial" w:cs="Arial" w:eastAsia="Arial" w:hAnsi="Arial"/>
          <w:sz w:val="20"/>
          <w:szCs w:val="20"/>
          <w:b w:val="1"/>
          <w:bCs w:val="1"/>
          <w:color w:val="auto"/>
        </w:rPr>
        <w:t>Borrower</w:t>
      </w:r>
      <w:r>
        <w:rPr>
          <w:rFonts w:ascii="Arial" w:cs="Arial" w:eastAsia="Arial" w:hAnsi="Arial"/>
          <w:sz w:val="20"/>
          <w:szCs w:val="20"/>
          <w:color w:val="auto"/>
        </w:rPr>
        <w:t>”), the Guarantors from time to time party thereto, the Lenders from time to time party thereto, Deutsche Bank AG New York Branch, as Administrative Agent and as Collateral Agent, and the other parties party thereto.</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324" w:lineRule="exact"/>
        <w:rPr>
          <w:sz w:val="20"/>
          <w:szCs w:val="20"/>
          <w:color w:val="auto"/>
        </w:rPr>
      </w:pPr>
    </w:p>
    <w:p>
      <w:pPr>
        <w:ind w:right="280" w:firstLine="648"/>
        <w:spacing w:after="0" w:line="266" w:lineRule="auto"/>
        <w:rPr>
          <w:sz w:val="20"/>
          <w:szCs w:val="20"/>
          <w:color w:val="auto"/>
        </w:rPr>
      </w:pPr>
      <w:r>
        <w:rPr>
          <w:rFonts w:ascii="Arial" w:cs="Arial" w:eastAsia="Arial" w:hAnsi="Arial"/>
          <w:sz w:val="20"/>
          <w:szCs w:val="20"/>
          <w:color w:val="auto"/>
        </w:rPr>
        <w:t>The undersigned Borrower refers to the Credit Agreement (the terms defined therein, being used herein as defined therein), hereby gives you [irrevocable]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notice pursuant to 2.02, [2.03(e)]</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and 4.05 of the Credit Agreement that Borrower desires to make a borrowing (the “</w:t>
      </w:r>
      <w:r>
        <w:rPr>
          <w:rFonts w:ascii="Arial" w:cs="Arial" w:eastAsia="Arial" w:hAnsi="Arial"/>
          <w:sz w:val="20"/>
          <w:szCs w:val="20"/>
          <w:b w:val="1"/>
          <w:bCs w:val="1"/>
          <w:color w:val="auto"/>
        </w:rPr>
        <w:t>Proposed Borrowing</w:t>
      </w:r>
      <w:r>
        <w:rPr>
          <w:rFonts w:ascii="Arial" w:cs="Arial" w:eastAsia="Arial" w:hAnsi="Arial"/>
          <w:sz w:val="20"/>
          <w:szCs w:val="20"/>
          <w:color w:val="auto"/>
        </w:rPr>
        <w:t>”) under the Credit Agreement, and in that connection sets forth below the information relating to the Proposed Borrowing:</w:t>
      </w:r>
    </w:p>
    <w:p>
      <w:pPr>
        <w:spacing w:after="0" w:line="213" w:lineRule="exact"/>
        <w:rPr>
          <w:sz w:val="20"/>
          <w:szCs w:val="20"/>
          <w:color w:val="auto"/>
        </w:rPr>
      </w:pPr>
    </w:p>
    <w:p>
      <w:pPr>
        <w:ind w:left="1120" w:hanging="464"/>
        <w:spacing w:after="0"/>
        <w:tabs>
          <w:tab w:leader="none" w:pos="112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Proposed Borrowing:</w:t>
      </w:r>
    </w:p>
    <w:tbl>
      <w:tblPr>
        <w:tblLayout w:type="fixed"/>
        <w:tblInd w:w="1300" w:type="dxa"/>
        <w:tblCellMar>
          <w:top w:w="0" w:type="dxa"/>
          <w:left w:w="0" w:type="dxa"/>
          <w:bottom w:w="0" w:type="dxa"/>
          <w:right w:w="0" w:type="dxa"/>
        </w:tblCellMar>
      </w:tblPr>
      <w:tr>
        <w:trPr>
          <w:trHeight w:val="219"/>
        </w:trPr>
        <w:tc>
          <w:tcPr>
            <w:tcW w:w="320" w:type="dxa"/>
            <w:vAlign w:val="bottom"/>
          </w:tcPr>
          <w:p>
            <w:pPr>
              <w:spacing w:after="0" w:line="219" w:lineRule="exact"/>
              <w:rPr>
                <w:sz w:val="20"/>
                <w:szCs w:val="20"/>
                <w:color w:val="auto"/>
              </w:rPr>
            </w:pPr>
            <w:r>
              <w:rPr>
                <w:rFonts w:ascii="Arial" w:cs="Arial" w:eastAsia="Arial" w:hAnsi="Arial"/>
                <w:sz w:val="20"/>
                <w:szCs w:val="20"/>
                <w:color w:val="auto"/>
              </w:rPr>
              <w:t>(i)</w:t>
            </w:r>
          </w:p>
        </w:tc>
        <w:tc>
          <w:tcPr>
            <w:tcW w:w="4000" w:type="dxa"/>
            <w:vAlign w:val="bottom"/>
          </w:tcPr>
          <w:p>
            <w:pPr>
              <w:ind w:left="60"/>
              <w:spacing w:after="0" w:line="219" w:lineRule="exact"/>
              <w:rPr>
                <w:sz w:val="20"/>
                <w:szCs w:val="20"/>
                <w:color w:val="auto"/>
              </w:rPr>
            </w:pPr>
            <w:r>
              <w:rPr>
                <w:rFonts w:ascii="Arial" w:cs="Arial" w:eastAsia="Arial" w:hAnsi="Arial"/>
                <w:sz w:val="20"/>
                <w:szCs w:val="20"/>
                <w:color w:val="auto"/>
                <w:w w:val="89"/>
              </w:rPr>
              <w:t>The Business Day of the Proposed Borrowing is [</w:t>
            </w:r>
          </w:p>
        </w:tc>
        <w:tc>
          <w:tcPr>
            <w:tcW w:w="440" w:type="dxa"/>
            <w:vAlign w:val="bottom"/>
            <w:tcBorders>
              <w:bottom w:val="single" w:sz="8" w:color="auto"/>
            </w:tcBorders>
          </w:tcPr>
          <w:p>
            <w:pPr>
              <w:spacing w:after="0"/>
              <w:rPr>
                <w:sz w:val="19"/>
                <w:szCs w:val="19"/>
                <w:color w:val="auto"/>
              </w:rPr>
            </w:pPr>
          </w:p>
        </w:tc>
        <w:tc>
          <w:tcPr>
            <w:tcW w:w="780" w:type="dxa"/>
            <w:vAlign w:val="bottom"/>
            <w:gridSpan w:val="2"/>
          </w:tcPr>
          <w:p>
            <w:pPr>
              <w:jc w:val="right"/>
              <w:ind w:right="660"/>
              <w:spacing w:after="0" w:line="219" w:lineRule="exact"/>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19"/>
                <w:szCs w:val="19"/>
                <w:color w:val="auto"/>
              </w:rPr>
            </w:pPr>
          </w:p>
        </w:tc>
      </w:tr>
      <w:tr>
        <w:trPr>
          <w:trHeight w:val="439"/>
        </w:trPr>
        <w:tc>
          <w:tcPr>
            <w:tcW w:w="320" w:type="dxa"/>
            <w:vAlign w:val="bottom"/>
          </w:tcPr>
          <w:p>
            <w:pPr>
              <w:spacing w:after="0"/>
              <w:rPr>
                <w:sz w:val="20"/>
                <w:szCs w:val="20"/>
                <w:color w:val="auto"/>
              </w:rPr>
            </w:pPr>
            <w:r>
              <w:rPr>
                <w:rFonts w:ascii="Arial" w:cs="Arial" w:eastAsia="Arial" w:hAnsi="Arial"/>
                <w:sz w:val="20"/>
                <w:szCs w:val="20"/>
                <w:color w:val="auto"/>
              </w:rPr>
              <w:t>(ii)</w:t>
            </w:r>
          </w:p>
        </w:tc>
        <w:tc>
          <w:tcPr>
            <w:tcW w:w="5220" w:type="dxa"/>
            <w:vAlign w:val="bottom"/>
            <w:gridSpan w:val="4"/>
          </w:tcPr>
          <w:p>
            <w:pPr>
              <w:jc w:val="right"/>
              <w:ind w:right="740"/>
              <w:spacing w:after="0"/>
              <w:rPr>
                <w:sz w:val="20"/>
                <w:szCs w:val="20"/>
                <w:color w:val="auto"/>
              </w:rPr>
            </w:pPr>
            <w:r>
              <w:rPr>
                <w:rFonts w:ascii="Arial" w:cs="Arial" w:eastAsia="Arial" w:hAnsi="Arial"/>
                <w:sz w:val="20"/>
                <w:szCs w:val="20"/>
                <w:color w:val="auto"/>
                <w:w w:val="91"/>
              </w:rPr>
              <w:t>The aggregate amount of the Proposed Borrowing is $[</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r>
      <w:tr>
        <w:trPr>
          <w:trHeight w:val="20"/>
        </w:trPr>
        <w:tc>
          <w:tcPr>
            <w:tcW w:w="3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18"/>
          <w:szCs w:val="18"/>
          <w:color w:val="auto"/>
        </w:rPr>
        <w:t>The Proposed Borrowing shall consist of:</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$[__________]</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Revolving Loan, which shall initially be [an ABR Loan][a LIBOR Loan]; [The amount of Revolving Loans</w:t>
      </w:r>
    </w:p>
    <w:p>
      <w:pPr>
        <w:ind w:left="1300"/>
        <w:spacing w:after="0"/>
        <w:tabs>
          <w:tab w:leader="none" w:pos="8920" w:val="left"/>
        </w:tabs>
        <w:rPr>
          <w:sz w:val="20"/>
          <w:szCs w:val="20"/>
          <w:color w:val="auto"/>
        </w:rPr>
      </w:pPr>
      <w:r>
        <w:rPr>
          <w:rFonts w:ascii="Arial" w:cs="Arial" w:eastAsia="Arial" w:hAnsi="Arial"/>
          <w:sz w:val="18"/>
          <w:szCs w:val="18"/>
          <w:color w:val="auto"/>
        </w:rPr>
        <w:t>that are requested to be LIBOR Loans are requested to have the following Interest Period(s): [</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5550535</wp:posOffset>
            </wp:positionH>
            <wp:positionV relativeFrom="paragraph">
              <wp:posOffset>-24765</wp:posOffset>
            </wp:positionV>
            <wp:extent cx="1257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0" w:hanging="152"/>
        <w:spacing w:after="0"/>
        <w:tabs>
          <w:tab w:leader="none" w:pos="16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To be included unless notice is conditioned on the occurrence of an acquisition, sale, incurrence of indebtedness or issuance of equity interests.</w:t>
      </w:r>
    </w:p>
    <w:p>
      <w:pPr>
        <w:spacing w:after="0" w:line="203" w:lineRule="exact"/>
        <w:rPr>
          <w:rFonts w:ascii="Arial" w:cs="Arial" w:eastAsia="Arial" w:hAnsi="Arial"/>
          <w:sz w:val="14"/>
          <w:szCs w:val="14"/>
          <w:color w:val="auto"/>
        </w:rPr>
      </w:pPr>
    </w:p>
    <w:p>
      <w:pPr>
        <w:ind w:left="160" w:hanging="152"/>
        <w:spacing w:after="0"/>
        <w:tabs>
          <w:tab w:leader="none" w:pos="16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To be included for borrowings in respect of Letter of Credit reimbursement only.</w:t>
      </w:r>
    </w:p>
    <w:p>
      <w:pPr>
        <w:spacing w:after="0" w:line="95" w:lineRule="exact"/>
        <w:rPr>
          <w:rFonts w:ascii="Arial" w:cs="Arial" w:eastAsia="Arial" w:hAnsi="Arial"/>
          <w:sz w:val="14"/>
          <w:szCs w:val="14"/>
          <w:color w:val="auto"/>
        </w:rPr>
      </w:pPr>
    </w:p>
    <w:p>
      <w:pPr>
        <w:ind w:left="160" w:hanging="152"/>
        <w:spacing w:after="0"/>
        <w:tabs>
          <w:tab w:leader="none" w:pos="16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Borrowings of Revolving Loans shall be made pro rata across all outstanding Tranches of Revolving Commitments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B-1</w:t>
      </w:r>
    </w:p>
    <w:p>
      <w:pPr>
        <w:sectPr>
          <w:pgSz w:w="11900" w:h="16838" w:orient="portrait"/>
          <w:cols w:equalWidth="0" w:num="1">
            <w:col w:w="11420"/>
          </w:cols>
          <w:pgMar w:left="240" w:top="954" w:right="239" w:bottom="1440" w:gutter="0" w:footer="0" w:header="0"/>
        </w:sectPr>
      </w:pPr>
    </w:p>
    <w:bookmarkStart w:id="249" w:name="page250"/>
    <w:bookmarkEnd w:id="249"/>
    <w:p>
      <w:pPr>
        <w:ind w:left="1292"/>
        <w:spacing w:after="0"/>
        <w:rPr>
          <w:sz w:val="20"/>
          <w:szCs w:val="20"/>
          <w:color w:val="auto"/>
        </w:rPr>
      </w:pPr>
      <w:r>
        <w:rPr>
          <w:rFonts w:ascii="Arial" w:cs="Arial" w:eastAsia="Arial" w:hAnsi="Arial"/>
          <w:sz w:val="19"/>
          <w:szCs w:val="19"/>
          <w:color w:val="auto"/>
        </w:rPr>
        <w:t>[a $[__________] Term Facility Loan, which shall initially be [an ABR Loan][a LIBOR Loan], [The amount of such Term</w:t>
      </w:r>
    </w:p>
    <w:p>
      <w:pPr>
        <w:spacing w:after="0" w:line="27" w:lineRule="exact"/>
        <w:rPr>
          <w:sz w:val="20"/>
          <w:szCs w:val="20"/>
          <w:color w:val="auto"/>
        </w:rPr>
      </w:pPr>
    </w:p>
    <w:p>
      <w:pPr>
        <w:ind w:left="1292"/>
        <w:spacing w:after="0"/>
        <w:tabs>
          <w:tab w:leader="none" w:pos="9492" w:val="left"/>
        </w:tabs>
        <w:rPr>
          <w:sz w:val="20"/>
          <w:szCs w:val="20"/>
          <w:color w:val="auto"/>
        </w:rPr>
      </w:pPr>
      <w:r>
        <w:rPr>
          <w:rFonts w:ascii="Arial" w:cs="Arial" w:eastAsia="Arial" w:hAnsi="Arial"/>
          <w:sz w:val="18"/>
          <w:szCs w:val="18"/>
          <w:color w:val="auto"/>
        </w:rPr>
        <w:t>Loans that are requested to be LIBOR Loans are requested to have the following Interest Period(s): [</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5883910</wp:posOffset>
            </wp:positionH>
            <wp:positionV relativeFrom="paragraph">
              <wp:posOffset>-24765</wp:posOffset>
            </wp:positionV>
            <wp:extent cx="1568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19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 $[__________] Term Facility II Loan, which shall initially be [an ABR Loan][a LIBOR Loan], [The amount of such Term</w:t>
      </w:r>
    </w:p>
    <w:p>
      <w:pPr>
        <w:spacing w:after="0" w:line="39" w:lineRule="exact"/>
        <w:rPr>
          <w:sz w:val="20"/>
          <w:szCs w:val="20"/>
          <w:color w:val="auto"/>
        </w:rPr>
      </w:pPr>
    </w:p>
    <w:p>
      <w:pPr>
        <w:jc w:val="center"/>
        <w:ind w:right="68"/>
        <w:spacing w:after="0"/>
        <w:tabs>
          <w:tab w:leader="none" w:pos="220" w:val="left"/>
        </w:tabs>
        <w:rPr>
          <w:sz w:val="20"/>
          <w:szCs w:val="20"/>
          <w:color w:val="auto"/>
        </w:rPr>
      </w:pPr>
      <w:r>
        <w:rPr>
          <w:rFonts w:ascii="Arial" w:cs="Arial" w:eastAsia="Arial" w:hAnsi="Arial"/>
          <w:sz w:val="19"/>
          <w:szCs w:val="19"/>
          <w:color w:val="auto"/>
        </w:rPr>
        <w:t>Loans that are requested to be LIBOR Loans are requested to have the following Interest Period(s): [</w:t>
      </w:r>
      <w:r>
        <w:rPr>
          <w:sz w:val="20"/>
          <w:szCs w:val="20"/>
          <w:color w:val="auto"/>
        </w:rPr>
        <w:tab/>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5883910</wp:posOffset>
            </wp:positionH>
            <wp:positionV relativeFrom="paragraph">
              <wp:posOffset>-17780</wp:posOffset>
            </wp:positionV>
            <wp:extent cx="1568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05" w:lineRule="exact"/>
        <w:rPr>
          <w:sz w:val="20"/>
          <w:szCs w:val="20"/>
          <w:color w:val="auto"/>
        </w:rPr>
      </w:pPr>
    </w:p>
    <w:p>
      <w:pPr>
        <w:ind w:left="1292" w:right="80" w:firstLine="5"/>
        <w:spacing w:after="0" w:line="276" w:lineRule="auto"/>
        <w:tabs>
          <w:tab w:leader="none" w:pos="1772" w:val="left"/>
        </w:tabs>
        <w:numPr>
          <w:ilvl w:val="2"/>
          <w:numId w:val="212"/>
        </w:numPr>
        <w:rPr>
          <w:rFonts w:ascii="Arial" w:cs="Arial" w:eastAsia="Arial" w:hAnsi="Arial"/>
          <w:sz w:val="20"/>
          <w:szCs w:val="20"/>
          <w:color w:val="auto"/>
        </w:rPr>
      </w:pPr>
      <w:r>
        <w:rPr>
          <w:rFonts w:ascii="Arial" w:cs="Arial" w:eastAsia="Arial" w:hAnsi="Arial"/>
          <w:sz w:val="20"/>
          <w:szCs w:val="20"/>
          <w:color w:val="auto"/>
        </w:rPr>
        <w:t>The proceeds of the Proposed Borrowing are to be deposited into the account or accounts described in the letter attached hereto and in the respective amounts set forth therein.</w:t>
      </w:r>
      <w:r>
        <w:rPr>
          <w:rFonts w:ascii="Arial" w:cs="Arial" w:eastAsia="Arial" w:hAnsi="Arial"/>
          <w:sz w:val="25"/>
          <w:szCs w:val="25"/>
          <w:color w:val="auto"/>
          <w:vertAlign w:val="superscript"/>
        </w:rPr>
        <w:t>4</w:t>
      </w:r>
    </w:p>
    <w:p>
      <w:pPr>
        <w:spacing w:after="0" w:line="120" w:lineRule="exact"/>
        <w:rPr>
          <w:rFonts w:ascii="Arial" w:cs="Arial" w:eastAsia="Arial" w:hAnsi="Arial"/>
          <w:sz w:val="20"/>
          <w:szCs w:val="20"/>
          <w:color w:val="auto"/>
        </w:rPr>
      </w:pPr>
    </w:p>
    <w:p>
      <w:pPr>
        <w:ind w:left="-8" w:right="560" w:firstLine="656"/>
        <w:spacing w:after="0" w:line="303" w:lineRule="auto"/>
        <w:tabs>
          <w:tab w:leader="none" w:pos="1102" w:val="left"/>
        </w:tabs>
        <w:numPr>
          <w:ilvl w:val="1"/>
          <w:numId w:val="213"/>
        </w:numPr>
        <w:rPr>
          <w:rFonts w:ascii="Arial" w:cs="Arial" w:eastAsia="Arial" w:hAnsi="Arial"/>
          <w:sz w:val="20"/>
          <w:szCs w:val="20"/>
          <w:color w:val="auto"/>
        </w:rPr>
      </w:pPr>
      <w:r>
        <w:rPr>
          <w:rFonts w:ascii="Arial" w:cs="Arial" w:eastAsia="Arial" w:hAnsi="Arial"/>
          <w:sz w:val="20"/>
          <w:szCs w:val="20"/>
          <w:color w:val="auto"/>
        </w:rPr>
        <w:t>Borrower hereby represents and warrants that both immediately before and immediately after giving effect to the Proposed Borrowing and the intended use thereof:</w:t>
      </w:r>
    </w:p>
    <w:p>
      <w:pPr>
        <w:spacing w:after="0" w:line="202" w:lineRule="exact"/>
        <w:rPr>
          <w:rFonts w:ascii="Arial" w:cs="Arial" w:eastAsia="Arial" w:hAnsi="Arial"/>
          <w:sz w:val="20"/>
          <w:szCs w:val="20"/>
          <w:color w:val="auto"/>
        </w:rPr>
      </w:pPr>
    </w:p>
    <w:p>
      <w:pPr>
        <w:ind w:left="1292" w:right="180" w:firstLine="5"/>
        <w:spacing w:after="0" w:line="316" w:lineRule="auto"/>
        <w:tabs>
          <w:tab w:leader="none" w:pos="1677" w:val="left"/>
        </w:tabs>
        <w:numPr>
          <w:ilvl w:val="2"/>
          <w:numId w:val="213"/>
        </w:numPr>
        <w:rPr>
          <w:rFonts w:ascii="Arial" w:cs="Arial" w:eastAsia="Arial" w:hAnsi="Arial"/>
          <w:sz w:val="16"/>
          <w:szCs w:val="16"/>
          <w:color w:val="auto"/>
        </w:rPr>
      </w:pPr>
      <w:r>
        <w:rPr>
          <w:rFonts w:ascii="Arial" w:cs="Arial" w:eastAsia="Arial" w:hAnsi="Arial"/>
          <w:sz w:val="16"/>
          <w:szCs w:val="16"/>
          <w:color w:val="auto"/>
        </w:rPr>
        <w:t>[Each of the representations and warranties made by the Credit Parties in Article VIII of the Credit Agreement and by each Credit Party in each other Credit Document to which it is a party is true and correct in all material respects on and as of the date of the making of such Proposed Borrowing with the same force and effect as if made on and as of such date (it being understood and agreed that any such representation or warranty which by its terms is made as of an earlier date is true and correct in all material respects only as such earlier date, and that any representation and warranty that is qualified as to “materiality,” “Material Adverse Effect” or similar language is true and correct in all respects on the applicable date); and]</w:t>
      </w:r>
    </w:p>
    <w:p>
      <w:pPr>
        <w:spacing w:after="0" w:line="153" w:lineRule="exact"/>
        <w:rPr>
          <w:rFonts w:ascii="Arial" w:cs="Arial" w:eastAsia="Arial" w:hAnsi="Arial"/>
          <w:sz w:val="16"/>
          <w:szCs w:val="16"/>
          <w:color w:val="auto"/>
        </w:rPr>
      </w:pPr>
    </w:p>
    <w:p>
      <w:pPr>
        <w:ind w:left="1732" w:hanging="435"/>
        <w:spacing w:after="0"/>
        <w:tabs>
          <w:tab w:leader="none" w:pos="1732" w:val="left"/>
        </w:tabs>
        <w:numPr>
          <w:ilvl w:val="2"/>
          <w:numId w:val="213"/>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w:t>
      </w:r>
      <w:r>
        <w:rPr>
          <w:rFonts w:ascii="Arial" w:cs="Arial" w:eastAsia="Arial" w:hAnsi="Arial"/>
          <w:sz w:val="25"/>
          <w:szCs w:val="25"/>
          <w:color w:val="auto"/>
          <w:vertAlign w:val="superscript"/>
        </w:rPr>
        <w:t>6</w:t>
      </w:r>
    </w:p>
    <w:p>
      <w:pPr>
        <w:spacing w:after="0" w:line="171" w:lineRule="exact"/>
        <w:rPr>
          <w:rFonts w:ascii="Arial" w:cs="Arial" w:eastAsia="Arial" w:hAnsi="Arial"/>
          <w:sz w:val="20"/>
          <w:szCs w:val="20"/>
          <w:color w:val="auto"/>
        </w:rPr>
      </w:pPr>
    </w:p>
    <w:p>
      <w:pPr>
        <w:ind w:left="1292" w:firstLine="5"/>
        <w:spacing w:after="0" w:line="276" w:lineRule="auto"/>
        <w:tabs>
          <w:tab w:leader="none" w:pos="1836" w:val="left"/>
        </w:tabs>
        <w:numPr>
          <w:ilvl w:val="2"/>
          <w:numId w:val="213"/>
        </w:numPr>
        <w:rPr>
          <w:rFonts w:ascii="Arial" w:cs="Arial" w:eastAsia="Arial" w:hAnsi="Arial"/>
          <w:sz w:val="20"/>
          <w:szCs w:val="20"/>
          <w:color w:val="auto"/>
        </w:rPr>
      </w:pPr>
      <w:r>
        <w:rPr>
          <w:rFonts w:ascii="Arial" w:cs="Arial" w:eastAsia="Arial" w:hAnsi="Arial"/>
          <w:sz w:val="20"/>
          <w:szCs w:val="20"/>
          <w:color w:val="auto"/>
        </w:rPr>
        <w:t>[the aggregate amount of all Revolving Loans outstanding (after giving effect to the requested Revolving Loan) does not exceed the amount of the Equity Contributions made on or prior to the date hereof; and]</w:t>
      </w:r>
      <w:r>
        <w:rPr>
          <w:rFonts w:ascii="Arial" w:cs="Arial" w:eastAsia="Arial" w:hAnsi="Arial"/>
          <w:sz w:val="25"/>
          <w:szCs w:val="25"/>
          <w:color w:val="auto"/>
          <w:vertAlign w:val="superscript"/>
        </w:rPr>
        <w:t>7</w:t>
      </w:r>
    </w:p>
    <w:p>
      <w:pPr>
        <w:spacing w:after="0" w:line="118" w:lineRule="exact"/>
        <w:rPr>
          <w:rFonts w:ascii="Arial" w:cs="Arial" w:eastAsia="Arial" w:hAnsi="Arial"/>
          <w:sz w:val="20"/>
          <w:szCs w:val="20"/>
          <w:color w:val="auto"/>
        </w:rPr>
      </w:pPr>
    </w:p>
    <w:p>
      <w:pPr>
        <w:ind w:left="152" w:hanging="152"/>
        <w:spacing w:after="0"/>
        <w:tabs>
          <w:tab w:leader="none" w:pos="152" w:val="left"/>
        </w:tabs>
        <w:numPr>
          <w:ilvl w:val="0"/>
          <w:numId w:val="214"/>
        </w:numPr>
        <w:rPr>
          <w:rFonts w:ascii="Arial" w:cs="Arial" w:eastAsia="Arial" w:hAnsi="Arial"/>
          <w:sz w:val="14"/>
          <w:szCs w:val="14"/>
          <w:color w:val="auto"/>
        </w:rPr>
      </w:pPr>
      <w:r>
        <w:rPr>
          <w:rFonts w:ascii="Arial" w:cs="Arial" w:eastAsia="Arial" w:hAnsi="Arial"/>
          <w:sz w:val="14"/>
          <w:szCs w:val="14"/>
          <w:color w:val="auto"/>
        </w:rPr>
        <w:t>Borrower to attach letter that describes the account or accounts and wire instructions and the amounts to be deposited in such account or accounts.</w:t>
      </w:r>
    </w:p>
    <w:p>
      <w:pPr>
        <w:spacing w:after="0" w:line="311" w:lineRule="exact"/>
        <w:rPr>
          <w:rFonts w:ascii="Arial" w:cs="Arial" w:eastAsia="Arial" w:hAnsi="Arial"/>
          <w:sz w:val="14"/>
          <w:szCs w:val="14"/>
          <w:color w:val="auto"/>
        </w:rPr>
      </w:pPr>
    </w:p>
    <w:p>
      <w:pPr>
        <w:ind w:left="-8" w:right="320" w:firstLine="8"/>
        <w:spacing w:after="0" w:line="273" w:lineRule="auto"/>
        <w:tabs>
          <w:tab w:leader="none" w:pos="136" w:val="left"/>
        </w:tabs>
        <w:numPr>
          <w:ilvl w:val="0"/>
          <w:numId w:val="214"/>
        </w:numPr>
        <w:rPr>
          <w:rFonts w:ascii="Arial" w:cs="Arial" w:eastAsia="Arial" w:hAnsi="Arial"/>
          <w:sz w:val="14"/>
          <w:szCs w:val="14"/>
          <w:color w:val="auto"/>
        </w:rPr>
      </w:pPr>
      <w:r>
        <w:rPr>
          <w:rFonts w:ascii="Arial" w:cs="Arial" w:eastAsia="Arial" w:hAnsi="Arial"/>
          <w:sz w:val="14"/>
          <w:szCs w:val="14"/>
          <w:color w:val="auto"/>
        </w:rPr>
        <w:t>This clause shall not apply to any extensions of credit pursuant to an Incremental Commitment to the extent provided by Section 2.12 of the Credit Agreement and the applicable Incremental Joinder Agreement.</w:t>
      </w:r>
    </w:p>
    <w:p>
      <w:pPr>
        <w:spacing w:after="0" w:line="376" w:lineRule="exact"/>
        <w:rPr>
          <w:rFonts w:ascii="Arial" w:cs="Arial" w:eastAsia="Arial" w:hAnsi="Arial"/>
          <w:sz w:val="14"/>
          <w:szCs w:val="14"/>
          <w:color w:val="auto"/>
        </w:rPr>
      </w:pPr>
    </w:p>
    <w:p>
      <w:pPr>
        <w:ind w:left="-8" w:right="320" w:firstLine="8"/>
        <w:spacing w:after="0" w:line="273" w:lineRule="auto"/>
        <w:tabs>
          <w:tab w:leader="none" w:pos="136" w:val="left"/>
        </w:tabs>
        <w:numPr>
          <w:ilvl w:val="0"/>
          <w:numId w:val="214"/>
        </w:numPr>
        <w:rPr>
          <w:rFonts w:ascii="Arial" w:cs="Arial" w:eastAsia="Arial" w:hAnsi="Arial"/>
          <w:sz w:val="14"/>
          <w:szCs w:val="14"/>
          <w:color w:val="auto"/>
        </w:rPr>
      </w:pPr>
      <w:r>
        <w:rPr>
          <w:rFonts w:ascii="Arial" w:cs="Arial" w:eastAsia="Arial" w:hAnsi="Arial"/>
          <w:sz w:val="14"/>
          <w:szCs w:val="14"/>
          <w:color w:val="auto"/>
        </w:rPr>
        <w:t>This clause shall not apply to any extensions of credit pursuant to an Incremental Commitment to the extent provided by Section 2.12 of the Credit Agreement and the applicable Incremental Joinder Agreement.</w:t>
      </w:r>
    </w:p>
    <w:p>
      <w:pPr>
        <w:spacing w:after="0" w:line="309" w:lineRule="exact"/>
        <w:rPr>
          <w:rFonts w:ascii="Arial" w:cs="Arial" w:eastAsia="Arial" w:hAnsi="Arial"/>
          <w:sz w:val="14"/>
          <w:szCs w:val="14"/>
          <w:color w:val="auto"/>
        </w:rPr>
      </w:pPr>
    </w:p>
    <w:p>
      <w:pPr>
        <w:jc w:val="both"/>
        <w:ind w:left="-8" w:right="60" w:firstLine="8"/>
        <w:spacing w:after="0" w:line="257" w:lineRule="auto"/>
        <w:tabs>
          <w:tab w:leader="none" w:pos="136" w:val="left"/>
        </w:tabs>
        <w:numPr>
          <w:ilvl w:val="0"/>
          <w:numId w:val="214"/>
        </w:numPr>
        <w:rPr>
          <w:rFonts w:ascii="Arial" w:cs="Arial" w:eastAsia="Arial" w:hAnsi="Arial"/>
          <w:sz w:val="14"/>
          <w:szCs w:val="14"/>
          <w:color w:val="auto"/>
        </w:rPr>
      </w:pPr>
      <w:r>
        <w:rPr>
          <w:rFonts w:ascii="Arial" w:cs="Arial" w:eastAsia="Arial" w:hAnsi="Arial"/>
          <w:sz w:val="14"/>
          <w:szCs w:val="14"/>
          <w:color w:val="auto"/>
        </w:rPr>
        <w:t xml:space="preserve">Applicable only from and after December 31, 2015 and until the Wynn Massachusetts Project Opening Date, and if the Credit Parties have not received Equity Contributions as of such date in an amount equal to or greater than the Equity Contribution Threshold; </w:t>
      </w:r>
      <w:r>
        <w:rPr>
          <w:rFonts w:ascii="Arial" w:cs="Arial" w:eastAsia="Arial" w:hAnsi="Arial"/>
          <w:sz w:val="14"/>
          <w:szCs w:val="14"/>
          <w:u w:val="single" w:color="auto"/>
          <w:color w:val="auto"/>
        </w:rPr>
        <w:t>provided</w:t>
      </w:r>
      <w:r>
        <w:rPr>
          <w:rFonts w:ascii="Arial" w:cs="Arial" w:eastAsia="Arial" w:hAnsi="Arial"/>
          <w:sz w:val="14"/>
          <w:szCs w:val="14"/>
          <w:color w:val="auto"/>
        </w:rPr>
        <w:t>, that prior to the Wynn Massachusetts Project Opening Date, this condition shall not apply in connection with any Loan requested by Borrower to be utilized solely to pay interest or fees due and payable or to become due and payable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Exhibit B-2</w:t>
      </w:r>
    </w:p>
    <w:p>
      <w:pPr>
        <w:sectPr>
          <w:pgSz w:w="11900" w:h="16838" w:orient="portrait"/>
          <w:cols w:equalWidth="0" w:num="1">
            <w:col w:w="11392"/>
          </w:cols>
          <w:pgMar w:left="248" w:top="1284" w:right="259" w:bottom="1440" w:gutter="0" w:footer="0" w:header="0"/>
        </w:sectPr>
      </w:pPr>
    </w:p>
    <w:bookmarkStart w:id="250" w:name="page251"/>
    <w:bookmarkEnd w:id="250"/>
    <w:p>
      <w:pPr>
        <w:ind w:left="1300" w:firstLine="5"/>
        <w:spacing w:after="0" w:line="260" w:lineRule="auto"/>
        <w:tabs>
          <w:tab w:leader="none" w:pos="178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 xml:space="preserve">The sum of the aggregate amount of the outstanding Revolving Loans,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aggregate outstanding L/C Liabilities does not exceed the Total Revolving Commitments then in effect.</w:t>
      </w:r>
    </w:p>
    <w:p>
      <w:pPr>
        <w:spacing w:after="0" w:line="19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18"/>
          <w:szCs w:val="18"/>
          <w:color w:val="auto"/>
        </w:rPr>
        <w:t>This Notice of Borrowing is conditioned upon [_____].]</w:t>
      </w:r>
      <w:r>
        <w:rPr>
          <w:rFonts w:ascii="Arial" w:cs="Arial" w:eastAsia="Arial" w:hAnsi="Arial"/>
          <w:sz w:val="23"/>
          <w:szCs w:val="23"/>
          <w:color w:val="auto"/>
          <w:vertAlign w:val="superscript"/>
        </w:rPr>
        <w:t>8</w:t>
      </w:r>
    </w:p>
    <w:p>
      <w:pPr>
        <w:spacing w:after="0" w:line="233" w:lineRule="exact"/>
        <w:rPr>
          <w:sz w:val="20"/>
          <w:szCs w:val="20"/>
          <w:color w:val="auto"/>
        </w:rPr>
      </w:pPr>
    </w:p>
    <w:p>
      <w:pPr>
        <w:jc w:val="center"/>
        <w:ind w:right="-379"/>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8. Describe the applicable acquisition, sale, incurrence of indebtedness or issuance of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Exhibit B-3</w:t>
      </w:r>
    </w:p>
    <w:p>
      <w:pPr>
        <w:sectPr>
          <w:pgSz w:w="11900" w:h="16838" w:orient="portrait"/>
          <w:cols w:equalWidth="0" w:num="1">
            <w:col w:w="11040"/>
          </w:cols>
          <w:pgMar w:left="240" w:top="825" w:right="619" w:bottom="1440" w:gutter="0" w:footer="0" w:header="0"/>
        </w:sectPr>
      </w:pPr>
    </w:p>
    <w:bookmarkStart w:id="251" w:name="page252"/>
    <w:bookmarkEnd w:id="251"/>
    <w:p>
      <w:pPr>
        <w:ind w:left="1400"/>
        <w:spacing w:after="0"/>
        <w:rPr>
          <w:sz w:val="20"/>
          <w:szCs w:val="20"/>
          <w:color w:val="auto"/>
        </w:rPr>
      </w:pPr>
      <w:r>
        <w:rPr>
          <w:rFonts w:ascii="Arial" w:cs="Arial" w:eastAsia="Arial" w:hAnsi="Arial"/>
          <w:sz w:val="20"/>
          <w:szCs w:val="20"/>
          <w:color w:val="auto"/>
        </w:rPr>
        <w:t>WYNN AMERICA,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-14605</wp:posOffset>
            </wp:positionV>
            <wp:extent cx="2514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w:t>
      </w:r>
    </w:p>
    <w:p>
      <w:pPr>
        <w:spacing w:after="0" w:line="4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Exhibit B-4</w:t>
      </w:r>
    </w:p>
    <w:p>
      <w:pPr>
        <w:sectPr>
          <w:pgSz w:w="11900" w:h="16838" w:orient="portrait"/>
          <w:cols w:equalWidth="0" w:num="1">
            <w:col w:w="9019"/>
          </w:cols>
          <w:pgMar w:left="1440" w:top="366" w:right="1440"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Maurice Wooden, certify that:</w:t>
      </w:r>
    </w:p>
    <w:p>
      <w:pPr>
        <w:spacing w:after="0" w:line="171" w:lineRule="exact"/>
        <w:rPr>
          <w:sz w:val="20"/>
          <w:szCs w:val="20"/>
          <w:color w:val="auto"/>
        </w:rPr>
      </w:pPr>
    </w:p>
    <w:p>
      <w:pPr>
        <w:ind w:left="660" w:hanging="652"/>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460" w:right="140" w:hanging="480"/>
        <w:spacing w:after="0" w:line="264" w:lineRule="auto"/>
        <w:tabs>
          <w:tab w:leader="none" w:pos="14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460" w:right="460" w:hanging="480"/>
        <w:spacing w:after="0" w:line="342" w:lineRule="auto"/>
        <w:tabs>
          <w:tab w:leader="none" w:pos="146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60" w:right="160" w:hanging="480"/>
        <w:spacing w:after="0" w:line="277" w:lineRule="auto"/>
        <w:tabs>
          <w:tab w:leader="none" w:pos="14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Maurice Wooden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1"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Dean Lawrence, certify that:</w:t>
      </w:r>
    </w:p>
    <w:p>
      <w:pPr>
        <w:spacing w:after="0" w:line="171" w:lineRule="exact"/>
        <w:rPr>
          <w:sz w:val="20"/>
          <w:szCs w:val="20"/>
          <w:color w:val="auto"/>
        </w:rPr>
      </w:pPr>
    </w:p>
    <w:p>
      <w:pPr>
        <w:ind w:left="660" w:hanging="652"/>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460" w:right="140" w:hanging="480"/>
        <w:spacing w:after="0" w:line="264" w:lineRule="auto"/>
        <w:tabs>
          <w:tab w:leader="none" w:pos="146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460" w:right="460" w:hanging="480"/>
        <w:spacing w:after="0" w:line="342" w:lineRule="auto"/>
        <w:tabs>
          <w:tab w:leader="none" w:pos="146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60" w:right="160" w:hanging="480"/>
        <w:spacing w:after="0" w:line="277" w:lineRule="auto"/>
        <w:tabs>
          <w:tab w:leader="none" w:pos="146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Dean Lawrence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June 30, 2016 as filed with the Securities and Exchange Commission on the date hereof (the “Report”), Maurice Wooden, as President of the Company and Dean Lawrence,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192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220"/>
              <w:spacing w:after="0"/>
              <w:rPr>
                <w:sz w:val="20"/>
                <w:szCs w:val="20"/>
                <w:color w:val="auto"/>
              </w:rPr>
            </w:pPr>
            <w:r>
              <w:rPr>
                <w:rFonts w:ascii="Arial" w:cs="Arial" w:eastAsia="Arial" w:hAnsi="Arial"/>
                <w:sz w:val="18"/>
                <w:szCs w:val="18"/>
                <w:color w:val="auto"/>
              </w:rPr>
              <w:t>Maurice Wooden</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220"/>
              <w:spacing w:after="0"/>
              <w:rPr>
                <w:sz w:val="20"/>
                <w:szCs w:val="20"/>
                <w:color w:val="auto"/>
              </w:rPr>
            </w:pPr>
            <w:r>
              <w:rPr>
                <w:rFonts w:ascii="Arial" w:cs="Arial" w:eastAsia="Arial" w:hAnsi="Arial"/>
                <w:sz w:val="18"/>
                <w:szCs w:val="18"/>
                <w:color w:val="auto"/>
              </w:rPr>
              <w:t>President</w:t>
            </w:r>
          </w:p>
        </w:tc>
      </w:tr>
      <w:tr>
        <w:trPr>
          <w:trHeight w:val="270"/>
        </w:trPr>
        <w:tc>
          <w:tcPr>
            <w:tcW w:w="74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220"/>
              <w:spacing w:after="0"/>
              <w:rPr>
                <w:sz w:val="20"/>
                <w:szCs w:val="20"/>
                <w:color w:val="auto"/>
              </w:rPr>
            </w:pPr>
            <w:r>
              <w:rPr>
                <w:rFonts w:ascii="Arial" w:cs="Arial" w:eastAsia="Arial" w:hAnsi="Arial"/>
                <w:sz w:val="18"/>
                <w:szCs w:val="18"/>
                <w:color w:val="auto"/>
              </w:rPr>
              <w:t>August 9, 2016</w:t>
            </w:r>
          </w:p>
        </w:tc>
      </w:tr>
      <w:tr>
        <w:trPr>
          <w:trHeight w:val="405"/>
        </w:trPr>
        <w:tc>
          <w:tcPr>
            <w:tcW w:w="6180" w:type="dxa"/>
            <w:vAlign w:val="bottom"/>
            <w:gridSpan w:val="2"/>
          </w:tcPr>
          <w:p>
            <w:pPr>
              <w:ind w:left="500"/>
              <w:spacing w:after="0"/>
              <w:rPr>
                <w:sz w:val="20"/>
                <w:szCs w:val="20"/>
                <w:color w:val="auto"/>
              </w:rPr>
            </w:pPr>
            <w:r>
              <w:rPr>
                <w:rFonts w:ascii="Arial" w:cs="Arial" w:eastAsia="Arial" w:hAnsi="Arial"/>
                <w:sz w:val="18"/>
                <w:szCs w:val="18"/>
                <w:color w:val="auto"/>
              </w:rPr>
              <w:t>/s/ Dean Lawrence</w:t>
            </w:r>
          </w:p>
        </w:tc>
      </w:tr>
      <w:tr>
        <w:trPr>
          <w:trHeight w:val="27"/>
        </w:trPr>
        <w:tc>
          <w:tcPr>
            <w:tcW w:w="7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220"/>
              <w:spacing w:after="0"/>
              <w:rPr>
                <w:sz w:val="20"/>
                <w:szCs w:val="20"/>
                <w:color w:val="auto"/>
              </w:rPr>
            </w:pPr>
            <w:r>
              <w:rPr>
                <w:rFonts w:ascii="Arial" w:cs="Arial" w:eastAsia="Arial" w:hAnsi="Arial"/>
                <w:sz w:val="18"/>
                <w:szCs w:val="18"/>
                <w:color w:val="auto"/>
              </w:rPr>
              <w:t>Dean Lawrence</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74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220"/>
              <w:spacing w:after="0"/>
              <w:rPr>
                <w:sz w:val="20"/>
                <w:szCs w:val="20"/>
                <w:color w:val="auto"/>
              </w:rPr>
            </w:pPr>
            <w:r>
              <w:rPr>
                <w:rFonts w:ascii="Arial" w:cs="Arial" w:eastAsia="Arial" w:hAnsi="Arial"/>
                <w:sz w:val="18"/>
                <w:szCs w:val="18"/>
                <w:color w:val="auto"/>
              </w:rPr>
              <w:t>August 9, 2016</w:t>
            </w:r>
          </w:p>
        </w:tc>
      </w:tr>
    </w:tbl>
    <w:p>
      <w:pPr>
        <w:spacing w:after="0" w:line="17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7E1B4E"/>
    <w:multiLevelType w:val="hybridMultilevel"/>
    <w:lvl w:ilvl="0">
      <w:lvlJc w:val="left"/>
      <w:lvlText w:val="x"/>
      <w:numFmt w:val="bullet"/>
      <w:start w:val="1"/>
    </w:lvl>
  </w:abstractNum>
  <w:abstractNum w:abstractNumId="1">
    <w:nsid w:val="51088277"/>
    <w:multiLevelType w:val="hybridMultilevel"/>
    <w:lvl w:ilvl="0">
      <w:lvlJc w:val="left"/>
      <w:lvlText w:val="☐"/>
      <w:numFmt w:val="bullet"/>
      <w:start w:val="1"/>
    </w:lvl>
  </w:abstractNum>
  <w:abstractNum w:abstractNumId="2">
    <w:nsid w:val="1CA0C5FA"/>
    <w:multiLevelType w:val="hybridMultilevel"/>
    <w:lvl w:ilvl="0">
      <w:lvlJc w:val="left"/>
      <w:lvlText w:val="(%1)"/>
      <w:numFmt w:val="decimal"/>
      <w:start w:val="3"/>
    </w:lvl>
  </w:abstractNum>
  <w:abstractNum w:abstractNumId="3">
    <w:nsid w:val="53584BCB"/>
    <w:multiLevelType w:val="hybridMultilevel"/>
    <w:lvl w:ilvl="0">
      <w:lvlJc w:val="left"/>
      <w:lvlText w:val="(%1)"/>
      <w:numFmt w:val="decimal"/>
      <w:start w:val="3"/>
    </w:lvl>
  </w:abstractNum>
  <w:abstractNum w:abstractNumId="4">
    <w:nsid w:val="415E286C"/>
    <w:multiLevelType w:val="hybridMultilevel"/>
    <w:lvl w:ilvl="0">
      <w:lvlJc w:val="left"/>
      <w:lvlText w:val="•"/>
      <w:numFmt w:val="bullet"/>
      <w:start w:val="1"/>
    </w:lvl>
  </w:abstractNum>
  <w:abstractNum w:abstractNumId="5">
    <w:nsid w:val="7C58FD05"/>
    <w:multiLevelType w:val="hybridMultilevel"/>
    <w:lvl w:ilvl="0">
      <w:lvlJc w:val="left"/>
      <w:lvlText w:val="•"/>
      <w:numFmt w:val="bullet"/>
      <w:start w:val="1"/>
    </w:lvl>
  </w:abstractNum>
  <w:abstractNum w:abstractNumId="6">
    <w:nsid w:val="23D86AAC"/>
    <w:multiLevelType w:val="hybridMultilevel"/>
    <w:lvl w:ilvl="0">
      <w:lvlJc w:val="left"/>
      <w:lvlText w:val="•"/>
      <w:numFmt w:val="bullet"/>
      <w:start w:val="1"/>
    </w:lvl>
  </w:abstractNum>
  <w:abstractNum w:abstractNumId="7">
    <w:nsid w:val="45E6D486"/>
    <w:multiLevelType w:val="hybridMultilevel"/>
    <w:lvl w:ilvl="0">
      <w:lvlJc w:val="left"/>
      <w:lvlText w:val="(%1)"/>
      <w:numFmt w:val="lowerLetter"/>
      <w:start w:val="1"/>
    </w:lvl>
  </w:abstractNum>
  <w:abstractNum w:abstractNumId="8">
    <w:nsid w:val="5C10FE21"/>
    <w:multiLevelType w:val="hybridMultilevel"/>
    <w:lvl w:ilvl="0">
      <w:lvlJc w:val="left"/>
      <w:lvlText w:val="(%1)"/>
      <w:numFmt w:val="lowerLetter"/>
      <w:start w:val="2"/>
    </w:lvl>
  </w:abstractNum>
  <w:abstractNum w:abstractNumId="9">
    <w:nsid w:val="E7FFA2B"/>
    <w:multiLevelType w:val="hybridMultilevel"/>
    <w:lvl w:ilvl="0">
      <w:lvlJc w:val="left"/>
      <w:lvlText w:val="*"/>
      <w:numFmt w:val="bullet"/>
      <w:start w:val="1"/>
    </w:lvl>
  </w:abstractNum>
  <w:abstractNum w:abstractNumId="10">
    <w:nsid w:val="3C5991AA"/>
    <w:multiLevelType w:val="hybridMultilevel"/>
    <w:lvl w:ilvl="0">
      <w:lvlJc w:val="left"/>
      <w:lvlText w:val="(%1)"/>
      <w:numFmt w:val="lowerLetter"/>
      <w:start w:val="1"/>
    </w:lvl>
  </w:abstractNum>
  <w:abstractNum w:abstractNumId="11">
    <w:nsid w:val="4BD8591A"/>
    <w:multiLevelType w:val="hybridMultilevel"/>
    <w:lvl w:ilvl="0">
      <w:lvlJc w:val="left"/>
      <w:lvlText w:val="(%1)"/>
      <w:numFmt w:val="lowerLetter"/>
      <w:start w:val="2"/>
    </w:lvl>
  </w:abstractNum>
  <w:abstractNum w:abstractNumId="12">
    <w:nsid w:val="78DF6A55"/>
    <w:multiLevelType w:val="hybridMultilevel"/>
    <w:lvl w:ilvl="0">
      <w:lvlJc w:val="left"/>
      <w:lvlText w:val="(%1)"/>
      <w:numFmt w:val="lowerLetter"/>
      <w:start w:val="3"/>
    </w:lvl>
  </w:abstractNum>
  <w:abstractNum w:abstractNumId="13">
    <w:nsid w:val="39B7AAA2"/>
    <w:multiLevelType w:val="hybridMultilevel"/>
    <w:lvl w:ilvl="0">
      <w:lvlJc w:val="left"/>
      <w:lvlText w:val="(%1)"/>
      <w:numFmt w:val="lowerLetter"/>
      <w:start w:val="4"/>
    </w:lvl>
  </w:abstractNum>
  <w:abstractNum w:abstractNumId="14">
    <w:nsid w:val="2B0D8DBE"/>
    <w:multiLevelType w:val="hybridMultilevel"/>
    <w:lvl w:ilvl="0">
      <w:lvlJc w:val="left"/>
      <w:lvlText w:val="(%1)"/>
      <w:numFmt w:val="lowerRoman"/>
      <w:start w:val="4"/>
    </w:lvl>
  </w:abstractNum>
  <w:abstractNum w:abstractNumId="15">
    <w:nsid w:val="6C80EC70"/>
    <w:multiLevelType w:val="hybridMultilevel"/>
    <w:lvl w:ilvl="0">
      <w:lvlJc w:val="left"/>
      <w:lvlText w:val="(%1)"/>
      <w:numFmt w:val="lowerLetter"/>
      <w:start w:val="5"/>
    </w:lvl>
  </w:abstractNum>
  <w:abstractNum w:abstractNumId="16">
    <w:nsid w:val="379E21B5"/>
    <w:multiLevelType w:val="hybridMultilevel"/>
    <w:lvl w:ilvl="0">
      <w:lvlJc w:val="left"/>
      <w:lvlText w:val="(%1)"/>
      <w:numFmt w:val="lowerRoman"/>
      <w:start w:val="1"/>
    </w:lvl>
  </w:abstractNum>
  <w:abstractNum w:abstractNumId="17">
    <w:nsid w:val="69E373"/>
    <w:multiLevelType w:val="hybridMultilevel"/>
    <w:lvl w:ilvl="0">
      <w:lvlJc w:val="left"/>
      <w:lvlText w:val="(%1)"/>
      <w:numFmt w:val="lowerLetter"/>
      <w:start w:val="6"/>
    </w:lvl>
  </w:abstractNum>
  <w:abstractNum w:abstractNumId="18">
    <w:nsid w:val="2C27173B"/>
    <w:multiLevelType w:val="hybridMultilevel"/>
    <w:lvl w:ilvl="0">
      <w:lvlJc w:val="left"/>
      <w:lvlText w:val="(%1)"/>
      <w:numFmt w:val="lowerLetter"/>
      <w:start w:val="2"/>
    </w:lvl>
  </w:abstractNum>
  <w:abstractNum w:abstractNumId="19">
    <w:nsid w:val="4C9B0904"/>
    <w:multiLevelType w:val="hybridMultilevel"/>
    <w:lvl w:ilvl="0">
      <w:lvlJc w:val="left"/>
      <w:lvlText w:val="(%1)"/>
      <w:numFmt w:val="lowerLetter"/>
      <w:start w:val="1"/>
    </w:lvl>
  </w:abstractNum>
  <w:abstractNum w:abstractNumId="20">
    <w:nsid w:val="6AA7B75C"/>
    <w:multiLevelType w:val="hybridMultilevel"/>
    <w:lvl w:ilvl="0">
      <w:lvlJc w:val="left"/>
      <w:lvlText w:val="(%1)"/>
      <w:numFmt w:val="lowerLetter"/>
      <w:start w:val="1"/>
    </w:lvl>
  </w:abstractNum>
  <w:abstractNum w:abstractNumId="21">
    <w:nsid w:val="1DF029D3"/>
    <w:multiLevelType w:val="hybridMultilevel"/>
    <w:lvl w:ilvl="0">
      <w:lvlJc w:val="left"/>
      <w:lvlText w:val="(%1)"/>
      <w:numFmt w:val="lowerLetter"/>
      <w:start w:val="1"/>
    </w:lvl>
  </w:abstractNum>
  <w:abstractNum w:abstractNumId="22">
    <w:nsid w:val="5675FF36"/>
    <w:multiLevelType w:val="hybridMultilevel"/>
    <w:lvl w:ilvl="0">
      <w:lvlJc w:val="left"/>
      <w:lvlText w:val="(%1)"/>
      <w:numFmt w:val="lowerLetter"/>
      <w:start w:val="2"/>
    </w:lvl>
  </w:abstractNum>
  <w:abstractNum w:abstractNumId="23">
    <w:nsid w:val="3DD15094"/>
    <w:multiLevelType w:val="hybridMultilevel"/>
    <w:lvl w:ilvl="0">
      <w:lvlJc w:val="left"/>
      <w:lvlText w:val="(%1)"/>
      <w:numFmt w:val="lowerLetter"/>
      <w:start w:val="1"/>
    </w:lvl>
  </w:abstractNum>
  <w:abstractNum w:abstractNumId="24">
    <w:nsid w:val="3DB012B3"/>
    <w:multiLevelType w:val="hybridMultilevel"/>
    <w:lvl w:ilvl="0">
      <w:lvlJc w:val="left"/>
      <w:lvlText w:val="(%1)"/>
      <w:numFmt w:val="lowerLetter"/>
      <w:start w:val="1"/>
    </w:lvl>
  </w:abstractNum>
  <w:abstractNum w:abstractNumId="25">
    <w:nsid w:val="2708C9AF"/>
    <w:multiLevelType w:val="hybridMultilevel"/>
    <w:lvl w:ilvl="0">
      <w:lvlJc w:val="left"/>
      <w:lvlText w:val="-"/>
      <w:numFmt w:val="bullet"/>
      <w:start w:val="1"/>
    </w:lvl>
  </w:abstractNum>
  <w:abstractNum w:abstractNumId="26">
    <w:nsid w:val="5B25ACE2"/>
    <w:multiLevelType w:val="hybridMultilevel"/>
    <w:lvl w:ilvl="0">
      <w:lvlJc w:val="left"/>
      <w:lvlText w:val="(%1)"/>
      <w:numFmt w:val="lowerLetter"/>
      <w:start w:val="2"/>
    </w:lvl>
  </w:abstractNum>
  <w:abstractNum w:abstractNumId="27">
    <w:nsid w:val="175DFCF0"/>
    <w:multiLevelType w:val="hybridMultilevel"/>
    <w:lvl w:ilvl="0">
      <w:lvlJc w:val="left"/>
      <w:lvlText w:val="(%1)"/>
      <w:numFmt w:val="lowerLetter"/>
      <w:start w:val="1"/>
    </w:lvl>
  </w:abstractNum>
  <w:abstractNum w:abstractNumId="28">
    <w:nsid w:val="4F97E3E4"/>
    <w:multiLevelType w:val="hybridMultilevel"/>
    <w:lvl w:ilvl="0">
      <w:lvlJc w:val="left"/>
      <w:lvlText w:val="(%1)"/>
      <w:numFmt w:val="lowerLetter"/>
      <w:start w:val="1"/>
    </w:lvl>
  </w:abstractNum>
  <w:abstractNum w:abstractNumId="29">
    <w:nsid w:val="53B0A9E"/>
    <w:multiLevelType w:val="hybridMultilevel"/>
    <w:lvl w:ilvl="0">
      <w:lvlJc w:val="left"/>
      <w:lvlText w:val="(%1)"/>
      <w:numFmt w:val="lowerLetter"/>
      <w:start w:val="5"/>
    </w:lvl>
  </w:abstractNum>
  <w:abstractNum w:abstractNumId="30">
    <w:nsid w:val="34FD6B4F"/>
    <w:multiLevelType w:val="hybridMultilevel"/>
    <w:lvl w:ilvl="0">
      <w:lvlJc w:val="left"/>
      <w:lvlText w:val="(%1)"/>
      <w:numFmt w:val="lowerLetter"/>
      <w:start w:val="8"/>
    </w:lvl>
  </w:abstractNum>
  <w:abstractNum w:abstractNumId="31">
    <w:nsid w:val="5915FF32"/>
    <w:multiLevelType w:val="hybridMultilevel"/>
    <w:lvl w:ilvl="0">
      <w:lvlJc w:val="left"/>
      <w:lvlText w:val="(%1)"/>
      <w:numFmt w:val="lowerLetter"/>
      <w:start w:val="1"/>
    </w:lvl>
  </w:abstractNum>
  <w:abstractNum w:abstractNumId="32">
    <w:nsid w:val="56438D15"/>
    <w:multiLevelType w:val="hybridMultilevel"/>
    <w:lvl w:ilvl="0">
      <w:lvlJc w:val="left"/>
      <w:lvlText w:val="(%1)"/>
      <w:numFmt w:val="lowerLetter"/>
      <w:start w:val="1"/>
    </w:lvl>
    <w:lvl w:ilvl="1">
      <w:lvlJc w:val="left"/>
      <w:lvlText w:val="(%2)"/>
      <w:numFmt w:val="lowerRoman"/>
      <w:start w:val="1"/>
    </w:lvl>
  </w:abstractNum>
  <w:abstractNum w:abstractNumId="33">
    <w:nsid w:val="519E314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7"/>
    </w:lvl>
  </w:abstractNum>
  <w:abstractNum w:abstractNumId="34">
    <w:nsid w:val="2C6E4AF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5">
    <w:nsid w:val="17A1B582"/>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36">
    <w:nsid w:val="4DF72E4E"/>
    <w:multiLevelType w:val="hybridMultilevel"/>
    <w:lvl w:ilvl="0">
      <w:lvlJc w:val="left"/>
      <w:lvlText w:val="(%1)"/>
      <w:numFmt w:val="lowerLetter"/>
      <w:start w:val="5"/>
    </w:lvl>
  </w:abstractNum>
  <w:abstractNum w:abstractNumId="37">
    <w:nsid w:val="5046B5A9"/>
    <w:multiLevelType w:val="hybridMultilevel"/>
    <w:lvl w:ilvl="0">
      <w:lvlJc w:val="left"/>
      <w:lvlText w:val="(%1)"/>
      <w:numFmt w:val="upperLetter"/>
      <w:start w:val="1"/>
    </w:lvl>
  </w:abstractNum>
  <w:abstractNum w:abstractNumId="38">
    <w:nsid w:val="5D888A08"/>
    <w:multiLevelType w:val="hybridMultilevel"/>
    <w:lvl w:ilvl="0">
      <w:lvlJc w:val="left"/>
      <w:lvlText w:val="(%1)"/>
      <w:numFmt w:val="lowerLetter"/>
      <w:start w:val="1"/>
    </w:lvl>
  </w:abstractNum>
  <w:abstractNum w:abstractNumId="39">
    <w:nsid w:val="2A082C70"/>
    <w:multiLevelType w:val="hybridMultilevel"/>
    <w:lvl w:ilvl="0">
      <w:lvlJc w:val="left"/>
      <w:lvlText w:val="(%1)"/>
      <w:numFmt w:val="lowerLetter"/>
      <w:start w:val="3"/>
    </w:lvl>
  </w:abstractNum>
  <w:abstractNum w:abstractNumId="40">
    <w:nsid w:val="5EC6AFD4"/>
    <w:multiLevelType w:val="hybridMultilevel"/>
    <w:lvl w:ilvl="0">
      <w:lvlJc w:val="left"/>
      <w:lvlText w:val="(%1)"/>
      <w:numFmt w:val="lowerLetter"/>
      <w:start w:val="1"/>
    </w:lvl>
  </w:abstractNum>
  <w:abstractNum w:abstractNumId="41">
    <w:nsid w:val="19E21BB2"/>
    <w:multiLevelType w:val="hybridMultilevel"/>
    <w:lvl w:ilvl="0">
      <w:lvlJc w:val="left"/>
      <w:lvlText w:val="(%1)"/>
      <w:numFmt w:val="lowerLetter"/>
      <w:start w:val="6"/>
    </w:lvl>
  </w:abstractNum>
  <w:abstractNum w:abstractNumId="42">
    <w:nsid w:val="75E0858A"/>
    <w:multiLevelType w:val="hybridMultilevel"/>
    <w:lvl w:ilvl="0">
      <w:lvlJc w:val="left"/>
      <w:lvlText w:val="(%1)"/>
      <w:numFmt w:val="lowerLetter"/>
      <w:start w:val="7"/>
    </w:lvl>
  </w:abstractNum>
  <w:abstractNum w:abstractNumId="43">
    <w:nsid w:val="57A61A29"/>
    <w:multiLevelType w:val="hybridMultilevel"/>
    <w:lvl w:ilvl="0">
      <w:lvlJc w:val="left"/>
      <w:lvlText w:val="(%1)"/>
      <w:numFmt w:val="lowerLetter"/>
      <w:start w:val="2"/>
    </w:lvl>
  </w:abstractNum>
  <w:abstractNum w:abstractNumId="44">
    <w:nsid w:val="5399C654"/>
    <w:multiLevelType w:val="hybridMultilevel"/>
    <w:lvl w:ilvl="0">
      <w:lvlJc w:val="left"/>
      <w:lvlText w:val="(%1)"/>
      <w:numFmt w:val="lowerLetter"/>
      <w:start w:val="2"/>
    </w:lvl>
  </w:abstractNum>
  <w:abstractNum w:abstractNumId="45">
    <w:nsid w:val="20EE1348"/>
    <w:multiLevelType w:val="hybridMultilevel"/>
    <w:lvl w:ilvl="0">
      <w:lvlJc w:val="left"/>
      <w:lvlText w:val="(%1)"/>
      <w:numFmt w:val="lowerLetter"/>
      <w:start w:val="61"/>
    </w:lvl>
  </w:abstractNum>
  <w:abstractNum w:abstractNumId="46">
    <w:nsid w:val="4427069A"/>
    <w:multiLevelType w:val="hybridMultilevel"/>
    <w:lvl w:ilvl="0">
      <w:lvlJc w:val="left"/>
      <w:lvlText w:val="(%1)"/>
      <w:numFmt w:val="lowerLetter"/>
      <w:start w:val="1"/>
    </w:lvl>
  </w:abstractNum>
  <w:abstractNum w:abstractNumId="47">
    <w:nsid w:val="B37E80A"/>
    <w:multiLevelType w:val="hybridMultilevel"/>
    <w:lvl w:ilvl="0">
      <w:lvlJc w:val="left"/>
      <w:lvlText w:val="(%1)"/>
      <w:numFmt w:val="lowerRoman"/>
      <w:start w:val="1"/>
    </w:lvl>
  </w:abstractNum>
  <w:abstractNum w:abstractNumId="48">
    <w:nsid w:val="2157F6BC"/>
    <w:multiLevelType w:val="hybridMultilevel"/>
    <w:lvl w:ilvl="0">
      <w:lvlJc w:val="left"/>
      <w:lvlText w:val="%1"/>
      <w:numFmt w:val="upperLetter"/>
      <w:start w:val="1"/>
    </w:lvl>
    <w:lvl w:ilvl="1">
      <w:lvlJc w:val="left"/>
      <w:lvlText w:val="(%2)"/>
      <w:numFmt w:val="lowerRoman"/>
      <w:start w:val="1"/>
    </w:lvl>
  </w:abstractNum>
  <w:abstractNum w:abstractNumId="49">
    <w:nsid w:val="704E1DD5"/>
    <w:multiLevelType w:val="hybridMultilevel"/>
    <w:lvl w:ilvl="0">
      <w:lvlJc w:val="left"/>
      <w:lvlText w:val="(%1)"/>
      <w:numFmt w:val="upperLetter"/>
      <w:start w:val="2"/>
    </w:lvl>
    <w:lvl w:ilvl="1">
      <w:lvlJc w:val="left"/>
      <w:lvlText w:val="%2"/>
      <w:numFmt w:val="lowerRoman"/>
      <w:start w:val="1"/>
    </w:lvl>
  </w:abstractNum>
  <w:abstractNum w:abstractNumId="50">
    <w:nsid w:val="57D2F10E"/>
    <w:multiLevelType w:val="hybridMultilevel"/>
    <w:lvl w:ilvl="0">
      <w:lvlJc w:val="left"/>
      <w:lvlText w:val="(%1)"/>
      <w:numFmt w:val="lowerRoman"/>
      <w:start w:val="3"/>
    </w:lvl>
  </w:abstractNum>
  <w:abstractNum w:abstractNumId="51">
    <w:nsid w:val="BFFAE18"/>
    <w:multiLevelType w:val="hybridMultilevel"/>
    <w:lvl w:ilvl="0">
      <w:lvlJc w:val="left"/>
      <w:lvlText w:val="(%1)"/>
      <w:numFmt w:val="lowerLetter"/>
      <w:start w:val="1"/>
    </w:lvl>
  </w:abstractNum>
  <w:abstractNum w:abstractNumId="52">
    <w:nsid w:val="E3E47A8"/>
    <w:multiLevelType w:val="hybridMultilevel"/>
    <w:lvl w:ilvl="0">
      <w:lvlJc w:val="left"/>
      <w:lvlText w:val="(%1)"/>
      <w:numFmt w:val="lowerLetter"/>
      <w:start w:val="2"/>
    </w:lvl>
  </w:abstractNum>
  <w:abstractNum w:abstractNumId="53">
    <w:nsid w:val="2E48F044"/>
    <w:multiLevelType w:val="hybridMultilevel"/>
    <w:lvl w:ilvl="0">
      <w:lvlJc w:val="left"/>
      <w:lvlText w:val="%1"/>
      <w:numFmt w:val="lowerRoman"/>
      <w:start w:val="1"/>
    </w:lvl>
    <w:lvl w:ilvl="1">
      <w:lvlJc w:val="left"/>
      <w:lvlText w:val="(%2)"/>
      <w:numFmt w:val="lowerLetter"/>
      <w:start w:val="1"/>
    </w:lvl>
  </w:abstractNum>
  <w:abstractNum w:abstractNumId="54">
    <w:nsid w:val="49D0FEAC"/>
    <w:multiLevelType w:val="hybridMultilevel"/>
    <w:lvl w:ilvl="0">
      <w:lvlJc w:val="left"/>
      <w:lvlText w:val="(%1)"/>
      <w:numFmt w:val="lowerRoman"/>
      <w:start w:val="1"/>
    </w:lvl>
    <w:lvl w:ilvl="1">
      <w:lvlJc w:val="left"/>
      <w:lvlText w:val="%2"/>
      <w:numFmt w:val="lowerLetter"/>
      <w:start w:val="1"/>
    </w:lvl>
  </w:abstractNum>
  <w:abstractNum w:abstractNumId="55">
    <w:nsid w:val="4BEE5A5B"/>
    <w:multiLevelType w:val="hybridMultilevel"/>
    <w:lvl w:ilvl="0">
      <w:lvlJc w:val="left"/>
      <w:lvlText w:val="(%1)"/>
      <w:numFmt w:val="lowerRoman"/>
      <w:start w:val="6"/>
    </w:lvl>
    <w:lvl w:ilvl="1">
      <w:lvlJc w:val="left"/>
      <w:lvlText w:val="(%2)"/>
      <w:numFmt w:val="lowerLetter"/>
      <w:start w:val="3"/>
    </w:lvl>
  </w:abstractNum>
  <w:abstractNum w:abstractNumId="56">
    <w:nsid w:val="5551B9F3"/>
    <w:multiLevelType w:val="hybridMultilevel"/>
    <w:lvl w:ilvl="0">
      <w:lvlJc w:val="left"/>
      <w:lvlText w:val="(%1)"/>
      <w:numFmt w:val="lowerLetter"/>
      <w:start w:val="1"/>
    </w:lvl>
  </w:abstractNum>
  <w:abstractNum w:abstractNumId="57">
    <w:nsid w:val="24F6AB8E"/>
    <w:multiLevelType w:val="hybridMultilevel"/>
    <w:lvl w:ilvl="0">
      <w:lvlJc w:val="left"/>
      <w:lvlText w:val="(%1)"/>
      <w:numFmt w:val="lowerLetter"/>
      <w:start w:val="2"/>
    </w:lvl>
  </w:abstractNum>
  <w:abstractNum w:abstractNumId="58">
    <w:nsid w:val="634C574C"/>
    <w:multiLevelType w:val="hybridMultilevel"/>
    <w:lvl w:ilvl="0">
      <w:lvlJc w:val="left"/>
      <w:lvlText w:val="(%1)"/>
      <w:numFmt w:val="lowerLetter"/>
      <w:start w:val="5"/>
    </w:lvl>
  </w:abstractNum>
  <w:abstractNum w:abstractNumId="59">
    <w:nsid w:val="24E99DD7"/>
    <w:multiLevelType w:val="hybridMultilevel"/>
    <w:lvl w:ilvl="0">
      <w:lvlJc w:val="left"/>
      <w:lvlText w:val="(%1)"/>
      <w:numFmt w:val="lowerLetter"/>
      <w:start w:val="1"/>
    </w:lvl>
  </w:abstractNum>
  <w:abstractNum w:abstractNumId="60">
    <w:nsid w:val="2A31B62D"/>
    <w:multiLevelType w:val="hybridMultilevel"/>
    <w:lvl w:ilvl="0">
      <w:lvlJc w:val="left"/>
      <w:lvlText w:val="(%1)"/>
      <w:numFmt w:val="lowerLetter"/>
      <w:start w:val="1"/>
    </w:lvl>
    <w:lvl w:ilvl="1">
      <w:lvlJc w:val="left"/>
      <w:lvlText w:val="(%2)"/>
      <w:numFmt w:val="lowerRoman"/>
      <w:start w:val="1"/>
    </w:lvl>
  </w:abstractNum>
  <w:abstractNum w:abstractNumId="61">
    <w:nsid w:val="1849C29B"/>
    <w:multiLevelType w:val="hybridMultilevel"/>
    <w:lvl w:ilvl="0">
      <w:lvlJc w:val="left"/>
      <w:lvlText w:val="(%1)"/>
      <w:numFmt w:val="lowerRoman"/>
      <w:start w:val="1"/>
    </w:lvl>
  </w:abstractNum>
  <w:abstractNum w:abstractNumId="62">
    <w:nsid w:val="7DFF9D09"/>
    <w:multiLevelType w:val="hybridMultilevel"/>
    <w:lvl w:ilvl="0">
      <w:lvlJc w:val="left"/>
      <w:lvlText w:val="%1"/>
      <w:numFmt w:val="lowerRoman"/>
      <w:start w:val="1"/>
    </w:lvl>
    <w:lvl w:ilvl="1">
      <w:lvlJc w:val="left"/>
      <w:lvlText w:val="(%2)"/>
      <w:numFmt w:val="lowerRoman"/>
      <w:start w:val="3"/>
    </w:lvl>
  </w:abstractNum>
  <w:abstractNum w:abstractNumId="63">
    <w:nsid w:val="754342"/>
    <w:multiLevelType w:val="hybridMultilevel"/>
    <w:lvl w:ilvl="0">
      <w:lvlJc w:val="left"/>
      <w:lvlText w:val="(%1)"/>
      <w:numFmt w:val="lowerRoman"/>
      <w:start w:val="4"/>
    </w:lvl>
    <w:lvl w:ilvl="1">
      <w:lvlJc w:val="left"/>
      <w:lvlText w:val="%2"/>
      <w:numFmt w:val="lowerRoman"/>
      <w:start w:val="1"/>
    </w:lvl>
  </w:abstractNum>
  <w:abstractNum w:abstractNumId="64">
    <w:nsid w:val="69E7F3E5"/>
    <w:multiLevelType w:val="hybridMultilevel"/>
    <w:lvl w:ilvl="0">
      <w:lvlJc w:val="left"/>
      <w:lvlText w:val="(%1)"/>
      <w:numFmt w:val="lowerLetter"/>
      <w:start w:val="3"/>
    </w:lvl>
    <w:lvl w:ilvl="1">
      <w:lvlJc w:val="left"/>
      <w:lvlText w:val="(%2)"/>
      <w:numFmt w:val="lowerRoman"/>
      <w:start w:val="1"/>
    </w:lvl>
  </w:abstractNum>
  <w:abstractNum w:abstractNumId="65">
    <w:nsid w:val="2A6DE806"/>
    <w:multiLevelType w:val="hybridMultilevel"/>
    <w:lvl w:ilvl="0">
      <w:lvlJc w:val="left"/>
      <w:lvlText w:val="(%1)"/>
      <w:numFmt w:val="lowerLetter"/>
      <w:start w:val="1"/>
    </w:lvl>
    <w:lvl w:ilvl="1">
      <w:lvlJc w:val="left"/>
      <w:lvlText w:val="(%2)"/>
      <w:numFmt w:val="lowerRoman"/>
      <w:start w:val="1"/>
    </w:lvl>
  </w:abstractNum>
  <w:abstractNum w:abstractNumId="66">
    <w:nsid w:val="1816F8C4"/>
    <w:multiLevelType w:val="hybridMultilevel"/>
    <w:lvl w:ilvl="0">
      <w:lvlJc w:val="left"/>
      <w:lvlText w:val="%1"/>
      <w:numFmt w:val="decimal"/>
      <w:start w:val="1"/>
    </w:lvl>
    <w:lvl w:ilvl="1">
      <w:lvlJc w:val="left"/>
      <w:lvlText w:val="(%2)"/>
      <w:numFmt w:val="lowerLetter"/>
      <w:start w:val="2"/>
    </w:lvl>
  </w:abstractNum>
  <w:abstractNum w:abstractNumId="67">
    <w:nsid w:val="37DF2233"/>
    <w:multiLevelType w:val="hybridMultilevel"/>
    <w:lvl w:ilvl="0">
      <w:lvlJc w:val="left"/>
      <w:lvlText w:val="(%1)"/>
      <w:numFmt w:val="decimal"/>
      <w:start w:val="3"/>
    </w:lvl>
    <w:lvl w:ilvl="1">
      <w:lvlJc w:val="left"/>
      <w:lvlText w:val="(%2)"/>
      <w:numFmt w:val="lowerLetter"/>
      <w:start w:val="3"/>
    </w:lvl>
  </w:abstractNum>
  <w:abstractNum w:abstractNumId="68">
    <w:nsid w:val="7AB49DAF"/>
    <w:multiLevelType w:val="hybridMultilevel"/>
    <w:lvl w:ilvl="0">
      <w:lvlJc w:val="left"/>
      <w:lvlText w:val="(%1)"/>
      <w:numFmt w:val="lowerLetter"/>
      <w:start w:val="4"/>
    </w:lvl>
  </w:abstractNum>
  <w:abstractNum w:abstractNumId="69">
    <w:nsid w:val="759F82CD"/>
    <w:multiLevelType w:val="hybridMultilevel"/>
    <w:lvl w:ilvl="0">
      <w:lvlJc w:val="left"/>
      <w:lvlText w:val="(%1)"/>
      <w:numFmt w:val="lowerLetter"/>
      <w:start w:val="7"/>
    </w:lvl>
  </w:abstractNum>
  <w:abstractNum w:abstractNumId="70">
    <w:nsid w:val="61E74EA3"/>
    <w:multiLevelType w:val="hybridMultilevel"/>
    <w:lvl w:ilvl="0">
      <w:lvlJc w:val="left"/>
      <w:lvlText w:val="(%1)"/>
      <w:numFmt w:val="lowerLetter"/>
      <w:start w:val="10"/>
    </w:lvl>
    <w:lvl w:ilvl="1">
      <w:lvlJc w:val="left"/>
      <w:lvlText w:val="(%2)"/>
      <w:numFmt w:val="lowerRoman"/>
      <w:start w:val="1"/>
    </w:lvl>
  </w:abstractNum>
  <w:abstractNum w:abstractNumId="71">
    <w:nsid w:val="597B4D84"/>
    <w:multiLevelType w:val="hybridMultilevel"/>
    <w:lvl w:ilvl="0">
      <w:lvlJc w:val="left"/>
      <w:lvlText w:val="(%1)"/>
      <w:numFmt w:val="lowerRoman"/>
      <w:start w:val="4"/>
    </w:lvl>
  </w:abstractNum>
  <w:abstractNum w:abstractNumId="72">
    <w:nsid w:val="F819E7F"/>
    <w:multiLevelType w:val="hybridMultilevel"/>
    <w:lvl w:ilvl="0">
      <w:lvlJc w:val="left"/>
      <w:lvlText w:val="(%1)"/>
      <w:numFmt w:val="lowerLetter"/>
      <w:start w:val="14"/>
    </w:lvl>
  </w:abstractNum>
  <w:abstractNum w:abstractNumId="73">
    <w:nsid w:val="57C7D42D"/>
    <w:multiLevelType w:val="hybridMultilevel"/>
    <w:lvl w:ilvl="0">
      <w:lvlJc w:val="left"/>
      <w:lvlText w:val="(%1)"/>
      <w:numFmt w:val="lowerLetter"/>
      <w:start w:val="16"/>
    </w:lvl>
  </w:abstractNum>
  <w:abstractNum w:abstractNumId="74">
    <w:nsid w:val="312167AD"/>
    <w:multiLevelType w:val="hybridMultilevel"/>
    <w:lvl w:ilvl="0">
      <w:lvlJc w:val="left"/>
      <w:lvlText w:val="(%1)"/>
      <w:numFmt w:val="lowerLetter"/>
      <w:start w:val="1"/>
    </w:lvl>
  </w:abstractNum>
  <w:abstractNum w:abstractNumId="75">
    <w:nsid w:val="631B64D4"/>
    <w:multiLevelType w:val="hybridMultilevel"/>
    <w:lvl w:ilvl="0">
      <w:lvlJc w:val="left"/>
      <w:lvlText w:val="%1"/>
      <w:numFmt w:val="lowerLetter"/>
      <w:start w:val="1"/>
    </w:lvl>
    <w:lvl w:ilvl="1">
      <w:lvlJc w:val="left"/>
      <w:lvlText w:val="(%2)"/>
      <w:numFmt w:val="lowerLetter"/>
      <w:start w:val="35"/>
    </w:lvl>
  </w:abstractNum>
  <w:abstractNum w:abstractNumId="76">
    <w:nsid w:val="78B5E776"/>
    <w:multiLevelType w:val="hybridMultilevel"/>
    <w:lvl w:ilvl="0">
      <w:lvlJc w:val="left"/>
      <w:lvlText w:val="(%1)"/>
      <w:numFmt w:val="lowerLetter"/>
      <w:start w:val="2"/>
    </w:lvl>
    <w:lvl w:ilvl="1">
      <w:lvlJc w:val="left"/>
      <w:lvlText w:val="%2"/>
      <w:numFmt w:val="lowerLetter"/>
      <w:start w:val="1"/>
    </w:lvl>
  </w:abstractNum>
  <w:abstractNum w:abstractNumId="77">
    <w:nsid w:val="75486E47"/>
    <w:multiLevelType w:val="hybridMultilevel"/>
    <w:lvl w:ilvl="0">
      <w:lvlJc w:val="left"/>
      <w:lvlText w:val="(%1)"/>
      <w:numFmt w:val="lowerLetter"/>
      <w:start w:val="1"/>
    </w:lvl>
  </w:abstractNum>
  <w:abstractNum w:abstractNumId="78">
    <w:nsid w:val="6E534CDE"/>
    <w:multiLevelType w:val="hybridMultilevel"/>
    <w:lvl w:ilvl="0">
      <w:lvlJc w:val="left"/>
      <w:lvlText w:val="(%1)"/>
      <w:numFmt w:val="lowerLetter"/>
      <w:start w:val="2"/>
    </w:lvl>
  </w:abstractNum>
  <w:abstractNum w:abstractNumId="79">
    <w:nsid w:val="1A0DDE32"/>
    <w:multiLevelType w:val="hybridMultilevel"/>
    <w:lvl w:ilvl="0">
      <w:lvlJc w:val="left"/>
      <w:lvlText w:val="(%1)"/>
      <w:numFmt w:val="lowerLetter"/>
      <w:start w:val="1"/>
    </w:lvl>
  </w:abstractNum>
  <w:abstractNum w:abstractNumId="80">
    <w:nsid w:val="65968C1C"/>
    <w:multiLevelType w:val="hybridMultilevel"/>
    <w:lvl w:ilvl="0">
      <w:lvlJc w:val="left"/>
      <w:lvlText w:val="(%1)"/>
      <w:numFmt w:val="lowerLetter"/>
      <w:start w:val="1"/>
    </w:lvl>
    <w:lvl w:ilvl="1">
      <w:lvlJc w:val="left"/>
      <w:lvlText w:val="(%2)"/>
      <w:numFmt w:val="lowerRoman"/>
      <w:start w:val="1"/>
    </w:lvl>
  </w:abstractNum>
  <w:abstractNum w:abstractNumId="81">
    <w:nsid w:val="46263DEC"/>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4"/>
    </w:lvl>
  </w:abstractNum>
  <w:abstractNum w:abstractNumId="82">
    <w:nsid w:val="260D8C4A"/>
    <w:multiLevelType w:val="hybridMultilevel"/>
    <w:lvl w:ilvl="0">
      <w:lvlJc w:val="left"/>
      <w:lvlText w:val="(%1)"/>
      <w:numFmt w:val="lowerRoman"/>
      <w:start w:val="2"/>
    </w:lvl>
  </w:abstractNum>
  <w:abstractNum w:abstractNumId="83">
    <w:nsid w:val="73D4D3C4"/>
    <w:multiLevelType w:val="hybridMultilevel"/>
    <w:lvl w:ilvl="0">
      <w:lvlJc w:val="left"/>
      <w:lvlText w:val="(%1)"/>
      <w:numFmt w:val="lowerLetter"/>
      <w:start w:val="61"/>
    </w:lvl>
    <w:lvl w:ilvl="1">
      <w:lvlJc w:val="left"/>
      <w:lvlText w:val="(%2)"/>
      <w:numFmt w:val="lowerLetter"/>
      <w:start w:val="24"/>
    </w:lvl>
  </w:abstractNum>
  <w:abstractNum w:abstractNumId="84">
    <w:nsid w:val="746F2E30"/>
    <w:multiLevelType w:val="hybridMultilevel"/>
    <w:lvl w:ilvl="0">
      <w:lvlJc w:val="left"/>
      <w:lvlText w:val="(%1)"/>
      <w:numFmt w:val="lowerRoman"/>
      <w:start w:val="4"/>
    </w:lvl>
  </w:abstractNum>
  <w:abstractNum w:abstractNumId="85">
    <w:nsid w:val="6FDE8AF6"/>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86">
    <w:nsid w:val="3FC32E20"/>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87">
    <w:nsid w:val="49C0E823"/>
    <w:multiLevelType w:val="hybridMultilevel"/>
    <w:lvl w:ilvl="0">
      <w:lvlJc w:val="left"/>
      <w:lvlText w:val="%1"/>
      <w:numFmt w:val="lowerLetter"/>
      <w:start w:val="1"/>
    </w:lvl>
    <w:lvl w:ilvl="1">
      <w:lvlJc w:val="left"/>
      <w:lvlText w:val="(%2)"/>
      <w:numFmt w:val="lowerLetter"/>
      <w:start w:val="3"/>
    </w:lvl>
  </w:abstractNum>
  <w:abstractNum w:abstractNumId="88">
    <w:nsid w:val="14D53685"/>
    <w:multiLevelType w:val="hybridMultilevel"/>
    <w:lvl w:ilvl="0">
      <w:lvlJc w:val="left"/>
      <w:lvlText w:val="(%1)"/>
      <w:numFmt w:val="lowerLetter"/>
      <w:start w:val="9"/>
    </w:lvl>
    <w:lvl w:ilvl="1">
      <w:lvlJc w:val="left"/>
      <w:lvlText w:val="%2"/>
      <w:numFmt w:val="lowerLetter"/>
      <w:start w:val="1"/>
    </w:lvl>
  </w:abstractNum>
  <w:abstractNum w:abstractNumId="89">
    <w:nsid w:val="230F856C"/>
    <w:multiLevelType w:val="hybridMultilevel"/>
    <w:lvl w:ilvl="0">
      <w:lvlJc w:val="left"/>
      <w:lvlText w:val="(%1)"/>
      <w:numFmt w:val="lowerLetter"/>
      <w:start w:val="1"/>
    </w:lvl>
  </w:abstractNum>
  <w:abstractNum w:abstractNumId="90">
    <w:nsid w:val="6EAA85FB"/>
    <w:multiLevelType w:val="hybridMultilevel"/>
    <w:lvl w:ilvl="0">
      <w:lvlJc w:val="left"/>
      <w:lvlText w:val="(%1)"/>
      <w:numFmt w:val="lowerLetter"/>
      <w:start w:val="2"/>
    </w:lvl>
  </w:abstractNum>
  <w:abstractNum w:abstractNumId="91">
    <w:nsid w:val="3F06ECB2"/>
    <w:multiLevelType w:val="hybridMultilevel"/>
    <w:lvl w:ilvl="0">
      <w:lvlJc w:val="left"/>
      <w:lvlText w:val="(%1)"/>
      <w:numFmt w:val="lowerLetter"/>
      <w:start w:val="1"/>
    </w:lvl>
  </w:abstractNum>
  <w:abstractNum w:abstractNumId="92">
    <w:nsid w:val="3B594807"/>
    <w:multiLevelType w:val="hybridMultilevel"/>
    <w:lvl w:ilvl="0">
      <w:lvlJc w:val="left"/>
      <w:lvlText w:val="(%1)"/>
      <w:numFmt w:val="lowerLetter"/>
      <w:start w:val="3"/>
    </w:lvl>
  </w:abstractNum>
  <w:abstractNum w:abstractNumId="93">
    <w:nsid w:val="6CAA2304"/>
    <w:multiLevelType w:val="hybridMultilevel"/>
    <w:lvl w:ilvl="0">
      <w:lvlJc w:val="left"/>
      <w:lvlText w:val="(%1)"/>
      <w:numFmt w:val="lowerLetter"/>
      <w:start w:val="1"/>
    </w:lvl>
    <w:lvl w:ilvl="1">
      <w:lvlJc w:val="left"/>
      <w:lvlText w:val="(%2)"/>
      <w:numFmt w:val="lowerRoman"/>
      <w:start w:val="1"/>
    </w:lvl>
  </w:abstractNum>
  <w:abstractNum w:abstractNumId="94">
    <w:nsid w:val="3F7C2FF4"/>
    <w:multiLevelType w:val="hybridMultilevel"/>
    <w:lvl w:ilvl="0">
      <w:lvlJc w:val="left"/>
      <w:lvlText w:val="(%1)"/>
      <w:numFmt w:val="lowerLetter"/>
      <w:start w:val="2"/>
    </w:lvl>
  </w:abstractNum>
  <w:abstractNum w:abstractNumId="95">
    <w:nsid w:val="25413BEC"/>
    <w:multiLevelType w:val="hybridMultilevel"/>
    <w:lvl w:ilvl="0">
      <w:lvlJc w:val="left"/>
      <w:lvlText w:val="(%1)"/>
      <w:numFmt w:val="lowerLetter"/>
      <w:start w:val="1"/>
    </w:lvl>
  </w:abstractNum>
  <w:abstractNum w:abstractNumId="96">
    <w:nsid w:val="17180B0B"/>
    <w:multiLevelType w:val="hybridMultilevel"/>
    <w:lvl w:ilvl="0">
      <w:lvlJc w:val="left"/>
      <w:lvlText w:val="(%1)"/>
      <w:numFmt w:val="lowerLetter"/>
      <w:start w:val="2"/>
    </w:lvl>
  </w:abstractNum>
  <w:abstractNum w:abstractNumId="97">
    <w:nsid w:val="579328B9"/>
    <w:multiLevelType w:val="hybridMultilevel"/>
    <w:lvl w:ilvl="0">
      <w:lvlJc w:val="left"/>
      <w:lvlText w:val="(%1)"/>
      <w:numFmt w:val="lowerLetter"/>
      <w:start w:val="5"/>
    </w:lvl>
  </w:abstractNum>
  <w:abstractNum w:abstractNumId="98">
    <w:nsid w:val="5D205E20"/>
    <w:multiLevelType w:val="hybridMultilevel"/>
    <w:lvl w:ilvl="0">
      <w:lvlJc w:val="left"/>
      <w:lvlText w:val="(%1)"/>
      <w:numFmt w:val="lowerLetter"/>
      <w:start w:val="1"/>
    </w:lvl>
  </w:abstractNum>
  <w:abstractNum w:abstractNumId="99">
    <w:nsid w:val="11CCA8BA"/>
    <w:multiLevelType w:val="hybridMultilevel"/>
    <w:lvl w:ilvl="0">
      <w:lvlJc w:val="left"/>
      <w:lvlText w:val="(%1)"/>
      <w:numFmt w:val="lowerLetter"/>
      <w:start w:val="3"/>
    </w:lvl>
  </w:abstractNum>
  <w:abstractNum w:abstractNumId="100">
    <w:nsid w:val="4D32AB86"/>
    <w:multiLevelType w:val="hybridMultilevel"/>
    <w:lvl w:ilvl="0">
      <w:lvlJc w:val="left"/>
      <w:lvlText w:val="(%1)"/>
      <w:numFmt w:val="lowerLetter"/>
      <w:start w:val="1"/>
    </w:lvl>
  </w:abstractNum>
  <w:abstractNum w:abstractNumId="101">
    <w:nsid w:val="3F07ACC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2">
    <w:nsid w:val="6B47F63E"/>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abstractNum>
  <w:abstractNum w:abstractNumId="103">
    <w:nsid w:val="5CB44A05"/>
    <w:multiLevelType w:val="hybridMultilevel"/>
    <w:lvl w:ilvl="0">
      <w:lvlJc w:val="left"/>
      <w:lvlText w:val="(%1)"/>
      <w:numFmt w:val="lowerLetter"/>
      <w:start w:val="1"/>
    </w:lvl>
  </w:abstractNum>
  <w:abstractNum w:abstractNumId="104">
    <w:nsid w:val="16CF80F1"/>
    <w:multiLevelType w:val="hybridMultilevel"/>
    <w:lvl w:ilvl="0">
      <w:lvlJc w:val="left"/>
      <w:lvlText w:val="(%1)"/>
      <w:numFmt w:val="lowerLetter"/>
      <w:start w:val="4"/>
    </w:lvl>
  </w:abstractNum>
  <w:abstractNum w:abstractNumId="105">
    <w:nsid w:val="1C695DEC"/>
    <w:multiLevelType w:val="hybridMultilevel"/>
    <w:lvl w:ilvl="0">
      <w:lvlJc w:val="left"/>
      <w:lvlText w:val="(%1)"/>
      <w:numFmt w:val="lowerLetter"/>
      <w:start w:val="1"/>
    </w:lvl>
  </w:abstractNum>
  <w:abstractNum w:abstractNumId="106">
    <w:nsid w:val="3FCFAED9"/>
    <w:multiLevelType w:val="hybridMultilevel"/>
    <w:lvl w:ilvl="0">
      <w:lvlJc w:val="left"/>
      <w:lvlText w:val="(%1)"/>
      <w:numFmt w:val="lowerLetter"/>
      <w:start w:val="2"/>
    </w:lvl>
  </w:abstractNum>
  <w:abstractNum w:abstractNumId="107">
    <w:nsid w:val="F856867"/>
    <w:multiLevelType w:val="hybridMultilevel"/>
    <w:lvl w:ilvl="0">
      <w:lvlJc w:val="left"/>
      <w:lvlText w:val="(%1)"/>
      <w:numFmt w:val="lowerLetter"/>
      <w:start w:val="1"/>
    </w:lvl>
  </w:abstractNum>
  <w:abstractNum w:abstractNumId="108">
    <w:nsid w:val="11B1CC33"/>
    <w:multiLevelType w:val="hybridMultilevel"/>
    <w:lvl w:ilvl="0">
      <w:lvlJc w:val="left"/>
      <w:lvlText w:val="(%1)"/>
      <w:numFmt w:val="lowerLetter"/>
      <w:start w:val="4"/>
    </w:lvl>
  </w:abstractNum>
  <w:abstractNum w:abstractNumId="109">
    <w:nsid w:val="2E22FBB7"/>
    <w:multiLevelType w:val="hybridMultilevel"/>
    <w:lvl w:ilvl="0">
      <w:lvlJc w:val="left"/>
      <w:lvlText w:val="(%1)"/>
      <w:numFmt w:val="lowerLetter"/>
      <w:start w:val="1"/>
    </w:lvl>
    <w:lvl w:ilvl="1">
      <w:lvlJc w:val="left"/>
      <w:lvlText w:val="(%2)"/>
      <w:numFmt w:val="lowerRoman"/>
      <w:start w:val="1"/>
    </w:lvl>
  </w:abstractNum>
  <w:abstractNum w:abstractNumId="110">
    <w:nsid w:val="29934699"/>
    <w:multiLevelType w:val="hybridMultilevel"/>
    <w:lvl w:ilvl="0">
      <w:lvlJc w:val="left"/>
      <w:lvlText w:val="(%1)"/>
      <w:numFmt w:val="lowerLetter"/>
      <w:start w:val="2"/>
    </w:lvl>
  </w:abstractNum>
  <w:abstractNum w:abstractNumId="111">
    <w:nsid w:val="77485850"/>
    <w:multiLevelType w:val="hybridMultilevel"/>
    <w:lvl w:ilvl="0">
      <w:lvlJc w:val="left"/>
      <w:lvlText w:val="(%1)"/>
      <w:numFmt w:val="lowerLetter"/>
      <w:start w:val="4"/>
    </w:lvl>
  </w:abstractNum>
  <w:abstractNum w:abstractNumId="112">
    <w:nsid w:val="744939A3"/>
    <w:multiLevelType w:val="hybridMultilevel"/>
    <w:lvl w:ilvl="0">
      <w:lvlJc w:val="left"/>
      <w:lvlText w:val="(%1)"/>
      <w:numFmt w:val="lowerRoman"/>
      <w:start w:val="1"/>
    </w:lvl>
  </w:abstractNum>
  <w:abstractNum w:abstractNumId="113">
    <w:nsid w:val="4FA0D2E3"/>
    <w:multiLevelType w:val="hybridMultilevel"/>
    <w:lvl w:ilvl="0">
      <w:lvlJc w:val="left"/>
      <w:lvlText w:val="(%1)"/>
      <w:numFmt w:val="lowerLetter"/>
      <w:start w:val="1"/>
    </w:lvl>
  </w:abstractNum>
  <w:abstractNum w:abstractNumId="114">
    <w:nsid w:val="6B1D2C14"/>
    <w:multiLevelType w:val="hybridMultilevel"/>
    <w:lvl w:ilvl="0">
      <w:lvlJc w:val="left"/>
      <w:lvlText w:val="(%1)"/>
      <w:numFmt w:val="lowerLetter"/>
      <w:start w:val="1"/>
    </w:lvl>
  </w:abstractNum>
  <w:abstractNum w:abstractNumId="115">
    <w:nsid w:val="68B867D3"/>
    <w:multiLevelType w:val="hybridMultilevel"/>
    <w:lvl w:ilvl="0">
      <w:lvlJc w:val="left"/>
      <w:lvlText w:val="(%1)"/>
      <w:numFmt w:val="lowerLetter"/>
      <w:start w:val="2"/>
    </w:lvl>
    <w:lvl w:ilvl="1">
      <w:lvlJc w:val="left"/>
      <w:lvlText w:val="(%2)"/>
      <w:numFmt w:val="lowerLetter"/>
      <w:start w:val="35"/>
    </w:lvl>
  </w:abstractNum>
  <w:abstractNum w:abstractNumId="116">
    <w:nsid w:val="3F7F5DD9"/>
    <w:multiLevelType w:val="hybridMultilevel"/>
    <w:lvl w:ilvl="0">
      <w:lvlJc w:val="left"/>
      <w:lvlText w:val="(%1)"/>
      <w:numFmt w:val="lowerLetter"/>
      <w:start w:val="3"/>
    </w:lvl>
  </w:abstractNum>
  <w:abstractNum w:abstractNumId="117">
    <w:nsid w:val="2AE05A34"/>
    <w:multiLevelType w:val="hybridMultilevel"/>
    <w:lvl w:ilvl="0">
      <w:lvlJc w:val="left"/>
      <w:lvlText w:val="(%1)"/>
      <w:numFmt w:val="lowerRoman"/>
      <w:start w:val="1"/>
    </w:lvl>
  </w:abstractNum>
  <w:abstractNum w:abstractNumId="118">
    <w:nsid w:val="32794FF7"/>
    <w:multiLevelType w:val="hybridMultilevel"/>
    <w:lvl w:ilvl="0">
      <w:lvlJc w:val="left"/>
      <w:lvlText w:val="(%1)"/>
      <w:numFmt w:val="lowerLetter"/>
      <w:start w:val="1"/>
    </w:lvl>
    <w:lvl w:ilvl="1">
      <w:lvlJc w:val="left"/>
      <w:lvlText w:val="(%2)"/>
      <w:numFmt w:val="lowerRoman"/>
      <w:start w:val="1"/>
    </w:lvl>
  </w:abstractNum>
  <w:abstractNum w:abstractNumId="119">
    <w:nsid w:val="5454945E"/>
    <w:multiLevelType w:val="hybridMultilevel"/>
    <w:lvl w:ilvl="0">
      <w:lvlJc w:val="left"/>
      <w:lvlText w:val="(%1)"/>
      <w:numFmt w:val="lowerLetter"/>
      <w:start w:val="8"/>
    </w:lvl>
  </w:abstractNum>
  <w:abstractNum w:abstractNumId="120">
    <w:nsid w:val="4DEFDFA0"/>
    <w:multiLevelType w:val="hybridMultilevel"/>
    <w:lvl w:ilvl="0">
      <w:lvlJc w:val="left"/>
      <w:lvlText w:val="(%1)"/>
      <w:numFmt w:val="lowerLetter"/>
      <w:start w:val="1"/>
    </w:lvl>
    <w:lvl w:ilvl="1">
      <w:lvlJc w:val="left"/>
      <w:lvlText w:val="(%2)"/>
      <w:numFmt w:val="lowerRoman"/>
      <w:start w:val="1"/>
    </w:lvl>
  </w:abstractNum>
  <w:abstractNum w:abstractNumId="121">
    <w:nsid w:val="2123D5F2"/>
    <w:multiLevelType w:val="hybridMultilevel"/>
    <w:lvl w:ilvl="0">
      <w:lvlJc w:val="left"/>
      <w:lvlText w:val="(%1)"/>
      <w:numFmt w:val="lowerLetter"/>
      <w:start w:val="61"/>
    </w:lvl>
    <w:lvl w:ilvl="1">
      <w:lvlJc w:val="left"/>
      <w:lvlText w:val="(%2)"/>
      <w:numFmt w:val="lowerLetter"/>
      <w:start w:val="2"/>
    </w:lvl>
  </w:abstractNum>
  <w:abstractNum w:abstractNumId="122">
    <w:nsid w:val="135B8110"/>
    <w:multiLevelType w:val="hybridMultilevel"/>
    <w:lvl w:ilvl="0">
      <w:lvlJc w:val="left"/>
      <w:lvlText w:val="(%1)"/>
      <w:numFmt w:val="lowerLetter"/>
      <w:start w:val="1"/>
    </w:lvl>
  </w:abstractNum>
  <w:abstractNum w:abstractNumId="123">
    <w:nsid w:val="94927A8"/>
    <w:multiLevelType w:val="hybridMultilevel"/>
    <w:lvl w:ilvl="0">
      <w:lvlJc w:val="left"/>
      <w:lvlText w:val="(%1)"/>
      <w:numFmt w:val="lowerLetter"/>
      <w:start w:val="2"/>
    </w:lvl>
  </w:abstractNum>
  <w:abstractNum w:abstractNumId="124">
    <w:nsid w:val="DCDF8F6"/>
    <w:multiLevelType w:val="hybridMultilevel"/>
    <w:lvl w:ilvl="0">
      <w:lvlJc w:val="left"/>
      <w:lvlText w:val="(%1)"/>
      <w:numFmt w:val="lowerLetter"/>
      <w:start w:val="1"/>
    </w:lvl>
  </w:abstractNum>
  <w:abstractNum w:abstractNumId="125">
    <w:nsid w:val="52D7B105"/>
    <w:multiLevelType w:val="hybridMultilevel"/>
    <w:lvl w:ilvl="0">
      <w:lvlJc w:val="left"/>
      <w:lvlText w:val="(%1)"/>
      <w:numFmt w:val="lowerRoman"/>
      <w:start w:val="8"/>
    </w:lvl>
  </w:abstractNum>
  <w:abstractNum w:abstractNumId="126">
    <w:nsid w:val="2E8A6394"/>
    <w:multiLevelType w:val="hybridMultilevel"/>
    <w:lvl w:ilvl="0">
      <w:lvlJc w:val="left"/>
      <w:lvlText w:val="(%1)"/>
      <w:numFmt w:val="lowerLetter"/>
      <w:start w:val="1"/>
    </w:lvl>
    <w:lvl w:ilvl="1">
      <w:lvlJc w:val="left"/>
      <w:lvlText w:val="(%2)"/>
      <w:numFmt w:val="lowerRoman"/>
      <w:start w:val="1"/>
    </w:lvl>
  </w:abstractNum>
  <w:abstractNum w:abstractNumId="127">
    <w:nsid w:val="24E60401"/>
    <w:multiLevelType w:val="hybridMultilevel"/>
    <w:lvl w:ilvl="0">
      <w:lvlJc w:val="left"/>
      <w:lvlText w:val="(%1)"/>
      <w:numFmt w:val="lowerLetter"/>
      <w:start w:val="1"/>
    </w:lvl>
  </w:abstractNum>
  <w:abstractNum w:abstractNumId="128">
    <w:nsid w:val="2A6AD9BE"/>
    <w:multiLevelType w:val="hybridMultilevel"/>
    <w:lvl w:ilvl="0">
      <w:lvlJc w:val="left"/>
      <w:lvlText w:val="(%1)"/>
      <w:numFmt w:val="lowerLetter"/>
      <w:start w:val="1"/>
    </w:lvl>
  </w:abstractNum>
  <w:abstractNum w:abstractNumId="129">
    <w:nsid w:val="BAAC1B4"/>
    <w:multiLevelType w:val="hybridMultilevel"/>
    <w:lvl w:ilvl="0">
      <w:lvlJc w:val="left"/>
      <w:lvlText w:val="(%1)"/>
      <w:numFmt w:val="lowerLetter"/>
      <w:start w:val="1"/>
    </w:lvl>
    <w:lvl w:ilvl="1">
      <w:lvlJc w:val="left"/>
      <w:lvlText w:val="(%2)"/>
      <w:numFmt w:val="lowerRoman"/>
      <w:start w:val="1"/>
    </w:lvl>
  </w:abstractNum>
  <w:abstractNum w:abstractNumId="130">
    <w:nsid w:val="36B2ACBC"/>
    <w:multiLevelType w:val="hybridMultilevel"/>
    <w:lvl w:ilvl="0">
      <w:lvlJc w:val="left"/>
      <w:lvlText w:val="(%1)"/>
      <w:numFmt w:val="lowerLetter"/>
      <w:start w:val="1"/>
    </w:lvl>
  </w:abstractNum>
  <w:abstractNum w:abstractNumId="131">
    <w:nsid w:val="779D8544"/>
    <w:multiLevelType w:val="hybridMultilevel"/>
    <w:lvl w:ilvl="0">
      <w:lvlJc w:val="left"/>
      <w:lvlText w:val="(%1)"/>
      <w:numFmt w:val="lowerLetter"/>
      <w:start w:val="1"/>
    </w:lvl>
  </w:abstractNum>
  <w:abstractNum w:abstractNumId="132">
    <w:nsid w:val="4AB26E78"/>
    <w:multiLevelType w:val="hybridMultilevel"/>
    <w:lvl w:ilvl="0">
      <w:lvlJc w:val="left"/>
      <w:lvlText w:val="(%1)"/>
      <w:numFmt w:val="lowerLetter"/>
      <w:start w:val="2"/>
    </w:lvl>
  </w:abstractNum>
  <w:abstractNum w:abstractNumId="133">
    <w:nsid w:val="21FAA2FA"/>
    <w:multiLevelType w:val="hybridMultilevel"/>
    <w:lvl w:ilvl="0">
      <w:lvlJc w:val="left"/>
      <w:lvlText w:val="(%1)"/>
      <w:numFmt w:val="lowerLetter"/>
      <w:start w:val="1"/>
    </w:lvl>
  </w:abstractNum>
  <w:abstractNum w:abstractNumId="134">
    <w:nsid w:val="5451CF49"/>
    <w:multiLevelType w:val="hybridMultilevel"/>
    <w:lvl w:ilvl="0">
      <w:lvlJc w:val="left"/>
      <w:lvlText w:val="(%1)"/>
      <w:numFmt w:val="lowerLetter"/>
      <w:start w:val="3"/>
    </w:lvl>
    <w:lvl w:ilvl="1">
      <w:lvlJc w:val="left"/>
      <w:lvlText w:val="(%2)"/>
      <w:numFmt w:val="lowerRoman"/>
      <w:start w:val="1"/>
    </w:lvl>
  </w:abstractNum>
  <w:abstractNum w:abstractNumId="135">
    <w:nsid w:val="6181EF69"/>
    <w:multiLevelType w:val="hybridMultilevel"/>
    <w:lvl w:ilvl="0">
      <w:lvlJc w:val="left"/>
      <w:lvlText w:val="(%1)"/>
      <w:numFmt w:val="lowerLetter"/>
      <w:start w:val="9"/>
    </w:lvl>
  </w:abstractNum>
  <w:abstractNum w:abstractNumId="136">
    <w:nsid w:val="3E6400E6"/>
    <w:multiLevelType w:val="hybridMultilevel"/>
    <w:lvl w:ilvl="0">
      <w:lvlJc w:val="left"/>
      <w:lvlText w:val="(%1)"/>
      <w:numFmt w:val="lowerLetter"/>
      <w:start w:val="25"/>
    </w:lvl>
  </w:abstractNum>
  <w:abstractNum w:abstractNumId="137">
    <w:nsid w:val="14217E23"/>
    <w:multiLevelType w:val="hybridMultilevel"/>
    <w:lvl w:ilvl="0">
      <w:lvlJc w:val="left"/>
      <w:lvlText w:val="(%1)"/>
      <w:numFmt w:val="lowerLetter"/>
      <w:start w:val="1"/>
    </w:lvl>
    <w:lvl w:ilvl="1">
      <w:lvlJc w:val="left"/>
      <w:lvlText w:val="(%2)"/>
      <w:numFmt w:val="decimal"/>
      <w:start w:val="1"/>
    </w:lvl>
  </w:abstractNum>
  <w:abstractNum w:abstractNumId="138">
    <w:nsid w:val="710757D0"/>
    <w:multiLevelType w:val="hybridMultilevel"/>
    <w:lvl w:ilvl="0">
      <w:lvlJc w:val="left"/>
      <w:lvlText w:val="(%1)"/>
      <w:numFmt w:val="decimal"/>
      <w:start w:val="2"/>
    </w:lvl>
  </w:abstractNum>
  <w:abstractNum w:abstractNumId="139">
    <w:nsid w:val="5015CD1A"/>
    <w:multiLevelType w:val="hybridMultilevel"/>
    <w:lvl w:ilvl="0">
      <w:lvlJc w:val="left"/>
      <w:lvlText w:val="(%1)"/>
      <w:numFmt w:val="lowerLetter"/>
      <w:start w:val="3"/>
    </w:lvl>
  </w:abstractNum>
  <w:abstractNum w:abstractNumId="140">
    <w:nsid w:val="424479DA"/>
    <w:multiLevelType w:val="hybridMultilevel"/>
    <w:lvl w:ilvl="0">
      <w:lvlJc w:val="left"/>
      <w:lvlText w:val="(%1)"/>
      <w:numFmt w:val="lowerLetter"/>
      <w:start w:val="19"/>
    </w:lvl>
    <w:lvl w:ilvl="1">
      <w:lvlJc w:val="left"/>
      <w:lvlText w:val="(%2)"/>
      <w:numFmt w:val="lowerLetter"/>
      <w:start w:val="5"/>
    </w:lvl>
  </w:abstractNum>
  <w:abstractNum w:abstractNumId="141">
    <w:nsid w:val="1A9A9E69"/>
    <w:multiLevelType w:val="hybridMultilevel"/>
    <w:lvl w:ilvl="0">
      <w:lvlJc w:val="left"/>
      <w:lvlText w:val="(%1)"/>
      <w:numFmt w:val="lowerLetter"/>
      <w:start w:val="1"/>
    </w:lvl>
    <w:lvl w:ilvl="1">
      <w:lvlJc w:val="left"/>
      <w:lvlText w:val="(%2)"/>
      <w:numFmt w:val="lowerRoman"/>
      <w:start w:val="1"/>
    </w:lvl>
  </w:abstractNum>
  <w:abstractNum w:abstractNumId="142">
    <w:nsid w:val="475E256A"/>
    <w:multiLevelType w:val="hybridMultilevel"/>
    <w:lvl w:ilvl="0">
      <w:lvlJc w:val="left"/>
      <w:lvlText w:val="(%1)"/>
      <w:numFmt w:val="lowerRoman"/>
      <w:start w:val="3"/>
    </w:lvl>
  </w:abstractNum>
  <w:abstractNum w:abstractNumId="143">
    <w:nsid w:val="368DB37E"/>
    <w:multiLevelType w:val="hybridMultilevel"/>
    <w:lvl w:ilvl="0">
      <w:lvlJc w:val="left"/>
      <w:lvlText w:val="(%1)"/>
      <w:numFmt w:val="lowerLetter"/>
      <w:start w:val="2"/>
    </w:lvl>
    <w:lvl w:ilvl="1">
      <w:lvlJc w:val="left"/>
      <w:lvlText w:val="(%2)"/>
      <w:numFmt w:val="lowerRoman"/>
      <w:start w:val="1"/>
    </w:lvl>
  </w:abstractNum>
  <w:abstractNum w:abstractNumId="144">
    <w:nsid w:val="6A3B714C"/>
    <w:multiLevelType w:val="hybridMultilevel"/>
    <w:lvl w:ilvl="0">
      <w:lvlJc w:val="left"/>
      <w:lvlText w:val="(%1)"/>
      <w:numFmt w:val="lowerLetter"/>
      <w:start w:val="1"/>
    </w:lvl>
  </w:abstractNum>
  <w:abstractNum w:abstractNumId="145">
    <w:nsid w:val="327B517E"/>
    <w:multiLevelType w:val="hybridMultilevel"/>
    <w:lvl w:ilvl="0">
      <w:lvlJc w:val="left"/>
      <w:lvlText w:val="(%1)"/>
      <w:numFmt w:val="lowerLetter"/>
      <w:start w:val="2"/>
    </w:lvl>
  </w:abstractNum>
  <w:abstractNum w:abstractNumId="146">
    <w:nsid w:val="1F461B51"/>
    <w:multiLevelType w:val="hybridMultilevel"/>
    <w:lvl w:ilvl="0">
      <w:lvlJc w:val="left"/>
      <w:lvlText w:val="(%1)"/>
      <w:numFmt w:val="lowerLetter"/>
      <w:start w:val="1"/>
    </w:lvl>
  </w:abstractNum>
  <w:abstractNum w:abstractNumId="147">
    <w:nsid w:val="29BACF25"/>
    <w:multiLevelType w:val="hybridMultilevel"/>
    <w:lvl w:ilvl="0">
      <w:lvlJc w:val="left"/>
      <w:lvlText w:val="(%1)"/>
      <w:numFmt w:val="lowerLetter"/>
      <w:start w:val="4"/>
    </w:lvl>
  </w:abstractNum>
  <w:abstractNum w:abstractNumId="148">
    <w:nsid w:val="5D5BABB3"/>
    <w:multiLevelType w:val="hybridMultilevel"/>
    <w:lvl w:ilvl="0">
      <w:lvlJc w:val="left"/>
      <w:lvlText w:val="(%1)"/>
      <w:numFmt w:val="lowerLetter"/>
      <w:start w:val="14"/>
    </w:lvl>
  </w:abstractNum>
  <w:abstractNum w:abstractNumId="149">
    <w:nsid w:val="51BF6B48"/>
    <w:multiLevelType w:val="hybridMultilevel"/>
    <w:lvl w:ilvl="0">
      <w:lvlJc w:val="left"/>
      <w:lvlText w:val="(%1)"/>
      <w:numFmt w:val="lowerLetter"/>
      <w:start w:val="1"/>
    </w:lvl>
  </w:abstractNum>
  <w:abstractNum w:abstractNumId="150">
    <w:nsid w:val="7E0F6384"/>
    <w:multiLevelType w:val="hybridMultilevel"/>
    <w:lvl w:ilvl="0">
      <w:lvlJc w:val="left"/>
      <w:lvlText w:val="(%1)"/>
      <w:numFmt w:val="lowerLetter"/>
      <w:start w:val="7"/>
    </w:lvl>
  </w:abstractNum>
  <w:abstractNum w:abstractNumId="151">
    <w:nsid w:val="2B4B8B53"/>
    <w:multiLevelType w:val="hybridMultilevel"/>
    <w:lvl w:ilvl="0">
      <w:lvlJc w:val="left"/>
      <w:lvlText w:val="(%1)"/>
      <w:numFmt w:val="lowerLetter"/>
      <w:start w:val="13"/>
    </w:lvl>
  </w:abstractNum>
  <w:abstractNum w:abstractNumId="152">
    <w:nsid w:val="72E3413A"/>
    <w:multiLevelType w:val="hybridMultilevel"/>
    <w:lvl w:ilvl="0">
      <w:lvlJc w:val="left"/>
      <w:lvlText w:val="(%1)"/>
      <w:numFmt w:val="lowerLetter"/>
      <w:start w:val="27"/>
    </w:lvl>
  </w:abstractNum>
  <w:abstractNum w:abstractNumId="153">
    <w:nsid w:val="116AE494"/>
    <w:multiLevelType w:val="hybridMultilevel"/>
    <w:lvl w:ilvl="0">
      <w:lvlJc w:val="left"/>
      <w:lvlText w:val="(%1)"/>
      <w:numFmt w:val="lowerLetter"/>
      <w:start w:val="1"/>
    </w:lvl>
  </w:abstractNum>
  <w:abstractNum w:abstractNumId="154">
    <w:nsid w:val="3494B2FB"/>
    <w:multiLevelType w:val="hybridMultilevel"/>
    <w:lvl w:ilvl="0">
      <w:lvlJc w:val="left"/>
      <w:lvlText w:val="%1"/>
      <w:numFmt w:val="lowerLetter"/>
      <w:start w:val="1"/>
    </w:lvl>
    <w:lvl w:ilvl="1">
      <w:lvlJc w:val="left"/>
      <w:lvlText w:val="(%2)"/>
      <w:numFmt w:val="lowerLetter"/>
      <w:start w:val="14"/>
    </w:lvl>
  </w:abstractNum>
  <w:abstractNum w:abstractNumId="155">
    <w:nsid w:val="B13A31"/>
    <w:multiLevelType w:val="hybridMultilevel"/>
    <w:lvl w:ilvl="0">
      <w:lvlJc w:val="left"/>
      <w:lvlText w:val="(%1)"/>
      <w:numFmt w:val="lowerLetter"/>
      <w:start w:val="19"/>
    </w:lvl>
    <w:lvl w:ilvl="1">
      <w:lvlJc w:val="left"/>
      <w:lvlText w:val="(%2)"/>
      <w:numFmt w:val="lowerLetter"/>
      <w:start w:val="20"/>
    </w:lvl>
  </w:abstractNum>
  <w:abstractNum w:abstractNumId="156">
    <w:nsid w:val="64429599"/>
    <w:multiLevelType w:val="hybridMultilevel"/>
    <w:lvl w:ilvl="0">
      <w:lvlJc w:val="left"/>
      <w:lvlText w:val="(%1)"/>
      <w:numFmt w:val="lowerLetter"/>
      <w:start w:val="24"/>
    </w:lvl>
  </w:abstractNum>
  <w:abstractNum w:abstractNumId="157">
    <w:nsid w:val="631F1690"/>
    <w:multiLevelType w:val="hybridMultilevel"/>
    <w:lvl w:ilvl="0">
      <w:lvlJc w:val="left"/>
      <w:lvlText w:val="(%1)"/>
      <w:numFmt w:val="lowerLetter"/>
      <w:start w:val="1"/>
    </w:lvl>
  </w:abstractNum>
  <w:abstractNum w:abstractNumId="158">
    <w:nsid w:val="25973E32"/>
    <w:multiLevelType w:val="hybridMultilevel"/>
    <w:lvl w:ilvl="0">
      <w:lvlJc w:val="left"/>
      <w:lvlText w:val="(%1)"/>
      <w:numFmt w:val="lowerLetter"/>
      <w:start w:val="4"/>
    </w:lvl>
  </w:abstractNum>
  <w:abstractNum w:abstractNumId="159">
    <w:nsid w:val="EAD6F57"/>
    <w:multiLevelType w:val="hybridMultilevel"/>
    <w:lvl w:ilvl="0">
      <w:lvlJc w:val="left"/>
      <w:lvlText w:val="(%1)"/>
      <w:numFmt w:val="lowerLetter"/>
      <w:start w:val="13"/>
    </w:lvl>
  </w:abstractNum>
  <w:abstractNum w:abstractNumId="160">
    <w:nsid w:val="6EC9D844"/>
    <w:multiLevelType w:val="hybridMultilevel"/>
    <w:lvl w:ilvl="0">
      <w:lvlJc w:val="left"/>
      <w:lvlText w:val="(%1)"/>
      <w:numFmt w:val="lowerRoman"/>
      <w:start w:val="2"/>
    </w:lvl>
  </w:abstractNum>
  <w:abstractNum w:abstractNumId="161">
    <w:nsid w:val="5C49EAEE"/>
    <w:multiLevelType w:val="hybridMultilevel"/>
    <w:lvl w:ilvl="0">
      <w:lvlJc w:val="left"/>
      <w:lvlText w:val="(%1)"/>
      <w:numFmt w:val="lowerLetter"/>
      <w:start w:val="1"/>
    </w:lvl>
  </w:abstractNum>
  <w:abstractNum w:abstractNumId="162">
    <w:nsid w:val="64AF49B"/>
    <w:multiLevelType w:val="hybridMultilevel"/>
    <w:lvl w:ilvl="0">
      <w:lvlJc w:val="left"/>
      <w:lvlText w:val="%1"/>
      <w:numFmt w:val="lowerLetter"/>
      <w:start w:val="1"/>
    </w:lvl>
    <w:lvl w:ilvl="1">
      <w:lvlJc w:val="left"/>
      <w:lvlText w:val="(%2)"/>
      <w:numFmt w:val="lowerLetter"/>
      <w:start w:val="1"/>
    </w:lvl>
  </w:abstractNum>
  <w:abstractNum w:abstractNumId="163">
    <w:nsid w:val="397C46BC"/>
    <w:multiLevelType w:val="hybridMultilevel"/>
    <w:lvl w:ilvl="0">
      <w:lvlJc w:val="left"/>
      <w:lvlText w:val="(%1)"/>
      <w:numFmt w:val="lowerLetter"/>
      <w:start w:val="35"/>
    </w:lvl>
    <w:lvl w:ilvl="1">
      <w:lvlJc w:val="left"/>
      <w:lvlText w:val="(%2)"/>
      <w:numFmt w:val="lowerLetter"/>
      <w:start w:val="3"/>
    </w:lvl>
  </w:abstractNum>
  <w:abstractNum w:abstractNumId="164">
    <w:nsid w:val="7E448DE9"/>
    <w:multiLevelType w:val="hybridMultilevel"/>
    <w:lvl w:ilvl="0">
      <w:lvlJc w:val="left"/>
      <w:lvlText w:val="(%1)"/>
      <w:numFmt w:val="lowerLetter"/>
      <w:start w:val="7"/>
    </w:lvl>
  </w:abstractNum>
  <w:abstractNum w:abstractNumId="165">
    <w:nsid w:val="5A9CC3E5"/>
    <w:multiLevelType w:val="hybridMultilevel"/>
    <w:lvl w:ilvl="0">
      <w:lvlJc w:val="left"/>
      <w:lvlText w:val="%1"/>
      <w:numFmt w:val="lowerLetter"/>
      <w:start w:val="1"/>
    </w:lvl>
    <w:lvl w:ilvl="1">
      <w:lvlJc w:val="left"/>
      <w:lvlText w:val="(%2)"/>
      <w:numFmt w:val="lowerLetter"/>
      <w:start w:val="12"/>
    </w:lvl>
  </w:abstractNum>
  <w:abstractNum w:abstractNumId="166">
    <w:nsid w:val="1AFE3625"/>
    <w:multiLevelType w:val="hybridMultilevel"/>
    <w:lvl w:ilvl="0">
      <w:lvlJc w:val="left"/>
      <w:lvlText w:val="(%1)"/>
      <w:numFmt w:val="lowerLetter"/>
      <w:start w:val="24"/>
    </w:lvl>
    <w:lvl w:ilvl="1">
      <w:lvlJc w:val="left"/>
      <w:lvlText w:val="(%2)"/>
      <w:numFmt w:val="lowerLetter"/>
      <w:start w:val="16"/>
    </w:lvl>
  </w:abstractNum>
  <w:abstractNum w:abstractNumId="167">
    <w:nsid w:val="3CA88ECF"/>
    <w:multiLevelType w:val="hybridMultilevel"/>
    <w:lvl w:ilvl="0">
      <w:lvlJc w:val="left"/>
      <w:lvlText w:val="(%1)"/>
      <w:numFmt w:val="lowerLetter"/>
      <w:start w:val="1"/>
    </w:lvl>
  </w:abstractNum>
  <w:abstractNum w:abstractNumId="168">
    <w:nsid w:val="6EBE4208"/>
    <w:multiLevelType w:val="hybridMultilevel"/>
    <w:lvl w:ilvl="0">
      <w:lvlJc w:val="left"/>
      <w:lvlText w:val="(%1)"/>
      <w:numFmt w:val="lowerLetter"/>
      <w:start w:val="1"/>
    </w:lvl>
  </w:abstractNum>
  <w:abstractNum w:abstractNumId="169">
    <w:nsid w:val="C058DF5"/>
    <w:multiLevelType w:val="hybridMultilevel"/>
    <w:lvl w:ilvl="0">
      <w:lvlJc w:val="left"/>
      <w:lvlText w:val="(%1)"/>
      <w:numFmt w:val="lowerLetter"/>
      <w:start w:val="1"/>
    </w:lvl>
  </w:abstractNum>
  <w:abstractNum w:abstractNumId="170">
    <w:nsid w:val="CBE5BE9"/>
    <w:multiLevelType w:val="hybridMultilevel"/>
    <w:lvl w:ilvl="0">
      <w:lvlJc w:val="left"/>
      <w:lvlText w:val="%1"/>
      <w:numFmt w:val="lowerLetter"/>
      <w:start w:val="1"/>
    </w:lvl>
    <w:lvl w:ilvl="1">
      <w:lvlJc w:val="left"/>
      <w:lvlText w:val="(%2)"/>
      <w:numFmt w:val="lowerLetter"/>
      <w:start w:val="4"/>
    </w:lvl>
  </w:abstractNum>
  <w:abstractNum w:abstractNumId="171">
    <w:nsid w:val="3102BBE2"/>
    <w:multiLevelType w:val="hybridMultilevel"/>
    <w:lvl w:ilvl="0">
      <w:lvlJc w:val="left"/>
      <w:lvlText w:val="(%1)"/>
      <w:numFmt w:val="lowerLetter"/>
      <w:start w:val="3"/>
    </w:lvl>
    <w:lvl w:ilvl="1">
      <w:lvlJc w:val="left"/>
      <w:lvlText w:val="%2"/>
      <w:numFmt w:val="lowerLetter"/>
      <w:start w:val="1"/>
    </w:lvl>
  </w:abstractNum>
  <w:abstractNum w:abstractNumId="172">
    <w:nsid w:val="26A02C5E"/>
    <w:multiLevelType w:val="hybridMultilevel"/>
    <w:lvl w:ilvl="0">
      <w:lvlJc w:val="left"/>
      <w:lvlText w:val="%1"/>
      <w:numFmt w:val="lowerLetter"/>
      <w:start w:val="1"/>
    </w:lvl>
    <w:lvl w:ilvl="1">
      <w:lvlJc w:val="left"/>
      <w:lvlText w:val="(%2)"/>
      <w:numFmt w:val="lowerLetter"/>
      <w:start w:val="1"/>
    </w:lvl>
  </w:abstractNum>
  <w:abstractNum w:abstractNumId="173">
    <w:nsid w:val="541C8153"/>
    <w:multiLevelType w:val="hybridMultilevel"/>
    <w:lvl w:ilvl="0">
      <w:lvlJc w:val="left"/>
      <w:lvlText w:val="(%1)"/>
      <w:numFmt w:val="lowerLetter"/>
      <w:start w:val="35"/>
    </w:lvl>
    <w:lvl w:ilvl="1">
      <w:lvlJc w:val="left"/>
      <w:lvlText w:val="%2"/>
      <w:numFmt w:val="lowerLetter"/>
      <w:start w:val="1"/>
    </w:lvl>
  </w:abstractNum>
  <w:abstractNum w:abstractNumId="174">
    <w:nsid w:val="67906F60"/>
    <w:multiLevelType w:val="hybridMultilevel"/>
    <w:lvl w:ilvl="0">
      <w:lvlJc w:val="left"/>
      <w:lvlText w:val="(%1)"/>
      <w:numFmt w:val="lowerLetter"/>
      <w:start w:val="1"/>
    </w:lvl>
  </w:abstractNum>
  <w:abstractNum w:abstractNumId="175">
    <w:nsid w:val="10DB9DAA"/>
    <w:multiLevelType w:val="hybridMultilevel"/>
    <w:lvl w:ilvl="0">
      <w:lvlJc w:val="left"/>
      <w:lvlText w:val="(%1)"/>
      <w:numFmt w:val="lowerLetter"/>
      <w:start w:val="1"/>
    </w:lvl>
  </w:abstractNum>
  <w:abstractNum w:abstractNumId="176">
    <w:nsid w:val="697D2D2"/>
    <w:multiLevelType w:val="hybridMultilevel"/>
    <w:lvl w:ilvl="0">
      <w:lvlJc w:val="left"/>
      <w:lvlText w:val="(%1)"/>
      <w:numFmt w:val="lowerLetter"/>
      <w:start w:val="1"/>
    </w:lvl>
    <w:lvl w:ilvl="1">
      <w:lvlJc w:val="left"/>
      <w:lvlText w:val="(%2)"/>
      <w:numFmt w:val="lowerRoman"/>
      <w:start w:val="1"/>
    </w:lvl>
  </w:abstractNum>
  <w:abstractNum w:abstractNumId="177">
    <w:nsid w:val="6D68AB2"/>
    <w:multiLevelType w:val="hybridMultilevel"/>
    <w:lvl w:ilvl="0">
      <w:lvlJc w:val="left"/>
      <w:lvlText w:val="(%1)"/>
      <w:numFmt w:val="lowerLetter"/>
      <w:start w:val="2"/>
    </w:lvl>
  </w:abstractNum>
  <w:abstractNum w:abstractNumId="178">
    <w:nsid w:val="3A966CD0"/>
    <w:multiLevelType w:val="hybridMultilevel"/>
    <w:lvl w:ilvl="0">
      <w:lvlJc w:val="left"/>
      <w:lvlText w:val="(%1)"/>
      <w:numFmt w:val="lowerLetter"/>
      <w:start w:val="3"/>
    </w:lvl>
  </w:abstractNum>
  <w:abstractNum w:abstractNumId="179">
    <w:nsid w:val="63F37E85"/>
    <w:multiLevelType w:val="hybridMultilevel"/>
    <w:lvl w:ilvl="0">
      <w:lvlJc w:val="left"/>
      <w:lvlText w:val="(%1)"/>
      <w:numFmt w:val="lowerLetter"/>
      <w:start w:val="4"/>
    </w:lvl>
  </w:abstractNum>
  <w:abstractNum w:abstractNumId="180">
    <w:nsid w:val="5895F5FA"/>
    <w:multiLevelType w:val="hybridMultilevel"/>
    <w:lvl w:ilvl="0">
      <w:lvlJc w:val="left"/>
      <w:lvlText w:val="(%1)"/>
      <w:numFmt w:val="lowerLetter"/>
      <w:start w:val="1"/>
    </w:lvl>
    <w:lvl w:ilvl="1">
      <w:lvlJc w:val="left"/>
      <w:lvlText w:val="(%2)"/>
      <w:numFmt w:val="lowerRoman"/>
      <w:start w:val="1"/>
    </w:lvl>
  </w:abstractNum>
  <w:abstractNum w:abstractNumId="181">
    <w:nsid w:val="38A5D054"/>
    <w:multiLevelType w:val="hybridMultilevel"/>
    <w:lvl w:ilvl="0">
      <w:lvlJc w:val="left"/>
      <w:lvlText w:val="(%1)"/>
      <w:numFmt w:val="lowerRoman"/>
      <w:start w:val="3"/>
    </w:lvl>
  </w:abstractNum>
  <w:abstractNum w:abstractNumId="182">
    <w:nsid w:val="F3F09D8"/>
    <w:multiLevelType w:val="hybridMultilevel"/>
    <w:lvl w:ilvl="0">
      <w:lvlJc w:val="left"/>
      <w:lvlText w:val="(%1)"/>
      <w:numFmt w:val="lowerLetter"/>
      <w:start w:val="2"/>
    </w:lvl>
  </w:abstractNum>
  <w:abstractNum w:abstractNumId="183">
    <w:nsid w:val="4B793735"/>
    <w:multiLevelType w:val="hybridMultilevel"/>
    <w:lvl w:ilvl="0">
      <w:lvlJc w:val="left"/>
      <w:lvlText w:val="(%1)"/>
      <w:numFmt w:val="lowerLetter"/>
      <w:start w:val="1"/>
    </w:lvl>
    <w:lvl w:ilvl="1">
      <w:lvlJc w:val="left"/>
      <w:lvlText w:val="(%2)"/>
      <w:numFmt w:val="lowerRoman"/>
      <w:start w:val="1"/>
    </w:lvl>
  </w:abstractNum>
  <w:abstractNum w:abstractNumId="184">
    <w:nsid w:val="4A10B4E8"/>
    <w:multiLevelType w:val="hybridMultilevel"/>
    <w:lvl w:ilvl="0">
      <w:lvlJc w:val="left"/>
      <w:lvlText w:val="(%1)"/>
      <w:numFmt w:val="lowerRoman"/>
      <w:start w:val="4"/>
    </w:lvl>
  </w:abstractNum>
  <w:abstractNum w:abstractNumId="185">
    <w:nsid w:val="43D3BCD4"/>
    <w:multiLevelType w:val="hybridMultilevel"/>
    <w:lvl w:ilvl="0">
      <w:lvlJc w:val="left"/>
      <w:lvlText w:val="(%1)"/>
      <w:numFmt w:val="upperLetter"/>
      <w:start w:val="4"/>
    </w:lvl>
  </w:abstractNum>
  <w:abstractNum w:abstractNumId="186">
    <w:nsid w:val="4C2A7166"/>
    <w:multiLevelType w:val="hybridMultilevel"/>
    <w:lvl w:ilvl="0">
      <w:lvlJc w:val="left"/>
      <w:lvlText w:val="(%1)"/>
      <w:numFmt w:val="lowerLetter"/>
      <w:start w:val="2"/>
    </w:lvl>
    <w:lvl w:ilvl="1">
      <w:lvlJc w:val="left"/>
      <w:lvlText w:val="(%2)"/>
      <w:numFmt w:val="upperLetter"/>
      <w:start w:val="1"/>
    </w:lvl>
  </w:abstractNum>
  <w:abstractNum w:abstractNumId="187">
    <w:nsid w:val="2E534A82"/>
    <w:multiLevelType w:val="hybridMultilevel"/>
    <w:lvl w:ilvl="0">
      <w:lvlJc w:val="left"/>
      <w:lvlText w:val="(%1)"/>
      <w:numFmt w:val="upperLetter"/>
      <w:start w:val="2"/>
    </w:lvl>
  </w:abstractNum>
  <w:abstractNum w:abstractNumId="188">
    <w:nsid w:val="26F2D364"/>
    <w:multiLevelType w:val="hybridMultilevel"/>
    <w:lvl w:ilvl="0">
      <w:lvlJc w:val="left"/>
      <w:lvlText w:val="(%1)"/>
      <w:numFmt w:val="upperLetter"/>
      <w:start w:val="1"/>
    </w:lvl>
    <w:lvl w:ilvl="1">
      <w:lvlJc w:val="left"/>
      <w:lvlText w:val="(%2)"/>
      <w:numFmt w:val="lowerLetter"/>
      <w:start w:val="3"/>
    </w:lvl>
  </w:abstractNum>
  <w:abstractNum w:abstractNumId="189">
    <w:nsid w:val="71C1AF98"/>
    <w:multiLevelType w:val="hybridMultilevel"/>
    <w:lvl w:ilvl="0">
      <w:lvlJc w:val="left"/>
      <w:lvlText w:val="(%1)"/>
      <w:numFmt w:val="lowerLetter"/>
      <w:start w:val="4"/>
    </w:lvl>
  </w:abstractNum>
  <w:abstractNum w:abstractNumId="190">
    <w:nsid w:val="3D00B9D9"/>
    <w:multiLevelType w:val="hybridMultilevel"/>
    <w:lvl w:ilvl="0">
      <w:lvlJc w:val="left"/>
      <w:lvlText w:val="(%1)"/>
      <w:numFmt w:val="lowerLetter"/>
      <w:start w:val="7"/>
    </w:lvl>
  </w:abstractNum>
  <w:abstractNum w:abstractNumId="191">
    <w:nsid w:val="15BCABA8"/>
    <w:multiLevelType w:val="hybridMultilevel"/>
    <w:lvl w:ilvl="0">
      <w:lvlJc w:val="left"/>
      <w:lvlText w:val="%1"/>
      <w:numFmt w:val="upperLetter"/>
      <w:start w:val="1"/>
    </w:lvl>
    <w:lvl w:ilvl="1">
      <w:lvlJc w:val="left"/>
      <w:lvlText w:val="(%2)"/>
      <w:numFmt w:val="lowerLetter"/>
      <w:start w:val="4"/>
    </w:lvl>
  </w:abstractNum>
  <w:abstractNum w:abstractNumId="192">
    <w:nsid w:val="4E0B9A87"/>
    <w:multiLevelType w:val="hybridMultilevel"/>
    <w:lvl w:ilvl="0">
      <w:lvlJc w:val="left"/>
      <w:lvlText w:val="(%1)"/>
      <w:numFmt w:val="upperLetter"/>
      <w:start w:val="4"/>
    </w:lvl>
    <w:lvl w:ilvl="1">
      <w:lvlJc w:val="left"/>
      <w:lvlText w:val="%2"/>
      <w:numFmt w:val="lowerLetter"/>
      <w:start w:val="1"/>
    </w:lvl>
  </w:abstractNum>
  <w:abstractNum w:abstractNumId="193">
    <w:nsid w:val="434BAE75"/>
    <w:multiLevelType w:val="hybridMultilevel"/>
    <w:lvl w:ilvl="0">
      <w:lvlJc w:val="left"/>
      <w:lvlText w:val="(%1)"/>
      <w:numFmt w:val="lowerLetter"/>
      <w:start w:val="1"/>
    </w:lvl>
  </w:abstractNum>
  <w:abstractNum w:abstractNumId="194">
    <w:nsid w:val="4F38F265"/>
    <w:multiLevelType w:val="hybridMultilevel"/>
    <w:lvl w:ilvl="0">
      <w:lvlJc w:val="left"/>
      <w:lvlText w:val="(%1)"/>
      <w:numFmt w:val="lowerLetter"/>
      <w:start w:val="2"/>
    </w:lvl>
  </w:abstractNum>
  <w:abstractNum w:abstractNumId="195">
    <w:nsid w:val="4C502870"/>
    <w:multiLevelType w:val="hybridMultilevel"/>
    <w:lvl w:ilvl="0">
      <w:lvlJc w:val="left"/>
      <w:lvlText w:val="(%1)"/>
      <w:numFmt w:val="lowerLetter"/>
      <w:start w:val="3"/>
    </w:lvl>
    <w:lvl w:ilvl="1">
      <w:lvlJc w:val="left"/>
      <w:lvlText w:val="(%2)"/>
      <w:numFmt w:val="lowerLetter"/>
      <w:start w:val="9"/>
    </w:lvl>
  </w:abstractNum>
  <w:abstractNum w:abstractNumId="196">
    <w:nsid w:val="1DE8725A"/>
    <w:multiLevelType w:val="hybridMultilevel"/>
    <w:lvl w:ilvl="0">
      <w:lvlJc w:val="left"/>
      <w:lvlText w:val="(%1)"/>
      <w:numFmt w:val="lowerRoman"/>
      <w:start w:val="2"/>
    </w:lvl>
  </w:abstractNum>
  <w:abstractNum w:abstractNumId="197">
    <w:nsid w:val="6A37288A"/>
    <w:multiLevelType w:val="hybridMultilevel"/>
    <w:lvl w:ilvl="0">
      <w:lvlJc w:val="left"/>
      <w:lvlText w:val="(%1)"/>
      <w:numFmt w:val="lowerLetter"/>
      <w:start w:val="5"/>
    </w:lvl>
  </w:abstractNum>
  <w:abstractNum w:abstractNumId="198">
    <w:nsid w:val="8F8B73F"/>
    <w:multiLevelType w:val="hybridMultilevel"/>
    <w:lvl w:ilvl="0">
      <w:lvlJc w:val="left"/>
      <w:lvlText w:val="%1"/>
      <w:numFmt w:val="lowerLetter"/>
      <w:start w:val="1"/>
    </w:lvl>
    <w:lvl w:ilvl="1">
      <w:lvlJc w:val="left"/>
      <w:lvlText w:val="(%2)"/>
      <w:numFmt w:val="lowerLetter"/>
      <w:start w:val="6"/>
    </w:lvl>
  </w:abstractNum>
  <w:abstractNum w:abstractNumId="199">
    <w:nsid w:val="CA6B462"/>
    <w:multiLevelType w:val="hybridMultilevel"/>
    <w:lvl w:ilvl="0">
      <w:lvlJc w:val="left"/>
      <w:lvlText w:val="(%1)"/>
      <w:numFmt w:val="lowerLetter"/>
      <w:start w:val="35"/>
    </w:lvl>
    <w:lvl w:ilvl="1">
      <w:lvlJc w:val="left"/>
      <w:lvlText w:val="%2"/>
      <w:numFmt w:val="lowerLetter"/>
      <w:start w:val="1"/>
    </w:lvl>
  </w:abstractNum>
  <w:abstractNum w:abstractNumId="200">
    <w:nsid w:val="763CB680"/>
    <w:multiLevelType w:val="hybridMultilevel"/>
    <w:lvl w:ilvl="0">
      <w:lvlJc w:val="left"/>
      <w:lvlText w:val="(%1)"/>
      <w:numFmt w:val="lowerLetter"/>
      <w:start w:val="1"/>
    </w:lvl>
  </w:abstractNum>
  <w:abstractNum w:abstractNumId="201">
    <w:nsid w:val="15B71329"/>
    <w:multiLevelType w:val="hybridMultilevel"/>
    <w:lvl w:ilvl="0">
      <w:lvlJc w:val="left"/>
      <w:lvlText w:val="(%1)"/>
      <w:numFmt w:val="lowerLetter"/>
      <w:start w:val="2"/>
    </w:lvl>
  </w:abstractNum>
  <w:abstractNum w:abstractNumId="202">
    <w:nsid w:val="3DA97044"/>
    <w:multiLevelType w:val="hybridMultilevel"/>
    <w:lvl w:ilvl="0">
      <w:lvlJc w:val="left"/>
      <w:lvlText w:val="(%1)"/>
      <w:numFmt w:val="lowerLetter"/>
      <w:start w:val="1"/>
    </w:lvl>
  </w:abstractNum>
  <w:abstractNum w:abstractNumId="203">
    <w:nsid w:val="1CDCE2DE"/>
    <w:multiLevelType w:val="hybridMultilevel"/>
    <w:lvl w:ilvl="0">
      <w:lvlJc w:val="left"/>
      <w:lvlText w:val="(%1)"/>
      <w:numFmt w:val="lowerLetter"/>
      <w:start w:val="3"/>
    </w:lvl>
  </w:abstractNum>
  <w:abstractNum w:abstractNumId="204">
    <w:nsid w:val="69D3947C"/>
    <w:multiLevelType w:val="hybridMultilevel"/>
    <w:lvl w:ilvl="0">
      <w:lvlJc w:val="left"/>
      <w:lvlText w:val="(%1)"/>
      <w:numFmt w:val="lowerLetter"/>
      <w:start w:val="1"/>
    </w:lvl>
  </w:abstractNum>
  <w:abstractNum w:abstractNumId="205">
    <w:nsid w:val="2539DFA5"/>
    <w:multiLevelType w:val="hybridMultilevel"/>
    <w:lvl w:ilvl="0">
      <w:lvlJc w:val="left"/>
      <w:lvlText w:val="(%1)"/>
      <w:numFmt w:val="upperLetter"/>
      <w:start w:val="3"/>
    </w:lvl>
  </w:abstractNum>
  <w:abstractNum w:abstractNumId="206">
    <w:nsid w:val="2DB88089"/>
    <w:multiLevelType w:val="hybridMultilevel"/>
    <w:lvl w:ilvl="0">
      <w:lvlJc w:val="left"/>
      <w:lvlText w:val="(%1)"/>
      <w:numFmt w:val="lowerLetter"/>
      <w:start w:val="2"/>
    </w:lvl>
  </w:abstractNum>
  <w:abstractNum w:abstractNumId="207">
    <w:nsid w:val="706B674E"/>
    <w:multiLevelType w:val="hybridMultilevel"/>
    <w:lvl w:ilvl="0">
      <w:lvlJc w:val="left"/>
      <w:lvlText w:val="(%1)"/>
      <w:numFmt w:val="lowerLetter"/>
      <w:start w:val="1"/>
    </w:lvl>
    <w:lvl w:ilvl="1">
      <w:lvlJc w:val="left"/>
      <w:lvlText w:val="(%2)"/>
      <w:numFmt w:val="lowerRoman"/>
      <w:start w:val="1"/>
    </w:lvl>
  </w:abstractNum>
  <w:abstractNum w:abstractNumId="208">
    <w:nsid w:val="2C106A57"/>
    <w:multiLevelType w:val="hybridMultilevel"/>
    <w:lvl w:ilvl="0">
      <w:lvlJc w:val="left"/>
      <w:lvlText w:val="(%1)"/>
      <w:numFmt w:val="lowerRoman"/>
      <w:start w:val="3"/>
    </w:lvl>
  </w:abstractNum>
  <w:abstractNum w:abstractNumId="209">
    <w:nsid w:val="684EED59"/>
    <w:multiLevelType w:val="hybridMultilevel"/>
    <w:lvl w:ilvl="0">
      <w:lvlJc w:val="left"/>
      <w:lvlText w:val="(%1)"/>
      <w:numFmt w:val="upperLetter"/>
      <w:start w:val="1"/>
    </w:lvl>
  </w:abstractNum>
  <w:abstractNum w:abstractNumId="210">
    <w:nsid w:val="545EE5D3"/>
    <w:multiLevelType w:val="hybridMultilevel"/>
    <w:lvl w:ilvl="0">
      <w:lvlJc w:val="left"/>
      <w:lvlText w:val="%1."/>
      <w:numFmt w:val="decimal"/>
      <w:start w:val="1"/>
    </w:lvl>
  </w:abstractNum>
  <w:abstractNum w:abstractNumId="211">
    <w:nsid w:val="4A66051"/>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212">
    <w:nsid w:val="20F4BDAD"/>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213">
    <w:nsid w:val="639DEFAC"/>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214">
    <w:nsid w:val="501F9786"/>
    <w:multiLevelType w:val="hybridMultilevel"/>
    <w:lvl w:ilvl="0">
      <w:lvlJc w:val="left"/>
      <w:lvlText w:val="(%1)"/>
      <w:numFmt w:val="lowerRoman"/>
      <w:start w:val="4"/>
    </w:lvl>
  </w:abstractNum>
  <w:abstractNum w:abstractNumId="215">
    <w:nsid w:val="6B057295"/>
    <w:multiLevelType w:val="hybridMultilevel"/>
    <w:lvl w:ilvl="0">
      <w:lvlJc w:val="left"/>
      <w:lvlText w:val="%1."/>
      <w:numFmt w:val="decimal"/>
      <w:start w:val="1"/>
    </w:lvl>
    <w:lvl w:ilvl="1">
      <w:lvlJc w:val="left"/>
      <w:lvlText w:val="%2)"/>
      <w:numFmt w:val="lowerLetter"/>
      <w:start w:val="1"/>
    </w:lvl>
  </w:abstractNum>
  <w:abstractNum w:abstractNumId="216">
    <w:nsid w:val="2771AC80"/>
    <w:multiLevelType w:val="hybridMultilevel"/>
    <w:lvl w:ilvl="0">
      <w:lvlJc w:val="left"/>
      <w:lvlText w:val="%1."/>
      <w:numFmt w:val="decimal"/>
      <w:start w:val="1"/>
    </w:lvl>
    <w:lvl w:ilvl="1">
      <w:lvlJc w:val="left"/>
      <w:lvlText w:val="%2)"/>
      <w:numFmt w:val="lowerLetter"/>
      <w:start w:val="1"/>
    </w:lvl>
  </w:abstractNum>
  <w:abstractNum w:abstractNumId="217">
    <w:nsid w:val="1C4A0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2019-12-29T11:11:09Z</dcterms:created>
  <dcterms:modified xsi:type="dcterms:W3CDTF">2019-12-29T11:11:09Z</dcterms:modified>
</cp:coreProperties>
</file>