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8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left"/>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PURSUANT TO SECTION 13 OR 15(d)</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 xml:space="preserve">Date of Report (Date of earliest event reported): April 30, 2025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 xml:space="preserve">WYNN RESORTS, LIMITED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5469" w:type="dxa"/>
        <w:jc w:val="center"/>
        <w:tblInd w:w="0" w:type="dxa"/>
        <w:tblLayout w:type="fixed"/>
        <w:tblCellMar>
          <w:top w:w="28" w:type="dxa"/>
          <w:left w:w="28" w:type="dxa"/>
          <w:bottom w:w="28" w:type="dxa"/>
          <w:right w:w="28" w:type="dxa"/>
        </w:tblCellMar>
      </w:tblPr>
      <w:tblGrid>
        <w:gridCol w:w="537"/>
        <w:gridCol w:w="472"/>
        <w:gridCol w:w="472"/>
        <w:gridCol w:w="472"/>
        <w:gridCol w:w="472"/>
        <w:gridCol w:w="496"/>
        <w:gridCol w:w="353"/>
        <w:gridCol w:w="353"/>
        <w:gridCol w:w="358"/>
        <w:gridCol w:w="433"/>
        <w:gridCol w:w="433"/>
        <w:gridCol w:w="618"/>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Nevada</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000-50028</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46-0484987</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b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(Commission</w:t>
              <w:br/>
              <w:t>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3131 Las Vegas Boulevard South</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 xml:space="preserve">Las Vegas, </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Nevada</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89109</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0" w:after="0"/>
        <w:jc w:val="center"/>
        <w:rPr>
          <w:color w:val="000000"/>
        </w:rPr>
      </w:pPr>
      <w:r>
        <w:rPr>
          <w:color w:val="000000"/>
        </w:rPr>
        <w:t xml:space="preserve">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(702) 770-7555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872" w:type="dxa"/>
        <w:jc w:val="center"/>
        <w:tblInd w:w="0" w:type="dxa"/>
        <w:tblLayout w:type="fixed"/>
        <w:tblCellMar>
          <w:top w:w="28" w:type="dxa"/>
          <w:left w:w="28" w:type="dxa"/>
          <w:bottom w:w="28" w:type="dxa"/>
          <w:right w:w="28" w:type="dxa"/>
        </w:tblCellMar>
      </w:tblPr>
      <w:tblGrid>
        <w:gridCol w:w="975"/>
        <w:gridCol w:w="857"/>
        <w:gridCol w:w="867"/>
        <w:gridCol w:w="109"/>
        <w:gridCol w:w="109"/>
        <w:gridCol w:w="109"/>
        <w:gridCol w:w="564"/>
        <w:gridCol w:w="564"/>
        <w:gridCol w:w="566"/>
        <w:gridCol w:w="109"/>
        <w:gridCol w:w="109"/>
        <w:gridCol w:w="109"/>
        <w:gridCol w:w="1118"/>
        <w:gridCol w:w="1118"/>
        <w:gridCol w:w="1589"/>
      </w:tblGrid>
      <w:tr>
        <w:trPr/>
        <w:tc>
          <w:tcPr>
            <w:tcW w:w="97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WYNN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
        <w:jc w:val="both"/>
        <w:rPr/>
      </w:pPr>
      <w:r>
        <w:rPr/>
      </w:r>
    </w:p>
    <w:p>
      <w:pPr>
        <w:pStyle w:val="TextBody"/>
        <w:bidi w:val="0"/>
        <w:spacing w:lineRule="auto" w:line="288" w:before="10" w:after="10"/>
        <w:jc w:val="both"/>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Soliciting material pursuant to Rule 14a-12 under the Exchange Act (17 CFR 240.14a-12)</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lineRule="auto" w:line="288" w:before="10" w:after="1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0" w:after="10"/>
        <w:jc w:val="both"/>
        <w:rPr/>
      </w:pPr>
      <w:r>
        <w:rPr>
          <w:rFonts w:ascii="Times New Roman;sans-serif" w:hAnsi="Times New Roman;sans-serif"/>
          <w:b w:val="false"/>
          <w:color w:val="000000"/>
          <w:sz w:val="20"/>
        </w:rPr>
        <w:t xml:space="preserve">Emerging growth company </w:t>
      </w:r>
      <w:r>
        <w:rPr>
          <w:color w:val="000000"/>
        </w:rPr>
        <w:t xml:space="preserve">☐ </w:t>
      </w:r>
    </w:p>
    <w:p>
      <w:pPr>
        <w:pStyle w:val="TextBody"/>
        <w:bidi w:val="0"/>
        <w:spacing w:lineRule="auto" w:line="288" w:before="10" w:after="1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460" w:type="dxa"/>
        <w:jc w:val="left"/>
        <w:tblInd w:w="0" w:type="dxa"/>
        <w:tblLayout w:type="fixed"/>
        <w:tblCellMar>
          <w:top w:w="28" w:type="dxa"/>
          <w:left w:w="28" w:type="dxa"/>
          <w:bottom w:w="28" w:type="dxa"/>
          <w:right w:w="28" w:type="dxa"/>
        </w:tblCellMar>
      </w:tblPr>
      <w:tblGrid>
        <w:gridCol w:w="332"/>
        <w:gridCol w:w="291"/>
        <w:gridCol w:w="293"/>
        <w:gridCol w:w="1329"/>
        <w:gridCol w:w="1329"/>
        <w:gridCol w:w="1886"/>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5.07</w:t>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Submission of Matters to a Vote of Security Holders.</w:t>
            </w:r>
          </w:p>
        </w:tc>
      </w:tr>
    </w:tbl>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April 30, 2025, Wynn Resorts, Limited (the "Company") held its 2025 Annual Meeting of Shareholders (the "Annual Meeting"). The proposals voted upon at the Annual Meeting and the final results of the shareholder vote on each proposal, as certified by American Election Services, LLC, the independent inspector of elections for the Annual Meeting, were as follows:</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Proposal 1: Election of Directors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 elect three Class II directors, each to serve until the 2028 Annual Meeting of Shareholders:</w:t>
      </w:r>
    </w:p>
    <w:tbl>
      <w:tblPr>
        <w:tblW w:w="8686" w:type="dxa"/>
        <w:jc w:val="center"/>
        <w:tblInd w:w="0" w:type="dxa"/>
        <w:tblLayout w:type="fixed"/>
        <w:tblCellMar>
          <w:top w:w="28" w:type="dxa"/>
          <w:left w:w="28" w:type="dxa"/>
          <w:bottom w:w="28" w:type="dxa"/>
          <w:right w:w="28" w:type="dxa"/>
        </w:tblCellMar>
      </w:tblPr>
      <w:tblGrid>
        <w:gridCol w:w="726"/>
        <w:gridCol w:w="639"/>
        <w:gridCol w:w="644"/>
        <w:gridCol w:w="109"/>
        <w:gridCol w:w="109"/>
        <w:gridCol w:w="109"/>
        <w:gridCol w:w="344"/>
        <w:gridCol w:w="344"/>
        <w:gridCol w:w="348"/>
        <w:gridCol w:w="109"/>
        <w:gridCol w:w="109"/>
        <w:gridCol w:w="109"/>
        <w:gridCol w:w="419"/>
        <w:gridCol w:w="419"/>
        <w:gridCol w:w="421"/>
        <w:gridCol w:w="109"/>
        <w:gridCol w:w="109"/>
        <w:gridCol w:w="109"/>
        <w:gridCol w:w="464"/>
        <w:gridCol w:w="464"/>
        <w:gridCol w:w="466"/>
        <w:gridCol w:w="109"/>
        <w:gridCol w:w="109"/>
        <w:gridCol w:w="109"/>
        <w:gridCol w:w="492"/>
        <w:gridCol w:w="492"/>
        <w:gridCol w:w="696"/>
      </w:tblGrid>
      <w:tr>
        <w:trPr/>
        <w:tc>
          <w:tcPr>
            <w:tcW w:w="72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Director Nominees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Votes Withheld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Broker Non-Votes</w:t>
            </w:r>
          </w:p>
        </w:tc>
      </w:tr>
      <w:tr>
        <w:trPr/>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Craig S. Billings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65,134,808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2,260,237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264,962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23,973,701</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Anthony M. Sanfilippo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67,087,191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290,437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282,379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23,973,701</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Winifred M. Webb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62,292,284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5,103,017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264,706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23,973,701</w:t>
            </w:r>
          </w:p>
        </w:tc>
      </w:tr>
    </w:tbl>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Proposal 2: Ratification of Appointment of Independent Auditors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 ratify the Audit Committee’s appointment of Ernst &amp; Young LLP as the Company’s independent registered public accounting firm for the fiscal year ending December 31, 2025:</w:t>
      </w:r>
    </w:p>
    <w:tbl>
      <w:tblPr>
        <w:tblW w:w="5752" w:type="dxa"/>
        <w:jc w:val="center"/>
        <w:tblInd w:w="0" w:type="dxa"/>
        <w:tblLayout w:type="fixed"/>
        <w:tblCellMar>
          <w:top w:w="28" w:type="dxa"/>
          <w:left w:w="28" w:type="dxa"/>
          <w:bottom w:w="28" w:type="dxa"/>
          <w:right w:w="28" w:type="dxa"/>
        </w:tblCellMar>
      </w:tblPr>
      <w:tblGrid>
        <w:gridCol w:w="380"/>
        <w:gridCol w:w="333"/>
        <w:gridCol w:w="338"/>
        <w:gridCol w:w="109"/>
        <w:gridCol w:w="109"/>
        <w:gridCol w:w="109"/>
        <w:gridCol w:w="419"/>
        <w:gridCol w:w="419"/>
        <w:gridCol w:w="421"/>
        <w:gridCol w:w="109"/>
        <w:gridCol w:w="109"/>
        <w:gridCol w:w="109"/>
        <w:gridCol w:w="259"/>
        <w:gridCol w:w="259"/>
        <w:gridCol w:w="263"/>
        <w:gridCol w:w="109"/>
        <w:gridCol w:w="109"/>
        <w:gridCol w:w="109"/>
        <w:gridCol w:w="492"/>
        <w:gridCol w:w="492"/>
        <w:gridCol w:w="696"/>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Broker Non-Votes</w:t>
            </w:r>
          </w:p>
        </w:tc>
      </w:tr>
      <w:tr>
        <w:trPr/>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90,238,047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1,098,239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297,422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Proposal 3: Advisory Vote to Approve the Compensation of Named Executive Officers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 approve, on a non-binding advisory basis, the compensation of the Company’s named executive officers as described in the Proxy Statement:</w:t>
      </w:r>
    </w:p>
    <w:p>
      <w:pPr>
        <w:pStyle w:val="TextBody"/>
        <w:bidi w:val="0"/>
        <w:spacing w:before="0" w:after="0"/>
        <w:jc w:val="left"/>
        <w:rPr/>
      </w:pPr>
      <w:r>
        <w:rPr/>
      </w:r>
    </w:p>
    <w:tbl>
      <w:tblPr>
        <w:tblW w:w="5752" w:type="dxa"/>
        <w:jc w:val="center"/>
        <w:tblInd w:w="0" w:type="dxa"/>
        <w:tblLayout w:type="fixed"/>
        <w:tblCellMar>
          <w:top w:w="28" w:type="dxa"/>
          <w:left w:w="28" w:type="dxa"/>
          <w:bottom w:w="28" w:type="dxa"/>
          <w:right w:w="28" w:type="dxa"/>
        </w:tblCellMar>
      </w:tblPr>
      <w:tblGrid>
        <w:gridCol w:w="380"/>
        <w:gridCol w:w="333"/>
        <w:gridCol w:w="338"/>
        <w:gridCol w:w="109"/>
        <w:gridCol w:w="109"/>
        <w:gridCol w:w="109"/>
        <w:gridCol w:w="419"/>
        <w:gridCol w:w="419"/>
        <w:gridCol w:w="421"/>
        <w:gridCol w:w="109"/>
        <w:gridCol w:w="109"/>
        <w:gridCol w:w="109"/>
        <w:gridCol w:w="259"/>
        <w:gridCol w:w="259"/>
        <w:gridCol w:w="263"/>
        <w:gridCol w:w="109"/>
        <w:gridCol w:w="109"/>
        <w:gridCol w:w="109"/>
        <w:gridCol w:w="492"/>
        <w:gridCol w:w="492"/>
        <w:gridCol w:w="696"/>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Broker Non-Votes</w:t>
            </w:r>
          </w:p>
        </w:tc>
      </w:tr>
      <w:tr>
        <w:trPr/>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64,070,421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3,280,837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308,749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23,973,701</w:t>
            </w:r>
          </w:p>
        </w:tc>
      </w:tr>
    </w:tbl>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Proposal 4: Shareholder Proposal</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 consider and vote on a shareholder proposal requesting that the Board of Directors commission and disclose a report on the potential cost savings through the adoption of a smokefree policy for the Company’s properties:</w:t>
      </w:r>
    </w:p>
    <w:p>
      <w:pPr>
        <w:pStyle w:val="TextBody"/>
        <w:bidi w:val="0"/>
        <w:spacing w:before="0" w:after="0"/>
        <w:ind w:left="0" w:right="0" w:firstLine="720"/>
        <w:jc w:val="left"/>
        <w:rPr/>
      </w:pPr>
      <w:r>
        <w:rPr/>
      </w:r>
    </w:p>
    <w:tbl>
      <w:tblPr>
        <w:tblW w:w="5647" w:type="dxa"/>
        <w:jc w:val="center"/>
        <w:tblInd w:w="0" w:type="dxa"/>
        <w:tblLayout w:type="fixed"/>
        <w:tblCellMar>
          <w:top w:w="28" w:type="dxa"/>
          <w:left w:w="28" w:type="dxa"/>
          <w:bottom w:w="28" w:type="dxa"/>
          <w:right w:w="28" w:type="dxa"/>
        </w:tblCellMar>
      </w:tblPr>
      <w:tblGrid>
        <w:gridCol w:w="342"/>
        <w:gridCol w:w="300"/>
        <w:gridCol w:w="304"/>
        <w:gridCol w:w="109"/>
        <w:gridCol w:w="109"/>
        <w:gridCol w:w="109"/>
        <w:gridCol w:w="419"/>
        <w:gridCol w:w="419"/>
        <w:gridCol w:w="421"/>
        <w:gridCol w:w="109"/>
        <w:gridCol w:w="109"/>
        <w:gridCol w:w="109"/>
        <w:gridCol w:w="259"/>
        <w:gridCol w:w="259"/>
        <w:gridCol w:w="263"/>
        <w:gridCol w:w="109"/>
        <w:gridCol w:w="109"/>
        <w:gridCol w:w="109"/>
        <w:gridCol w:w="492"/>
        <w:gridCol w:w="492"/>
        <w:gridCol w:w="696"/>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Broker Non-Votes</w:t>
            </w:r>
          </w:p>
        </w:tc>
      </w:tr>
      <w:tr>
        <w:trPr/>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5,764,552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61,346,046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549,409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23,973,701</w:t>
            </w:r>
          </w:p>
        </w:tc>
      </w:tr>
    </w:tbl>
    <w:p>
      <w:pPr>
        <w:pStyle w:val="TextBody"/>
        <w:bidi w:val="0"/>
        <w:spacing w:before="0" w:after="0"/>
        <w:ind w:left="0" w:right="0" w:firstLine="540"/>
        <w:jc w:val="both"/>
        <w:rPr/>
      </w:pPr>
      <w:r>
        <w:rPr/>
      </w:r>
    </w:p>
    <w:p>
      <w:pPr>
        <w:pStyle w:val="TextBody"/>
        <w:bidi w:val="0"/>
        <w:spacing w:before="0" w:after="0"/>
        <w:jc w:val="both"/>
        <w:rPr/>
      </w:pPr>
      <w:r>
        <w:rPr/>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24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7417" w:type="dxa"/>
        <w:jc w:val="left"/>
        <w:tblInd w:w="0" w:type="dxa"/>
        <w:tblLayout w:type="fixed"/>
        <w:tblCellMar>
          <w:top w:w="28" w:type="dxa"/>
          <w:left w:w="28" w:type="dxa"/>
          <w:bottom w:w="28" w:type="dxa"/>
          <w:right w:w="28" w:type="dxa"/>
        </w:tblCellMar>
      </w:tblPr>
      <w:tblGrid>
        <w:gridCol w:w="629"/>
        <w:gridCol w:w="553"/>
        <w:gridCol w:w="558"/>
        <w:gridCol w:w="109"/>
        <w:gridCol w:w="109"/>
        <w:gridCol w:w="109"/>
        <w:gridCol w:w="134"/>
        <w:gridCol w:w="134"/>
        <w:gridCol w:w="136"/>
        <w:gridCol w:w="109"/>
        <w:gridCol w:w="109"/>
        <w:gridCol w:w="109"/>
        <w:gridCol w:w="1352"/>
        <w:gridCol w:w="1352"/>
        <w:gridCol w:w="1915"/>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WYNN RESORTS, LIMITED</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May 2,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Jacqui Krum</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Jacqui Krum</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General Counsel &amp; Secretary</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firstLine="495"/>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612</Words>
  <Characters>3469</Characters>
  <CharactersWithSpaces>4041</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