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-224155</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6" w:lineRule="exact"/>
        <w:rPr>
          <w:sz w:val="24"/>
          <w:szCs w:val="24"/>
          <w:color w:val="auto"/>
        </w:rPr>
      </w:pPr>
    </w:p>
    <w:p>
      <w:pPr>
        <w:ind w:left="720" w:right="200" w:hanging="685"/>
        <w:spacing w:after="0" w:line="248"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64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3819525</wp:posOffset>
            </wp:positionH>
            <wp:positionV relativeFrom="paragraph">
              <wp:posOffset>-7620</wp:posOffset>
            </wp:positionV>
            <wp:extent cx="11239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000-50028</w:t>
      </w:r>
    </w:p>
    <w:p>
      <w:pPr>
        <w:spacing w:after="0" w:line="200" w:lineRule="exact"/>
        <w:rPr>
          <w:sz w:val="24"/>
          <w:szCs w:val="24"/>
          <w:color w:val="auto"/>
        </w:rPr>
      </w:pP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-302895</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05" w:lineRule="exact"/>
        <w:rPr>
          <w:sz w:val="24"/>
          <w:szCs w:val="24"/>
          <w:color w:val="auto"/>
        </w:rPr>
      </w:pPr>
    </w:p>
    <w:tbl>
      <w:tblPr>
        <w:tblLayout w:type="fixed"/>
        <w:tblInd w:w="1880" w:type="dxa"/>
        <w:tblCellMar>
          <w:top w:w="0" w:type="dxa"/>
          <w:left w:w="0" w:type="dxa"/>
          <w:bottom w:w="0" w:type="dxa"/>
          <w:right w:w="0" w:type="dxa"/>
        </w:tblCellMar>
      </w:tblPr>
      <w:tr>
        <w:trPr>
          <w:trHeight w:val="234"/>
        </w:trPr>
        <w:tc>
          <w:tcPr>
            <w:tcW w:w="5980" w:type="dxa"/>
            <w:vAlign w:val="bottom"/>
          </w:tcPr>
          <w:p>
            <w:pPr>
              <w:ind w:left="1840"/>
              <w:spacing w:after="0"/>
              <w:rPr>
                <w:sz w:val="20"/>
                <w:szCs w:val="20"/>
                <w:color w:val="auto"/>
              </w:rPr>
            </w:pPr>
            <w:r>
              <w:rPr>
                <w:rFonts w:ascii="Arial" w:cs="Arial" w:eastAsia="Arial" w:hAnsi="Arial"/>
                <w:sz w:val="18"/>
                <w:szCs w:val="18"/>
                <w:b w:val="1"/>
                <w:bCs w:val="1"/>
                <w:color w:val="auto"/>
                <w:w w:val="92"/>
              </w:rPr>
              <w:t>(Exact name of registrant as specified in its charter)</w:t>
            </w:r>
          </w:p>
        </w:tc>
        <w:tc>
          <w:tcPr>
            <w:tcW w:w="1280" w:type="dxa"/>
            <w:vAlign w:val="bottom"/>
          </w:tcPr>
          <w:p>
            <w:pPr>
              <w:spacing w:after="0"/>
              <w:rPr>
                <w:sz w:val="20"/>
                <w:szCs w:val="20"/>
                <w:color w:val="auto"/>
              </w:rPr>
            </w:pPr>
          </w:p>
        </w:tc>
      </w:tr>
      <w:tr>
        <w:trPr>
          <w:trHeight w:val="432"/>
        </w:trPr>
        <w:tc>
          <w:tcPr>
            <w:tcW w:w="5980" w:type="dxa"/>
            <w:vAlign w:val="bottom"/>
          </w:tcPr>
          <w:p>
            <w:pPr>
              <w:jc w:val="center"/>
              <w:ind w:right="4039"/>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1280" w:type="dxa"/>
            <w:vAlign w:val="bottom"/>
          </w:tcPr>
          <w:p>
            <w:pPr>
              <w:jc w:val="center"/>
              <w:ind w:left="62"/>
              <w:spacing w:after="0"/>
              <w:rPr>
                <w:sz w:val="20"/>
                <w:szCs w:val="20"/>
                <w:color w:val="auto"/>
              </w:rPr>
            </w:pPr>
            <w:r>
              <w:rPr>
                <w:rFonts w:ascii="Arial" w:cs="Arial" w:eastAsia="Arial" w:hAnsi="Arial"/>
                <w:sz w:val="18"/>
                <w:szCs w:val="18"/>
                <w:b w:val="1"/>
                <w:bCs w:val="1"/>
                <w:color w:val="auto"/>
                <w:w w:val="89"/>
              </w:rPr>
              <w:t>46-0484987</w:t>
            </w:r>
          </w:p>
        </w:tc>
      </w:tr>
      <w:tr>
        <w:trPr>
          <w:trHeight w:val="180"/>
        </w:trPr>
        <w:tc>
          <w:tcPr>
            <w:tcW w:w="5980" w:type="dxa"/>
            <w:vAlign w:val="bottom"/>
          </w:tcPr>
          <w:p>
            <w:pPr>
              <w:jc w:val="center"/>
              <w:ind w:right="4039"/>
              <w:spacing w:after="0"/>
              <w:rPr>
                <w:sz w:val="20"/>
                <w:szCs w:val="20"/>
                <w:color w:val="auto"/>
              </w:rPr>
            </w:pPr>
            <w:r>
              <w:rPr>
                <w:rFonts w:ascii="Arial" w:cs="Arial" w:eastAsia="Arial" w:hAnsi="Arial"/>
                <w:sz w:val="14"/>
                <w:szCs w:val="14"/>
                <w:b w:val="1"/>
                <w:bCs w:val="1"/>
                <w:color w:val="auto"/>
                <w:w w:val="92"/>
              </w:rPr>
              <w:t>(State or other jurisdiction of</w:t>
            </w:r>
          </w:p>
        </w:tc>
        <w:tc>
          <w:tcPr>
            <w:tcW w:w="1280" w:type="dxa"/>
            <w:vAlign w:val="bottom"/>
          </w:tcPr>
          <w:p>
            <w:pPr>
              <w:jc w:val="center"/>
              <w:ind w:left="8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5980" w:type="dxa"/>
            <w:vAlign w:val="bottom"/>
          </w:tcPr>
          <w:p>
            <w:pPr>
              <w:jc w:val="center"/>
              <w:ind w:right="4039"/>
              <w:spacing w:after="0"/>
              <w:rPr>
                <w:sz w:val="20"/>
                <w:szCs w:val="20"/>
                <w:color w:val="auto"/>
              </w:rPr>
            </w:pPr>
            <w:r>
              <w:rPr>
                <w:rFonts w:ascii="Arial" w:cs="Arial" w:eastAsia="Arial" w:hAnsi="Arial"/>
                <w:sz w:val="14"/>
                <w:szCs w:val="14"/>
                <w:b w:val="1"/>
                <w:bCs w:val="1"/>
                <w:color w:val="auto"/>
                <w:w w:val="93"/>
              </w:rPr>
              <w:t>incorporation or organization)</w:t>
            </w:r>
          </w:p>
        </w:tc>
        <w:tc>
          <w:tcPr>
            <w:tcW w:w="1280" w:type="dxa"/>
            <w:vAlign w:val="bottom"/>
          </w:tcPr>
          <w:p>
            <w:pPr>
              <w:jc w:val="center"/>
              <w:ind w:left="6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3131 Las Vegas Boulevard South - Las Vegas, Nevada 89109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262255</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right="4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 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229" w:right="239"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4">
            <w:col w:w="1660" w:space="680"/>
            <w:col w:w="5220" w:space="720"/>
            <w:col w:w="2000" w:space="720"/>
            <w:col w:w="420"/>
          </w:cols>
          <w:pgMar w:left="240" w:top="229" w:right="23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1620" w:space="720"/>
            <w:col w:w="5220" w:space="720"/>
            <w:col w:w="2000" w:space="720"/>
            <w:col w:w="420"/>
          </w:cols>
          <w:pgMar w:left="240" w:top="229" w:right="239" w:bottom="1440" w:gutter="0" w:footer="0" w:header="0"/>
          <w:type w:val="continuous"/>
        </w:sectPr>
      </w:pPr>
    </w:p>
    <w:p>
      <w:pPr>
        <w:spacing w:after="0" w:line="33"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63" w:lineRule="exact"/>
        <w:rPr>
          <w:sz w:val="24"/>
          <w:szCs w:val="24"/>
          <w:color w:val="auto"/>
        </w:rPr>
      </w:pPr>
    </w:p>
    <w:p>
      <w:pPr>
        <w:sectPr>
          <w:pgSz w:w="11900" w:h="16838" w:orient="portrait"/>
          <w:cols w:equalWidth="0" w:num="4">
            <w:col w:w="8580" w:space="160"/>
            <w:col w:w="260" w:space="100"/>
            <w:col w:w="160" w:space="180"/>
            <w:col w:w="1980"/>
          </w:cols>
          <w:pgMar w:left="240" w:top="229" w:right="239" w:bottom="1440" w:gutter="0" w:footer="0" w:header="0"/>
          <w:type w:val="continuous"/>
        </w:sectPr>
      </w:pPr>
    </w:p>
    <w:p>
      <w:pPr>
        <w:ind w:left="4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0"/>
              </w:rPr>
              <w:t>Class</w:t>
            </w:r>
          </w:p>
        </w:tc>
        <w:tc>
          <w:tcPr>
            <w:tcW w:w="7440" w:type="dxa"/>
            <w:vAlign w:val="bottom"/>
          </w:tcPr>
          <w:p>
            <w:pPr>
              <w:spacing w:after="0"/>
              <w:rPr>
                <w:sz w:val="14"/>
                <w:szCs w:val="14"/>
                <w:color w:val="auto"/>
              </w:rPr>
            </w:pPr>
          </w:p>
        </w:tc>
        <w:tc>
          <w:tcPr>
            <w:tcW w:w="2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Outstanding at October 31, 2014</w:t>
            </w:r>
          </w:p>
        </w:tc>
      </w:tr>
      <w:tr>
        <w:trPr>
          <w:trHeight w:val="20"/>
        </w:trPr>
        <w:tc>
          <w:tcPr>
            <w:tcW w:w="1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4"/>
        </w:trPr>
        <w:tc>
          <w:tcPr>
            <w:tcW w:w="9100" w:type="dxa"/>
            <w:vAlign w:val="bottom"/>
            <w:gridSpan w:val="3"/>
          </w:tcPr>
          <w:p>
            <w:pPr>
              <w:jc w:val="center"/>
              <w:ind w:right="6120"/>
              <w:spacing w:after="0"/>
              <w:rPr>
                <w:sz w:val="20"/>
                <w:szCs w:val="20"/>
                <w:color w:val="auto"/>
              </w:rPr>
            </w:pPr>
            <w:r>
              <w:rPr>
                <w:rFonts w:ascii="Arial" w:cs="Arial" w:eastAsia="Arial" w:hAnsi="Arial"/>
                <w:sz w:val="18"/>
                <w:szCs w:val="18"/>
                <w:color w:val="auto"/>
                <w:w w:val="90"/>
              </w:rPr>
              <w:t>Common stock, $0.01 par value</w:t>
            </w:r>
          </w:p>
        </w:tc>
        <w:tc>
          <w:tcPr>
            <w:tcW w:w="2000" w:type="dxa"/>
            <w:vAlign w:val="bottom"/>
          </w:tcPr>
          <w:p>
            <w:pPr>
              <w:jc w:val="right"/>
              <w:ind w:right="459"/>
              <w:spacing w:after="0"/>
              <w:rPr>
                <w:sz w:val="20"/>
                <w:szCs w:val="20"/>
                <w:color w:val="auto"/>
              </w:rPr>
            </w:pPr>
            <w:r>
              <w:rPr>
                <w:rFonts w:ascii="Arial" w:cs="Arial" w:eastAsia="Arial" w:hAnsi="Arial"/>
                <w:sz w:val="18"/>
                <w:szCs w:val="18"/>
                <w:color w:val="auto"/>
              </w:rPr>
              <w:t>101,349,797</w:t>
            </w:r>
          </w:p>
        </w:tc>
        <w:tc>
          <w:tcPr>
            <w:tcW w:w="320" w:type="dxa"/>
            <w:vAlign w:val="bottom"/>
          </w:tcPr>
          <w:p>
            <w:pPr>
              <w:spacing w:after="0"/>
              <w:rPr>
                <w:sz w:val="22"/>
                <w:szCs w:val="22"/>
                <w:color w:val="auto"/>
              </w:rPr>
            </w:pPr>
          </w:p>
        </w:tc>
      </w:tr>
      <w:tr>
        <w:trPr>
          <w:trHeight w:val="284"/>
        </w:trPr>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6"/>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48"/>
        </w:trPr>
        <w:tc>
          <w:tcPr>
            <w:tcW w:w="3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40" w:type="dxa"/>
            <w:vAlign w:val="bottom"/>
            <w:gridSpan w:val="8"/>
          </w:tcPr>
          <w:p>
            <w:pPr>
              <w:jc w:val="center"/>
              <w:ind w:right="2800"/>
              <w:spacing w:after="0"/>
              <w:rPr>
                <w:sz w:val="20"/>
                <w:szCs w:val="20"/>
                <w:color w:val="auto"/>
              </w:rPr>
            </w:pPr>
            <w:r>
              <w:rPr>
                <w:rFonts w:ascii="Arial" w:cs="Arial" w:eastAsia="Arial" w:hAnsi="Arial"/>
                <w:sz w:val="18"/>
                <w:szCs w:val="18"/>
                <w:b w:val="1"/>
                <w:bCs w:val="1"/>
                <w:color w:val="auto"/>
              </w:rPr>
              <w:t>WYNN RESORTS, LIMITED AND SUBSIDIARIES</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140" w:type="dxa"/>
            <w:vAlign w:val="bottom"/>
            <w:gridSpan w:val="8"/>
          </w:tcPr>
          <w:p>
            <w:pPr>
              <w:jc w:val="center"/>
              <w:ind w:right="2800"/>
              <w:spacing w:after="0"/>
              <w:rPr>
                <w:sz w:val="20"/>
                <w:szCs w:val="20"/>
                <w:color w:val="auto"/>
              </w:rPr>
            </w:pPr>
            <w:r>
              <w:rPr>
                <w:rFonts w:ascii="Arial" w:cs="Arial" w:eastAsia="Arial" w:hAnsi="Arial"/>
                <w:sz w:val="18"/>
                <w:szCs w:val="18"/>
                <w:b w:val="1"/>
                <w:bCs w:val="1"/>
                <w:color w:val="auto"/>
                <w:w w:val="99"/>
              </w:rPr>
              <w:t>FORM 10-Q</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140" w:type="dxa"/>
            <w:vAlign w:val="bottom"/>
            <w:gridSpan w:val="8"/>
          </w:tcPr>
          <w:p>
            <w:pPr>
              <w:jc w:val="center"/>
              <w:ind w:right="2800"/>
              <w:spacing w:after="0"/>
              <w:rPr>
                <w:sz w:val="20"/>
                <w:szCs w:val="20"/>
                <w:color w:val="auto"/>
              </w:rPr>
            </w:pPr>
            <w:r>
              <w:rPr>
                <w:rFonts w:ascii="Arial" w:cs="Arial" w:eastAsia="Arial" w:hAnsi="Arial"/>
                <w:sz w:val="18"/>
                <w:szCs w:val="18"/>
                <w:b w:val="1"/>
                <w:bCs w:val="1"/>
                <w:color w:val="auto"/>
              </w:rPr>
              <w:t>INDEX</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67"/>
        </w:trPr>
        <w:tc>
          <w:tcPr>
            <w:tcW w:w="1760" w:type="dxa"/>
            <w:vAlign w:val="bottom"/>
            <w:gridSpan w:val="6"/>
          </w:tcPr>
          <w:p>
            <w:pPr>
              <w:ind w:left="40"/>
              <w:spacing w:after="0"/>
              <w:rPr>
                <w:sz w:val="20"/>
                <w:szCs w:val="20"/>
                <w:color w:val="auto"/>
              </w:rPr>
            </w:pPr>
            <w:r>
              <w:rPr>
                <w:rFonts w:ascii="Arial" w:cs="Arial" w:eastAsia="Arial" w:hAnsi="Arial"/>
                <w:sz w:val="18"/>
                <w:szCs w:val="18"/>
                <w:b w:val="1"/>
                <w:bCs w:val="1"/>
                <w:color w:val="auto"/>
              </w:rPr>
              <w:t>Part I.</w:t>
            </w:r>
          </w:p>
        </w:tc>
        <w:tc>
          <w:tcPr>
            <w:tcW w:w="8920" w:type="dxa"/>
            <w:vAlign w:val="bottom"/>
            <w:gridSpan w:val="16"/>
          </w:tcPr>
          <w:p>
            <w:pPr>
              <w:spacing w:after="0"/>
              <w:rPr>
                <w:sz w:val="20"/>
                <w:szCs w:val="20"/>
                <w:color w:val="auto"/>
              </w:rPr>
            </w:pPr>
            <w:r>
              <w:rPr>
                <w:rFonts w:ascii="Arial" w:cs="Arial" w:eastAsia="Arial" w:hAnsi="Arial"/>
                <w:sz w:val="18"/>
                <w:szCs w:val="18"/>
                <w:b w:val="1"/>
                <w:bCs w:val="1"/>
                <w:color w:val="auto"/>
              </w:rPr>
              <w:t>Financial Information</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860" w:type="dxa"/>
            <w:vAlign w:val="bottom"/>
            <w:gridSpan w:val="4"/>
          </w:tcPr>
          <w:p>
            <w:pPr>
              <w:spacing w:after="0"/>
              <w:rPr>
                <w:sz w:val="19"/>
                <w:szCs w:val="19"/>
                <w:color w:val="auto"/>
              </w:rPr>
            </w:pPr>
          </w:p>
        </w:tc>
        <w:tc>
          <w:tcPr>
            <w:tcW w:w="892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September 30, 2014 (unaudited) and December 31, 2013</w:t>
              </w:r>
            </w:hyperlink>
          </w:p>
        </w:tc>
        <w:tc>
          <w:tcPr>
            <w:tcW w:w="72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Statements of Income (unaudited) – Three and nine months ended September 30, 2014 and</w:t>
              </w:r>
            </w:hyperlink>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2013</w:t>
              </w:r>
            </w:hyperlink>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4</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Income (unaudited) – Three and nine months ended September</w:t>
              </w:r>
            </w:hyperlink>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0" w:type="dxa"/>
            <w:vAlign w:val="bottom"/>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30, 2014 and 2013</w:t>
              </w:r>
            </w:hyperlink>
          </w:p>
        </w:tc>
        <w:tc>
          <w:tcPr>
            <w:tcW w:w="720" w:type="dxa"/>
            <w:vAlign w:val="bottom"/>
            <w:gridSpan w:val="3"/>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5</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8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 of Stockholders’ Equity (unaudited) – Nine months ended September 30, 2014</w:t>
              </w:r>
            </w:hyperlink>
          </w:p>
        </w:tc>
        <w:tc>
          <w:tcPr>
            <w:tcW w:w="320" w:type="dxa"/>
            <w:vAlign w:val="bottom"/>
            <w:gridSpan w:val="3"/>
          </w:tcPr>
          <w:p>
            <w:pPr>
              <w:spacing w:after="0"/>
              <w:rPr>
                <w:sz w:val="21"/>
                <w:szCs w:val="21"/>
                <w:color w:val="auto"/>
              </w:rPr>
            </w:pPr>
          </w:p>
        </w:tc>
        <w:tc>
          <w:tcPr>
            <w:tcW w:w="6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38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(unaudited) – Nine months ended September 30, 2014 and 2013</w:t>
              </w:r>
            </w:hyperlink>
          </w:p>
        </w:tc>
        <w:tc>
          <w:tcPr>
            <w:tcW w:w="220" w:type="dxa"/>
            <w:vAlign w:val="bottom"/>
            <w:gridSpan w:val="2"/>
          </w:tcPr>
          <w:p>
            <w:pPr>
              <w:spacing w:after="0"/>
              <w:rPr>
                <w:sz w:val="21"/>
                <w:szCs w:val="21"/>
                <w:color w:val="auto"/>
              </w:rPr>
            </w:pPr>
          </w:p>
        </w:tc>
        <w:tc>
          <w:tcPr>
            <w:tcW w:w="6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7</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Condensed Consolidated Financial Statements (unaudited)</w:t>
              </w:r>
            </w:hyperlink>
          </w:p>
        </w:tc>
        <w:tc>
          <w:tcPr>
            <w:tcW w:w="4040" w:type="dxa"/>
            <w:vAlign w:val="bottom"/>
            <w:gridSpan w:val="6"/>
          </w:tcPr>
          <w:p>
            <w:pPr>
              <w:spacing w:after="0"/>
              <w:rPr>
                <w:sz w:val="21"/>
                <w:szCs w:val="21"/>
                <w:color w:val="auto"/>
              </w:rPr>
            </w:pPr>
          </w:p>
        </w:tc>
        <w:tc>
          <w:tcPr>
            <w:tcW w:w="6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2.</w:t>
              </w:r>
            </w:hyperlink>
          </w:p>
        </w:tc>
        <w:tc>
          <w:tcPr>
            <w:tcW w:w="860" w:type="dxa"/>
            <w:vAlign w:val="bottom"/>
            <w:gridSpan w:val="4"/>
          </w:tcPr>
          <w:p>
            <w:pPr>
              <w:spacing w:after="0"/>
              <w:rPr>
                <w:sz w:val="21"/>
                <w:szCs w:val="21"/>
                <w:color w:val="auto"/>
              </w:rPr>
            </w:pPr>
          </w:p>
        </w:tc>
        <w:tc>
          <w:tcPr>
            <w:tcW w:w="8920" w:type="dxa"/>
            <w:vAlign w:val="bottom"/>
            <w:gridSpan w:val="1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720" w:type="dxa"/>
            <w:vAlign w:val="bottom"/>
            <w:gridSpan w:val="3"/>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Item 3.</w:t>
              </w:r>
            </w:hyperlink>
          </w:p>
        </w:tc>
        <w:tc>
          <w:tcPr>
            <w:tcW w:w="860" w:type="dxa"/>
            <w:vAlign w:val="bottom"/>
            <w:gridSpan w:val="4"/>
          </w:tcPr>
          <w:p>
            <w:pPr>
              <w:spacing w:after="0"/>
              <w:rPr>
                <w:sz w:val="21"/>
                <w:szCs w:val="21"/>
                <w:color w:val="auto"/>
              </w:rPr>
            </w:pPr>
          </w:p>
        </w:tc>
        <w:tc>
          <w:tcPr>
            <w:tcW w:w="4360" w:type="dxa"/>
            <w:vAlign w:val="bottom"/>
            <w:gridSpan w:val="9"/>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Quantitative and Qualitative Disclosures About Market Risk</w:t>
              </w:r>
            </w:hyperlink>
          </w:p>
        </w:tc>
        <w:tc>
          <w:tcPr>
            <w:tcW w:w="2100" w:type="dxa"/>
            <w:vAlign w:val="bottom"/>
            <w:gridSpan w:val="2"/>
          </w:tcPr>
          <w:p>
            <w:pPr>
              <w:spacing w:after="0"/>
              <w:rPr>
                <w:sz w:val="21"/>
                <w:szCs w:val="21"/>
                <w:color w:val="auto"/>
              </w:rPr>
            </w:pPr>
          </w:p>
        </w:tc>
        <w:tc>
          <w:tcPr>
            <w:tcW w:w="2460" w:type="dxa"/>
            <w:vAlign w:val="bottom"/>
            <w:gridSpan w:val="5"/>
          </w:tcPr>
          <w:p>
            <w:pPr>
              <w:spacing w:after="0"/>
              <w:rPr>
                <w:sz w:val="21"/>
                <w:szCs w:val="21"/>
                <w:color w:val="auto"/>
              </w:rPr>
            </w:pPr>
          </w:p>
        </w:tc>
        <w:tc>
          <w:tcPr>
            <w:tcW w:w="72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4560" w:type="dxa"/>
            <w:vAlign w:val="bottom"/>
            <w:tcBorders>
              <w:left w:val="single" w:sz="8" w:color="0000EE"/>
            </w:tcBorders>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Item 4.</w:t>
              </w:r>
            </w:hyperlink>
          </w:p>
        </w:tc>
        <w:tc>
          <w:tcPr>
            <w:tcW w:w="860" w:type="dxa"/>
            <w:vAlign w:val="bottom"/>
            <w:gridSpan w:val="4"/>
          </w:tcPr>
          <w:p>
            <w:pPr>
              <w:spacing w:after="0"/>
              <w:rPr>
                <w:sz w:val="21"/>
                <w:szCs w:val="21"/>
                <w:color w:val="auto"/>
              </w:rPr>
            </w:pPr>
          </w:p>
        </w:tc>
        <w:tc>
          <w:tcPr>
            <w:tcW w:w="1780" w:type="dxa"/>
            <w:vAlign w:val="bottom"/>
            <w:gridSpan w:val="8"/>
          </w:tcPr>
          <w:p>
            <w:pPr>
              <w:spacing w:after="0"/>
              <w:rPr>
                <w:rFonts w:ascii="Arial" w:cs="Arial" w:eastAsia="Arial" w:hAnsi="Arial"/>
                <w:sz w:val="18"/>
                <w:szCs w:val="18"/>
                <w:color w:val="0000EE"/>
                <w:w w:val="88"/>
              </w:rPr>
            </w:pPr>
            <w:hyperlink w:anchor="page46">
              <w:r>
                <w:rPr>
                  <w:rFonts w:ascii="Arial" w:cs="Arial" w:eastAsia="Arial" w:hAnsi="Arial"/>
                  <w:sz w:val="18"/>
                  <w:szCs w:val="18"/>
                  <w:color w:val="0000EE"/>
                  <w:w w:val="88"/>
                </w:rPr>
                <w:t>Controls and Procedures</w:t>
              </w:r>
            </w:hyperlink>
          </w:p>
        </w:tc>
        <w:tc>
          <w:tcPr>
            <w:tcW w:w="2580" w:type="dxa"/>
            <w:vAlign w:val="bottom"/>
          </w:tcPr>
          <w:p>
            <w:pPr>
              <w:spacing w:after="0"/>
              <w:rPr>
                <w:sz w:val="21"/>
                <w:szCs w:val="21"/>
                <w:color w:val="auto"/>
              </w:rPr>
            </w:pPr>
          </w:p>
        </w:tc>
        <w:tc>
          <w:tcPr>
            <w:tcW w:w="4560" w:type="dxa"/>
            <w:vAlign w:val="bottom"/>
            <w:gridSpan w:val="7"/>
          </w:tcPr>
          <w:p>
            <w:pPr>
              <w:spacing w:after="0"/>
              <w:rPr>
                <w:sz w:val="21"/>
                <w:szCs w:val="21"/>
                <w:color w:val="auto"/>
              </w:rPr>
            </w:pPr>
          </w:p>
        </w:tc>
        <w:tc>
          <w:tcPr>
            <w:tcW w:w="720" w:type="dxa"/>
            <w:vAlign w:val="bottom"/>
            <w:gridSpan w:val="3"/>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88"/>
        </w:trPr>
        <w:tc>
          <w:tcPr>
            <w:tcW w:w="1760" w:type="dxa"/>
            <w:vAlign w:val="bottom"/>
            <w:gridSpan w:val="6"/>
          </w:tcPr>
          <w:p>
            <w:pPr>
              <w:ind w:left="40"/>
              <w:spacing w:after="0"/>
              <w:rPr>
                <w:sz w:val="20"/>
                <w:szCs w:val="20"/>
                <w:color w:val="auto"/>
              </w:rPr>
            </w:pPr>
            <w:r>
              <w:rPr>
                <w:rFonts w:ascii="Arial" w:cs="Arial" w:eastAsia="Arial" w:hAnsi="Arial"/>
                <w:sz w:val="18"/>
                <w:szCs w:val="18"/>
                <w:b w:val="1"/>
                <w:bCs w:val="1"/>
                <w:color w:val="auto"/>
              </w:rPr>
              <w:t>Part II.</w:t>
            </w:r>
          </w:p>
        </w:tc>
        <w:tc>
          <w:tcPr>
            <w:tcW w:w="8920" w:type="dxa"/>
            <w:vAlign w:val="bottom"/>
            <w:gridSpan w:val="16"/>
          </w:tcPr>
          <w:p>
            <w:pPr>
              <w:spacing w:after="0"/>
              <w:rPr>
                <w:sz w:val="20"/>
                <w:szCs w:val="20"/>
                <w:color w:val="auto"/>
              </w:rPr>
            </w:pPr>
            <w:r>
              <w:rPr>
                <w:rFonts w:ascii="Arial" w:cs="Arial" w:eastAsia="Arial" w:hAnsi="Arial"/>
                <w:sz w:val="18"/>
                <w:szCs w:val="18"/>
                <w:b w:val="1"/>
                <w:bCs w:val="1"/>
                <w:color w:val="auto"/>
              </w:rPr>
              <w:t>Other Information</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520" w:type="dxa"/>
            <w:vAlign w:val="bottom"/>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1.</w:t>
              </w:r>
            </w:hyperlink>
          </w:p>
        </w:tc>
        <w:tc>
          <w:tcPr>
            <w:tcW w:w="860" w:type="dxa"/>
            <w:vAlign w:val="bottom"/>
            <w:gridSpan w:val="4"/>
          </w:tcPr>
          <w:p>
            <w:pPr>
              <w:spacing w:after="0"/>
              <w:rPr>
                <w:sz w:val="19"/>
                <w:szCs w:val="19"/>
                <w:color w:val="auto"/>
              </w:rPr>
            </w:pPr>
          </w:p>
        </w:tc>
        <w:tc>
          <w:tcPr>
            <w:tcW w:w="1340" w:type="dxa"/>
            <w:vAlign w:val="bottom"/>
            <w:gridSpan w:val="5"/>
          </w:tcPr>
          <w:p>
            <w:pPr>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Legal Proceedings</w:t>
              </w:r>
            </w:hyperlink>
          </w:p>
        </w:tc>
        <w:tc>
          <w:tcPr>
            <w:tcW w:w="7580" w:type="dxa"/>
            <w:vAlign w:val="bottom"/>
            <w:gridSpan w:val="11"/>
          </w:tcPr>
          <w:p>
            <w:pPr>
              <w:spacing w:after="0"/>
              <w:rPr>
                <w:sz w:val="19"/>
                <w:szCs w:val="19"/>
                <w:color w:val="auto"/>
              </w:rPr>
            </w:pPr>
          </w:p>
        </w:tc>
        <w:tc>
          <w:tcPr>
            <w:tcW w:w="720" w:type="dxa"/>
            <w:vAlign w:val="bottom"/>
            <w:gridSpan w:val="3"/>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46</w:t>
              </w:r>
            </w:hyperlink>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380" w:type="dxa"/>
            <w:vAlign w:val="bottom"/>
            <w:gridSpan w:val="5"/>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1A.</w:t>
              </w:r>
            </w:hyperlink>
          </w:p>
        </w:tc>
        <w:tc>
          <w:tcPr>
            <w:tcW w:w="8920" w:type="dxa"/>
            <w:vAlign w:val="bottom"/>
            <w:gridSpan w:val="1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Risk Factors</w:t>
              </w:r>
            </w:hyperlink>
          </w:p>
        </w:tc>
        <w:tc>
          <w:tcPr>
            <w:tcW w:w="720" w:type="dxa"/>
            <w:vAlign w:val="bottom"/>
            <w:gridSpan w:val="3"/>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46</w:t>
              </w:r>
            </w:hyperlink>
          </w:p>
        </w:tc>
      </w:tr>
      <w:tr>
        <w:trPr>
          <w:trHeight w:val="20"/>
        </w:trPr>
        <w:tc>
          <w:tcPr>
            <w:tcW w:w="3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2.</w:t>
              </w:r>
            </w:hyperlink>
          </w:p>
        </w:tc>
        <w:tc>
          <w:tcPr>
            <w:tcW w:w="120" w:type="dxa"/>
            <w:vAlign w:val="bottom"/>
          </w:tcPr>
          <w:p>
            <w:pPr>
              <w:spacing w:after="0"/>
              <w:rPr>
                <w:sz w:val="21"/>
                <w:szCs w:val="21"/>
                <w:color w:val="auto"/>
              </w:rPr>
            </w:pPr>
          </w:p>
        </w:tc>
        <w:tc>
          <w:tcPr>
            <w:tcW w:w="740" w:type="dxa"/>
            <w:vAlign w:val="bottom"/>
            <w:gridSpan w:val="3"/>
          </w:tcPr>
          <w:p>
            <w:pPr>
              <w:spacing w:after="0"/>
              <w:rPr>
                <w:sz w:val="21"/>
                <w:szCs w:val="21"/>
                <w:color w:val="auto"/>
              </w:rPr>
            </w:pPr>
          </w:p>
        </w:tc>
        <w:tc>
          <w:tcPr>
            <w:tcW w:w="4360" w:type="dxa"/>
            <w:vAlign w:val="bottom"/>
            <w:gridSpan w:val="9"/>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Unregistered Sales of Equity Securities and Use of Proceeds</w:t>
              </w:r>
            </w:hyperlink>
          </w:p>
        </w:tc>
        <w:tc>
          <w:tcPr>
            <w:tcW w:w="4560" w:type="dxa"/>
            <w:vAlign w:val="bottom"/>
            <w:gridSpan w:val="7"/>
          </w:tcPr>
          <w:p>
            <w:pPr>
              <w:spacing w:after="0"/>
              <w:rPr>
                <w:sz w:val="21"/>
                <w:szCs w:val="21"/>
                <w:color w:val="auto"/>
              </w:rPr>
            </w:pPr>
          </w:p>
        </w:tc>
        <w:tc>
          <w:tcPr>
            <w:tcW w:w="720" w:type="dxa"/>
            <w:vAlign w:val="bottom"/>
            <w:gridSpan w:val="3"/>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46</w:t>
              </w:r>
            </w:hyperlink>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760" w:type="dxa"/>
            <w:vAlign w:val="bottom"/>
            <w:gridSpan w:val="7"/>
            <w:shd w:val="clear" w:color="auto" w:fill="0000EE"/>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6.</w:t>
              </w:r>
            </w:hyperlink>
          </w:p>
        </w:tc>
        <w:tc>
          <w:tcPr>
            <w:tcW w:w="860" w:type="dxa"/>
            <w:vAlign w:val="bottom"/>
            <w:gridSpan w:val="4"/>
          </w:tcPr>
          <w:p>
            <w:pPr>
              <w:spacing w:after="0"/>
              <w:rPr>
                <w:sz w:val="21"/>
                <w:szCs w:val="21"/>
                <w:color w:val="auto"/>
              </w:rPr>
            </w:pPr>
          </w:p>
        </w:tc>
        <w:tc>
          <w:tcPr>
            <w:tcW w:w="4360" w:type="dxa"/>
            <w:vAlign w:val="bottom"/>
            <w:gridSpan w:val="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c>
          <w:tcPr>
            <w:tcW w:w="4560" w:type="dxa"/>
            <w:vAlign w:val="bottom"/>
            <w:gridSpan w:val="7"/>
          </w:tcPr>
          <w:p>
            <w:pPr>
              <w:spacing w:after="0"/>
              <w:rPr>
                <w:sz w:val="21"/>
                <w:szCs w:val="21"/>
                <w:color w:val="auto"/>
              </w:rPr>
            </w:pPr>
          </w:p>
        </w:tc>
        <w:tc>
          <w:tcPr>
            <w:tcW w:w="720" w:type="dxa"/>
            <w:vAlign w:val="bottom"/>
            <w:gridSpan w:val="3"/>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380" w:type="dxa"/>
            <w:vAlign w:val="bottom"/>
            <w:gridSpan w:val="5"/>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Signature</w:t>
              </w:r>
            </w:hyperlink>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3"/>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507"/>
        </w:trPr>
        <w:tc>
          <w:tcPr>
            <w:tcW w:w="38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4360" w:type="dxa"/>
            <w:vAlign w:val="bottom"/>
            <w:gridSpan w:val="9"/>
          </w:tcPr>
          <w:p>
            <w:pPr>
              <w:jc w:val="center"/>
              <w:ind w:left="3450"/>
              <w:spacing w:after="0"/>
              <w:rPr>
                <w:sz w:val="20"/>
                <w:szCs w:val="20"/>
                <w:color w:val="auto"/>
              </w:rPr>
            </w:pPr>
            <w:r>
              <w:rPr>
                <w:rFonts w:ascii="Arial" w:cs="Arial" w:eastAsia="Arial" w:hAnsi="Arial"/>
                <w:sz w:val="18"/>
                <w:szCs w:val="18"/>
                <w:color w:val="auto"/>
                <w:w w:val="99"/>
              </w:rPr>
              <w:t>2</w:t>
            </w: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280" w:type="dxa"/>
            <w:vAlign w:val="bottom"/>
          </w:tcPr>
          <w:p>
            <w:pPr>
              <w:jc w:val="right"/>
              <w:ind w:right="22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04"/>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52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501"/>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(unaudited)</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54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2,890,878</w:t>
            </w:r>
          </w:p>
        </w:tc>
        <w:tc>
          <w:tcPr>
            <w:tcW w:w="120" w:type="dxa"/>
            <w:vAlign w:val="bottom"/>
          </w:tcPr>
          <w:p>
            <w:pPr>
              <w:spacing w:after="0"/>
              <w:rPr>
                <w:sz w:val="21"/>
                <w:szCs w:val="21"/>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2,435,041</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250,732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174,399</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Receivables, net</w:t>
            </w:r>
          </w:p>
        </w:tc>
        <w:tc>
          <w:tcPr>
            <w:tcW w:w="180" w:type="dxa"/>
            <w:vAlign w:val="bottom"/>
          </w:tcPr>
          <w:p>
            <w:pPr>
              <w:spacing w:after="0"/>
              <w:rPr>
                <w:sz w:val="21"/>
                <w:szCs w:val="21"/>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206,466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241,932</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69,975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74,739</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Prepaid expenses and other</w:t>
            </w:r>
          </w:p>
        </w:tc>
        <w:tc>
          <w:tcPr>
            <w:tcW w:w="180" w:type="dxa"/>
            <w:vAlign w:val="bottom"/>
          </w:tcPr>
          <w:p>
            <w:pPr>
              <w:spacing w:after="0"/>
              <w:rPr>
                <w:sz w:val="21"/>
                <w:szCs w:val="21"/>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52,268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42,703</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3,470,319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2,968,814</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21"/>
                <w:szCs w:val="21"/>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5,460,971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4,934,449</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199,936</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Investment securities</w:t>
            </w:r>
          </w:p>
        </w:tc>
        <w:tc>
          <w:tcPr>
            <w:tcW w:w="18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79,989</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28,980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30,767</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Deferred financing costs, net</w:t>
            </w:r>
          </w:p>
        </w:tc>
        <w:tc>
          <w:tcPr>
            <w:tcW w:w="180" w:type="dxa"/>
            <w:vAlign w:val="bottom"/>
          </w:tcPr>
          <w:p>
            <w:pPr>
              <w:spacing w:after="0"/>
              <w:rPr>
                <w:sz w:val="21"/>
                <w:szCs w:val="21"/>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64,851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67,926</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Deposits and 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152,511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91,001</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Investment in unconsolidated affiliates</w:t>
            </w:r>
          </w:p>
        </w:tc>
        <w:tc>
          <w:tcPr>
            <w:tcW w:w="180" w:type="dxa"/>
            <w:vAlign w:val="bottom"/>
          </w:tcPr>
          <w:p>
            <w:pPr>
              <w:spacing w:after="0"/>
              <w:rPr>
                <w:sz w:val="21"/>
                <w:szCs w:val="21"/>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4,067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4,148</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9,181,699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8,377,030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0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3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Accounts and construction payables</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243,276</w:t>
            </w:r>
          </w:p>
        </w:tc>
        <w:tc>
          <w:tcPr>
            <w:tcW w:w="120" w:type="dxa"/>
            <w:vAlign w:val="bottom"/>
          </w:tcPr>
          <w:p>
            <w:pPr>
              <w:spacing w:after="0"/>
              <w:rPr>
                <w:sz w:val="21"/>
                <w:szCs w:val="21"/>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272,861</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1,050</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Current portion of land concession obligation</w:t>
            </w:r>
          </w:p>
        </w:tc>
        <w:tc>
          <w:tcPr>
            <w:tcW w:w="180" w:type="dxa"/>
            <w:vAlign w:val="bottom"/>
          </w:tcPr>
          <w:p>
            <w:pPr>
              <w:spacing w:after="0"/>
              <w:rPr>
                <w:sz w:val="21"/>
                <w:szCs w:val="21"/>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30,039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29,341</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Customer deposits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636,217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704,401</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Gaming taxes payable</w:t>
            </w:r>
          </w:p>
        </w:tc>
        <w:tc>
          <w:tcPr>
            <w:tcW w:w="180" w:type="dxa"/>
            <w:vAlign w:val="bottom"/>
          </w:tcPr>
          <w:p>
            <w:pPr>
              <w:spacing w:after="0"/>
              <w:rPr>
                <w:sz w:val="21"/>
                <w:szCs w:val="21"/>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151,473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205,260</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compensation and benefits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117,915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83,769</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Accrued interest</w:t>
            </w:r>
          </w:p>
        </w:tc>
        <w:tc>
          <w:tcPr>
            <w:tcW w:w="180" w:type="dxa"/>
            <w:vAlign w:val="bottom"/>
          </w:tcPr>
          <w:p>
            <w:pPr>
              <w:spacing w:after="0"/>
              <w:rPr>
                <w:sz w:val="21"/>
                <w:szCs w:val="21"/>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92,265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101,442</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accrued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68,104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53,375</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Deferred income taxes, net</w:t>
            </w:r>
          </w:p>
        </w:tc>
        <w:tc>
          <w:tcPr>
            <w:tcW w:w="180" w:type="dxa"/>
            <w:vAlign w:val="bottom"/>
          </w:tcPr>
          <w:p>
            <w:pPr>
              <w:spacing w:after="0"/>
              <w:rPr>
                <w:sz w:val="21"/>
                <w:szCs w:val="21"/>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3,973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4,035</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1,344,312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1,455,534</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1"/>
                <w:szCs w:val="21"/>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7,341,227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6,586,518</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concession obligation</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31,560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46,819</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1"/>
                <w:szCs w:val="21"/>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134,517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141,465</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 net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36,668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14,343</w:t>
            </w:r>
          </w:p>
        </w:tc>
        <w:tc>
          <w:tcPr>
            <w:tcW w:w="0" w:type="dxa"/>
            <w:vAlign w:val="bottom"/>
          </w:tcPr>
          <w:p>
            <w:pPr>
              <w:spacing w:after="0"/>
              <w:rPr>
                <w:sz w:val="1"/>
                <w:szCs w:val="1"/>
                <w:color w:val="auto"/>
              </w:rPr>
            </w:pPr>
          </w:p>
        </w:tc>
      </w:tr>
      <w:tr>
        <w:trPr>
          <w:trHeight w:val="229"/>
        </w:trPr>
        <w:tc>
          <w:tcPr>
            <w:tcW w:w="8340" w:type="dxa"/>
            <w:vAlign w:val="bottom"/>
          </w:tcPr>
          <w:p>
            <w:pPr>
              <w:ind w:left="720"/>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8,888,284</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8,244,679</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14)</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Preferred stock, par value $0.01; 40,000,000 shares authorized; zero shares issued and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8340" w:type="dxa"/>
            <w:vAlign w:val="bottom"/>
          </w:tcPr>
          <w:p>
            <w:pPr>
              <w:ind w:left="380"/>
              <w:spacing w:after="0"/>
              <w:rPr>
                <w:sz w:val="20"/>
                <w:szCs w:val="20"/>
                <w:color w:val="auto"/>
              </w:rPr>
            </w:pPr>
            <w:r>
              <w:rPr>
                <w:rFonts w:ascii="Arial" w:cs="Arial" w:eastAsia="Arial" w:hAnsi="Arial"/>
                <w:sz w:val="16"/>
                <w:szCs w:val="16"/>
                <w:color w:val="auto"/>
                <w:w w:val="90"/>
              </w:rPr>
              <w:t>Common stock, par value $0.01; 400,000,000 shares authorized; 114,337,460 and 114,170,493 shares issued; 101,349,797</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340" w:type="dxa"/>
            <w:vAlign w:val="bottom"/>
          </w:tcPr>
          <w:p>
            <w:pPr>
              <w:ind w:left="380"/>
              <w:spacing w:after="0"/>
              <w:rPr>
                <w:sz w:val="20"/>
                <w:szCs w:val="20"/>
                <w:color w:val="auto"/>
              </w:rPr>
            </w:pPr>
            <w:r>
              <w:rPr>
                <w:rFonts w:ascii="Arial" w:cs="Arial" w:eastAsia="Arial" w:hAnsi="Arial"/>
                <w:sz w:val="16"/>
                <w:szCs w:val="16"/>
                <w:color w:val="auto"/>
              </w:rPr>
              <w:t>and 101,192,408 shares outstanding, respectively</w:t>
            </w:r>
          </w:p>
        </w:tc>
        <w:tc>
          <w:tcPr>
            <w:tcW w:w="180" w:type="dxa"/>
            <w:vAlign w:val="bottom"/>
          </w:tcPr>
          <w:p>
            <w:pPr>
              <w:spacing w:after="0"/>
              <w:rPr>
                <w:sz w:val="17"/>
                <w:szCs w:val="17"/>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1,143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1,142</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Treasury stock, at cost; 12,987,663 and 12,978,085 shares,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(1,145,481)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(1,143,419)</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1"/>
                <w:szCs w:val="21"/>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928,062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888,727</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2,913</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21"/>
                <w:szCs w:val="21"/>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308,641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66,130</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Wynn Resorts, Limited stockholders’ equity (deficit)</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94,715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(184,507)</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Noncontrolling interest</w:t>
            </w:r>
          </w:p>
        </w:tc>
        <w:tc>
          <w:tcPr>
            <w:tcW w:w="180" w:type="dxa"/>
            <w:vAlign w:val="bottom"/>
          </w:tcPr>
          <w:p>
            <w:pPr>
              <w:spacing w:after="0"/>
              <w:rPr>
                <w:sz w:val="21"/>
                <w:szCs w:val="21"/>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198,700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316,858</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equity</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293,415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132,351</w:t>
            </w:r>
          </w:p>
        </w:tc>
        <w:tc>
          <w:tcPr>
            <w:tcW w:w="0" w:type="dxa"/>
            <w:vAlign w:val="bottom"/>
          </w:tcPr>
          <w:p>
            <w:pPr>
              <w:spacing w:after="0"/>
              <w:rPr>
                <w:sz w:val="1"/>
                <w:szCs w:val="1"/>
                <w:color w:val="auto"/>
              </w:rPr>
            </w:pPr>
          </w:p>
        </w:tc>
      </w:tr>
      <w:tr>
        <w:trPr>
          <w:trHeight w:val="215"/>
        </w:trPr>
        <w:tc>
          <w:tcPr>
            <w:tcW w:w="8340" w:type="dxa"/>
            <w:vAlign w:val="bottom"/>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9,181,699</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8,377,030</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732"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1" w:right="239" w:bottom="732"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Casino</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1,071,829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1,105,595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3,389,557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3,228,246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135,734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123,078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413,565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372,931</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160,531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152,218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476,676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461,474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100,916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105,144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306,411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309,738</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Gross revenues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1,469,010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1,486,035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4,586,209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4,372,389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promotional allowances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(290,523)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(271,350)</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Net revenues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1,370,010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1,390,112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4,295,686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4,101,039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Casino</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647,460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699,897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2,112,430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2,062,507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101,020</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91,214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84,118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266,853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253,458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45,478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128,760</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126,834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105,026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366,631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332,316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(benefit) for doubtful accounts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7,104</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6,718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14,792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93,325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234,037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279,061</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13,674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13,571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1,037,435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1,076,134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3,244,938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3,179,389</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332,575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313,978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1,050,748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921,650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5,814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16,072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11,595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capitalized interest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(236,069)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(222,690)</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Increase (decrease) in swap fair value</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2,360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13,131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(26,578)</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4,385</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(74,681)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(72,448)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(228,036)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(219,278)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257,894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241,530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822,712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702,372</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7,281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11,299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253,006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248,811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814,451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713,671</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Less: net income attributable to noncontrolling interest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(61,600)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(66,791)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(192,243)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(198,903)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191,406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182,020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622,208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514,768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and diluted income per common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Wynn Resorts, Limited:</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72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100,685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100,470</w:t>
            </w:r>
          </w:p>
        </w:tc>
        <w:tc>
          <w:tcPr>
            <w:tcW w:w="0" w:type="dxa"/>
            <w:vAlign w:val="bottom"/>
          </w:tcPr>
          <w:p>
            <w:pPr>
              <w:spacing w:after="0"/>
              <w:rPr>
                <w:sz w:val="1"/>
                <w:szCs w:val="1"/>
                <w:color w:val="auto"/>
              </w:rPr>
            </w:pPr>
          </w:p>
        </w:tc>
      </w:tr>
      <w:tr>
        <w:trPr>
          <w:trHeight w:val="243"/>
        </w:trPr>
        <w:tc>
          <w:tcPr>
            <w:tcW w:w="5620" w:type="dxa"/>
            <w:vAlign w:val="bottom"/>
          </w:tcPr>
          <w:p>
            <w:pPr>
              <w:ind w:left="7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101,999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101,547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101,986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101,526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declared per common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253,006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248,811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814,451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713,671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w w:val="94"/>
              </w:rPr>
              <w:t>Unrealized (loss) gain on available-for-sale securities, net of tax</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231</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251,969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249,254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813,668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712,144</w:t>
            </w:r>
          </w:p>
        </w:tc>
      </w:tr>
      <w:tr>
        <w:trPr>
          <w:trHeight w:val="229"/>
        </w:trPr>
        <w:tc>
          <w:tcPr>
            <w:tcW w:w="5160" w:type="dxa"/>
            <w:vAlign w:val="bottom"/>
          </w:tcPr>
          <w:p>
            <w:pPr>
              <w:ind w:left="380"/>
              <w:spacing w:after="0"/>
              <w:rPr>
                <w:sz w:val="20"/>
                <w:szCs w:val="20"/>
                <w:color w:val="auto"/>
              </w:rPr>
            </w:pPr>
            <w:r>
              <w:rPr>
                <w:rFonts w:ascii="Arial" w:cs="Arial" w:eastAsia="Arial" w:hAnsi="Arial"/>
                <w:sz w:val="18"/>
                <w:szCs w:val="18"/>
                <w:color w:val="auto"/>
              </w:rPr>
              <w:t>Less: comprehensive income attributable to noncontrolling</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60" w:type="dxa"/>
            <w:vAlign w:val="bottom"/>
          </w:tcPr>
          <w:p>
            <w:pPr>
              <w:ind w:left="380"/>
              <w:spacing w:after="0"/>
              <w:rPr>
                <w:sz w:val="20"/>
                <w:szCs w:val="20"/>
                <w:color w:val="auto"/>
              </w:rPr>
            </w:pPr>
            <w:r>
              <w:rPr>
                <w:rFonts w:ascii="Arial" w:cs="Arial" w:eastAsia="Arial" w:hAnsi="Arial"/>
                <w:sz w:val="18"/>
                <w:szCs w:val="18"/>
                <w:color w:val="auto"/>
              </w:rPr>
              <w:t>interest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(61,327)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(66,834)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(198,475)</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Wynn Resorts, Limited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190,642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182,420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621,645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513,669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3420"/>
        <w:spacing w:after="0"/>
        <w:rPr>
          <w:sz w:val="20"/>
          <w:szCs w:val="20"/>
          <w:color w:val="auto"/>
        </w:rPr>
      </w:pPr>
      <w:r>
        <w:rPr>
          <w:rFonts w:ascii="Arial" w:cs="Arial" w:eastAsia="Arial" w:hAnsi="Arial"/>
          <w:sz w:val="13"/>
          <w:szCs w:val="13"/>
          <w:b w:val="1"/>
          <w:bCs w:val="1"/>
          <w:color w:val="auto"/>
        </w:rPr>
        <w:t>Common stock</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Balances, January 1, 2014</w:t>
      </w:r>
    </w:p>
    <w:p>
      <w:pPr>
        <w:spacing w:after="0" w:line="4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Currency translation adjustment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Net unrealized gain on investments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Exercise of stock options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Cancellation of restricted stock</w:t>
      </w:r>
    </w:p>
    <w:p>
      <w:pPr>
        <w:spacing w:after="0" w:line="121" w:lineRule="exact"/>
        <w:rPr>
          <w:sz w:val="20"/>
          <w:szCs w:val="20"/>
          <w:color w:val="auto"/>
        </w:rPr>
      </w:pPr>
    </w:p>
    <w:p>
      <w:pPr>
        <w:ind w:left="520"/>
        <w:spacing w:after="0" w:line="237" w:lineRule="auto"/>
        <w:rPr>
          <w:sz w:val="20"/>
          <w:szCs w:val="20"/>
          <w:color w:val="auto"/>
        </w:rPr>
      </w:pPr>
      <w:r>
        <w:rPr>
          <w:rFonts w:ascii="Arial" w:cs="Arial" w:eastAsia="Arial" w:hAnsi="Arial"/>
          <w:sz w:val="13"/>
          <w:szCs w:val="13"/>
          <w:color w:val="auto"/>
        </w:rPr>
        <w:t>Shares repurchased by the Company and held as treasury shares</w:t>
      </w:r>
    </w:p>
    <w:p>
      <w:pPr>
        <w:spacing w:after="0" w:line="2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Issuance of restricted stock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Cash dividends declared</w:t>
      </w:r>
    </w:p>
    <w:p>
      <w:pPr>
        <w:spacing w:after="0" w:line="121" w:lineRule="exact"/>
        <w:rPr>
          <w:sz w:val="20"/>
          <w:szCs w:val="20"/>
          <w:color w:val="auto"/>
        </w:rPr>
      </w:pPr>
    </w:p>
    <w:p>
      <w:pPr>
        <w:ind w:left="520" w:right="580"/>
        <w:spacing w:after="0" w:line="237" w:lineRule="auto"/>
        <w:rPr>
          <w:sz w:val="20"/>
          <w:szCs w:val="20"/>
          <w:color w:val="auto"/>
        </w:rPr>
      </w:pPr>
      <w:r>
        <w:rPr>
          <w:rFonts w:ascii="Arial" w:cs="Arial" w:eastAsia="Arial" w:hAnsi="Arial"/>
          <w:sz w:val="13"/>
          <w:szCs w:val="13"/>
          <w:color w:val="auto"/>
        </w:rPr>
        <w:t>Excess tax benefits from stock-based compensation</w:t>
      </w:r>
    </w:p>
    <w:p>
      <w:pPr>
        <w:spacing w:after="0" w:line="2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Stock-based compensation</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Balances, September 30, 2014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91"/>
              </w:rPr>
              <w:t>Total Wynn</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35"/>
        </w:trPr>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other</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Resorts, Ltd.</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83"/>
              </w:rPr>
              <w:t>Total</w:t>
            </w:r>
          </w:p>
        </w:tc>
      </w:tr>
      <w:tr>
        <w:trPr>
          <w:trHeight w:val="135"/>
        </w:trPr>
        <w:tc>
          <w:tcPr>
            <w:tcW w:w="10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1"/>
                <w:szCs w:val="11"/>
                <w:color w:val="auto"/>
              </w:rPr>
            </w:pPr>
          </w:p>
        </w:tc>
        <w:tc>
          <w:tcPr>
            <w:tcW w:w="5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Par</w:t>
            </w:r>
          </w:p>
        </w:tc>
        <w:tc>
          <w:tcPr>
            <w:tcW w:w="14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Treasury</w:t>
            </w:r>
          </w:p>
        </w:tc>
        <w:tc>
          <w:tcPr>
            <w:tcW w:w="8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paid-in</w:t>
            </w:r>
          </w:p>
        </w:tc>
        <w:tc>
          <w:tcPr>
            <w:tcW w:w="10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76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stockholders’</w:t>
            </w:r>
          </w:p>
        </w:tc>
        <w:tc>
          <w:tcPr>
            <w:tcW w:w="10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8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stockholders’</w:t>
            </w:r>
          </w:p>
        </w:tc>
      </w:tr>
      <w:tr>
        <w:trPr>
          <w:trHeight w:val="174"/>
        </w:trPr>
        <w:tc>
          <w:tcPr>
            <w:tcW w:w="10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outstanding</w:t>
            </w:r>
          </w:p>
        </w:tc>
        <w:tc>
          <w:tcPr>
            <w:tcW w:w="120" w:type="dxa"/>
            <w:vAlign w:val="bottom"/>
          </w:tcPr>
          <w:p>
            <w:pPr>
              <w:spacing w:after="0"/>
              <w:rPr>
                <w:sz w:val="15"/>
                <w:szCs w:val="15"/>
                <w:color w:val="auto"/>
              </w:rPr>
            </w:pPr>
          </w:p>
        </w:tc>
        <w:tc>
          <w:tcPr>
            <w:tcW w:w="5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value</w:t>
            </w:r>
          </w:p>
        </w:tc>
        <w:tc>
          <w:tcPr>
            <w:tcW w:w="14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stock</w:t>
            </w:r>
          </w:p>
        </w:tc>
        <w:tc>
          <w:tcPr>
            <w:tcW w:w="8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capital</w:t>
            </w:r>
          </w:p>
        </w:tc>
        <w:tc>
          <w:tcPr>
            <w:tcW w:w="1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3"/>
              </w:rPr>
              <w:t>income</w:t>
            </w:r>
          </w:p>
        </w:tc>
        <w:tc>
          <w:tcPr>
            <w:tcW w:w="8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equity (deficit)</w:t>
            </w:r>
          </w:p>
        </w:tc>
        <w:tc>
          <w:tcPr>
            <w:tcW w:w="18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interest</w:t>
            </w:r>
          </w:p>
        </w:tc>
        <w:tc>
          <w:tcPr>
            <w:tcW w:w="180" w:type="dxa"/>
            <w:vAlign w:val="bottom"/>
          </w:tcPr>
          <w:p>
            <w:pPr>
              <w:spacing w:after="0"/>
              <w:rPr>
                <w:sz w:val="15"/>
                <w:szCs w:val="15"/>
                <w:color w:val="auto"/>
              </w:rPr>
            </w:pPr>
          </w:p>
        </w:tc>
        <w:tc>
          <w:tcPr>
            <w:tcW w:w="680" w:type="dxa"/>
            <w:vAlign w:val="bottom"/>
          </w:tcPr>
          <w:p>
            <w:pPr>
              <w:jc w:val="center"/>
              <w:ind w:right="117"/>
              <w:spacing w:after="0"/>
              <w:rPr>
                <w:sz w:val="20"/>
                <w:szCs w:val="20"/>
                <w:color w:val="auto"/>
              </w:rPr>
            </w:pPr>
            <w:r>
              <w:rPr>
                <w:rFonts w:ascii="Arial" w:cs="Arial" w:eastAsia="Arial" w:hAnsi="Arial"/>
                <w:sz w:val="13"/>
                <w:szCs w:val="13"/>
                <w:b w:val="1"/>
                <w:bCs w:val="1"/>
                <w:color w:val="auto"/>
                <w:w w:val="88"/>
              </w:rPr>
              <w:t>equity</w:t>
            </w:r>
          </w:p>
        </w:tc>
      </w:tr>
      <w:tr>
        <w:trPr>
          <w:trHeight w:val="254"/>
        </w:trPr>
        <w:tc>
          <w:tcPr>
            <w:tcW w:w="90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101,192,408</w:t>
            </w:r>
          </w:p>
        </w:tc>
        <w:tc>
          <w:tcPr>
            <w:tcW w:w="12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w w:val="98"/>
              </w:rPr>
              <w:t>1,142</w:t>
            </w:r>
          </w:p>
        </w:tc>
        <w:tc>
          <w:tcPr>
            <w:tcW w:w="10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6"/>
              </w:rPr>
              <w:t>(1,143,419)</w:t>
            </w:r>
          </w:p>
        </w:tc>
        <w:tc>
          <w:tcPr>
            <w:tcW w:w="1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888,727</w:t>
            </w:r>
          </w:p>
        </w:tc>
        <w:tc>
          <w:tcPr>
            <w:tcW w:w="100" w:type="dxa"/>
            <w:vAlign w:val="bottom"/>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2,913</w:t>
            </w:r>
          </w:p>
        </w:tc>
        <w:tc>
          <w:tcPr>
            <w:tcW w:w="100" w:type="dxa"/>
            <w:vAlign w:val="bottom"/>
          </w:tcPr>
          <w:p>
            <w:pPr>
              <w:spacing w:after="0"/>
              <w:rPr>
                <w:sz w:val="22"/>
                <w:szCs w:val="2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66,130</w:t>
            </w:r>
          </w:p>
        </w:tc>
        <w:tc>
          <w:tcPr>
            <w:tcW w:w="120" w:type="dxa"/>
            <w:vAlign w:val="bottom"/>
          </w:tcPr>
          <w:p>
            <w:pPr>
              <w:spacing w:after="0"/>
              <w:rPr>
                <w:sz w:val="22"/>
                <w:szCs w:val="2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(184,507)</w:t>
            </w:r>
          </w:p>
        </w:tc>
        <w:tc>
          <w:tcPr>
            <w:tcW w:w="120" w:type="dxa"/>
            <w:vAlign w:val="bottom"/>
          </w:tcPr>
          <w:p>
            <w:pPr>
              <w:spacing w:after="0"/>
              <w:rPr>
                <w:sz w:val="22"/>
                <w:szCs w:val="22"/>
                <w:color w:val="auto"/>
              </w:rPr>
            </w:pPr>
          </w:p>
        </w:tc>
        <w:tc>
          <w:tcPr>
            <w:tcW w:w="1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316,858</w:t>
            </w:r>
          </w:p>
        </w:tc>
        <w:tc>
          <w:tcPr>
            <w:tcW w:w="120" w:type="dxa"/>
            <w:vAlign w:val="bottom"/>
          </w:tcPr>
          <w:p>
            <w:pPr>
              <w:spacing w:after="0"/>
              <w:rPr>
                <w:sz w:val="22"/>
                <w:szCs w:val="22"/>
                <w:color w:val="auto"/>
              </w:rPr>
            </w:pPr>
          </w:p>
        </w:tc>
        <w:tc>
          <w:tcPr>
            <w:tcW w:w="1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132,351</w:t>
            </w:r>
          </w:p>
        </w:tc>
      </w:tr>
      <w:tr>
        <w:trPr>
          <w:trHeight w:val="270"/>
        </w:trPr>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w w:val="93"/>
              </w:rPr>
              <w:t>622,208</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622,208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192,243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814,451</w:t>
            </w:r>
          </w:p>
        </w:tc>
      </w:tr>
      <w:tr>
        <w:trPr>
          <w:trHeight w:val="270"/>
        </w:trPr>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(596)</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(596)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(230)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(826)</w:t>
            </w:r>
          </w:p>
        </w:tc>
      </w:tr>
      <w:tr>
        <w:trPr>
          <w:trHeight w:val="270"/>
        </w:trPr>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43</w:t>
            </w:r>
          </w:p>
        </w:tc>
      </w:tr>
      <w:tr>
        <w:trPr>
          <w:trHeight w:val="270"/>
        </w:trPr>
        <w:tc>
          <w:tcPr>
            <w:tcW w:w="900" w:type="dxa"/>
            <w:vAlign w:val="bottom"/>
          </w:tcPr>
          <w:p>
            <w:pPr>
              <w:jc w:val="right"/>
              <w:ind w:right="77"/>
              <w:spacing w:after="0"/>
              <w:rPr>
                <w:sz w:val="20"/>
                <w:szCs w:val="20"/>
                <w:color w:val="auto"/>
              </w:rPr>
            </w:pPr>
            <w:r>
              <w:rPr>
                <w:rFonts w:ascii="Arial" w:cs="Arial" w:eastAsia="Arial" w:hAnsi="Arial"/>
                <w:sz w:val="13"/>
                <w:szCs w:val="13"/>
                <w:color w:val="auto"/>
              </w:rPr>
              <w:t>121,633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6,270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6,271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214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6,485</w:t>
            </w:r>
          </w:p>
        </w:tc>
      </w:tr>
      <w:tr>
        <w:trPr>
          <w:trHeight w:val="270"/>
        </w:trPr>
        <w:tc>
          <w:tcPr>
            <w:tcW w:w="900" w:type="dxa"/>
            <w:vAlign w:val="bottom"/>
          </w:tcPr>
          <w:p>
            <w:pPr>
              <w:jc w:val="right"/>
              <w:ind w:right="17"/>
              <w:spacing w:after="0"/>
              <w:rPr>
                <w:sz w:val="20"/>
                <w:szCs w:val="20"/>
                <w:color w:val="auto"/>
              </w:rPr>
            </w:pPr>
            <w:r>
              <w:rPr>
                <w:rFonts w:ascii="Arial" w:cs="Arial" w:eastAsia="Arial" w:hAnsi="Arial"/>
                <w:sz w:val="13"/>
                <w:szCs w:val="13"/>
                <w:color w:val="auto"/>
              </w:rPr>
              <w:t>(9,166)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324"/>
        </w:trPr>
        <w:tc>
          <w:tcPr>
            <w:tcW w:w="900" w:type="dxa"/>
            <w:vAlign w:val="bottom"/>
          </w:tcPr>
          <w:p>
            <w:pPr>
              <w:jc w:val="right"/>
              <w:ind w:right="17"/>
              <w:spacing w:after="0"/>
              <w:rPr>
                <w:sz w:val="20"/>
                <w:szCs w:val="20"/>
                <w:color w:val="auto"/>
              </w:rPr>
            </w:pPr>
            <w:r>
              <w:rPr>
                <w:rFonts w:ascii="Arial" w:cs="Arial" w:eastAsia="Arial" w:hAnsi="Arial"/>
                <w:sz w:val="13"/>
                <w:szCs w:val="13"/>
                <w:color w:val="auto"/>
              </w:rPr>
              <w:t>(9,578)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(2,062)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(2,062)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(2,062)</w:t>
            </w:r>
          </w:p>
        </w:tc>
      </w:tr>
      <w:tr>
        <w:trPr>
          <w:trHeight w:val="270"/>
        </w:trPr>
        <w:tc>
          <w:tcPr>
            <w:tcW w:w="900" w:type="dxa"/>
            <w:vAlign w:val="bottom"/>
          </w:tcPr>
          <w:p>
            <w:pPr>
              <w:jc w:val="right"/>
              <w:ind w:right="77"/>
              <w:spacing w:after="0"/>
              <w:rPr>
                <w:sz w:val="20"/>
                <w:szCs w:val="20"/>
                <w:color w:val="auto"/>
              </w:rPr>
            </w:pPr>
            <w:r>
              <w:rPr>
                <w:rFonts w:ascii="Arial" w:cs="Arial" w:eastAsia="Arial" w:hAnsi="Arial"/>
                <w:sz w:val="13"/>
                <w:szCs w:val="13"/>
                <w:color w:val="auto"/>
              </w:rPr>
              <w:t>54,500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86"/>
              </w:rPr>
              <w:t>(379,697)</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(379,638)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(312,298)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(691,936)</w:t>
            </w:r>
          </w:p>
        </w:tc>
      </w:tr>
      <w:tr>
        <w:trPr>
          <w:trHeight w:val="324"/>
        </w:trPr>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6,550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6,550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6,550</w:t>
            </w:r>
          </w:p>
        </w:tc>
      </w:tr>
      <w:tr>
        <w:trPr>
          <w:trHeight w:val="280"/>
        </w:trPr>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26,456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26,456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1,903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28,359</w:t>
            </w:r>
          </w:p>
        </w:tc>
      </w:tr>
      <w:tr>
        <w:trPr>
          <w:trHeight w:val="237"/>
        </w:trPr>
        <w:tc>
          <w:tcPr>
            <w:tcW w:w="9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101,349,797</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98"/>
              </w:rPr>
              <w:t>1,143</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6"/>
              </w:rPr>
              <w:t>(1,145,481)</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928,062</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2,350</w:t>
            </w: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93"/>
              </w:rPr>
              <w:t>308,641</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94,715</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198,700</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293,415</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-1603375</wp:posOffset>
            </wp:positionH>
            <wp:positionV relativeFrom="paragraph">
              <wp:posOffset>-1971675</wp:posOffset>
            </wp:positionV>
            <wp:extent cx="693801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38010" cy="171450"/>
                    </a:xfrm>
                    <a:prstGeom prst="rect">
                      <a:avLst/>
                    </a:prstGeom>
                    <a:noFill/>
                  </pic:spPr>
                </pic:pic>
              </a:graphicData>
            </a:graphic>
          </wp:anchor>
        </w:drawing>
        <w:drawing>
          <wp:anchor simplePos="0" relativeHeight="251657728" behindDoc="1" locked="0" layoutInCell="0" allowOverlap="1">
            <wp:simplePos x="0" y="0"/>
            <wp:positionH relativeFrom="column">
              <wp:posOffset>-1603375</wp:posOffset>
            </wp:positionH>
            <wp:positionV relativeFrom="paragraph">
              <wp:posOffset>-1628775</wp:posOffset>
            </wp:positionV>
            <wp:extent cx="693801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38010" cy="171450"/>
                    </a:xfrm>
                    <a:prstGeom prst="rect">
                      <a:avLst/>
                    </a:prstGeom>
                    <a:noFill/>
                  </pic:spPr>
                </pic:pic>
              </a:graphicData>
            </a:graphic>
          </wp:anchor>
        </w:drawing>
        <w:drawing>
          <wp:anchor simplePos="0" relativeHeight="251657728" behindDoc="1" locked="0" layoutInCell="0" allowOverlap="1">
            <wp:simplePos x="0" y="0"/>
            <wp:positionH relativeFrom="column">
              <wp:posOffset>-1603375</wp:posOffset>
            </wp:positionH>
            <wp:positionV relativeFrom="paragraph">
              <wp:posOffset>-1285875</wp:posOffset>
            </wp:positionV>
            <wp:extent cx="693801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38010" cy="171450"/>
                    </a:xfrm>
                    <a:prstGeom prst="rect">
                      <a:avLst/>
                    </a:prstGeom>
                    <a:noFill/>
                  </pic:spPr>
                </pic:pic>
              </a:graphicData>
            </a:graphic>
          </wp:anchor>
        </w:drawing>
        <w:drawing>
          <wp:anchor simplePos="0" relativeHeight="251657728" behindDoc="1" locked="0" layoutInCell="0" allowOverlap="1">
            <wp:simplePos x="0" y="0"/>
            <wp:positionH relativeFrom="column">
              <wp:posOffset>-1603375</wp:posOffset>
            </wp:positionH>
            <wp:positionV relativeFrom="paragraph">
              <wp:posOffset>-908685</wp:posOffset>
            </wp:positionV>
            <wp:extent cx="693801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38010" cy="171450"/>
                    </a:xfrm>
                    <a:prstGeom prst="rect">
                      <a:avLst/>
                    </a:prstGeom>
                    <a:noFill/>
                  </pic:spPr>
                </pic:pic>
              </a:graphicData>
            </a:graphic>
          </wp:anchor>
        </w:drawing>
        <w:drawing>
          <wp:anchor simplePos="0" relativeHeight="251657728" behindDoc="1" locked="0" layoutInCell="0" allowOverlap="1">
            <wp:simplePos x="0" y="0"/>
            <wp:positionH relativeFrom="column">
              <wp:posOffset>-1603375</wp:posOffset>
            </wp:positionH>
            <wp:positionV relativeFrom="paragraph">
              <wp:posOffset>-565150</wp:posOffset>
            </wp:positionV>
            <wp:extent cx="693801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38010" cy="205740"/>
                    </a:xfrm>
                    <a:prstGeom prst="rect">
                      <a:avLst/>
                    </a:prstGeom>
                    <a:noFill/>
                  </pic:spPr>
                </pic:pic>
              </a:graphicData>
            </a:graphic>
          </wp:anchor>
        </w:drawing>
        <w:drawing>
          <wp:anchor simplePos="0" relativeHeight="251657728" behindDoc="1" locked="0" layoutInCell="0" allowOverlap="1">
            <wp:simplePos x="0" y="0"/>
            <wp:positionH relativeFrom="column">
              <wp:posOffset>-1603375</wp:posOffset>
            </wp:positionH>
            <wp:positionV relativeFrom="paragraph">
              <wp:posOffset>-187960</wp:posOffset>
            </wp:positionV>
            <wp:extent cx="693801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3801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60" w:space="60"/>
            <w:col w:w="8400"/>
          </w:cols>
          <w:pgMar w:left="240" w:top="121" w:right="2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37"/>
        </w:trPr>
        <w:tc>
          <w:tcPr>
            <w:tcW w:w="8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2013</w:t>
            </w:r>
          </w:p>
        </w:tc>
      </w:tr>
      <w:tr>
        <w:trPr>
          <w:trHeight w:val="33"/>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814,451</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713,671</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234,037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279,061</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(13,863)</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22,714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35,072</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Excess tax benefits from 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(10,646)</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Amortization and write-offs of deferred financing costs and other</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20,425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13,312</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26,578</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(Benefit) provision for doubtful accounts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7,104</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Property charges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4,097</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Equity in income of unconsolidated affiliates, net of distributions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328</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Decrease (increase) in swap fair value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(13,131)</w:t>
            </w:r>
          </w:p>
        </w:tc>
      </w:tr>
      <w:tr>
        <w:trPr>
          <w:trHeight w:val="224"/>
        </w:trPr>
        <w:tc>
          <w:tcPr>
            <w:tcW w:w="8340" w:type="dxa"/>
            <w:vAlign w:val="bottom"/>
          </w:tcPr>
          <w:p>
            <w:pPr>
              <w:ind w:left="380"/>
              <w:spacing w:after="0"/>
              <w:rPr>
                <w:sz w:val="20"/>
                <w:szCs w:val="20"/>
                <w:color w:val="auto"/>
              </w:rPr>
            </w:pPr>
            <w:r>
              <w:rPr>
                <w:rFonts w:ascii="Arial" w:cs="Arial" w:eastAsia="Arial" w:hAnsi="Arial"/>
                <w:sz w:val="16"/>
                <w:szCs w:val="16"/>
                <w:color w:val="auto"/>
              </w:rPr>
              <w:t>Increase (decrease) in cash from changes in:</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Receivables,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36,121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15,578</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Inventories and prepaid expenses and other</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(4,330)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(11,616)</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Customer deposits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(67,550)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205,722</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Accounts payable and accrued expenses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(96,599)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30,067</w:t>
            </w:r>
          </w:p>
        </w:tc>
      </w:tr>
      <w:tr>
        <w:trPr>
          <w:trHeight w:val="33"/>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974,128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1,281,334</w:t>
            </w:r>
          </w:p>
        </w:tc>
      </w:tr>
      <w:tr>
        <w:trPr>
          <w:trHeight w:val="204"/>
        </w:trPr>
        <w:tc>
          <w:tcPr>
            <w:tcW w:w="834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8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 expenditures, net of construction payables and retention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(707,083)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(324,828)</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Purchase of corporate debt securities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(124,758)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(190,477)</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or maturity of corporate debt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125,323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113,346</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Restricted cash</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199,929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(100,597)</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Deposits and purchase of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(63,244)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(8,369)</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sale of assets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4,343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20,347</w:t>
            </w:r>
          </w:p>
        </w:tc>
      </w:tr>
      <w:tr>
        <w:trPr>
          <w:trHeight w:val="33"/>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(565,490)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(490,578)</w:t>
            </w:r>
          </w:p>
        </w:tc>
      </w:tr>
      <w:tr>
        <w:trPr>
          <w:trHeight w:val="204"/>
        </w:trPr>
        <w:tc>
          <w:tcPr>
            <w:tcW w:w="83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8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17,545</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Excess tax benefits from stock-based compensation</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6,525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10,646</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Dividends paid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(690,373)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(631,698)</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issuance of long-term debt</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825,477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697,842</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Principal payments on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(275,755)</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Repurchase of common stock</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(2,062)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(13,952)</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Restricted cash for redemption of notes payable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(243,038)</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Repurchase of first mortgage notes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(68,400)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on long-term land concession obligation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(13,785)</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Payments for financing costs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(13,193)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(24,591)</w:t>
            </w:r>
          </w:p>
        </w:tc>
      </w:tr>
      <w:tr>
        <w:trPr>
          <w:trHeight w:val="33"/>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48,920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(476,786)</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Effect of exchange rate on cash</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1,966</w:t>
            </w:r>
          </w:p>
        </w:tc>
      </w:tr>
      <w:tr>
        <w:trPr>
          <w:trHeight w:val="33"/>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Increase in cash and cash equivalents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455,837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315,936</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Balance,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2,435,041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1,725,219</w:t>
            </w: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Balance, end of period</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2,890,878</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2,041,155</w:t>
            </w:r>
          </w:p>
        </w:tc>
      </w:tr>
      <w:tr>
        <w:trPr>
          <w:trHeight w:val="73"/>
        </w:trPr>
        <w:tc>
          <w:tcPr>
            <w:tcW w:w="83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24"/>
        </w:trPr>
        <w:tc>
          <w:tcPr>
            <w:tcW w:w="8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Supplemental cash flow disclosures: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transactions: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Cash paid for interest, net of amounts capitalized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235,325</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244,475</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transactions: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Stock-based compensation capitalized into construction</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5,645</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145</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Change in property and equipment included in accounts and construction payables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60,435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37,284</w:t>
            </w:r>
          </w:p>
        </w:tc>
      </w:tr>
      <w:tr>
        <w:trPr>
          <w:trHeight w:val="33"/>
        </w:trPr>
        <w:tc>
          <w:tcPr>
            <w:tcW w:w="8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sectPr>
          <w:pgSz w:w="11900" w:h="16838" w:orient="portrait"/>
          <w:cols w:equalWidth="0" w:num="1">
            <w:col w:w="11420"/>
          </w:cols>
          <w:pgMar w:left="240" w:top="121" w:right="239" w:bottom="0" w:gutter="0" w:footer="0" w:header="0"/>
        </w:sect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420"/>
          </w:cols>
          <w:pgMar w:left="240" w:top="121" w:right="239" w:bottom="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019"/>
          </w:cols>
          <w:pgMar w:left="1440" w:top="125" w:right="1440"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1 -</w:t>
      </w:r>
      <w:r>
        <w:rPr>
          <w:sz w:val="20"/>
          <w:szCs w:val="20"/>
          <w:color w:val="auto"/>
        </w:rPr>
        <w:tab/>
      </w:r>
      <w:r>
        <w:rPr>
          <w:rFonts w:ascii="Arial" w:cs="Arial" w:eastAsia="Arial" w:hAnsi="Arial"/>
          <w:sz w:val="16"/>
          <w:szCs w:val="16"/>
          <w:b w:val="1"/>
          <w:bCs w:val="1"/>
          <w:color w:val="auto"/>
        </w:rPr>
        <w:t>Organization and Basis of Presentation</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owns 72.18% of Wynn Macau, Limited, which operates a destination casino hotel resort in the Macau Special Administrative Region of the People’s Republic of China. The Company also owns 100% of and operates a destination casino hotel resort in Las Vegas, Nevada.</w:t>
      </w:r>
    </w:p>
    <w:p>
      <w:pPr>
        <w:spacing w:after="0" w:line="18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Company's fully integrated Macau resort of Wynn Macau and Encore at Wynn Macau features two luxury hotel towers with a total of 1,008 spacious guest rooms and suites, approximately 280,000 square feet of casino space, casual and fine dining in eight restaurants, approximately 31,000 square feet of lounge and meeting space, approximately 57,000 square feet of retail space, recreation and leisure facilities, including two health clubs, spas and one pool. The Company refers to this fully integrated resort as its Macau Operations.</w:t>
      </w:r>
    </w:p>
    <w:p>
      <w:pPr>
        <w:spacing w:after="0" w:line="187"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The Company's fully integrated Las Vegas resort of Wynn Las Vegas and Encore at Wynn Las Vegas features two luxury hotel towers with a total of 4,748 spacious guest rooms, suites and villas, approximately 186,000 square feet of casino space, 34 food and beverage outlets featuring signature chefs, an on-site 18-hole golf course, approximately 284,000 square feet of meeting and convention space, a Ferrari and Maserati dealership, approximately 99,000 square feet of retail space, as well as two showrooms, three nightclubs and a beach club. The Company refers to this fully integrated resort as its Las Vegas Operations.</w:t>
      </w:r>
    </w:p>
    <w:p>
      <w:pPr>
        <w:spacing w:after="0" w:line="188"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The Company is currently constructing Wynn Palace, a fully integrated resort in the Cotai area of Macau, containing a 1,700-room hotel, performance lake, meeting space, casino, spa, retail offerings, and food and beverage outlets. The Company expects to open Wynn Palace in the first half of 2016.</w:t>
      </w:r>
    </w:p>
    <w:p>
      <w:pPr>
        <w:spacing w:after="0" w:line="12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On September 17, 2014, the Massachusetts Gaming Commission ("MGC") designated Wynn MA, LLC ("Wynn MA"), an indirect wholly owned subsidiary of the Company, the award winner of the Greater Boston (Region A) gaming license. On November 4, 2014, a vote upheld the expanded gaming law in Massachusetts. On November 7, 2014, the gaming license awarded to the Company became effective. The Company will develop and construct a fully integrated resort in Everett, Massachusetts.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nine months ended September 30, 2014,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2013.</w:t>
      </w:r>
    </w:p>
    <w:p>
      <w:pPr>
        <w:spacing w:after="0" w:line="17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2 -</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majority-owned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 Certain amounts in the condensed consolidated financial statements for the previous years have been reclassified to be consistent with the current year presentation. These reclassifications had no effect on the previously reported net income.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Cash and cash equivalents are comprised of highly liquid investments with original maturities of three months or less and include both U.S. dollar-denominated and foreign currency-denominated securities. Cash equivalents are carried at cost, which approximates fair value. Cash equivalents of $1,741.5 million and $1,349.6 million at September 30, 2014 and December 31, 2013, respectively, were invested in bank time deposits, money market funds and commercial paper. In addition, the Company held bank deposits and cash on hand of approximately $1,149.4 million and $1,085.4 million as of September 30, 2014 and December 31, 2013, respectively.</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Cash</w:t>
      </w:r>
    </w:p>
    <w:p>
      <w:pPr>
        <w:spacing w:after="0" w:line="225"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Restricted cash consists primarily of certain proceeds of the Company’s financing activities that are restricted by the agreements governing the Company’s debt instruments for the payment of certain Wynn Palace related construction and development costs. Restricted cash balances totaled approximately $199.9 million at December 31, 2013. During the first quarter of 2014, the Company applied the restricted cash balances to payment of certain Wynn Palace related construction and development costs. The Company had no restricted cash at September 30, 2014.</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Investment Securities</w:t>
      </w:r>
    </w:p>
    <w:p>
      <w:pPr>
        <w:spacing w:after="0" w:line="225" w:lineRule="exact"/>
        <w:rPr>
          <w:sz w:val="20"/>
          <w:szCs w:val="20"/>
          <w:color w:val="auto"/>
        </w:rPr>
      </w:pPr>
    </w:p>
    <w:p>
      <w:pPr>
        <w:ind w:right="120" w:firstLine="405"/>
        <w:spacing w:after="0" w:line="291" w:lineRule="auto"/>
        <w:rPr>
          <w:sz w:val="20"/>
          <w:szCs w:val="20"/>
          <w:color w:val="auto"/>
        </w:rPr>
      </w:pPr>
      <w:r>
        <w:rPr>
          <w:rFonts w:ascii="Arial" w:cs="Arial" w:eastAsia="Arial" w:hAnsi="Arial"/>
          <w:sz w:val="16"/>
          <w:szCs w:val="16"/>
          <w:color w:val="auto"/>
        </w:rPr>
        <w:t>Investment securities consist of domestic and foreign short-term and long-term investments in corporate bonds and commercial paper reported at fair value, with unrealized gains and losses, net of tax, reported in other comprehensive income. Short-term investments have maturities of greater than three months but equal to or less than one year and long-term investments are those with a maturity date greater than one year. The Company’s investment policy limits the amount of exposure to any one issuer with the objective of minimizing the potential risk of principal loss. Management determines the appropriate classification (held-to-maturity/available-for-sale) of its securities at the time of purchase and reevaluates such designation as of each balance sheet date. Adjustments are made for amortization of premiums and accretion of discounts to maturity computed under the effective interest method. Such amortization is included in interest income together with realized gains and losses and the stated interest on such securities.</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Accounts Receivable and Credit Risk</w:t>
      </w:r>
    </w:p>
    <w:p>
      <w:pPr>
        <w:spacing w:after="0" w:line="225" w:lineRule="exact"/>
        <w:rPr>
          <w:sz w:val="20"/>
          <w:szCs w:val="20"/>
          <w:color w:val="auto"/>
        </w:rPr>
      </w:pPr>
    </w:p>
    <w:p>
      <w:pPr>
        <w:ind w:right="260" w:firstLine="432"/>
        <w:spacing w:after="0" w:line="30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September 30, 2014 and December 31, 2013, approximately 85% and 86%,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154"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historical collection patterns and current collection trends. In addition, the estimate reflects specific review of customer accounts as well as management's experience with collection trends in the casino industry and current economic and business conditions. During the nine months ended September 30, 2014, the Company recorded an adjustment to its reserve estimates for casino accounts receivable based on results of historical collection patterns and current collection trends. This adjustment benefited operating income by $8.7 million and net income attributable to Wynn Resorts, Limited by $6.8 million (or $0.07 per share on a fully diluted basis) for the nine months ended September 30, 2014.</w:t>
      </w:r>
    </w:p>
    <w:p>
      <w:pPr>
        <w:spacing w:after="0" w:line="179"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During the nine months ended September 30, 2013, the Company recorded a similar adjustment which benefited operating income by $14.9 million and net income attributable to Wynn Resorts, Limited by $12.0 million (or $0.12 per share on a fully diluted basis) for the nine months ended September 30, 2013.</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Redemption Price Promissory Note</w:t>
      </w:r>
    </w:p>
    <w:p>
      <w:pPr>
        <w:spacing w:after="0" w:line="225"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The Company recorded the fair value of the Redemption Price Promissory Note (the “Redemption Note”) of approximately $1.94 billion in accordance with applicable accounting guidance. In determining this fair value, the Company estimated the Redemption Note’s present value using discounted cash flows with a probability weighted expected return for redemption assumptions and a discount rate which included time value and non-performance risk adjustments commensurate with risk of the Redemption Note.</w:t>
      </w:r>
    </w:p>
    <w:p>
      <w:pPr>
        <w:spacing w:after="0" w:line="187"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Considerations for the redemption assumptions included the stated maturity of the Redemption Note, uncertainty of the related cash flows as well as potential effects of the following: uncertainties surrounding the potential outcome and timing of pending litigation with Aruze USA, Inc., Universal Entertainment Corporation and Mr. Kazuo Okada (collectively, the “Okada Parties”) (see Note 14 “Commitments and Contingencies”); the outcome of on-going investigations of Aruze USA, Inc. by the United States Attorney’s Office, the U.S. Department of Justice and the Nevada Gaming Control Board; and other potential legal and regulatory actions. In addition, in the furtherance of various future business objectives, the Company considered its ability, at its sole option, to prepay the Redemption Note at any time in accordance with its terms without penalty. Accordingly, the Company reasonably determined that the estimated life of the Redemption Note could be less than the contractual life of the Redemption Note.</w:t>
      </w:r>
    </w:p>
    <w:p>
      <w:pPr>
        <w:spacing w:after="0" w:line="178"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In determination of the appropriate discount rate to be used in the estimated present value, the Redemption Note’s subordinated position relative to all other debt in the Company’s capital structure and credit ratings associated with the Company’s traded debt were considered. Observable inputs for the risk free rate based on Federal Reserve rates for U.S. Treasury securities and credit risk spread based on a yield curve index of similarly rated debt were used. As a result of this analysis, the Company concluded the Redemption Note's stated rate of 2% approximated a market rate.</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22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70"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Cash discounts, other cash incentives related to casino play and commissions rebated through junkets to customers are recorded as a reduction to casino revenue.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65" w:lineRule="exact"/>
        <w:rPr>
          <w:sz w:val="20"/>
          <w:szCs w:val="20"/>
          <w:color w:val="auto"/>
        </w:rPr>
      </w:pPr>
    </w:p>
    <w:p>
      <w:pPr>
        <w:ind w:right="440" w:firstLine="405"/>
        <w:spacing w:after="0" w:line="308" w:lineRule="auto"/>
        <w:rPr>
          <w:sz w:val="20"/>
          <w:szCs w:val="20"/>
          <w:color w:val="auto"/>
        </w:rPr>
      </w:pPr>
      <w:r>
        <w:rPr>
          <w:rFonts w:ascii="Arial" w:cs="Arial" w:eastAsia="Arial" w:hAnsi="Arial"/>
          <w:sz w:val="17"/>
          <w:szCs w:val="17"/>
          <w:color w:val="auto"/>
        </w:rPr>
        <w:t>Revenues are recognized net of certain sales incentives which are required to be recorded as a reduction of revenues; consequently, the Company’s casino revenues are reduced by discounts, commissions and points earned in the player’s club loyalty program.</w:t>
      </w:r>
    </w:p>
    <w:p>
      <w:pPr>
        <w:spacing w:after="0" w:line="14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Such amounts are then deducted as promotional allowances. The estimated cost of providing such promotional allowances is primarily included in casino expenses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Rooms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14,305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40,314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39,094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Food and beverage</w:t>
            </w:r>
          </w:p>
        </w:tc>
        <w:tc>
          <w:tcPr>
            <w:tcW w:w="28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30,508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29,539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90,454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83,132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3,770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10,606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10,779</w:t>
            </w:r>
          </w:p>
        </w:tc>
      </w:tr>
      <w:tr>
        <w:trPr>
          <w:trHeight w:val="237"/>
        </w:trPr>
        <w:tc>
          <w:tcPr>
            <w:tcW w:w="51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48,583</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47,539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141,374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133,005</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5"/>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Gaming Taxes</w:t>
      </w:r>
    </w:p>
    <w:p>
      <w:pPr>
        <w:spacing w:after="0" w:line="225" w:lineRule="exact"/>
        <w:rPr>
          <w:sz w:val="20"/>
          <w:szCs w:val="20"/>
          <w:color w:val="auto"/>
        </w:rPr>
      </w:pPr>
    </w:p>
    <w:p>
      <w:pPr>
        <w:ind w:right="460" w:firstLine="432"/>
        <w:spacing w:after="0" w:line="257" w:lineRule="auto"/>
        <w:rPr>
          <w:sz w:val="20"/>
          <w:szCs w:val="20"/>
          <w:color w:val="auto"/>
        </w:rPr>
      </w:pPr>
      <w:r>
        <w:rPr>
          <w:rFonts w:ascii="Arial" w:cs="Arial" w:eastAsia="Arial" w:hAnsi="Arial"/>
          <w:sz w:val="18"/>
          <w:szCs w:val="18"/>
          <w:color w:val="auto"/>
        </w:rPr>
        <w:t>The Company is subject to taxes based on gross gaming revenues in the jurisdictions in which it operates, subject to applicable jurisdictional adjustments. These gaming taxes are an assessment on the Company’s gross gaming revenues and are recorded as casino expenses in the accompanying Condensed Consolidated Statements of Income. These taxes totaled approximately $446.3 million and $488.5 million for the three months ended September 30, 2014 and 2013, respectively. These taxes totaled approximately $1,462.8 million and $1,431.7 million for the nine months ended September 30, 2014 and 2013, respectively.</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The Company measures certain of its financial assets and liabilities, such as cash equivalents, available-for-sale securities and interest rate swaps,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assets and liabilities carried at fair value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center"/>
              <w:ind w:left="881"/>
              <w:spacing w:after="0"/>
              <w:rPr>
                <w:sz w:val="20"/>
                <w:szCs w:val="20"/>
                <w:color w:val="auto"/>
              </w:rPr>
            </w:pPr>
            <w:r>
              <w:rPr>
                <w:rFonts w:ascii="Arial" w:cs="Arial" w:eastAsia="Arial" w:hAnsi="Arial"/>
                <w:sz w:val="14"/>
                <w:szCs w:val="14"/>
                <w:b w:val="1"/>
                <w:bCs w:val="1"/>
                <w:color w:val="auto"/>
                <w:w w:val="93"/>
              </w:rPr>
              <w:t>Fair Value Measurements Using:</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Market</w:t>
            </w:r>
          </w:p>
        </w:tc>
        <w:tc>
          <w:tcPr>
            <w:tcW w:w="260" w:type="dxa"/>
            <w:vAlign w:val="bottom"/>
          </w:tcPr>
          <w:p>
            <w:pPr>
              <w:spacing w:after="0"/>
              <w:rPr>
                <w:sz w:val="12"/>
                <w:szCs w:val="12"/>
                <w:color w:val="auto"/>
              </w:rPr>
            </w:pPr>
          </w:p>
        </w:tc>
        <w:tc>
          <w:tcPr>
            <w:tcW w:w="156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6"/>
              </w:rPr>
              <w:t>Other</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4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5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5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Inputs</w:t>
            </w:r>
          </w:p>
        </w:tc>
        <w:tc>
          <w:tcPr>
            <w:tcW w:w="12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5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4"/>
              </w:rPr>
              <w:t>(Level 2)</w:t>
            </w:r>
          </w:p>
        </w:tc>
        <w:tc>
          <w:tcPr>
            <w:tcW w:w="1240" w:type="dxa"/>
            <w:vAlign w:val="bottom"/>
          </w:tcPr>
          <w:p>
            <w:pPr>
              <w:jc w:val="center"/>
              <w:ind w:right="17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1,741,545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41"/>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1,741,093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8,852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8,852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250,732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250,732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Redemption Note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1,936,443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1,936,443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8"/>
        </w:trPr>
        <w:tc>
          <w:tcPr>
            <w:tcW w:w="5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center"/>
              <w:ind w:left="881"/>
              <w:spacing w:after="0"/>
              <w:rPr>
                <w:sz w:val="20"/>
                <w:szCs w:val="20"/>
                <w:color w:val="auto"/>
              </w:rPr>
            </w:pPr>
            <w:r>
              <w:rPr>
                <w:rFonts w:ascii="Arial" w:cs="Arial" w:eastAsia="Arial" w:hAnsi="Arial"/>
                <w:sz w:val="14"/>
                <w:szCs w:val="14"/>
                <w:b w:val="1"/>
                <w:bCs w:val="1"/>
                <w:color w:val="auto"/>
                <w:w w:val="93"/>
              </w:rPr>
              <w:t>Fair Value Measurements Using:</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Market</w:t>
            </w:r>
          </w:p>
        </w:tc>
        <w:tc>
          <w:tcPr>
            <w:tcW w:w="260" w:type="dxa"/>
            <w:vAlign w:val="bottom"/>
          </w:tcPr>
          <w:p>
            <w:pPr>
              <w:spacing w:after="0"/>
              <w:rPr>
                <w:sz w:val="12"/>
                <w:szCs w:val="12"/>
                <w:color w:val="auto"/>
              </w:rPr>
            </w:pPr>
          </w:p>
        </w:tc>
        <w:tc>
          <w:tcPr>
            <w:tcW w:w="156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6"/>
              </w:rPr>
              <w:t>Other</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4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5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5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Inputs</w:t>
            </w:r>
          </w:p>
        </w:tc>
        <w:tc>
          <w:tcPr>
            <w:tcW w:w="12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5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4"/>
              </w:rPr>
              <w:t>(Level 2)</w:t>
            </w:r>
          </w:p>
        </w:tc>
        <w:tc>
          <w:tcPr>
            <w:tcW w:w="1240" w:type="dxa"/>
            <w:vAlign w:val="bottom"/>
          </w:tcPr>
          <w:p>
            <w:pPr>
              <w:jc w:val="center"/>
              <w:ind w:right="17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1,349,647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41"/>
              <w:spacing w:after="0"/>
              <w:rPr>
                <w:sz w:val="20"/>
                <w:szCs w:val="20"/>
                <w:color w:val="auto"/>
              </w:rPr>
            </w:pPr>
            <w:r>
              <w:rPr>
                <w:rFonts w:ascii="Arial" w:cs="Arial" w:eastAsia="Arial" w:hAnsi="Arial"/>
                <w:sz w:val="18"/>
                <w:szCs w:val="18"/>
                <w:color w:val="auto"/>
              </w:rPr>
              <w:t>220,923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1,128,724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10,308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10,308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199,936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199,936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254,388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254,388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Redemption Note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1,936,443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1,936,443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As of September 30, 2014 and December 31, 2013, approximately 12% and 91% of the Company’s cash equivalents categorized as Level 2 were deposits held in foreign currencies,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In August 2014, the Financial Accounting Standards Board ("FASB") issued an accounting standards update that requires management to assess an entity’s ability to continue as a going concern and to provide related footnote disclosures in certain circumstances. Substantial doubt about an entity's ability to continue as a going concern exists when relevant conditions and events, consolidated in the aggregate, indicate that it is probable that an entity will be unable to meet its obligations as they become due within one year after the date that the financial statements are issued. Currently, there is no guidance in U.S. GAAP for management's responsibility to perform an evaluation. Under the update, management's evaluation is to be performed when preparing financial statements for each annual and interim reporting period and based on relevant conditions and events that are known and reasonably knowable at the date that the financial statements are issued. The Company will adopt this standard effective January 1, 2017. The Company is currently assessing the impact the adoption of this standard will have on its consolidated financial statements.</w:t>
      </w:r>
    </w:p>
    <w:p>
      <w:pPr>
        <w:spacing w:after="0" w:line="179" w:lineRule="exact"/>
        <w:rPr>
          <w:sz w:val="20"/>
          <w:szCs w:val="20"/>
          <w:color w:val="auto"/>
        </w:rPr>
      </w:pPr>
    </w:p>
    <w:p>
      <w:pPr>
        <w:ind w:right="200" w:firstLine="432"/>
        <w:spacing w:after="0" w:line="293" w:lineRule="auto"/>
        <w:rPr>
          <w:sz w:val="20"/>
          <w:szCs w:val="20"/>
          <w:color w:val="auto"/>
        </w:rPr>
      </w:pPr>
      <w:r>
        <w:rPr>
          <w:rFonts w:ascii="Arial" w:cs="Arial" w:eastAsia="Arial" w:hAnsi="Arial"/>
          <w:sz w:val="16"/>
          <w:szCs w:val="16"/>
          <w:color w:val="auto"/>
        </w:rPr>
        <w:t>In June 2014, the FASB issued an accounting standards update that requires that a performance target that affects vesting, and that could be achieved after the requisite service period, be treated as a performance condition. As such, the performance target should not be reflected in estimating the grant date fair value of the award. This update further clarifies that compensation cost should be recognized in the period in which it becomes probable that the performance target will be achieved and should represent the compensation cost attributable to the period or periods for which the requisite service has already been rendered. The effective date for this update is for the annual and interim periods beginning after December 15, 2015. Early application is permitted. The Company does not anticipate that the adoption of this standard will have a material impact on its consolidated financial statements.</w:t>
      </w:r>
    </w:p>
    <w:p>
      <w:pPr>
        <w:spacing w:after="0" w:line="165"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In May 2014, the FASB issued an accounting standards update that amends the FASB Accounting Standards Codification and creates a new topic for Revenue from Contracts with Customers. The new guidance is expected to clarify the principles for revenue recognition and to develop a common revenue standard for U.S. GAAP applicable to revenue transactions. This guidance provides that an entity should recognize revenue to depict the transfer of promised goods or services to customers in an amount that reflects the consideration to which the entity expects to be entitled in exchange for those goods and services. This guidance also provides substantial revision of interim and annual disclosures. The update allows for either full retrospective adoption, meaning the guidance is applied for all periods presented, or modified retrospective adoption, meaning the guidance is applied only to the most current period presented in the financial statements with the cumulative effect of initially applying the guidance recognized at the date of initial application. The effective date for this update is for the annual and interim periods beginning after December 15, 2016. Early application is not permitted. The Company will adopt this standard effective January 1, 2017. The Company is currently assessing the impact the adoption of this standard will have on its consolidated financial statements.</w:t>
      </w:r>
    </w:p>
    <w:p>
      <w:pPr>
        <w:spacing w:after="0" w:line="16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In July 2013, the FASB issued an accounting standards update that amends the presentation requirements of an unrecognized tax benefit when a loss or other carryforward exists. The update would require the netting of unrecognized tax benefits against a deferred tax asset for a loss or other carryforward that would apply in settlement of the uncertain tax positions. The effective date for this update is for the annual and interim periods beginning after December 15, 2013. The Company adopted this standard during the first quarter of 2014. The adoption of this update prospectively resulted in the presentation of unrecognized tax benefits of $29.3 million previously reflected in other long-term liabilities to be classified in long-term deferred income taxes, net, in the Condensed Consolidated Balance Sheet, at September 30, 2014.</w:t>
      </w:r>
    </w:p>
    <w:p>
      <w:pPr>
        <w:spacing w:after="0" w:line="1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3 -</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Basic earnings per share (“EPS”) is computed by dividing net income attributable to Wynn Resorts by the weighted average number of common shares outstanding during the period. Diluted EPS is computed by dividing net income attributable to Wynn Resorts by the weighted average number of common shares outstanding during the period increased to include the number of additional shares of common stock that would have been outstanding if the potential dilutive securities had been issued. Potentially dilutive securities include outstanding stock options and unvested restricted stock.</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2" w:right="25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Net income attributable to Wynn Resorts, Ltd.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191,406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182,020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622,208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514,768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100,959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100,685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100,899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100,470</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Potential dilutive effect of stock options and restricted stock</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Weighted average common and common equivalent shares</w:t>
            </w:r>
          </w:p>
        </w:tc>
        <w:tc>
          <w:tcPr>
            <w:tcW w:w="2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101,999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101,547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101,986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101,526</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outstanding</w:t>
            </w: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Net income attributable to Wynn Resorts, Ltd. per common share,</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280"/>
              <w:spacing w:after="0"/>
              <w:rPr>
                <w:sz w:val="20"/>
                <w:szCs w:val="20"/>
                <w:color w:val="auto"/>
              </w:rPr>
            </w:pPr>
            <w:r>
              <w:rPr>
                <w:rFonts w:ascii="Arial" w:cs="Arial" w:eastAsia="Arial" w:hAnsi="Arial"/>
                <w:sz w:val="18"/>
                <w:szCs w:val="18"/>
                <w:color w:val="auto"/>
                <w:w w:val="92"/>
              </w:rPr>
              <w:t>Net income attributable to Wynn Resorts, Ltd. per common share,</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60" w:type="dxa"/>
            <w:vAlign w:val="bottom"/>
            <w:vMerge w:val="continue"/>
          </w:tcPr>
          <w:p>
            <w:pPr>
              <w:spacing w:after="0"/>
              <w:rPr>
                <w:sz w:val="16"/>
                <w:szCs w:val="16"/>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34"/>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6"/>
                <w:szCs w:val="16"/>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6"/>
                <w:szCs w:val="16"/>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ind w:right="14"/>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6"/>
                <w:szCs w:val="16"/>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80"/>
              <w:spacing w:after="0"/>
              <w:rPr>
                <w:sz w:val="20"/>
                <w:szCs w:val="20"/>
                <w:color w:val="auto"/>
              </w:rPr>
            </w:pPr>
            <w:r>
              <w:rPr>
                <w:rFonts w:ascii="Arial" w:cs="Arial" w:eastAsia="Arial" w:hAnsi="Arial"/>
                <w:sz w:val="18"/>
                <w:szCs w:val="18"/>
                <w:color w:val="auto"/>
              </w:rPr>
              <w:t>Anti-dilutive stock options excluded from the calculation of</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80"/>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spacing w:after="0"/>
              <w:rPr>
                <w:sz w:val="20"/>
                <w:szCs w:val="20"/>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4 -</w:t>
      </w:r>
      <w:r>
        <w:rPr>
          <w:sz w:val="20"/>
          <w:szCs w:val="20"/>
          <w:color w:val="auto"/>
        </w:rPr>
        <w:tab/>
      </w:r>
      <w:r>
        <w:rPr>
          <w:rFonts w:ascii="Arial" w:cs="Arial" w:eastAsia="Arial" w:hAnsi="Arial"/>
          <w:sz w:val="16"/>
          <w:szCs w:val="16"/>
          <w:b w:val="1"/>
          <w:bCs w:val="1"/>
          <w:color w:val="auto"/>
        </w:rPr>
        <w:t>Accumulated Other Comprehensive Income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changes by component, net of tax and noncontrolling interest, in accumulated other comprehensive income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3"/>
              </w:rPr>
              <w:t>Foreign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restart"/>
          </w:tcPr>
          <w:p>
            <w:pPr>
              <w:jc w:val="center"/>
              <w:ind w:left="328"/>
              <w:spacing w:after="0"/>
              <w:rPr>
                <w:sz w:val="20"/>
                <w:szCs w:val="20"/>
                <w:color w:val="auto"/>
              </w:rPr>
            </w:pPr>
            <w:r>
              <w:rPr>
                <w:rFonts w:ascii="Arial" w:cs="Arial" w:eastAsia="Arial" w:hAnsi="Arial"/>
                <w:sz w:val="14"/>
                <w:szCs w:val="14"/>
                <w:b w:val="1"/>
                <w:bCs w:val="1"/>
                <w:color w:val="auto"/>
                <w:w w:val="95"/>
              </w:rPr>
              <w:t>Unrealized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4"/>
          </w:tcPr>
          <w:p>
            <w:pPr>
              <w:jc w:val="center"/>
              <w:ind w:right="217"/>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97"/>
              <w:spacing w:after="0" w:line="149" w:lineRule="exact"/>
              <w:rPr>
                <w:sz w:val="20"/>
                <w:szCs w:val="20"/>
                <w:color w:val="auto"/>
              </w:rPr>
            </w:pPr>
            <w:r>
              <w:rPr>
                <w:rFonts w:ascii="Arial" w:cs="Arial" w:eastAsia="Arial" w:hAnsi="Arial"/>
                <w:sz w:val="14"/>
                <w:szCs w:val="14"/>
                <w:b w:val="1"/>
                <w:bCs w:val="1"/>
                <w:color w:val="auto"/>
                <w:w w:val="91"/>
              </w:rPr>
              <w:t>other</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currency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left="328"/>
              <w:spacing w:after="0" w:line="149" w:lineRule="exact"/>
              <w:rPr>
                <w:sz w:val="20"/>
                <w:szCs w:val="20"/>
                <w:color w:val="auto"/>
              </w:rPr>
            </w:pPr>
            <w:r>
              <w:rPr>
                <w:rFonts w:ascii="Arial" w:cs="Arial" w:eastAsia="Arial" w:hAnsi="Arial"/>
                <w:sz w:val="14"/>
                <w:szCs w:val="14"/>
                <w:b w:val="1"/>
                <w:bCs w:val="1"/>
                <w:color w:val="auto"/>
                <w:w w:val="88"/>
              </w:rPr>
              <w:t>gain on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4"/>
              </w:rPr>
              <w:t>translation</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3"/>
          </w:tcPr>
          <w:p>
            <w:pPr>
              <w:jc w:val="center"/>
              <w:ind w:left="348"/>
              <w:spacing w:after="0"/>
              <w:rPr>
                <w:sz w:val="20"/>
                <w:szCs w:val="20"/>
                <w:color w:val="auto"/>
              </w:rPr>
            </w:pPr>
            <w:r>
              <w:rPr>
                <w:rFonts w:ascii="Arial" w:cs="Arial" w:eastAsia="Arial" w:hAnsi="Arial"/>
                <w:sz w:val="14"/>
                <w:szCs w:val="14"/>
                <w:b w:val="1"/>
                <w:bCs w:val="1"/>
                <w:color w:val="auto"/>
                <w:w w:val="88"/>
              </w:rPr>
              <w:t>securities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77"/>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2013</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w:t>
            </w:r>
          </w:p>
        </w:tc>
        <w:tc>
          <w:tcPr>
            <w:tcW w:w="4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37"/>
        </w:trPr>
        <w:tc>
          <w:tcPr>
            <w:tcW w:w="3580" w:type="dxa"/>
            <w:vAlign w:val="bottom"/>
            <w:gridSpan w:val="4"/>
          </w:tcPr>
          <w:p>
            <w:pPr>
              <w:ind w:left="40"/>
              <w:spacing w:after="0"/>
              <w:rPr>
                <w:sz w:val="20"/>
                <w:szCs w:val="20"/>
                <w:color w:val="auto"/>
              </w:rPr>
            </w:pPr>
            <w:r>
              <w:rPr>
                <w:rFonts w:ascii="Arial" w:cs="Arial" w:eastAsia="Arial" w:hAnsi="Arial"/>
                <w:sz w:val="18"/>
                <w:szCs w:val="18"/>
                <w:color w:val="auto"/>
              </w:rPr>
              <w:t>Current period other comprehensive gain</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3480" w:type="dxa"/>
            <w:vAlign w:val="bottom"/>
            <w:gridSpan w:val="3"/>
          </w:tcPr>
          <w:p>
            <w:pPr>
              <w:spacing w:after="0"/>
              <w:rPr>
                <w:sz w:val="2"/>
                <w:szCs w:val="2"/>
                <w:color w:val="auto"/>
              </w:rPr>
            </w:pPr>
          </w:p>
        </w:tc>
        <w:tc>
          <w:tcPr>
            <w:tcW w:w="1140" w:type="dxa"/>
            <w:vAlign w:val="bottom"/>
            <w:gridSpan w:val="3"/>
          </w:tcPr>
          <w:p>
            <w:pPr>
              <w:spacing w:after="0"/>
              <w:rPr>
                <w:sz w:val="2"/>
                <w:szCs w:val="2"/>
                <w:color w:val="auto"/>
              </w:rPr>
            </w:pPr>
          </w:p>
        </w:tc>
        <w:tc>
          <w:tcPr>
            <w:tcW w:w="42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8"/>
            <w:shd w:val="clear" w:color="auto" w:fill="CCEEFF"/>
          </w:tcPr>
          <w:p>
            <w:pPr>
              <w:ind w:left="40"/>
              <w:spacing w:after="0"/>
              <w:rPr>
                <w:sz w:val="20"/>
                <w:szCs w:val="20"/>
                <w:color w:val="auto"/>
              </w:rPr>
            </w:pPr>
            <w:r>
              <w:rPr>
                <w:rFonts w:ascii="Arial" w:cs="Arial" w:eastAsia="Arial" w:hAnsi="Arial"/>
                <w:sz w:val="18"/>
                <w:szCs w:val="18"/>
                <w:color w:val="auto"/>
                <w:w w:val="90"/>
              </w:rPr>
              <w:t>Amounts reclassified from accumulated other comprehensive income</w:t>
            </w: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37"/>
        </w:trPr>
        <w:tc>
          <w:tcPr>
            <w:tcW w:w="3580" w:type="dxa"/>
            <w:vAlign w:val="bottom"/>
            <w:gridSpan w:val="4"/>
          </w:tcPr>
          <w:p>
            <w:pPr>
              <w:ind w:left="40"/>
              <w:spacing w:after="0"/>
              <w:rPr>
                <w:sz w:val="20"/>
                <w:szCs w:val="20"/>
                <w:color w:val="auto"/>
              </w:rPr>
            </w:pPr>
            <w:r>
              <w:rPr>
                <w:rFonts w:ascii="Arial" w:cs="Arial" w:eastAsia="Arial" w:hAnsi="Arial"/>
                <w:sz w:val="18"/>
                <w:szCs w:val="18"/>
                <w:color w:val="auto"/>
                <w:w w:val="98"/>
              </w:rPr>
              <w:t>Net current period other comprehensive gain</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2014</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72</w:t>
            </w:r>
          </w:p>
        </w:tc>
        <w:tc>
          <w:tcPr>
            <w:tcW w:w="4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2,350</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w w:val="97"/>
              </w:rPr>
              <w:t>Note 5 -  Investment Securities</w:t>
            </w: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58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40" w:type="dxa"/>
            <w:vAlign w:val="bottom"/>
            <w:gridSpan w:val="8"/>
          </w:tcPr>
          <w:p>
            <w:pPr>
              <w:ind w:left="440"/>
              <w:spacing w:after="0"/>
              <w:rPr>
                <w:sz w:val="20"/>
                <w:szCs w:val="20"/>
                <w:color w:val="auto"/>
              </w:rPr>
            </w:pPr>
            <w:r>
              <w:rPr>
                <w:rFonts w:ascii="Arial" w:cs="Arial" w:eastAsia="Arial" w:hAnsi="Arial"/>
                <w:sz w:val="18"/>
                <w:szCs w:val="18"/>
                <w:color w:val="auto"/>
                <w:w w:val="91"/>
              </w:rPr>
              <w:t>Investment securities consisted of the following (in thousands):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September 30, 2014</w:t>
            </w: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3"/>
                <w:szCs w:val="13"/>
                <w:color w:val="auto"/>
              </w:rPr>
            </w:pPr>
          </w:p>
        </w:tc>
        <w:tc>
          <w:tcPr>
            <w:tcW w:w="8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980" w:type="dxa"/>
            <w:vAlign w:val="bottom"/>
            <w:gridSpan w:val="3"/>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Fair value</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820" w:type="dxa"/>
            <w:vAlign w:val="bottom"/>
            <w:gridSpan w:val="3"/>
            <w:vMerge w:val="restart"/>
          </w:tcPr>
          <w:p>
            <w:pPr>
              <w:jc w:val="center"/>
              <w:ind w:right="68"/>
              <w:spacing w:after="0"/>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37"/>
              <w:spacing w:after="0" w:line="153"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(net</w:t>
            </w:r>
          </w:p>
        </w:tc>
        <w:tc>
          <w:tcPr>
            <w:tcW w:w="140" w:type="dxa"/>
            <w:vAlign w:val="bottom"/>
          </w:tcPr>
          <w:p>
            <w:pPr>
              <w:spacing w:after="0"/>
              <w:rPr>
                <w:sz w:val="12"/>
                <w:szCs w:val="12"/>
                <w:color w:val="auto"/>
              </w:rPr>
            </w:pPr>
          </w:p>
        </w:tc>
        <w:tc>
          <w:tcPr>
            <w:tcW w:w="10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3"/>
              </w:rPr>
              <w:t>(net</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9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80" w:type="dxa"/>
            <w:vAlign w:val="bottom"/>
          </w:tcPr>
          <w:p>
            <w:pPr>
              <w:spacing w:after="0"/>
              <w:rPr>
                <w:sz w:val="12"/>
                <w:szCs w:val="12"/>
                <w:color w:val="auto"/>
              </w:rPr>
            </w:pPr>
          </w:p>
        </w:tc>
        <w:tc>
          <w:tcPr>
            <w:tcW w:w="820" w:type="dxa"/>
            <w:vAlign w:val="bottom"/>
            <w:gridSpan w:val="3"/>
          </w:tcPr>
          <w:p>
            <w:pPr>
              <w:jc w:val="center"/>
              <w:ind w:right="88"/>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gains</w:t>
            </w:r>
          </w:p>
        </w:tc>
        <w:tc>
          <w:tcPr>
            <w:tcW w:w="320" w:type="dxa"/>
            <w:vAlign w:val="bottom"/>
          </w:tcPr>
          <w:p>
            <w:pPr>
              <w:spacing w:after="0"/>
              <w:rPr>
                <w:sz w:val="16"/>
                <w:szCs w:val="16"/>
                <w:color w:val="auto"/>
              </w:rPr>
            </w:pPr>
          </w:p>
        </w:tc>
        <w:tc>
          <w:tcPr>
            <w:tcW w:w="8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losses</w:t>
            </w:r>
          </w:p>
        </w:tc>
        <w:tc>
          <w:tcPr>
            <w:tcW w:w="160" w:type="dxa"/>
            <w:vAlign w:val="bottom"/>
          </w:tcPr>
          <w:p>
            <w:pPr>
              <w:spacing w:after="0"/>
              <w:rPr>
                <w:sz w:val="16"/>
                <w:szCs w:val="16"/>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gains</w:t>
            </w:r>
          </w:p>
        </w:tc>
        <w:tc>
          <w:tcPr>
            <w:tcW w:w="180" w:type="dxa"/>
            <w:vAlign w:val="bottom"/>
          </w:tcPr>
          <w:p>
            <w:pPr>
              <w:spacing w:after="0"/>
              <w:rPr>
                <w:sz w:val="16"/>
                <w:szCs w:val="16"/>
                <w:color w:val="auto"/>
              </w:rPr>
            </w:pPr>
          </w:p>
        </w:tc>
        <w:tc>
          <w:tcPr>
            <w:tcW w:w="82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77"/>
              </w:rPr>
              <w:t>losses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5"/>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Domestic and foreign corporate</w:t>
            </w: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199,454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199,525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221,418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(124)</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221,434</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51,205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51,207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32,941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48"/>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32,954</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250,659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250,732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254,359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(127)</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254,388</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For investments with unrealized losses as of September 30, 2014 and December 31, 2013, the Company has determined that (i) it does not have the intent to sell any of these investments, and (ii) it is not likely that the Company will be required to</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sell these investments prior to the recovery of the amortized cost. Accordingly, the Company has determined that no other-than-temporary impairments exist at the reporting dates.</w:t>
      </w:r>
    </w:p>
    <w:p>
      <w:pPr>
        <w:spacing w:after="0" w:line="170"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The Company obtains pricing information in determining the fair value of its available-for-sale securities from independent pricing vendors. Based on management’s inquiries, the pricing vendors use various pricing models consistent with what other market participants would use. The assumptions and inputs used by the pricing vendors are derived from market observable sources including: reported trades, broker/dealer quotes, issuer spreads, benchmark curves, bids, offers and other market-related data. The Company has not made adjustments to such prices. Each quarter, the Company validates the fair value pricing methodology to determine the fair value is consistent with applicable accounting guidance and to confirm that the securities are classified properly in the fair value hierarchy. The Company compares the pricing received from its vendors to independent sources for the same or similar securities.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2014, all of the Company's investment securities had contractual maturities of less than one year.</w:t>
      </w:r>
    </w:p>
    <w:p>
      <w:pPr>
        <w:spacing w:after="0" w:line="30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6 -</w:t>
      </w:r>
      <w:r>
        <w:rPr>
          <w:sz w:val="20"/>
          <w:szCs w:val="20"/>
          <w:color w:val="auto"/>
        </w:rPr>
        <w:tab/>
      </w:r>
      <w:r>
        <w:rPr>
          <w:rFonts w:ascii="Arial" w:cs="Arial" w:eastAsia="Arial" w:hAnsi="Arial"/>
          <w:sz w:val="15"/>
          <w:szCs w:val="15"/>
          <w:b w:val="1"/>
          <w:bCs w:val="1"/>
          <w:color w:val="auto"/>
        </w:rPr>
        <w:t>Receivables, net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Receivables, net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221,214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252,998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Hotel</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12,815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15,386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leases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41,613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47,539</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275,642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315,923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doubtful accounts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(73,991)</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206,466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241,932</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Note 7 -  Property and Equipment, net</w:t>
            </w: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44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improvements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733,495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733,233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3,875,982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3,883,442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Airplanes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135,040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135,040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fixtures and equipment</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1,726,554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1,686,522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interests in land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316,196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316,550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1,244,138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558,624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8,031,405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7,313,411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(2,570,434)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(2,378,962)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5,460,971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4,934,449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Construction in progress consists primarily of costs capitalized, including interest, for the construction of Wynn Palace.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3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8 -</w:t>
      </w:r>
      <w:r>
        <w:rPr>
          <w:sz w:val="20"/>
          <w:szCs w:val="20"/>
          <w:color w:val="auto"/>
        </w:rPr>
        <w:tab/>
      </w:r>
      <w:r>
        <w:rPr>
          <w:rFonts w:ascii="Arial" w:cs="Arial" w:eastAsia="Arial" w:hAnsi="Arial"/>
          <w:sz w:val="16"/>
          <w:szCs w:val="16"/>
          <w:b w:val="1"/>
          <w:bCs w:val="1"/>
          <w:color w:val="auto"/>
        </w:rPr>
        <w:t>Long-Term Debt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140" w:type="dxa"/>
            <w:vAlign w:val="bottom"/>
            <w:tcBorders>
              <w:bottom w:val="single" w:sz="8" w:color="CCEEFF"/>
            </w:tcBorders>
          </w:tcPr>
          <w:p>
            <w:pPr>
              <w:spacing w:after="0"/>
              <w:rPr>
                <w:sz w:val="16"/>
                <w:szCs w:val="16"/>
                <w:color w:val="auto"/>
              </w:rPr>
            </w:pPr>
          </w:p>
        </w:tc>
        <w:tc>
          <w:tcPr>
            <w:tcW w:w="8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15"/>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2"/>
              </w:rPr>
              <w:t>Wynn Macau Senior Term Loan, due July 31, 2017 and July 31, 2018; interest at LIBOR or HIBOR plus 1.75%—</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9"/>
              </w:rPr>
              <w:t>2.50%, net of original issue discount of $4,094 at September 30, 2014 and $4,900 at December 31, 2013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948,017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948,028</w:t>
            </w:r>
          </w:p>
        </w:tc>
      </w:tr>
      <w:tr>
        <w:trPr>
          <w:trHeight w:val="229"/>
        </w:trPr>
        <w:tc>
          <w:tcPr>
            <w:tcW w:w="8340" w:type="dxa"/>
            <w:vAlign w:val="bottom"/>
            <w:gridSpan w:val="2"/>
          </w:tcPr>
          <w:p>
            <w:pPr>
              <w:ind w:left="40"/>
              <w:spacing w:after="0"/>
              <w:rPr>
                <w:sz w:val="20"/>
                <w:szCs w:val="20"/>
                <w:color w:val="auto"/>
              </w:rPr>
            </w:pPr>
            <w:r>
              <w:rPr>
                <w:rFonts w:ascii="Arial" w:cs="Arial" w:eastAsia="Arial" w:hAnsi="Arial"/>
                <w:sz w:val="18"/>
                <w:szCs w:val="18"/>
                <w:color w:val="auto"/>
                <w:w w:val="96"/>
              </w:rPr>
              <w:t>Wynn Macau Senior Revolving Credit Facility, due July 31, 2017, interest at LIBOR or HIBOR plus 1.75%—</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68,735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1/4% Wynn Macau, Limited Senior Notes, due October 15, 2021, including original issue premium of $5,298 at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 2014 and none at December 31, 2013</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1,355,298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600,000</w:t>
            </w:r>
          </w:p>
        </w:tc>
      </w:tr>
      <w:tr>
        <w:trPr>
          <w:trHeight w:val="229"/>
        </w:trPr>
        <w:tc>
          <w:tcPr>
            <w:tcW w:w="140" w:type="dxa"/>
            <w:vAlign w:val="bottom"/>
          </w:tcPr>
          <w:p>
            <w:pPr>
              <w:ind w:left="40"/>
              <w:spacing w:after="0"/>
              <w:rPr>
                <w:sz w:val="20"/>
                <w:szCs w:val="20"/>
                <w:color w:val="auto"/>
              </w:rPr>
            </w:pPr>
            <w:r>
              <w:rPr>
                <w:rFonts w:ascii="Arial" w:cs="Arial" w:eastAsia="Arial" w:hAnsi="Arial"/>
                <w:sz w:val="18"/>
                <w:szCs w:val="18"/>
                <w:color w:val="auto"/>
                <w:w w:val="79"/>
              </w:rPr>
              <w:t>7</w:t>
            </w:r>
          </w:p>
        </w:tc>
        <w:tc>
          <w:tcPr>
            <w:tcW w:w="8200" w:type="dxa"/>
            <w:vAlign w:val="bottom"/>
          </w:tcPr>
          <w:p>
            <w:pPr>
              <w:ind w:left="40"/>
              <w:spacing w:after="0"/>
              <w:rPr>
                <w:sz w:val="20"/>
                <w:szCs w:val="20"/>
                <w:color w:val="auto"/>
              </w:rPr>
            </w:pPr>
            <w:r>
              <w:rPr>
                <w:rFonts w:ascii="Arial" w:cs="Arial" w:eastAsia="Arial" w:hAnsi="Arial"/>
                <w:sz w:val="18"/>
                <w:szCs w:val="18"/>
                <w:color w:val="auto"/>
                <w:w w:val="97"/>
              </w:rPr>
              <w:t>7/8% Wynn Las Vegas First Mortgage Notes, due May 1, 2020, net of original issue discount of $1,326 at</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September 30, 2014 and $1,463 at December 31, 2013</w:t>
            </w:r>
          </w:p>
        </w:tc>
        <w:tc>
          <w:tcPr>
            <w:tcW w:w="20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345,684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350,547</w:t>
            </w: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7</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3/4% Wynn Las Vegas First Mortgage Notes, due August 15, 2020</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1,256,600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1,320,000</w:t>
            </w: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Pr>
          <w:p>
            <w:pPr>
              <w:ind w:left="40"/>
              <w:spacing w:after="0"/>
              <w:rPr>
                <w:sz w:val="20"/>
                <w:szCs w:val="20"/>
                <w:color w:val="auto"/>
              </w:rPr>
            </w:pPr>
            <w:r>
              <w:rPr>
                <w:rFonts w:ascii="Arial" w:cs="Arial" w:eastAsia="Arial" w:hAnsi="Arial"/>
                <w:sz w:val="18"/>
                <w:szCs w:val="18"/>
                <w:color w:val="auto"/>
              </w:rPr>
              <w:t>3/8% Wynn Las Vegas First Mortgage Notes, due March 15, 2022</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900,000</w:t>
            </w: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4</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1/4% Wynn Las Vegas Senior Notes, due May 30, 2023</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500,000</w:t>
            </w:r>
          </w:p>
        </w:tc>
      </w:tr>
      <w:tr>
        <w:trPr>
          <w:trHeight w:val="229"/>
        </w:trPr>
        <w:tc>
          <w:tcPr>
            <w:tcW w:w="8340" w:type="dxa"/>
            <w:vAlign w:val="bottom"/>
            <w:gridSpan w:val="2"/>
          </w:tcPr>
          <w:p>
            <w:pPr>
              <w:ind w:left="40"/>
              <w:spacing w:after="0"/>
              <w:rPr>
                <w:sz w:val="20"/>
                <w:szCs w:val="20"/>
                <w:color w:val="auto"/>
              </w:rPr>
            </w:pPr>
            <w:r>
              <w:rPr>
                <w:rFonts w:ascii="Arial" w:cs="Arial" w:eastAsia="Arial" w:hAnsi="Arial"/>
                <w:sz w:val="18"/>
                <w:szCs w:val="18"/>
                <w:color w:val="auto"/>
                <w:w w:val="92"/>
              </w:rPr>
              <w:t>Redemption Price Promissory Note with former stockholder and related party, due February 18, 2022; interest at</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1,936,443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1,936,443</w:t>
            </w: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32,550</w:t>
            </w:r>
          </w:p>
        </w:tc>
      </w:tr>
      <w:tr>
        <w:trPr>
          <w:trHeight w:val="237"/>
        </w:trPr>
        <w:tc>
          <w:tcPr>
            <w:tcW w:w="14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7,342,277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6,587,568</w:t>
            </w: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37"/>
        </w:trPr>
        <w:tc>
          <w:tcPr>
            <w:tcW w:w="14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7,341,227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6,586,518</w:t>
            </w: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1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5 1/4% Wynn Macau, Limited Senior Notes due 2021</w:t>
      </w:r>
    </w:p>
    <w:p>
      <w:pPr>
        <w:spacing w:after="0" w:line="225"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On March 20, 2014, Wynn Macau, Limited (“WML”), an indirect subsidiary of Wynn Resorts, Limited, issued $750 million aggregate principal amount of 5 1/4% Senior Notes due 2021 (the “Additional 2021 Notes”), which were consolidated and form a single series with the $600 million aggregate principal amount of 5 1/4% Senior Notes due 2021 issued by WML on October 16, 2013 (the “Original 2021 Notes” and together with the “Additional 2021 Notes”, the “2021 Notes”). WML received net proceeds of approximately $748.8 million after adding the original issue premium and deducting commissions and expenses of the offering. WML will use the net proceeds for working capital requirements and general corporate purposes.</w:t>
      </w:r>
    </w:p>
    <w:p>
      <w:pPr>
        <w:spacing w:after="0" w:line="173"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The Additional 2021 Notes have the same terms and conditions as those of the Original 2021 Notes. The 2021 Notes will bear interest at the rate of 5 1/4% per annum and will mature on October 15, 2021. Interest on the 2021 Notes is payable semi-annually in arrears on April 15 and October 15 of each year, beginning on April 15, 2014. At any time on or before October 14, 2016, WML may redeem the 2021 Notes, in whole or in part, at a redemption price equal to the greater of (a) 100% of the aggregate principal amount of the 2021 Notes or (b) a “make-whole” amount as determined by an independent investment banker in accordance with the terms of the WML Indenture, in either case, plus accrued and unpaid interest. In addition, on or after October 15, 2016, WML may redeem the 2021 Notes, in whole or in part, at a premium decreasing annually from 103.94% of the principal amount to zero, plus accrued and unpaid interest. If WML undergoes a Change of Control (as defined in the WML Indenture), it must offer to repurchase the 2021 Notes at a price equal to 101% of the aggregate principal amount thereof, plus accrued and unpaid interest. In addition, the Company may redeem the 2021 Notes, in whole but not in part, at a redemption price equal to 100% of the principal amount, plus accrued and unpaid interest, in response to any change in or amendment to certain tax laws or tax positions. Further, if a holder or beneficial owner of the 2021 Notes fails to meet certain requirements imposed by any Gaming Authority (as defined in the WML Indenture), WML may require the holder or beneficial owner to dispose of or redeem its 2021 Notes.</w:t>
      </w:r>
    </w:p>
    <w:p>
      <w:pPr>
        <w:spacing w:after="0" w:line="173"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The 2021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assets securing such debt; and will be structurally subordinated to all existing and future obligations of WML’s subsidiaries, including Wynn Resorts (Macau) S.A.’s existing credit facilities. The 2021 Notes are not registered under the Securities Act of 1933, as amended (the “Securities Act”), and the 2021 Notes are subject to restrictions on transferability and resale.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WML Indenture contains covenants limiting WML’s (and certain of its subsidiaries’) ability to, among other things: merge or consolidate with another company; transfer or sell all or substantially all of its properties or assets; and lease all or substantially all of its properties or assets. The terms of the WML Indenture contain customary events of default, including, but not limited to: default for 30 days in the payment when due of interest on the 2021 Notes; default in the payment when due of the principal of, or premium, if any, on the 2021 Notes; failure to comply with any payment obligations relating to the repurchase by WML of the 2021 Notes upon a change of control; failure to comply with certain covenants in the WML Indenture; certain defaults on certain other indebtedness; failure to pay judgments against WML or certain subsidiaries that, in the aggregate, exceed $50 million; and certain events of bankruptcy or insolvency. In the case of an event of default arising from certain events of bankruptcy or insolvency, all 2021 Notes then outstanding will become due and payable immediately without further action or notice.</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7 7/8% Wynn Las Vegas First Mortgage Notes due 2020</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During the nine months ended September 30, 2014, Wynn Las Vegas, LLC repurchased and canceled $5.0 million in principal, plus interest, of its 7 7/8% first mortgage notes due May 1, 2020 through the open market. The Company incurred $0.5 million in expenses associated primarily with the premium paid for the repurchases and unamortized deferred financing costs and original issue discount included in loss on extinguishment of debt in the accompanying Condensed Consolidated Statements of Income.</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7 3/4% Wynn Las Vegas First Mortgage Notes due 2020</w:t>
      </w:r>
    </w:p>
    <w:p>
      <w:pPr>
        <w:spacing w:after="0" w:line="225"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During the nine months ended September 30, 2014, Wynn Las Vegas, LLC repurchased and canceled $63.4 million in principal, plus interest, of its 7 3/4% first mortgage notes due August 15, 2020 through the open market. The Company incurred $6.9 million in expenses associated primarily with the premium paid for the repurchases and unamortized deferred financing costs included in loss on extinguishment of debt in the accompanying Condensed Consolidated Statements of Income.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Wynn Macau Credit Facilities</w:t>
      </w:r>
    </w:p>
    <w:p>
      <w:pPr>
        <w:spacing w:after="0" w:line="225" w:lineRule="exact"/>
        <w:rPr>
          <w:sz w:val="20"/>
          <w:szCs w:val="20"/>
          <w:color w:val="auto"/>
        </w:rPr>
      </w:pPr>
    </w:p>
    <w:p>
      <w:pPr>
        <w:jc w:val="both"/>
        <w:ind w:right="340" w:firstLine="405"/>
        <w:spacing w:after="0" w:line="259" w:lineRule="auto"/>
        <w:rPr>
          <w:sz w:val="20"/>
          <w:szCs w:val="20"/>
          <w:color w:val="auto"/>
        </w:rPr>
      </w:pPr>
      <w:r>
        <w:rPr>
          <w:rFonts w:ascii="Arial" w:cs="Arial" w:eastAsia="Arial" w:hAnsi="Arial"/>
          <w:sz w:val="18"/>
          <w:szCs w:val="18"/>
          <w:color w:val="auto"/>
        </w:rPr>
        <w:t>The Company's credit facilities consist of a $950 million equivalent fully funded senior secured term loan facility (the "Wynn Macau Senior Term Loan") and a $1.55 billion equivalent senior secured revolving credit facility (the "Wynn Macau Senior Revolving Credit Facility" and together with the Wynn Macau Senior Term Loan, the "Wynn Macau Credit Facilities"). As of September 30, 2014, the Company had $1.48 billion of available borrowing capacity under the Wynn Macau Senior Revolving Credit Facility.</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Debt Covenant Compliance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2014, management believes the Company was in compliance with all debt covenants.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The estimated fair value of the Company's long-term debt, excluding the Redemption Note, as of September 30, 2014 and December 31, 2013, was approximately $5.4 billion and $4.8 billion, respectively, compared to its carrying value of $5.4 billion and $4.7 billion, respectively. The estimated fair value of the Company's long-term debt, excluding the Redemption Note, is based on recent trades, if available, and indicative pricing from market information (level 2 inputs). See Note 2 "Summary of Significant Accounting Policies" for discussion on the estimated fair value of the Redemption Note.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Interest Rate Swaps</w:t>
      </w:r>
    </w:p>
    <w:p>
      <w:pPr>
        <w:spacing w:after="0" w:line="175"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as an increase/decrease in swap fair value in the accompanying Condensed Consolidated Statements of Income, as the interest rate swaps do not qualify for hedge accounting.</w:t>
      </w:r>
    </w:p>
    <w:p>
      <w:pPr>
        <w:spacing w:after="0" w:line="173"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Company utilized Level 2 inputs as described in Note 2 “Summary of Significant Accounting Policies” to determine fair value. The fair value approximates the amount the Company would receive if these contracts were settled at the respective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22" w:right="27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valuation dates. Fair value is estimated based upon current, and predictions of future, interest rate levels along a yield curve, the remaining duration of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instruments and other market conditions, and therefore, is subject to significant estimation and a high degree of variability and fluctuation between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periods. The fair value is adjusted, to reflect the impact of credit ratings of the counterparties or the Company, as applicable. These adjustments resulted in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reduction in the fair values as compared to their settlement values. As of September 30, 2014 and December 31, 2013, the interest rate swaps were recorded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an asset of $8.9 million and $10.3 million, respectively, and included in deposits and other assets.</w:t>
      </w:r>
    </w:p>
    <w:p>
      <w:pPr>
        <w:spacing w:after="0" w:line="211"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The Company currently has three interest rate swap agreements intended to hedge a portion of the underlying interest rate risk on borrowings under the Wynn Macau Senior Term Loan. Under two of the swap agreements, the Company pays a fixed interest rate (excluding the applicable interest margin) of</w:t>
      </w:r>
    </w:p>
    <w:p>
      <w:pPr>
        <w:ind w:right="60"/>
        <w:spacing w:after="0" w:line="277" w:lineRule="auto"/>
        <w:rPr>
          <w:sz w:val="20"/>
          <w:szCs w:val="20"/>
          <w:color w:val="auto"/>
        </w:rPr>
      </w:pPr>
      <w:r>
        <w:rPr>
          <w:rFonts w:ascii="Arial" w:cs="Arial" w:eastAsia="Arial" w:hAnsi="Arial"/>
          <w:sz w:val="17"/>
          <w:szCs w:val="17"/>
          <w:color w:val="auto"/>
        </w:rPr>
        <w:t>0.73% on notional amounts corresponding to borrowings of HK$3.95 billion (approximately $509.4 million) incurred under the Wynn Macau Senior Term Loan in exchange for receipts on the same amount at a variable interest rate based on the applicable HIBOR at the time of payment. These interest rate swaps fix the all-in interest rate on such amounts at 2.48% to 3.23%. These interest rate swap agreements mature in July 2017.</w:t>
      </w:r>
    </w:p>
    <w:p>
      <w:pPr>
        <w:spacing w:after="0" w:line="17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Under the third swap agreement, the Company pays a fixed interest rate (excluding the applicable interest margin) of 0.68% on notional amounts corresponding to borrowings of $243.8 million incurred under the Wynn Macau Senior Term Loan in exchange for receipts on the same amount at a variable-rate based on the applicable LIBOR at the time of payment. This interest rate swap fixes the all-in interest rate on such amounts at 2.43% to 3.18%. This interest rate swap agreement matures in July 2017.</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Related Party Transactions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Amounts Due to Officers</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Company periodically provides services to Stephen A. Wynn, Chairman of the Board of Directors and Chief Executive Officer (“Mr. Wynn”), and certain other officers and directors of the Company, including the personal use of employees, construction work and other personal services. Mr. Wynn and other officers and directors have deposits with the Company to prepay any such items, which are replenished on an ongoing basis as needed. Mr. Wynn and the other officers and directors had a net deposit balance with the Company of approximately $0.8 million as of both September 30, 2014 and December 31, 2013.</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Villa Lease</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Mr. Wynn currently leases from Wynn Las Vegas a villa which serves as Mr. Wynn’s personal residence. The restated lease agreement and amendments (“SW Lease”) were approved by the Audit Committee of the Board of Directors of Wynn Resorts. Pursuant to the SW Lease, Mr. Wynn pays Wynn Las Vegas annual rent for the villa of $525,000, which amount was determined to be the fair market value of the accommodations based on a third-party appraisal. In addition, pursuant to the SW Lease, Wynn Las Vegas pays for all capital improvements to the villa. The rental value for the villa will be re-determined every two years during the term of the SW Lease by the Audit Committee, with the current rent rate effective through February 28, 2015. Certain services for, and maintenance of, the villa are included in the annual rent.</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Aircraft Purchase Option Agreement</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On January 3, 2013, the Company and Mr. Wynn entered into an agreement pursuant to which Mr. Wynn agreed to terminate a previously granted option to purchase an approximately two acre tract of land located on the Wynn Las Vegas golf course and, in return, the Company granted Mr. Wynn the right to purchase any or all of the aircraft owned by the Company or its direct wholly owned subsidiaries. The aircraft purchase option is exercisable upon 30 days written notice and at a price equal to the book value of such aircraft, and will terminate on the date of termination of the employment agreement between the Company and Mr. Wynn, which expires in October 2020.</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The “Wynn” Surname Rights Agreement</w:t>
      </w:r>
    </w:p>
    <w:p>
      <w:pPr>
        <w:spacing w:after="0" w:line="22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2" w:right="25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Property Charges and Other</w:t>
      </w:r>
    </w:p>
    <w:p>
      <w:pPr>
        <w:spacing w:after="0" w:line="229"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Property charges and other for the three and nine months ended September 30, 2014 were $1.6 million and $13.7 million, respectively. During 2014, the Company incurred property charges primarily associated with the renovation of approximately 27,000 square feet of casino space at Wynn Macau for new VIP gaming rooms. The Company expects to complete this renovation before Chinese New Year of 2015. Property charges and other for the three and nine months ended September 30, 2013 were $2.6 million and $13.6 million, respectively, which includes miscellaneous renovations and abandonments at our resorts, entertainment development costs and fees paid in connection with the termination of a contract.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Noncontrolling Interest</w:t>
      </w:r>
    </w:p>
    <w:p>
      <w:pPr>
        <w:spacing w:after="0" w:line="243" w:lineRule="exact"/>
        <w:rPr>
          <w:sz w:val="20"/>
          <w:szCs w:val="20"/>
          <w:color w:val="auto"/>
        </w:rPr>
      </w:pPr>
    </w:p>
    <w:p>
      <w:pPr>
        <w:ind w:right="400" w:firstLine="432"/>
        <w:spacing w:after="0" w:line="342" w:lineRule="auto"/>
        <w:rPr>
          <w:sz w:val="20"/>
          <w:szCs w:val="20"/>
          <w:color w:val="auto"/>
        </w:rPr>
      </w:pPr>
      <w:r>
        <w:rPr>
          <w:rFonts w:ascii="Arial" w:cs="Arial" w:eastAsia="Arial" w:hAnsi="Arial"/>
          <w:sz w:val="16"/>
          <w:szCs w:val="16"/>
          <w:color w:val="auto"/>
        </w:rPr>
        <w:t>On September 23, 2014, Wynn Macau, Limited paid a dividend of HK$0.70 per share for a total of $469.2 million. The Company’s share of this dividend was $338.7 million with a reduction of $130.6 million to noncontrolling interest in the accompanying Condensed Consolidated Balance Sheets.</w:t>
      </w:r>
    </w:p>
    <w:p>
      <w:pPr>
        <w:spacing w:after="0" w:line="124"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On June 6, 2014, Wynn Macau, Limited paid a dividend of HK$0.98 per share for a total of $655.8 million. The Company’s share of this dividend was $474.0 million with a reduction of $181.8 million to noncontrolling interest in the accompanying Condensed Consolidated Balance Sheets.</w:t>
      </w:r>
    </w:p>
    <w:p>
      <w:pPr>
        <w:spacing w:after="0" w:line="147" w:lineRule="exact"/>
        <w:rPr>
          <w:sz w:val="20"/>
          <w:szCs w:val="20"/>
          <w:color w:val="auto"/>
        </w:rPr>
      </w:pPr>
    </w:p>
    <w:p>
      <w:pPr>
        <w:jc w:val="both"/>
        <w:ind w:right="500" w:firstLine="432"/>
        <w:spacing w:after="0" w:line="342" w:lineRule="auto"/>
        <w:rPr>
          <w:sz w:val="20"/>
          <w:szCs w:val="20"/>
          <w:color w:val="auto"/>
        </w:rPr>
      </w:pPr>
      <w:r>
        <w:rPr>
          <w:rFonts w:ascii="Arial" w:cs="Arial" w:eastAsia="Arial" w:hAnsi="Arial"/>
          <w:sz w:val="16"/>
          <w:szCs w:val="16"/>
          <w:color w:val="auto"/>
        </w:rPr>
        <w:t>On September 23, 2013, Wynn Macau, Limited paid a dividend of HK$0.50 per share for a total of $334.5 million. The Company’s share of this dividend was $241.8 million with a reduction of $92.7 million to noncontrolling interest in the accompanying Condensed Consolidated Balance Sheets.</w:t>
      </w:r>
    </w:p>
    <w:p>
      <w:pPr>
        <w:spacing w:after="0" w:line="124"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On June 6, 2013, Wynn Macau, Limited paid a dividend of HK$1.24 per share for a total of $828.6 million. The Company's share of this dividend was $599.1 million with a reduction of $229.6 million to noncontrolling interest in the accompanying Condensed Consolidated Balance Sheets.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Stock-Based Compensation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total compensation cost relating both to stock options and nonvested stock is allocated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5,550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Rooms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632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and beverage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Entertainment, retail and other</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342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6,803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27,676</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10,369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5,204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22,714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35,072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capitalized</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stock-based compensation costs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10,430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5,253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28,359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35,217</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During the first quarter of 2014, the Company capitalized $5.5 million of stock-based compensation into construction for a restricted stock award granted which immediately vested. The restricted stock award was granted to an employee of the Company's design, development and construction subsidiary and will be amortized over the useful life of the related asset.</w:t>
      </w:r>
    </w:p>
    <w:p>
      <w:pPr>
        <w:spacing w:after="0" w:line="18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During the second quarter of 2013, the Company recorded $23.0 million of stock-based compensation expense due to the retirement of the Company's former chief operating officer and the related accelerated vesting of shares previously granted to him.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During the first quarter of 2013, the Company reversed $10.6 million of stock-based compensation expense allocated to general and administrative. The reversal was related to restricted stock granted in 2008 and 2011 with an average nine year cliff vest provision that were modified and forfeited during the first quarter of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Cotai Development and Land Concession Contract</w:t>
      </w:r>
    </w:p>
    <w:p>
      <w:pPr>
        <w:spacing w:after="0" w:line="22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Company is currently constructing Wynn Palace, a fully integrated resort containing a 1,700-room hotel, performance lake, meeting space, casino, spa, retail offerings, and food and beverage outlets in the Cotai area of Macau.</w:t>
      </w:r>
    </w:p>
    <w:p>
      <w:pPr>
        <w:spacing w:after="0" w:line="17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In September 2011, Wynn Resorts (Macau) S.A. and Palo Real Estate Company Limited (“Palo”), each an indirect subsidiary of Wynn Macau Limited, formally accepted the terms and conditions of a draft land concession contract from the Macau government for approximately 51 acres of land in the Cotai area of Macau. On May 2, 2012, the land concession contract was gazetted by the government of Macau evidencing the final step in the granting of the land concession. The initial term of the land concession contract is 25 years from May 2, 2012, and it may be renewed with government approval for successive periods. The total land premium payable, including interest as required by the land concession contract, is $193.4 million. An initial payment of $62.5 million was paid in December 2011, with eight additional semi-annual payments of approximately $16.4 million each (which includes interest at 5%) due beginning November 2012. As of September 30, 2014 and December 31, 2013, the Company has recorded this obligation and related asset with $30.0 million and $29.3 million included as a current liability, respectively and $31.6 million and $46.8 million, respectively, included as a long-term liability. The Company is also required to make annual lease payments of $0.8 million during the resort construction period and annual payments of approximately $1.1 million once the development is completed.</w:t>
      </w:r>
    </w:p>
    <w:p>
      <w:pPr>
        <w:spacing w:after="0" w:line="178"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On July 29, 2013, Wynn Resorts (Macau) S.A. and Palo finalized and executed a guaranteed maximum price construction (“GMP”) contract with Leighton Contractors (Asia) Limited, acting as the general contractor. Under the GMP contract, the general contractor is responsible for both the design and construction of the Wynn Palace. The general contractor is obligated to substantially complete the project in the first half of 2016 for a guaranteed maximum price of HK$20 billion (approximately US$2.6 billion). An early completion bonus for achievement of substantial completion on or before January 25, 2016 will be paid to the general contractor if certain conditions are satisfied under the GMP contract. Both the contract time and guaranteed maximum price are subject to further adjustment under certain specified conditions. The performance of the general contractor is backed by a full completion guarantee given by Leighton Holdings Limited, the parent company of the general contractor, as well as a performance bond for 5% of the guaranteed maximum price.</w:t>
      </w:r>
    </w:p>
    <w:p>
      <w:pPr>
        <w:spacing w:after="0" w:line="16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As of September 30, 2014, the Company incurred approximately $1.4 billion of the approximately $4.1 billion in total project budget costs. The total project budget includes all construction costs, capitalized interest, pre-opening expenses, land costs and financing fees. The Company expects to open its resort on Cotai in the first half of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360" w:firstLine="432"/>
        <w:spacing w:after="0" w:line="342" w:lineRule="auto"/>
        <w:rPr>
          <w:sz w:val="20"/>
          <w:szCs w:val="20"/>
          <w:color w:val="auto"/>
        </w:rPr>
      </w:pPr>
      <w:r>
        <w:rPr>
          <w:rFonts w:ascii="Arial" w:cs="Arial" w:eastAsia="Arial" w:hAnsi="Arial"/>
          <w:sz w:val="16"/>
          <w:szCs w:val="16"/>
          <w:color w:val="auto"/>
        </w:rPr>
        <w:t>In addition to the actions noted below, the Company’s affiliates are involved in litigation arising in the normal course of business. In the opinion of management, such litigation is not expected to have a material effect on the Company’s financial condition, results of operations or cash flows.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Determination of Unsuitability and Redemption of Aruze USA, Inc. and Affiliates</w:t>
      </w:r>
    </w:p>
    <w:p>
      <w:pPr>
        <w:spacing w:after="0" w:line="225"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On February 18, 2012, Wynn Resorts’ Gaming Compliance Committee received an independent report by Freeh, Sporkin &amp; Sullivan, LLP (the “Freeh Report”) detailing a pattern of misconduct by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and, while serving as one of the Company’s directors, Mr. Okada refused to acknowledge or abide by Wynn Resorts’ anti-bribery policies and refused to participate in the training all other directors received concerning these policies.</w:t>
      </w:r>
    </w:p>
    <w:p>
      <w:pPr>
        <w:spacing w:after="0" w:line="178"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Based on the Freeh Report, the Board of Directors of Wynn Resorts determined that the Okada Parties are “unsuitable persons” under Article VII of the Company’s articles of incorporation. The Board of Directors was unanimous (other than Mr. Okada) in its determination. After authorizing the redemption of the Aruze USA Inc. ("Aruze") shares, as discussed below, the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1" w:right="27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Board of Directors took certain actions to protect the Company and its operations from any influence of an unsuitable person, including placing limitations on the provision of certain operating information to unsuitable persons and formation of an Executive Committee of the Board to manage the business and affairs of the Company during the period between each annual meeting. The Charter of the Executive Committee provides that “Unsuitable Persons” are not permitted to serve on the Committee. All members of the Board, other than Mr. Okada, were appointed to the Executive Committee on February 18, 2012.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On February 18, 2012, Mr. Okada was removed from the Board of Directors of Wynn Las Vegas Capital Corp., an indirect wholly owned subsidiary of Wynn Resorts. On February 24, 2012, Mr. Okada was removed from the Board of Directors of Wynn Macau, Limited and on February 22, 2013, he was removed from the Board of Directors of Wynn Resorts by a stockholder vote in which 99.6% of the over 86 million shares voted were cast in favor of removal. Mr. Okada resigned from the Board of Directors of Wynn Resorts on February 21, 2013. Although the Company has retained the structure of the Executive Committee, the Board has resumed its past role in managing the business and affairs of the Company.</w:t>
      </w:r>
    </w:p>
    <w:p>
      <w:pPr>
        <w:spacing w:after="0" w:line="173" w:lineRule="exact"/>
        <w:rPr>
          <w:sz w:val="20"/>
          <w:szCs w:val="20"/>
          <w:color w:val="auto"/>
        </w:rPr>
      </w:pPr>
    </w:p>
    <w:p>
      <w:pPr>
        <w:ind w:right="120" w:firstLine="432"/>
        <w:spacing w:after="0" w:line="284" w:lineRule="auto"/>
        <w:rPr>
          <w:sz w:val="20"/>
          <w:szCs w:val="20"/>
          <w:color w:val="auto"/>
        </w:rPr>
      </w:pPr>
      <w:r>
        <w:rPr>
          <w:rFonts w:ascii="Arial" w:cs="Arial" w:eastAsia="Arial" w:hAnsi="Arial"/>
          <w:sz w:val="16"/>
          <w:szCs w:val="16"/>
          <w:color w:val="auto"/>
        </w:rPr>
        <w:t>Based on the Board of Directors’ finding of “unsuitability,” on February 18, 2012, Wynn Resorts redeemed and canceled Aruze’s 24,549,222 shares of Wynn Resorts’ common stock. Following a finding of “unsuitability,” Article VII of Wynn Resorts’ articles of incorporation authorizes redemption at “fair value” of the shares held by unsuitable persons. The Company engaged an independent financial adviser to assist in the fair value calculation and concluded that a discount to the then current trading price was appropriate because of, among other things, restrictions on most of the shares held by Aruze under the terms of the Stockholders Agreement (as defined below). Pursuant to its articles of incorporation, Wynn Resorts issued the Redemption Note to Aruze in redemption of the shares. The Redemption Note has a principal amount of $1.94 billion, matures on February 18, 2022, and bears interest at the rate of</w:t>
      </w:r>
    </w:p>
    <w:p>
      <w:pPr>
        <w:spacing w:after="0" w:line="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94"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The Company provided the Freeh Report to appropriate regulators and law enforcement agencies and has been cooperating with related investigations that such regulators and agencies have undertaken. The conduct of the Okada Parties and any resulting regulatory investigations could have adverse consequences to the Company and its subsidiaries. A finding by regulatory authorities that Mr. Okada violated anti-corruption statutes and/or other laws or regulations applicable to persons affiliated with a gaming licensee on Company property and/or otherwise involved the Company in criminal or civil violations could result in actions by regulatory authorities against the Company and its subsidiaries.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Redemption Action and Counterclaim</w:t>
      </w:r>
    </w:p>
    <w:p>
      <w:pPr>
        <w:spacing w:after="0" w:line="225" w:lineRule="exact"/>
        <w:rPr>
          <w:sz w:val="20"/>
          <w:szCs w:val="20"/>
          <w:color w:val="auto"/>
        </w:rPr>
      </w:pPr>
    </w:p>
    <w:p>
      <w:pPr>
        <w:ind w:right="380" w:firstLine="432"/>
        <w:spacing w:after="0" w:line="279" w:lineRule="auto"/>
        <w:rPr>
          <w:sz w:val="20"/>
          <w:szCs w:val="20"/>
          <w:color w:val="auto"/>
        </w:rPr>
      </w:pPr>
      <w:r>
        <w:rPr>
          <w:rFonts w:ascii="Arial" w:cs="Arial" w:eastAsia="Arial" w:hAnsi="Arial"/>
          <w:sz w:val="17"/>
          <w:szCs w:val="17"/>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The Company is seeking compensatory and special damages as well as a declaration that it acted lawfully and in full compliance with its articles of incorporation, bylaws and other governing documents in redeeming and canceling the shares of Aruze.</w:t>
      </w:r>
    </w:p>
    <w:p>
      <w:pPr>
        <w:spacing w:after="0" w:line="171"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the Company, each of the members of the Company’s Board of Directors (other than Mr. Okada) and Wynn Resorts’ General Counsel (the “Wynn Parties”). The Counterclaim alleges, among other things: (1) that the shares of Wynn Resorts common stock owned by Aruze were exempt from the redemption-for-unsuitability provisions in the Wynn Resorts articles of incorporation (the “Articles”) pursuant to certain agreements executed in 2002; (2) that the Wynn Resorts directors who authorized the redemption of Aruze’s shares acted at the direction of Stephen A. Wynn and did not independently and objectively evaluate the Okada Parties’ suitability, and by so doing, breached their fiduciary duties; (3) that the Wynn Resorts directors violated the terms of the Wynn Resorts Articles by failing to pay Aruze fair value for the redeemed shares; and (4) that the terms of the Redemption Note that Aruze received in exchange for the redeemed shares, including the Redemption Note’s principal amount, duration, interest rate,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and subordinated status, were unconscionable. Among other relief, the Counterclaim seeks a declaration that the redemption of Aruze’s shares was void, an injunction restoring Aruze’s share ownership, damages in an unspecified amount and rescission of the Amended and Restated Stockholders Agreement, dated as of January 6, 2010, by and among Aruze, Stephen A. Wynn, and Elaine Wynn (the “Stockholders Agreement”).</w:t>
      </w:r>
    </w:p>
    <w:p>
      <w:pPr>
        <w:spacing w:after="0" w:line="166" w:lineRule="exact"/>
        <w:rPr>
          <w:sz w:val="20"/>
          <w:szCs w:val="20"/>
          <w:color w:val="auto"/>
        </w:rPr>
      </w:pPr>
    </w:p>
    <w:p>
      <w:pPr>
        <w:ind w:right="140" w:firstLine="432"/>
        <w:spacing w:after="0" w:line="285" w:lineRule="auto"/>
        <w:rPr>
          <w:sz w:val="20"/>
          <w:szCs w:val="20"/>
          <w:color w:val="auto"/>
        </w:rPr>
      </w:pPr>
      <w:r>
        <w:rPr>
          <w:rFonts w:ascii="Arial" w:cs="Arial" w:eastAsia="Arial" w:hAnsi="Arial"/>
          <w:sz w:val="16"/>
          <w:szCs w:val="16"/>
          <w:color w:val="auto"/>
        </w:rPr>
        <w:t>On June 19, 2012, Elaine Wynn asserted a cross claim against Stephen A. Wynn and Aruze seeking a declaration that (1) any and all of Elaine Wynn’s duties under the Stockholders Agreement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The indentures for Wynn Las Vegas, LLC's 7 7/8% first mortgage notes due 2020, 7 3/4% first mortgage notes due 2020 (together, the "2020 Indentures") and the indenture for Wynn Las Vegas, LLC's 4 1/4% Senior Notes due 2023 (the "2023 Indenture," and, together with the 2020 Indentures, the "Indentures") provide that if Stephen A. Wynn, together with certain related parties, in the aggregate beneficially owns a lesser percentage of the outstanding common stock of the Company than are beneficially owned by any other person, a change of control will have occurred. The indentures for Wynn Las Vegas, LLC's 5 3/8% first mortgage notes due 2022 (the "2022 Indenture") provide that if any event constitutes a "change of control" under the 2020 Indentures, it will constitute a change of control under the 2022 Indenture. If Elaine Wynn prevails in her cross claim, Stephen A. Wynn would not beneficially own or control Elaine Wynn’s shares and a change in control may result under the Wynn Las Vegas debt documents. Under the 2020 Indentures and the 2022 Indenture, the occurrence of a change of control requires that the Company make an offer to each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Under the 2023 Indenture, if a change of control occurs and within 60 days after that occurrence the 4 1/4% Senior Notes due 2023 are rated below investment grade by both rating agencies that rate such notes, the Company is required to make an offer to each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Mr. Wynn is opposing Ms. Wynn’s cross claim.</w:t>
      </w:r>
    </w:p>
    <w:p>
      <w:pPr>
        <w:spacing w:after="0" w:line="175"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The Company’s Complaint and the Okada Parties’ Counterclaim have been, and continue to be, challenged through motion practice. At a hearing held on November 13, 2012, the Nevada state court granted the Wynn Parties’ motion to dismiss the Counterclaim with respect to the Okada Parties’ claim under the Nevada Racketeer Influenced and Corrupt Organizations Act with respect to certain Company executives but otherwise denied the motion. At a hearing held on January 15, 2013, the court denied the Okada Parties’ motion to dismiss the Company’s Complaint. On April 22, 2013, the Company filed a second amended complaint. On August 30, 2013, the Okada Parties filed their third amended Counterclaim. On September 18, 2013, the Company filed a Partial Motion to Dismiss related to a claim in the third amended Counterclaim alleging civil extortion by Mr. Wynn and the Company’s General Counsel. On October 29, 2013, the court granted the motion and dismissed the claim. On November 26, 2013, the Okada Parties filed their fourth amended Counterclaim, and the Company filed an answer to that pleading on December 16, 2013.</w:t>
      </w:r>
    </w:p>
    <w:p>
      <w:pPr>
        <w:spacing w:after="0" w:line="179"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On each of February 14, 2013 and February 13, 2014, the Company issued a check to Aruze in the amount of $38.7 million, representing the interest payments due on the Redemption Note at those times. However, those checks were not cashed. The parties engaged in discussions regarding the terms of an escrow agreement in accordance with a prior court order. However, in February 2014, the Okada Parties advised of their intent to deposit any checks for interest and principal, past and future, due under the terms of the Redemption Note to the clerk of the court for deposit into the clerk’s trust account. On March 17, 2014, the parties stipulated that the checks be returned to the Company for reissue in the same amounts, payable to the clerk of the court for deposit into the clerk's trust account. Pursuant to the stipulation, on March 20, 2014, the Company delivered to the clerk of the court the reissued checks that were deposited into the clerk's trust account and filed a notice with the court with respect to the same.</w:t>
      </w:r>
    </w:p>
    <w:p>
      <w:pPr>
        <w:spacing w:after="0" w:line="178"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On April 8, 2013, the United States Attorney’s Office and the U.S. Department of Justice filed a Motion to Intervene and for Temporary and Partial Stay of Discovery in the Redemption Action. The parties had been engaged in discovery at the time of the filing. The motion stated that the federal government has been conducting a criminal investigation of the Okada Parties involving the “same underlying allegations of misconduct-that is, potential violations of the Foreign Corrupt Practice Act and related fraudulent conduct-that form the basis of” the Company’s complaint, as amended, in the Redemption Action. The motion sought to stay all discovery in the Redemption Action related to the Okada Parties’ allegedly unlawful activities in connection with their casino project in the Philippines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 (the “Stay”). 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October 29, 2013, the United States Attorney’s Office and the U.S. Department of Justice filed a Motion to Extend the Stay for a further period of six months. At a hearing on October 31, 2013, the court granted the requested extension based upon an affidavit provided under seal that outlined, among other things, concerns for witness safety. The court did, however, order the parties to exchange written discovery propounded prior to May 2, 2013, including discovery related to the Elaine Wynn cross and counterclaims referred to above. The extended Stay expired on May 5, 2014. On April 29, 2014, the United States Attorney's Office and the U.S. Department of Justice filed a Motion for a Second Extension of Temporary Stay of Discovery for a further six months. At a hearing on May 1, 2014, the court denied the motion. On September 22, 2014, the court entered a new stipulation between the parties for discovery schedule with closing on August 1, 2016.</w:t>
      </w:r>
    </w:p>
    <w:p>
      <w:pPr>
        <w:spacing w:after="0" w:line="182"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On September 16, 2014, Aruze filed a motion for partial summary judgment related to its counterclaim alleging the Company's directors violated the terms of the Articles by failing to pay Aruze fair value for the redeemed shares. At a hearing held on October 21, 2014, the court denied Aruze's motion.</w:t>
      </w:r>
    </w:p>
    <w:p>
      <w:pPr>
        <w:spacing w:after="0" w:line="124"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On October 10, 2014, the Okada Parties filed a motion for partial judgment on the pleadings principally to seek dismissal of certain breach of fiduciary claims against Mr. Okada included in the Company's Complaint. The Wynn Parties filed their opposition on October 27, 2014, and the Okada Parties were required to file their reply on November 5, 2014. A court hearing regarding this motion is set for November 13, 2014.</w:t>
      </w:r>
    </w:p>
    <w:p>
      <w:pPr>
        <w:spacing w:after="0" w:line="166"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Company will continue to vigorously pursue its claims against the Okada Parties, and the Company and the Wynn Parties will continue to vigorously defend against the counterclaims asserted against them. The Company’s claims and the Okada Parties’ counterclaims remain in an early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our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Commenced by Kazuo Okada</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Japan Action:</w:t>
      </w:r>
    </w:p>
    <w:p>
      <w:pPr>
        <w:spacing w:after="0" w:line="22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On August 28, 2012, Mr. Okada, Universal Entertainment Corporation and Okada Holdings (“Okada Japan Parties”) filed a complaint in Tokyo District Court against the Wynn Parties, alleging that the press release issued by the Company with respect to the redemption has damaged plaintiffs’ social evaluation and credibility. The Okada Japan Parties seek damages and legal fees from the Wynn Parties. After asking the Okada Japan Parties to clarify the allegations in their complaint, the Wynn Parties objected to the jurisdiction of the Japanese court. On April 30, 2013, the Wynn Parties filed a memorandum in support of their jurisdictional position. On October 21, 2013, the court dismissed the action on jurisdictional grounds. On November 1, 2013, the Okada Japan Parties filed an appeal moving the matter to the Tokyo High Court. On June 11, 2014, the Tokyo High Court ruled in favor of the Wynn Parties and upheld the motion for dismissal. On June 25, 2014, the Okada Japan Parties filed a notice of appeal to the Supreme Court of Japan. On October 28, 2014, the Wynn Parties received a copy of the brief that the Okada Japan Parties had filed to explain why they believe the Supreme Court of Japan should hear the case. The Wynn Parties plan to file a reply brief by November 27, 2014.</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Indemnification Action:</w:t>
      </w:r>
    </w:p>
    <w:p>
      <w:pPr>
        <w:spacing w:after="0" w:line="225" w:lineRule="exact"/>
        <w:rPr>
          <w:sz w:val="20"/>
          <w:szCs w:val="20"/>
          <w:color w:val="auto"/>
        </w:rPr>
      </w:pPr>
    </w:p>
    <w:p>
      <w:pPr>
        <w:ind w:right="60" w:firstLine="432"/>
        <w:spacing w:after="0" w:line="284" w:lineRule="auto"/>
        <w:rPr>
          <w:sz w:val="20"/>
          <w:szCs w:val="20"/>
          <w:color w:val="auto"/>
        </w:rPr>
      </w:pPr>
      <w:r>
        <w:rPr>
          <w:rFonts w:ascii="Arial" w:cs="Arial" w:eastAsia="Arial" w:hAnsi="Arial"/>
          <w:sz w:val="16"/>
          <w:szCs w:val="16"/>
          <w:color w:val="auto"/>
        </w:rPr>
        <w:t>On March 20, 2013, Mr. Okada filed a complaint against the Company in Nevada state court for indemnification under the Company’s Articles, bylaws and agreements with its directors. The complaint sought advancement of Mr. Okada’s costs and expenses (including attorney’s fees) incurred pursuant to the various legal proceedings and related regulatory investigations described above. The Company’s answer and counterclaim was filed on April 15, 2013. The counterclaim named each of the Okada Parties as defendants and sought indemnification under the Company’s Articles for costs and expenses (including attorney’s fees) incurred pursuant to the various legal proceedings and related regulatory investigations described above. On April 30, 2013, Mr. Okada filed his reply to the counterclaim. On February 4, 2014, the court entered an order on the parties’ stipulation that: (1) dismissed all claims Mr. Okada asserted against the Company; (2) reserved Mr. Okada’s right to assert, in the future, any claims for indemnity following the resolution of the Redemption Action; and</w:t>
      </w:r>
    </w:p>
    <w:p>
      <w:pPr>
        <w:spacing w:after="0" w:line="3" w:lineRule="exact"/>
        <w:rPr>
          <w:sz w:val="20"/>
          <w:szCs w:val="20"/>
          <w:color w:val="auto"/>
        </w:rPr>
      </w:pPr>
    </w:p>
    <w:p>
      <w:pPr>
        <w:ind w:left="5620" w:right="3060" w:hanging="5612"/>
        <w:spacing w:after="0" w:line="793" w:lineRule="auto"/>
        <w:tabs>
          <w:tab w:leader="none" w:pos="259"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stayed the claims asserted by the Company against Mr. Okada pending the resolution of the Redemption Action. 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Management has determined that based on proceedings to date, it is currently unable to determine the probability of the outcome of this action or the range of reasonably possible loss, if 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Investigations and Derivative Litigation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Investigations:</w:t>
      </w:r>
    </w:p>
    <w:p>
      <w:pPr>
        <w:spacing w:after="0" w:line="225"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In the U.S. Department of Justice’s Motion to Intervene and for Temporary and Partial Stay of Discovery in the Redemption Action, the Department of Justice states in a footnote that the government also has been conducting a criminal investigation into the Company’s previously disclosed donation to the University of Macau. The Company has not received any target letter or subpoena in connection with such an investigation. The Company intends to cooperate fully with the government in response to any inquiry related to the donation to the University of Macau.</w:t>
      </w:r>
    </w:p>
    <w:p>
      <w:pPr>
        <w:spacing w:after="0" w:line="171"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Other regulators may pursue separate investigations into the Company’s compliance with applicable laws arising from the allegations in the matters described above and in response to the Counterclaim and other litigation filed by Mr. Okada suggesting improprieties in connection with the Company’s donation to the University of Macau. While the Company believes that it is in full compliance with all applicable laws, any such investigations could result in actions by regulators against the Company. Prior investigations by the Nevada Gaming Control Board and SEC were closed with no actions taken.</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Derivative Claims:</w:t>
      </w:r>
    </w:p>
    <w:p>
      <w:pPr>
        <w:spacing w:after="0" w:line="225"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Six derivative actions were commenced against the Company and all members of its Board of Directors: four in the United States District Court, District of Nevada, and two in the Eighth Judicial District Court of Clark County, Nevada.</w:t>
      </w:r>
    </w:p>
    <w:p>
      <w:pPr>
        <w:spacing w:after="0" w:line="17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four federal actions brought by the following plaintiffs have been consolidated: (1) The Louisiana Municipal Police Employees’ Retirement System, (2) Maryanne Solak, (3) Excavators Union Local 731 Welfare Fund, and (4) Boilermakers Lodge No. 154 Retirement Fund (collectively, the “Federal Plaintiffs”).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Federal Plaintiffs filed a consolidated complaint on August 6, 2012, asserting claims for: (1) breach of fiduciary duty; (2) waste of corporate assets;</w:t>
      </w:r>
    </w:p>
    <w:p>
      <w:pPr>
        <w:spacing w:after="0" w:line="46" w:lineRule="exact"/>
        <w:rPr>
          <w:sz w:val="20"/>
          <w:szCs w:val="20"/>
          <w:color w:val="auto"/>
        </w:rPr>
      </w:pPr>
    </w:p>
    <w:p>
      <w:pPr>
        <w:ind w:right="20" w:firstLine="8"/>
        <w:spacing w:after="0" w:line="285" w:lineRule="auto"/>
        <w:tabs>
          <w:tab w:leader="none" w:pos="255" w:val="left"/>
        </w:tabs>
        <w:numPr>
          <w:ilvl w:val="0"/>
          <w:numId w:val="4"/>
        </w:numPr>
        <w:rPr>
          <w:rFonts w:ascii="Arial" w:cs="Arial" w:eastAsia="Arial" w:hAnsi="Arial"/>
          <w:sz w:val="16"/>
          <w:szCs w:val="16"/>
          <w:color w:val="auto"/>
        </w:rPr>
      </w:pPr>
      <w:r>
        <w:rPr>
          <w:rFonts w:ascii="Arial" w:cs="Arial" w:eastAsia="Arial" w:hAnsi="Arial"/>
          <w:sz w:val="16"/>
          <w:szCs w:val="16"/>
          <w:color w:val="auto"/>
        </w:rPr>
        <w:t>injunctive relief; and (4) unjust enrichment. The claims were against the Company and all Company directors, including Mr. Okada, however, the plaintiffs voluntarily dismissed Mr. Okada as a defendant in this consolidated action on September 27, 2012. The Federal Plaintiffs claimed that the individual defendants breached their fiduciary duties and wasted assets by: (a) failing to ensure the Company’s officers and directors complied with federal and state laws and the Company’s Code of Conduct; (b) voting to allow the Company’s subsidiary to make the donation to the University of Macau; and (c) redeeming Aruze’s stock such that the Company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 The Company and the directors filed their motion to dismiss the amended complaint on May 23, 2013. On March 13, 2014, the federal court granted the motion to dismiss and entered judgment in favor of the Company and directors and against the Federal Plaintiffs without prejudice. On April 10, 2014, the Federal Plaintiffs filed a notice of appeal to the United States Court of Appeals for the Ninth Circuit. The Federal Plaintiffs' opening brief was filed on September 19, 2014, and the Company's response brief is due December 18, 2014.</w:t>
      </w:r>
    </w:p>
    <w:p>
      <w:pPr>
        <w:spacing w:after="0" w:line="171"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The two state court actions brought by the following plaintiffs have also been consolidated: (1) IBEW Local 98 Pension Fund and (2) Danny Hinson (collectively, the “State Plaintiffs”). Through a coordination of efforts by all parties, the directors and the Company (a nominal defendant) have been served in all of the actions. The State Plaintiffs filed a consolidated complaint on July 20, 2012 asserting claims for (1) breach of fiduciary duty; (2) abuse of control;</w:t>
      </w:r>
    </w:p>
    <w:p>
      <w:pPr>
        <w:ind w:right="60" w:firstLine="8"/>
        <w:spacing w:after="0" w:line="292" w:lineRule="auto"/>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auto"/>
        </w:rPr>
        <w:t>gross mismanagement; and (4) unjust enrichment. The claims are against the Company and all Company directors during the applicable period, including Mr. Okada, as well as the Company’s Chief Financial Officer who signed financial disclosures filed with the SEC during the applicable periods. The State Plaintiffs claim that the individual defendants failed to disclose to the Company’s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the Company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to internally investigate the donation, as well as attorneys’ fees and costs. On October 13, 2012, the court entered the parties’ stipulation providing for a stay of the state derivative action for 90 days, subject to the parties’ obligation to monitor the progress of the pending litigation, discussed above, between Wynn Resorts (among others) and Mr. Okada (among others). Per the stipulation, the Company and the individual defendants were not required to respond to the consolidated complaint while the stay remained in effect. Following the expiration of the stay, the State Plaintiffs advised the Company and the individual defendants that they intended to resume the action by filing an amended complaint, which they did, on April 26, 2013. The Company and directors filed their motion to dismiss on June 10, 2013. However, on July 31, 2013, the parties agreed to a stipulation that was submitted to, and approved by the court. The stipulation contemplates a stay of the consolidated state court derivative action of equal duration as the Stay entered by the court in the Redemption Action. On June 18, 2014, the court entered a new stipulation between the parties that provides for further stay of the state derivative action and directs the parties, within 45 days of the conclusion of the latter of the Redemption Action or the federal derivative action, to discuss how the state derivative action should proceed and to file a joint report with the court.</w:t>
      </w:r>
    </w:p>
    <w:p>
      <w:pPr>
        <w:spacing w:after="0" w:line="178"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The individual defendants are vigorously defending against the claims pleaded against them in the state derivative action. Management has determined that based on proceedings to date, it is currently unable to determine the probability of the outcome of this action or the range of reasonably possible loss, if 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Revere Action</w:t>
      </w:r>
    </w:p>
    <w:p>
      <w:pPr>
        <w:spacing w:after="0" w:line="225"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On September 17, 2014, the MGC designated Wynn MA, an indirect wholly owned subsidiary of the Company, the award winner of the Greater Boston (Region A) gaming license. October 16, 2014, The City of Revere ("Revere"), the host community to the unsuccessful bidder for the same license, and the International Brotherhood of Electrical Workers, Local 103 ("IBEW-103"), filed a Complaint against the MGC and each of the five gaming commissioners in Suffolk Superior Court. The Complaint challenges the MGC's decision and alleges that the MGC failed to follow statutory requirements outlined in the Gaming Act. The Complaint (i) seeks to appeal the administrative decision, (ii) asserts that certiorari provides a remedy to correct errors in proceedings by an agency such as the MGC, (iii) challenges the constitutionality of that section of the gaming law which bars judicial review of the Commission's decision to deny an applicant a gaming license, and (iv) alleges violations of the open meeting law requirements.</w:t>
      </w:r>
    </w:p>
    <w:p>
      <w:pPr>
        <w:spacing w:after="0" w:line="178"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Wynn MA is not named in the Complaint. Wynn MA has been advised that the Attorney General for the Commonwealth of Massachusetts will be responding to the Complaint.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Income Taxes</w:t>
      </w:r>
    </w:p>
    <w:p>
      <w:pPr>
        <w:spacing w:after="0" w:line="229"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For the three months ended September 30, 2014 and 2013, the Company recorded a tax expense of $4.9 million and a benefit of $7.3 million, respectively. For the nine months ended September 30, 2014 and 2013, the Company recorded a tax expense of $8.3 million and a tax benefit of $11.3 million, respectively. The Company’s income tax expense is primarily related to an increase in U.S. profitability. The Company's income tax benefit in the prior year is primarily related to a decrease in deferred tax liabilities reduced by foreign taxes assessable on the dividends of Wynn Macau, S.A. and foreign tax provisions related to international marketing offices.</w:t>
      </w:r>
    </w:p>
    <w:p>
      <w:pPr>
        <w:spacing w:after="0" w:line="188"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Since June 30, 2010, the Company no longer considers its portion of the tax earnings and profits of Wynn Macau, Limited to be permanently invested. No additional U.S. tax provision has been made with respect to amounts not considered permanently invested as the Company anticipates that U.S. foreign tax credits should be sufficient to eliminate any U.S. tax provision relating to such repatriation. The Company has not provided deferred U.S. income taxes or foreign withholding taxes on temporary differences as these amounts are permanently reinvested. For the nine months ended September 30, 2014 and 2013, the Company recognized income tax benefits related to excess tax deductions associated with stock compensation costs of $6.6 million and $10.8 million, respectively.</w:t>
      </w:r>
    </w:p>
    <w:p>
      <w:pPr>
        <w:spacing w:after="0" w:line="193"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The Company assesses the recoverability of its deferred tax asset for foreign tax credits ("FTCs") and the appropriateness for a valuation allowance on a quarterly basis. The Company considers factors such as: its three year cumulative pre-tax book income, the reversal of taxable timing differences, and expectations regarding the occurrence of U.S. source income versus foreign source income within the FTCs carryforward period. Historically, the Company has recorded a partial valuation allowance on FTCs. If, based on future results and reviews of these factors, the Company was to conclude that the deferred tax asset is not recoverable and an additional valuation allowance is necessary, there could be a significant impact on its effective tax rate.</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1" w:right="27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Wynn Resorts (Macau) S.A. has received a 5-year exemption from Macau’s Complementary Tax on casino gaming profits through December 31, 2015. Accordingly, the Company was exempted from the payment of $25.8 million and $26.0 million in such taxes during each of the three months ended September 30, 2014 and 2013, respectively. For the nine months ended September 30, 2014 and 2013, the Company was exempted from the payment of such taxes totaling $80.4 million and $76.7 million, respectively. The Company’s non-gaming profits remain subject to the Macau Complementary Tax and casino winnings remain subject to the Macau Special Gaming tax and other levies together totaling 39% in accordance with its concession agreement.</w:t>
      </w:r>
    </w:p>
    <w:p>
      <w:pPr>
        <w:spacing w:after="0" w:line="104"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In December 2013, the Company received notification that for the 2014 tax year it had been accepted for the Compliance Maintenance phase of the Internal Revenue Service (“IRS”) Compliance Assurance Program (“CAP”), which accelerates IRS examination of key transactions with the goal of resolving any issues before the taxpayer files its return. In the Compliance Maintenance phase, the IRS, at its discretion, may reduce the level of review of the taxpayer’s tax positions based on the complexity and number of issues, and the taxpayer’s history of compliance, cooperation and transparency in the CAP.</w:t>
      </w:r>
    </w:p>
    <w:p>
      <w:pPr>
        <w:spacing w:after="0" w:line="10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February 2014, the Company received notification that the IRS completed its examination of the Company’s 2012 U.S. income tax return and had no changes.</w:t>
      </w:r>
    </w:p>
    <w:p>
      <w:pPr>
        <w:spacing w:after="0" w:line="116"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In March 2013, the Financial Services Bureau commenced an examination of the 2009, 2010, and 2011 Macau income tax returns of Wynn Resorts (Macau) S.A. In August 2014, the Company received the preliminary results of these examinations. The Company believes that its liability for uncertain tax positions is adequate with respect to these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Information</w:t>
      </w:r>
    </w:p>
    <w:p>
      <w:pPr>
        <w:spacing w:after="0" w:line="22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Company monitors its operations and evaluates earnings by reviewing the assets and operations of its Macau Operations and its Las Vegas Operations. The Company’s total assets by segment are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6"/>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spacing w:after="0"/>
              <w:rPr>
                <w:sz w:val="16"/>
                <w:szCs w:val="16"/>
                <w:color w:val="auto"/>
              </w:rPr>
            </w:pPr>
          </w:p>
        </w:tc>
        <w:tc>
          <w:tcPr>
            <w:tcW w:w="45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Macau Operations</w:t>
            </w:r>
          </w:p>
        </w:tc>
        <w:tc>
          <w:tcPr>
            <w:tcW w:w="4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4,228,465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3,918,163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Las Vegas Operations</w:t>
            </w:r>
          </w:p>
        </w:tc>
        <w:tc>
          <w:tcPr>
            <w:tcW w:w="4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3,559,065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3,576,648</w:t>
            </w:r>
          </w:p>
        </w:tc>
        <w:tc>
          <w:tcPr>
            <w:tcW w:w="0" w:type="dxa"/>
            <w:vAlign w:val="bottom"/>
          </w:tcPr>
          <w:p>
            <w:pPr>
              <w:spacing w:after="0"/>
              <w:rPr>
                <w:sz w:val="1"/>
                <w:szCs w:val="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Corporate and other</w:t>
            </w:r>
          </w:p>
        </w:tc>
        <w:tc>
          <w:tcPr>
            <w:tcW w:w="4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1,394,169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882,219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9,181,699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8,377,030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25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78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segment information for its results of operations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Macau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942,255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997,635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3,035,588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2,920,591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Las Vegas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427,755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392,477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1,260,098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1,180,448</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1,370,010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1,390,112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4,295,686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4,101,039</w:t>
            </w: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Adjusted Property EBITDA (1)</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Macau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325,529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329,106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1,016,858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949,905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Las Vegas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133,250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106,515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403,962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362,529</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458,779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435,621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1,420,820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1,312,434</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operating 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6,718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14,792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1,592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79,027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234,037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279,061</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13,674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13,571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60,609</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10,369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22,714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35,072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879</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126,204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121,643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370,072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390,784</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332,575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313,978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1,050,748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921,650</w:t>
            </w: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and expenses</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5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11,595</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expense, net of capitalized interest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(79,048)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(73,549)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(236,069)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(222,690)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(decrease) in swap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13,131</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(26,578)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879</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4,385</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(74,681)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(228,036)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(219,278)</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257,894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241,530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822,712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702,372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7,281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11,299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253,006</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248,811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814,451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713,671</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hanging="332"/>
        <w:spacing w:after="0" w:line="286"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“Adjusted Property EBITDA” is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264" w:lineRule="exact"/>
        <w:rPr>
          <w:sz w:val="20"/>
          <w:szCs w:val="20"/>
          <w:color w:val="auto"/>
        </w:rPr>
      </w:pPr>
    </w:p>
    <w:p>
      <w:pPr>
        <w:ind w:left="340"/>
        <w:spacing w:after="0" w:line="306" w:lineRule="auto"/>
        <w:rPr>
          <w:sz w:val="20"/>
          <w:szCs w:val="20"/>
          <w:color w:val="auto"/>
        </w:rPr>
      </w:pPr>
      <w:r>
        <w:rPr>
          <w:rFonts w:ascii="Arial" w:cs="Arial" w:eastAsia="Arial" w:hAnsi="Arial"/>
          <w:sz w:val="18"/>
          <w:szCs w:val="18"/>
          <w:color w:val="auto"/>
        </w:rPr>
        <w:t>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Subsequent Events</w:t>
      </w:r>
    </w:p>
    <w:p>
      <w:pPr>
        <w:spacing w:after="0" w:line="229"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On October 28, 2014, the Company announced a cash dividend of $2.50 per share of its outstanding common stock payable on November 25, 2014 to stockholders of record on November 12, 2014. The cash dividend includes the Company's new quarterly dividend of $1.50 per share and an additional cash dividend of $1.00 per share.</w:t>
      </w:r>
    </w:p>
    <w:p>
      <w:pPr>
        <w:spacing w:after="0" w:line="181"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On September 17, 2014, the MGC designated Wynn MA, an indirect wholly owned subsidiary of the Company, the award winner of the Greater Boston (Region A) gaming license. On November 4, 2014, a vote upheld the expanded gaming law in Massachusetts. On November 7, 2014, the gaming license awarded to the Company became effective and the Company paid an $85.0 million license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21" w:right="27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condensed consolidated financial statements and related notes included elsewhere in this Form 10-Q and our consolidated financial statements appearing in our annual report on Form 10-K for the year ended December 31, 2013.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“Special Note Regarding Forward-Looking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80" w:firstLine="432"/>
        <w:spacing w:after="0" w:line="297" w:lineRule="auto"/>
        <w:rPr>
          <w:sz w:val="20"/>
          <w:szCs w:val="20"/>
          <w:color w:val="auto"/>
        </w:rPr>
      </w:pPr>
      <w:r>
        <w:rPr>
          <w:rFonts w:ascii="Arial" w:cs="Arial" w:eastAsia="Arial" w:hAnsi="Arial"/>
          <w:sz w:val="16"/>
          <w:szCs w:val="16"/>
          <w:color w:val="auto"/>
        </w:rPr>
        <w:t>We are a developer, owner and operator of destination casino resorts. In the Macau Special Administrative Region of the People’s Republic of China (“Macau”), we own 72.18% of and operate Wynn Macau and Encore at Wynn Macau. We refer to the fully integrated Wynn Macau and Encore at Wynn Macau resort as Wynn Macau | Encore or as our Macau Operations. In Las Vegas, Nevada, we own 100% of and operate Wynn Las Vegas and Encore at Wynn Las Vegas, which we refer to as Wynn Las Vegas | Encore or our Las Vegas Operations. We are developing Wynn Palace, a fully integrated casino resort in the Cotai area of Macau. In addition, we are developing a fully integrated casino resort in Everett, Massachusetts.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Macau Operations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operate Wynn Macau | Encore under a 20-year casino concession agreement granted by the Macau government in June 2002.</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Macau resort complex features:</w:t>
      </w:r>
    </w:p>
    <w:p>
      <w:pPr>
        <w:spacing w:after="0" w:line="279" w:lineRule="exact"/>
        <w:rPr>
          <w:sz w:val="20"/>
          <w:szCs w:val="20"/>
          <w:color w:val="auto"/>
        </w:rPr>
      </w:pPr>
    </w:p>
    <w:p>
      <w:pPr>
        <w:ind w:left="1300" w:right="24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280,000 square feet of casino space, offering 24-hour gaming and a full range of games, including private gaming salons, sky casinos and a poker pit;</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Two luxury hotel towers with a total of 1,008 spacious guest rooms and suites;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Casual and fine dining in eight restaurants;</w:t>
      </w:r>
    </w:p>
    <w:p>
      <w:pPr>
        <w:spacing w:after="0" w:line="117" w:lineRule="exact"/>
        <w:rPr>
          <w:rFonts w:ascii="Arial" w:cs="Arial" w:eastAsia="Arial" w:hAnsi="Arial"/>
          <w:sz w:val="18"/>
          <w:szCs w:val="18"/>
          <w:color w:val="auto"/>
        </w:rPr>
      </w:pPr>
    </w:p>
    <w:p>
      <w:pPr>
        <w:ind w:left="1300" w:right="180" w:hanging="644"/>
        <w:spacing w:after="0" w:line="259"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57,000 square feet of high-end, brand-name retail shopping, including stores and boutiques by Bvlgari, Cartier, Chanel, Dior, Dunhill, Ferrari, Giorgio Armani, Graff, Gucci, Hermes, Hugo Boss, Jaegar-LeCoultre, Loro Piana, Louis Vuitton, Miu Miu, Piaget, Prada, Richard Mille, Roger Dubuis, Rolex, Tiffany, Vacheron Constantin, Van Cleef &amp; Arpels, Versace, Vertu, Ermenegildo Zegna and others;</w:t>
      </w:r>
    </w:p>
    <w:p>
      <w:pPr>
        <w:spacing w:after="0" w:line="78"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Recreation and leisure facilities, including two health clubs, spas, a salon and a pool;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31,000 square feet of space for lounges and meeting facilities.</w:t>
      </w:r>
    </w:p>
    <w:p>
      <w:pPr>
        <w:spacing w:after="0" w:line="2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response to our evaluation of our Macau Operations and the reactions of our guests, we have made and expect to continue to make enhancements and refinements to this resort complex. In March 2014, we began renovation of approximately 27,000 square feet of our casino space at Wynn Macau for new VIP gaming rooms. We expect to complete this renovation before Chinese New Year of 2015.</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Las Vegas Operations</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Wynn Las Vegas | Encore is located at the intersection of the Las Vegas Strip and Sands Avenue, and occupies approximately 215 acres of land fronting the Las Vegas Strip. In addition, we own approximately 18 acres across Sands Avenue, a portion of which is utilized for employee parking and an office building, and approximately 5 acres adjacent to the golf course on which an office building is located.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Las Vegas resort complex features:</w:t>
      </w:r>
    </w:p>
    <w:p>
      <w:pPr>
        <w:spacing w:after="0" w:line="387" w:lineRule="exact"/>
        <w:rPr>
          <w:sz w:val="20"/>
          <w:szCs w:val="20"/>
          <w:color w:val="auto"/>
        </w:rPr>
      </w:pPr>
    </w:p>
    <w:p>
      <w:pPr>
        <w:ind w:left="1300" w:right="12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and a full range of games, including private gaming salons, a sky casino, a poker room, and a race and sports book;</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Two luxury hotel towers with a total of 4,748 spacious guest rooms, suites and villas;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34 food and beverage outlets featuring signature chefs;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284,000 square feet of meeting and convention space;</w:t>
      </w:r>
    </w:p>
    <w:p>
      <w:pPr>
        <w:spacing w:after="0" w:line="117" w:lineRule="exact"/>
        <w:rPr>
          <w:rFonts w:ascii="Arial" w:cs="Arial" w:eastAsia="Arial" w:hAnsi="Arial"/>
          <w:sz w:val="18"/>
          <w:szCs w:val="18"/>
          <w:color w:val="auto"/>
        </w:rPr>
      </w:pPr>
    </w:p>
    <w:p>
      <w:pPr>
        <w:jc w:val="both"/>
        <w:ind w:left="1300" w:right="20" w:hanging="644"/>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99,000 square feet of high-end, brand-name retail shopping, including stores and boutiques by Alexander McQueen, Brioni, Cartier, Chanel, Chloé, Chopard, Dior, Givenchy, Graff, Hermes, IWC Schaffhausen, Jaeger-LeCoultre, Loro Piana, Louis Vuitton, Manolo Blahnik, Nicholas Kirkwood, Oscar de la Renta, Piaget, Rolex, Vertu and others;</w:t>
      </w:r>
    </w:p>
    <w:p>
      <w:pPr>
        <w:spacing w:after="0" w:line="73"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swimming pools, private cabanas and two full service spas and salons;</w:t>
      </w:r>
    </w:p>
    <w:p>
      <w:pPr>
        <w:spacing w:after="0" w:line="140" w:lineRule="exact"/>
        <w:rPr>
          <w:rFonts w:ascii="Arial" w:cs="Arial" w:eastAsia="Arial" w:hAnsi="Arial"/>
          <w:sz w:val="16"/>
          <w:szCs w:val="16"/>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Two showrooms;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Future Development</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are currently constructing Wynn Palace, a fully integrated resort containing a 1,700-room hotel, performance lake, meeting space, casino, spa, retail offerings and food and beverage outlets in the Cotai area of Macau. In July 2013, we signed a $2.6 billion guaranteed maximum price ("GMP") contract for the project's construction. The total project budget, including construction costs, capitalized interest, pre-opening expenses, land costs and financing fees, is approximately $4.1 billion. As of September 30, 2014, we have invested approximately $1.4 billion in the project. We expect to open Wynn Palace on Cotai in the first half of 2016.</w:t>
      </w:r>
    </w:p>
    <w:p>
      <w:pPr>
        <w:spacing w:after="0" w:line="18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On September 17, 2014, the Massachusetts Gaming Commission ("MGC") designated Wynn MA, LLC ("Wynn MA"), an indirect wholly owned subsidiary of the Company, the award winner of the Greater Boston (Region A) gaming license. On November 4, 2014, a vote upheld the expanded gaming law in Massachusetts. On November 7, 2014, the gaming license awarded to us became effective. We will will develop and construct a fully integrated resort in Everett, Massachusetts.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continually seek out new opportunities for additional gaming or related businesses, in the United States, and worldwide.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Certain key operating statistics specific to the gaming industry are included in our discussion of our operational performance for the periods for which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 of Income is presented. Below are definitions of these key operating statistics discussed:</w:t>
      </w:r>
    </w:p>
    <w:p>
      <w:pPr>
        <w:spacing w:after="0" w:line="265" w:lineRule="exact"/>
        <w:rPr>
          <w:sz w:val="20"/>
          <w:szCs w:val="20"/>
          <w:color w:val="auto"/>
        </w:rPr>
      </w:pPr>
    </w:p>
    <w:p>
      <w:pPr>
        <w:ind w:left="1300" w:hanging="806"/>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Table games win is the amount of drop or turnover that is retained and recorded as casino revenue.</w:t>
      </w:r>
    </w:p>
    <w:p>
      <w:pPr>
        <w:spacing w:after="0" w:line="117" w:lineRule="exact"/>
        <w:rPr>
          <w:rFonts w:ascii="Arial" w:cs="Arial" w:eastAsia="Arial" w:hAnsi="Arial"/>
          <w:sz w:val="18"/>
          <w:szCs w:val="18"/>
          <w:color w:val="auto"/>
        </w:rPr>
      </w:pPr>
    </w:p>
    <w:p>
      <w:pPr>
        <w:ind w:left="1300" w:hanging="806"/>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117" w:lineRule="exact"/>
        <w:rPr>
          <w:rFonts w:ascii="Arial" w:cs="Arial" w:eastAsia="Arial" w:hAnsi="Arial"/>
          <w:sz w:val="18"/>
          <w:szCs w:val="18"/>
          <w:color w:val="auto"/>
        </w:rPr>
      </w:pPr>
    </w:p>
    <w:p>
      <w:pPr>
        <w:ind w:left="1300" w:hanging="806"/>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Wynn Macau Operations’ VIP program.</w:t>
      </w:r>
    </w:p>
    <w:p>
      <w:pPr>
        <w:spacing w:after="0" w:line="117" w:lineRule="exact"/>
        <w:rPr>
          <w:rFonts w:ascii="Arial" w:cs="Arial" w:eastAsia="Arial" w:hAnsi="Arial"/>
          <w:sz w:val="18"/>
          <w:szCs w:val="18"/>
          <w:color w:val="auto"/>
        </w:rPr>
      </w:pPr>
    </w:p>
    <w:p>
      <w:pPr>
        <w:ind w:left="1300" w:hanging="806"/>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Rolling chips are identifiable chips that are used to track turnover for purposes of calculating incentives.</w:t>
      </w:r>
    </w:p>
    <w:p>
      <w:pPr>
        <w:spacing w:after="0" w:line="117" w:lineRule="exact"/>
        <w:rPr>
          <w:rFonts w:ascii="Arial" w:cs="Arial" w:eastAsia="Arial" w:hAnsi="Arial"/>
          <w:sz w:val="18"/>
          <w:szCs w:val="18"/>
          <w:color w:val="auto"/>
        </w:rPr>
      </w:pPr>
    </w:p>
    <w:p>
      <w:pPr>
        <w:ind w:left="1300" w:hanging="806"/>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Slot win is the amount of handle (representing the total amount wagered) that is retained by us and is recorded as casino revenue.</w:t>
      </w:r>
    </w:p>
    <w:p>
      <w:pPr>
        <w:spacing w:after="0" w:line="128" w:lineRule="exact"/>
        <w:rPr>
          <w:rFonts w:ascii="Arial" w:cs="Arial" w:eastAsia="Arial" w:hAnsi="Arial"/>
          <w:sz w:val="17"/>
          <w:szCs w:val="17"/>
          <w:color w:val="auto"/>
        </w:rPr>
      </w:pPr>
    </w:p>
    <w:p>
      <w:pPr>
        <w:ind w:left="1300" w:right="100" w:hanging="806"/>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including the retail value of promotional allowances (less service charges, if any) by total rooms occupied including complimentary rooms.</w:t>
      </w:r>
    </w:p>
    <w:p>
      <w:pPr>
        <w:spacing w:after="0" w:line="62" w:lineRule="exact"/>
        <w:rPr>
          <w:rFonts w:ascii="Arial" w:cs="Arial" w:eastAsia="Arial" w:hAnsi="Arial"/>
          <w:sz w:val="18"/>
          <w:szCs w:val="18"/>
          <w:color w:val="auto"/>
        </w:rPr>
      </w:pPr>
    </w:p>
    <w:p>
      <w:pPr>
        <w:ind w:left="1300" w:right="20" w:hanging="806"/>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including the retail value of promotional allowances (less service charges, if any) by total rooms available.</w:t>
      </w:r>
    </w:p>
    <w:p>
      <w:pPr>
        <w:spacing w:after="0" w:line="62" w:lineRule="exact"/>
        <w:rPr>
          <w:rFonts w:ascii="Arial" w:cs="Arial" w:eastAsia="Arial" w:hAnsi="Arial"/>
          <w:sz w:val="18"/>
          <w:szCs w:val="18"/>
          <w:color w:val="auto"/>
        </w:rPr>
      </w:pPr>
    </w:p>
    <w:p>
      <w:pPr>
        <w:ind w:left="1300" w:hanging="806"/>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the total rooms available.</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Below is a discussion of the methodologies used to calculate win percentage at our resorts.</w:t>
      </w:r>
    </w:p>
    <w:p>
      <w:pPr>
        <w:spacing w:after="0" w:line="22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In our VIP casino in Macau, customers primarily purchase non-negotiable chips, commonly referred to as rolling chips, from the casino cage and there is no deposit into a gaming table drop box from chips purchased from the cage. Non-negotiable chips can only be used to make wagers. Winning wagers are paid in cash chips. The loss of the non-negotiable chips in the VIP casino is recorded as turnover and provides a base for calculating VIP casino win percentage. It is customary in Macau to measure VIP casino play using this rolling chip method. We expect our win as a percentage of turnover in this segment to be within the range of 2.7% to 3.0%.</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1" w:right="27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measurement base used in the mass market casino is not the same as that used in the VIP casino. In our mass market casino in Macau, customers may purchase cash chips at either the gaming tables or at the casino cage. The cash used to purchase the cash chips at the gaming tables is deposited into the gaming table’s drop box. This is the base of measurement that we use for calculating win percentage in our mass market casino. We do not report an expected range for the win percentage in our mass market casino as chips purchased at the casino cage are excluded from table games drop and distort our expected win percentage. With increased purchases at the casino cage, we believe the relevant indicator of volumes in the mass market segment should be table games win.</w:t>
      </w:r>
    </w:p>
    <w:p>
      <w:pPr>
        <w:spacing w:after="0" w:line="19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measurements in our VIP casino and the mass market casino are not comparable as the mass market casino tracks the initial purchase of chips at the table while the measurement method in our VIP casino tracks the sum of all losing wagers. Accordingly, the base measurement in the VIP casino is much larger than the base measurement in the mass market casino. As a result, the expected win percentage with the same amount of gaming win is smaller in the VIP casino when compared to the mass market casino.</w:t>
      </w:r>
    </w:p>
    <w:p>
      <w:pPr>
        <w:spacing w:after="0" w:line="18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 Las Vegas, customers purchase chips at the gaming tables. The cash and net markers used to purchase chips are deposited in the gaming table’s drop box. This is the base of measurement that we use for calculating win percentage in Las Vegas. Each type of table game has its own theoretical win percentage. Our expected table games win percentage in Las Vegas is 21% to 24%.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Third quarter 2014 results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0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 September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380" w:type="dxa"/>
            <w:vAlign w:val="bottom"/>
            <w:vMerge w:val="restart"/>
          </w:tcPr>
          <w:p>
            <w:pPr>
              <w:spacing w:after="0"/>
              <w:rPr>
                <w:sz w:val="20"/>
                <w:szCs w:val="20"/>
                <w:color w:val="auto"/>
              </w:rPr>
            </w:pPr>
            <w:r>
              <w:rPr>
                <w:rFonts w:ascii="Arial" w:cs="Arial" w:eastAsia="Arial" w:hAnsi="Arial"/>
                <w:sz w:val="16"/>
                <w:szCs w:val="16"/>
                <w:color w:val="auto"/>
                <w:w w:val="89"/>
              </w:rPr>
              <w:t>(in thousands, except per share data)</w:t>
            </w:r>
          </w:p>
        </w:tc>
        <w:tc>
          <w:tcPr>
            <w:tcW w:w="1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200"/>
              <w:spacing w:after="0" w:line="139" w:lineRule="exact"/>
              <w:rPr>
                <w:sz w:val="20"/>
                <w:szCs w:val="20"/>
                <w:color w:val="auto"/>
              </w:rPr>
            </w:pPr>
            <w:r>
              <w:rPr>
                <w:rFonts w:ascii="Arial" w:cs="Arial" w:eastAsia="Arial" w:hAnsi="Arial"/>
                <w:sz w:val="14"/>
                <w:szCs w:val="14"/>
                <w:b w:val="1"/>
                <w:bCs w:val="1"/>
                <w:color w:val="auto"/>
              </w:rPr>
              <w:t>Percent</w:t>
            </w: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156"/>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80" w:type="dxa"/>
            <w:vAlign w:val="bottom"/>
            <w:tcBorders>
              <w:bottom w:val="single" w:sz="8" w:color="auto"/>
            </w:tcBorders>
            <w:vMerge w:val="continue"/>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right"/>
              <w:ind w:right="476"/>
              <w:spacing w:after="0" w:line="12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454"/>
              <w:spacing w:after="0" w:line="125"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1"/>
                <w:szCs w:val="11"/>
                <w:color w:val="auto"/>
              </w:rPr>
            </w:pPr>
          </w:p>
        </w:tc>
        <w:tc>
          <w:tcPr>
            <w:tcW w:w="1000" w:type="dxa"/>
            <w:vAlign w:val="bottom"/>
            <w:gridSpan w:val="2"/>
          </w:tcPr>
          <w:p>
            <w:pPr>
              <w:ind w:left="200"/>
              <w:spacing w:after="0" w:line="125" w:lineRule="exact"/>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1"/>
                <w:szCs w:val="11"/>
                <w:color w:val="auto"/>
              </w:rPr>
            </w:pPr>
          </w:p>
        </w:tc>
        <w:tc>
          <w:tcPr>
            <w:tcW w:w="1120" w:type="dxa"/>
            <w:vAlign w:val="bottom"/>
          </w:tcPr>
          <w:p>
            <w:pPr>
              <w:jc w:val="right"/>
              <w:ind w:right="456"/>
              <w:spacing w:after="0" w:line="12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454"/>
              <w:spacing w:after="0" w:line="125"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1"/>
                <w:szCs w:val="11"/>
                <w:color w:val="auto"/>
              </w:rPr>
            </w:pPr>
          </w:p>
        </w:tc>
        <w:tc>
          <w:tcPr>
            <w:tcW w:w="920" w:type="dxa"/>
            <w:vAlign w:val="bottom"/>
          </w:tcPr>
          <w:p>
            <w:pPr>
              <w:jc w:val="right"/>
              <w:ind w:right="156"/>
              <w:spacing w:after="0" w:line="125"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2380" w:type="dxa"/>
            <w:vAlign w:val="bottom"/>
            <w:tcBorders>
              <w:bottom w:val="single" w:sz="8" w:color="CCEEFF"/>
            </w:tcBorders>
          </w:tcPr>
          <w:p>
            <w:pPr>
              <w:spacing w:after="0"/>
              <w:rPr>
                <w:sz w:val="4"/>
                <w:szCs w:val="4"/>
                <w:color w:val="auto"/>
              </w:rPr>
            </w:pPr>
          </w:p>
        </w:tc>
        <w:tc>
          <w:tcPr>
            <w:tcW w:w="11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1,370,010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1,390,112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4,295,686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4,101,039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3540" w:type="dxa"/>
            <w:vAlign w:val="bottom"/>
            <w:gridSpan w:val="3"/>
          </w:tcPr>
          <w:p>
            <w:pPr>
              <w:ind w:left="20"/>
              <w:spacing w:after="0"/>
              <w:rPr>
                <w:sz w:val="20"/>
                <w:szCs w:val="20"/>
                <w:color w:val="auto"/>
              </w:rPr>
            </w:pPr>
            <w:r>
              <w:rPr>
                <w:rFonts w:ascii="Arial" w:cs="Arial" w:eastAsia="Arial" w:hAnsi="Arial"/>
                <w:sz w:val="18"/>
                <w:szCs w:val="18"/>
                <w:color w:val="auto"/>
              </w:rPr>
              <w:t>Net income attributable to Wynn Resorts,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3"/>
          </w:tcPr>
          <w:p>
            <w:pPr>
              <w:ind w:left="20"/>
              <w:spacing w:after="0"/>
              <w:rPr>
                <w:sz w:val="20"/>
                <w:szCs w:val="20"/>
                <w:color w:val="auto"/>
              </w:rPr>
            </w:pPr>
            <w:r>
              <w:rPr>
                <w:rFonts w:ascii="Arial" w:cs="Arial" w:eastAsia="Arial" w:hAnsi="Arial"/>
                <w:sz w:val="18"/>
                <w:szCs w:val="18"/>
                <w:color w:val="auto"/>
              </w:rPr>
              <w:t>Limited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191,406</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182,020</w:t>
            </w:r>
          </w:p>
        </w:tc>
        <w:tc>
          <w:tcPr>
            <w:tcW w:w="10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622,208</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514,768</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Diluted net income per share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3"/>
        </w:trPr>
        <w:tc>
          <w:tcPr>
            <w:tcW w:w="3540" w:type="dxa"/>
            <w:vAlign w:val="bottom"/>
            <w:gridSpan w:val="3"/>
          </w:tcPr>
          <w:p>
            <w:pPr>
              <w:ind w:left="20"/>
              <w:spacing w:after="0"/>
              <w:rPr>
                <w:sz w:val="20"/>
                <w:szCs w:val="20"/>
                <w:color w:val="auto"/>
              </w:rPr>
            </w:pPr>
            <w:r>
              <w:rPr>
                <w:rFonts w:ascii="Arial" w:cs="Arial" w:eastAsia="Arial" w:hAnsi="Arial"/>
                <w:sz w:val="18"/>
                <w:szCs w:val="18"/>
                <w:color w:val="auto"/>
              </w:rPr>
              <w:t>Adjusted Property EBITDA</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458,779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435,621</w:t>
            </w:r>
          </w:p>
        </w:tc>
        <w:tc>
          <w:tcPr>
            <w:tcW w:w="10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1,420,820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1,312,434</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During the three months ended September 30, 2014, our net income attributable to Wynn Resorts, Limited was $191.4 million, an increase of 5.2% over the same period of 2013, resulting in diluted earnings per share of $1.88. Adjusted Property EBITDA increased year-over-year by 5.3%, from $435.6 million for the three months ended September 30, 2013 to $458.8 million for the same period of 2014. Our results for the three months ended September 30, 2014 compared to the same period in 2013 were primarily driven by net revenue performance from our Las Vegas Operations.</w:t>
      </w:r>
    </w:p>
    <w:p>
      <w:pPr>
        <w:spacing w:after="0" w:line="171"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During the nine months ended September 30, 2014, our net income attributable to Wynn Resorts, Limited was $622.2 million, an increase of 20.9% over the same period of 2013, resulting in diluted earnings per share of $6.10. Adjusted Property EBITDA increased year-over-year by 8.3%, from $1,312.4 million for the nine months ended September 30, 2013 to $1,420.8 million for the same period of 2014. Our results for the nine months ended September 30, 2014 were primarily attributable to a 4.6% increase in casino revenues from our Macau Operations and net revenue performance from our Las Vegas Operations.</w:t>
      </w:r>
    </w:p>
    <w:p>
      <w:pPr>
        <w:spacing w:after="0" w:line="18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Reliance on only two resort complexes (in two geographic regions) for our operating cash flow exposes us to certain risks that competitors, whose operations are more geographically diversified, may be better able to control. In addition to the concentration of operations in two resort complexes, many of our customers are premium gaming customers who wager on credit, thus exposing us to increased credit risk. High-end gaming also increases the potential for variability in our results.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September 30, 2014 compared to the three months ended September 30, 2013.</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revenues from our Macau and Las Vegas Operations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Macau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942,255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997,635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Las Vegas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427,755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392,477</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1,370,010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1,390,112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Net revenues decreased 1.4% to $1,370.0 million for the three months ended September 30, 2014, from $1,390.1 million for the same period in 2013. The slight reduction in net revenues were primarily attributable to a decrease of $50.8 million in casino revenues from our Macau Operations offset by an increase of $17.0 million in casino revenues from our Las Vegas Operations and an increase of $13.7 million in non-casino revenues.</w:t>
      </w:r>
    </w:p>
    <w:p>
      <w:pPr>
        <w:spacing w:after="0" w:line="166"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Non-casino revenues consist of operating revenues from rooms, food and beverage, entertainment, retail and other, less promotional allowances. The following table presents net revenues from our casino revenues and non-casino revenues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1,071,829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1,105,595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298,181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284,517</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1,370,010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1,390,112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Casino revenues were 78.2% of total net revenues for the three months ended September 30, 2014 compared to 79.5% for the same period of 2013, while non-casino revenues were 21.8% of total net revenues compared to 20.5% for the same period of 2013.</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Casino revenues decreased 3.1% to $1,071.8 million for the three months ended September 30, 2014, from $1,105.6 million in the same period of 2013. Our Macau Operations experienced a year-over-year decrease in casino revenues of 5.4% from $944.0 million to $893.2 million due to a reduction in turnover and lower win as a percentage of turnover from our VIP gaming operations. The reduction in casino revenues from our VIP gaming operations was partially offset by the performance of our mass market gaming operations, which experienced an increase in drop and table games win percentage. Our Las Vegas Operations experienced a year-over-year increase in casino revenues of 10.5% from $161.6 million for the three months ended September 30, 2013 to $178.6 million in the same period of 2014. The increase is primarily due to a 3.1 percentage point increase in table games win percentage which was partially offset by a decrease in table games volume with drop decreasing 5.2% year-over-year.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for our Macau and Las Vegas Operations (in thousands, except for win per unit per day and average number of table games and slots).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2"/>
              </w:rPr>
              <w:t>Increase/</w:t>
            </w:r>
          </w:p>
        </w:tc>
        <w:tc>
          <w:tcPr>
            <w:tcW w:w="1460" w:type="dxa"/>
            <w:vAlign w:val="bottom"/>
          </w:tcPr>
          <w:p>
            <w:pPr>
              <w:jc w:val="right"/>
              <w:ind w:right="412"/>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460" w:type="dxa"/>
            <w:vAlign w:val="bottom"/>
          </w:tcPr>
          <w:p>
            <w:pPr>
              <w:jc w:val="right"/>
              <w:ind w:right="41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Total casino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893,206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944,015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(50,809)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b w:val="1"/>
                <w:bCs w:val="1"/>
                <w:color w:val="auto"/>
              </w:rPr>
              <w:t>VIP</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25,064,646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30,334,611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(5,269,965)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Mass market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Drop (1)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641,187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630,683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10,504</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327,217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239,828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87,389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 (1)</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17,759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12,872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4,887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97"/>
        </w:trPr>
        <w:tc>
          <w:tcPr>
            <w:tcW w:w="5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1,436,074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1,165,840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270,234</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73,483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55,729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17,754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win per unit per day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0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178,623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161,580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17,043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Drop</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640,941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676,287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(35,346)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164,932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152,842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12,090</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7,619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7,031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32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1,864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788,131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733,540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54,591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47,446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45,848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50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820" w:right="20" w:hanging="812"/>
        <w:spacing w:after="0" w:line="259"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Customers purchase mass market casino gaming chips at either the gaming tables or the casino cage. Chips purchased at the casino cage are excluded from table games drop and will increase the expected win percentage. With the increased purchases at the casino cage in our Macau mass market casino, we believe the relevant indicator of volumes in the mass market casino should be actual table games win rather than win percentage.</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Non-casino revenues increased 4.8%, or $13.7 million, to $298.2 million for the three months ended September 30, 2014, from $284.5 million for the same period of 2013 primarily from a 10.3% increase in room revenues and a 5.5% increase in food and beverage revenues.</w:t>
      </w:r>
    </w:p>
    <w:p>
      <w:pPr>
        <w:spacing w:after="0" w:line="184" w:lineRule="exact"/>
        <w:rPr>
          <w:sz w:val="20"/>
          <w:szCs w:val="20"/>
          <w:color w:val="auto"/>
        </w:rPr>
      </w:pPr>
    </w:p>
    <w:p>
      <w:pPr>
        <w:jc w:val="both"/>
        <w:ind w:right="120" w:firstLine="432"/>
        <w:spacing w:after="0" w:line="279" w:lineRule="auto"/>
        <w:rPr>
          <w:sz w:val="20"/>
          <w:szCs w:val="20"/>
          <w:color w:val="auto"/>
        </w:rPr>
      </w:pPr>
      <w:r>
        <w:rPr>
          <w:rFonts w:ascii="Arial" w:cs="Arial" w:eastAsia="Arial" w:hAnsi="Arial"/>
          <w:sz w:val="18"/>
          <w:szCs w:val="18"/>
          <w:color w:val="auto"/>
        </w:rPr>
        <w:t>Room revenues increased 10.3%, or $12.7 million, to $135.7 million for the three months ended September 30, 2014, from $123.1 million in the same period of 2013. Our Las Vegas Operations accounted for $6.9 million of the increase, while Macau Operations accounted for $5.8 million, both experiencing an increase in ADR and occupancy.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our room revenues and associated key operating measures for our Macau and Las Vegas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1480" w:type="dxa"/>
            <w:vAlign w:val="bottom"/>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66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Percent Change (a)</w:t>
            </w: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Total room revenues (in thousands)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33,190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27,416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ADR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Total room revenues (in thousands)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102,544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95,662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ADR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(a)  Except occupancy, which is presented as a percentage point change.</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201"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Food and beverage revenues increased 5.5%, or $8.3 million, to $160.5 million, for the three months ended September 30, 2014, from $152.2 million for the same period of 2013 primarily as a result of an increase in revenues from our Las Vegas Operations restaurants.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costs and expenses</w:t>
      </w:r>
    </w:p>
    <w:p>
      <w:pPr>
        <w:spacing w:after="0" w:line="225"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Operating costs and expenses decreased 3.6%, or $38.7 million, to $1,037.4 million for the three months ended September 30, 2014, from $1,076.1 million for the same period of 2013. The reduction was primarily driven by decreases of 7.5% and 15.3% in casino expenses and depreciation and amortization, respectively, offset by an increase of 20.8% in general and administrative expenses.</w:t>
      </w:r>
    </w:p>
    <w:p>
      <w:pPr>
        <w:spacing w:after="0" w:line="18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Casino expenses decreased 7.5%, or $52.4 million, to $647.5 million for the three months ended September 30, 2014, from $699.9 million for the same period of 2013, primarily due to lower gaming taxes with a 39.0% gross win tax incurred at our Macau Operations. The decline in gaming taxes was commensurate with the 5.4% decrease in casino revenues at our Macau Operations.</w:t>
      </w:r>
    </w:p>
    <w:p>
      <w:pPr>
        <w:spacing w:after="0" w:line="181" w:lineRule="exact"/>
        <w:rPr>
          <w:sz w:val="20"/>
          <w:szCs w:val="20"/>
          <w:color w:val="auto"/>
        </w:rPr>
      </w:pPr>
    </w:p>
    <w:p>
      <w:pPr>
        <w:jc w:val="both"/>
        <w:ind w:right="340" w:firstLine="432"/>
        <w:spacing w:after="0" w:line="286" w:lineRule="auto"/>
        <w:rPr>
          <w:sz w:val="20"/>
          <w:szCs w:val="20"/>
          <w:color w:val="auto"/>
        </w:rPr>
      </w:pPr>
      <w:r>
        <w:rPr>
          <w:rFonts w:ascii="Arial" w:cs="Arial" w:eastAsia="Arial" w:hAnsi="Arial"/>
          <w:sz w:val="17"/>
          <w:szCs w:val="17"/>
          <w:color w:val="auto"/>
        </w:rPr>
        <w:t>Room expenses increased 16.6%, or $5.6 million, to $39.2 million for the three months ended September 30, 2014, from $33.6 million for the same period of 2013. The increase is due to certain room expenses incurred to maintain a premium guest experience at our Las Vegas Operations and expenses associated with the increase in occupancy over the prior year at both our Macau and Las Vegas Operations.</w:t>
      </w:r>
    </w:p>
    <w:p>
      <w:pPr>
        <w:spacing w:after="0" w:line="166"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Food and beverage expenses increased 8.4%, or $7.1 million, to $91.2 million for the three months ended September 30, 2014, from $84.1 million for the same period of 2013. The increase in food and beverage expenses is primarily a result of higher costs in the current period for entertainment at Wynn Las Vegas nightclubs.</w:t>
      </w:r>
    </w:p>
    <w:p>
      <w:pPr>
        <w:spacing w:after="0" w:line="181" w:lineRule="exact"/>
        <w:rPr>
          <w:sz w:val="20"/>
          <w:szCs w:val="20"/>
          <w:color w:val="auto"/>
        </w:rPr>
      </w:pPr>
    </w:p>
    <w:p>
      <w:pPr>
        <w:jc w:val="both"/>
        <w:ind w:right="100" w:firstLine="432"/>
        <w:spacing w:after="0" w:line="342" w:lineRule="auto"/>
        <w:rPr>
          <w:sz w:val="20"/>
          <w:szCs w:val="20"/>
          <w:color w:val="auto"/>
        </w:rPr>
      </w:pPr>
      <w:r>
        <w:rPr>
          <w:rFonts w:ascii="Arial" w:cs="Arial" w:eastAsia="Arial" w:hAnsi="Arial"/>
          <w:sz w:val="16"/>
          <w:szCs w:val="16"/>
          <w:color w:val="auto"/>
        </w:rPr>
        <w:t>Entertainment, retail and other expenses decreased 10.7%, or $4.9 million to $40.6 million for the three months ended September 30, 2014, from $45.5 million in the same period of 2013, mainly from a reduction in merchandise cost at Wynn Macau associated with the decline in retail shop revenues.</w:t>
      </w:r>
    </w:p>
    <w:p>
      <w:pPr>
        <w:spacing w:after="0" w:line="124"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General and administrative expenses increased 20.8%, or $21.8 million to $126.8 million for the three months ended September 30, 2014, from $105.0 million in the same period of 2013. The increase is primarily attributable to a $11.3 million increase in corporate expenses and other, an increase from our Las Vegas Operations of $5.3 million and an increase from our Macau Operations of $5.2 million. The corporate expenses and other increase consists mainly of an increase in stock-based compensation expense associated with annual performance awards and other corporate expenses. Our Macau Operations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Las Vegas Operations both experienced an increase in payroll related expenses, property maintenance and repair expenses and other miscellaneous expenses.</w:t>
      </w:r>
    </w:p>
    <w:p>
      <w:pPr>
        <w:spacing w:after="0" w:line="248"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Provision for doubtful accounts decreased 58.5%, or $6.6 million, to $4.7 million for the three months ended September 30, 2014, from $11.3 million for the same period of 2013. The decrease is a result of increased casino accounts receivables collections at our Las Vegas Operations compared to the same period in the prior year.</w:t>
      </w:r>
    </w:p>
    <w:p>
      <w:pPr>
        <w:spacing w:after="0" w:line="18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Pre-opening costs were $6.7 million associated with the design and planning for Wynn Palace for the three months ended September 30, 2014, compared to $0.7 million for the same period of 2013. We expect our pre-opening costs to continue to increase as the construction and development of Wynn Palace progress toward the expected completion in the first half of 2016.</w:t>
      </w:r>
    </w:p>
    <w:p>
      <w:pPr>
        <w:spacing w:after="0" w:line="181"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Depreciation and amortization decreased 15.3%, or $14.3 million, to $79.0 million for the three months ended September 30, 2014, down from $93.3 million for the same period of 2013 due to certain Las Vegas Operations assets with a five year useful life becoming fully depreciated.</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 net of capitalized interest</w:t>
      </w:r>
    </w:p>
    <w:p>
      <w:pPr>
        <w:spacing w:after="0" w:line="225"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Interest expense, net of capitalized interest, increased 7.5%, or $5.5 million, to $79.0 million for the three months ended September 30, 2014, up from $73.5 million for the same period in 2013. This increase was attributable to $12.3 million increase in interest expense, which was partially offset by a $6.8 million increase in capitalized interest. During 2013, we completed issuances of $500 million 4 1/4% senior notes, $600 million 5 1/4% senior notes and exercised our option to increase the senior term loan facility by $200 million. During the first quarter of 2014, we issued an additional $750 million of 5 1/4% senior notes at Wynn Macau. These issuances of long-term debt were partially offset by the principal repayment of $500 million 7 7/8% first mortgage notes through a cash tender offer in May 2013 and redemption of untendered notes in November 2013. Capitalized interest increased due to the construction costs of Wynn Palace. Capitalized interest will continue to increase with the ongoing borrowings and construction costs related to Wynn Palace.</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25"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We incurred a loss of $3.6 million on the extinguishment of debt for the three months ended September 30, 2014, which related to the premium paid on the purchase of our first mortgage notes due in 2020 through open market transactions and the write-off of related unamortized deferred financing costs and original issue discount. We incurred no loss from the extinguishment of debt for the three months ended September 30, 2013.</w:t>
      </w:r>
    </w:p>
    <w:p>
      <w:pPr>
        <w:spacing w:after="0" w:line="166"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We incurred a gain of $2.4 million for the three months ended September 30, 2014, from the change in the fair value of our interest rate swaps compared to a loss of $3.5 million for the same period in 2013. For further information on our interest rate swaps, see Item 3 – “Quantitative and Qualitative Disclosures about Market Risk.”</w:t>
      </w:r>
    </w:p>
    <w:p>
      <w:pPr>
        <w:spacing w:after="0" w:line="181"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Interest income was $5.8 million for the three months ended September 30, 2014, compared to $3.2 million for the three months ended September 30, 2013. During 2014 and 2013, our short-term investment strategy has been to preserve capital while retaining sufficient liquidity. The majority of our short-term investments were in time deposits, fixed deposits and money market accounts with a maturity of three months or less.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For the three months ended September 30, 2014 and 2013, we recorded a tax expense of $4.9 million and a tax benefit of $7.3 million, respectively. Our income tax expense is primarily related to an increase in U.S. profitability. Our income tax benefit in the prior year is primarily related to a decrease in deferred tax liabilities reduced by foreign taxes assessable on the dividends of Wynn Macau, S.A. and foreign tax provisions related to international marketing offices.</w:t>
      </w:r>
    </w:p>
    <w:p>
      <w:pPr>
        <w:spacing w:after="0" w:line="133"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Since June 30, 2010, we have no longer considered our portion of the tax earnings and profits of Wynn Macau, Limited to be permanently invested. No additional U.S. tax provision has been made with respect to amounts not considered permanently invested as we anticipate that U.S. foreign tax credits should be sufficient to eliminate any U.S. tax provision relating to repatriation. We have not provided deferred U.S. income taxes or foreign withholding taxes on temporary differences as these amounts are permanently reinvested. For the three months ended September 30, 2014 and 2013, we recognized income tax benefits related to excess tax deductions associated with stock compensation costs of $0.1 million and $0.7 million, respectively.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Wynn Resorts (Macau) S.A. has received a 5-year exemption from Macau’s 12% Complementary Tax on casino gaming profits through December 31,</w:t>
      </w:r>
    </w:p>
    <w:p>
      <w:pPr>
        <w:spacing w:after="0" w:line="46"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2015. Accordingly, we were exempt from the payment of $25.8 million and $26.0 million in such taxes during the three months ended September 30, 2014 and 2013, respectively. Our non-gaming profits remain subject to the Macau Complementary Tax and casino winnings remain subject to the Macau Special Gaming tax and other levies together totaling 39% in accordance with our concession agreement.</w:t>
      </w:r>
    </w:p>
    <w:p>
      <w:pPr>
        <w:spacing w:after="0" w:line="136" w:lineRule="exact"/>
        <w:rPr>
          <w:sz w:val="20"/>
          <w:szCs w:val="20"/>
          <w:color w:val="auto"/>
        </w:rPr>
      </w:pPr>
    </w:p>
    <w:p>
      <w:pPr>
        <w:jc w:val="both"/>
        <w:ind w:right="260" w:firstLine="432"/>
        <w:spacing w:after="0" w:line="302" w:lineRule="auto"/>
        <w:rPr>
          <w:sz w:val="20"/>
          <w:szCs w:val="20"/>
          <w:color w:val="auto"/>
        </w:rPr>
      </w:pPr>
      <w:r>
        <w:rPr>
          <w:rFonts w:ascii="Arial" w:cs="Arial" w:eastAsia="Arial" w:hAnsi="Arial"/>
          <w:sz w:val="16"/>
          <w:szCs w:val="16"/>
          <w:color w:val="auto"/>
        </w:rPr>
        <w:t>In December 2013, we received notification that for the 2014 tax year we had been accepted for the Compliance Maintenance phase of the Internal Revenue Service (“IRS”) Compliance Assurance Program (“CAP”), which accelerates IRS examination of key transactions with the goal of resolving any issues before the taxpayer files its return. In the Compliance Maintenance phase, the IRS, at its discretion, may reduce the level of review of the taxpayer’s tax positions based on the complexity and number of issues, and the taxpayer’s history of compliance, cooperation and transparency in the CAP.</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February 2014, we received notification that the IRS completed its examination of our 2012 U.S. income tax return and had no changes.</w:t>
      </w:r>
    </w:p>
    <w:p>
      <w:pPr>
        <w:spacing w:after="0" w:line="183"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In March 2013, the Financial Services Bureau commenced an examination of the 2009, 2010, and 2011 Macau income tax returns of Wynn Resorts (Macau) S.A. In August 2014, we received the preliminary results of these examinations. We believe that our liability for uncertain tax positions is adequate with respect to these years.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225"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In October 2009, Wynn Macau, Limited, our indirect wholly owned subsidiary and the developer, owner and operator of Wynn Macau, listed its ordinary shares of common stock on The Stock Exchange of Hong Kong Limited. Wynn Macau, Limited sold 1,437,500,000 shares (27.7%) of its common stock through an initial public offering. We recorded net income attributable to noncontrolling interests of $61.6 million for the three months ended September 30, 2014, compared to $66.8 million for the three months ended September 30, 2013. This represents the noncontrolling interests’ share of net income from Wynn Macau, Limited during each quarter.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nine months ended September 30, 2014 compared to the nine months ended September 30, 2013.</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revenues from our Macau and Las Vegas Operations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Macau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3,035,588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2,920,591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Las Vegas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1,260,098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1,180,448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4,295,686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4,101,039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Net revenues increased 4.7% to $4,295.7 million for the nine months ended September 30, 2014, from $4,101.0 million for the same period in 2013. The net revenue growth was primarily driven by an increase of 4.6%, or $125.3 million in casino revenue from our Macau Operations, an increase of 6.2%, or $43.7 million in non-casino revenues from our Las Vegas Operations and an increase of 7.5%, or $36.0 million in casino revenue from our Las Vegas Operations.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revenues from our casino revenues and non-casino revenues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7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tcPr>
          <w:p>
            <w:pPr>
              <w:spacing w:after="0"/>
              <w:rPr>
                <w:sz w:val="16"/>
                <w:szCs w:val="16"/>
                <w:color w:val="auto"/>
              </w:rPr>
            </w:pPr>
          </w:p>
        </w:tc>
        <w:tc>
          <w:tcPr>
            <w:tcW w:w="29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32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3,389,557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3,228,246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29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906,129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872,793</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7"/>
        </w:trPr>
        <w:tc>
          <w:tcPr>
            <w:tcW w:w="376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4,295,686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4,101,039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980" w:type="dxa"/>
            <w:vAlign w:val="bottom"/>
            <w:vMerge w:val="restart"/>
          </w:tcPr>
          <w:p>
            <w:pPr>
              <w:jc w:val="right"/>
              <w:ind w:right="850"/>
              <w:spacing w:after="0"/>
              <w:rPr>
                <w:sz w:val="20"/>
                <w:szCs w:val="20"/>
                <w:color w:val="auto"/>
              </w:rPr>
            </w:pPr>
            <w:r>
              <w:rPr>
                <w:rFonts w:ascii="Arial" w:cs="Arial" w:eastAsia="Arial" w:hAnsi="Arial"/>
                <w:sz w:val="18"/>
                <w:szCs w:val="18"/>
                <w:color w:val="auto"/>
              </w:rPr>
              <w:t>35</w:t>
            </w: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76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Casino revenues were 78.9% of total net revenues for the nine months ended September 30, 2014 compared to 78.7% of total net revenues for the same period of 2013, while non-casino revenues were 21.1% of total net revenues compared to 21.3% in the prior year.</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Casino revenues increased 5.0% to $3,389.6 million for the nine months ended September 30, 2014, from $3,228.2 million in the same period of 2013. Our Macau Operations experienced a year-over-year increase in casino revenues of 4.6% from $2,747.8 million to $2,873.1 million. The increase is due to an increase in drop and table games win percentage from our mass market gaming operations. Our VIP gaming operations experienced a reduction in turnover and decline in win as a percentage of turnover from 3.04% to 2.83%. Our Las Vegas Operations experienced a year-over-year increase in casino revenues of 7.5% from $480.5 million for the nine months ended September 30, 2013, to $516.4 million in the same period of 2014, primarily driven by an increase in table games volume with drop increasing 1.3% compared to the prior year.</w:t>
      </w:r>
    </w:p>
    <w:p>
      <w:pPr>
        <w:spacing w:after="0" w:line="178"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for our Macau and Las Vegas Operations (in thousands, except for win per unit per day and average number of table games and slots).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 September 30,</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2"/>
              </w:rPr>
              <w:t>Increase/</w:t>
            </w:r>
          </w:p>
        </w:tc>
        <w:tc>
          <w:tcPr>
            <w:tcW w:w="1460" w:type="dxa"/>
            <w:vAlign w:val="bottom"/>
          </w:tcPr>
          <w:p>
            <w:pPr>
              <w:jc w:val="right"/>
              <w:ind w:right="412"/>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460" w:type="dxa"/>
            <w:vAlign w:val="bottom"/>
          </w:tcPr>
          <w:p>
            <w:pPr>
              <w:jc w:val="right"/>
              <w:ind w:right="41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Total casino 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2,873,121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2,747,781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125,340</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b w:val="1"/>
                <w:bCs w:val="1"/>
                <w:color w:val="auto"/>
              </w:rPr>
              <w:t>VIP</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87,424,152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88,617,910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(1,193,758)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Mass market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Drop (1)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2,015,975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1,942,073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73,902</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938,976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699,999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238,977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 (1)</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17,070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12,573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4,497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97"/>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4,292,617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3,453,231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839,386</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208,903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174,926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33,977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516,436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480,465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35,971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Drop</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1,917,424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1,893,227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24,197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470,720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449,414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21,306</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7,396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7,027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2,238,798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2,142,738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96,060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139,078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132,821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6,257</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5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820" w:right="20" w:hanging="812"/>
        <w:spacing w:after="0" w:line="286" w:lineRule="auto"/>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Customers purchase mass market casino gaming chips at either the gaming tables or the casino cage. Chips purchased at the casino cage are excluded from table games drop and will increase the expected win percentage. With the increased purchases at the casino cage in our Macau mass market casino, we believe the relevant indicator of volumes in the mass market casino should be table games win.</w:t>
      </w:r>
    </w:p>
    <w:p>
      <w:pPr>
        <w:sectPr>
          <w:pgSz w:w="11900" w:h="16838" w:orient="portrait"/>
          <w:cols w:equalWidth="0" w:num="1">
            <w:col w:w="11420"/>
          </w:cols>
          <w:pgMar w:left="240" w:top="121"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Non-casino revenues increased 3.8%, or $33.3 million, to $906.1 million for the nine months ended September 30, 2014, from $872.8 million for the same period of 2013 primarily from a 10.9% increase in room revenues and a 3.3% increase in food and beverage revenues, partially offset by a 7.1% increase in promotional allowances.</w:t>
      </w:r>
    </w:p>
    <w:p>
      <w:pPr>
        <w:spacing w:after="0" w:line="195" w:lineRule="exact"/>
        <w:rPr>
          <w:sz w:val="20"/>
          <w:szCs w:val="20"/>
          <w:color w:val="auto"/>
        </w:rPr>
      </w:pPr>
    </w:p>
    <w:p>
      <w:pPr>
        <w:ind w:right="200" w:firstLine="432"/>
        <w:spacing w:after="0" w:line="279" w:lineRule="auto"/>
        <w:rPr>
          <w:sz w:val="20"/>
          <w:szCs w:val="20"/>
          <w:color w:val="auto"/>
        </w:rPr>
      </w:pPr>
      <w:r>
        <w:rPr>
          <w:rFonts w:ascii="Arial" w:cs="Arial" w:eastAsia="Arial" w:hAnsi="Arial"/>
          <w:sz w:val="18"/>
          <w:szCs w:val="18"/>
          <w:color w:val="auto"/>
        </w:rPr>
        <w:t>Room revenues increased 10.9%, or $40.6 million, to $413.6 million for the nine months ended September 30, 2014, from $372.9 million in the same period of 2013. Our Las Vegas Operations accounted for $25.7 million of the increase, while Macau Operations accounted for $14.9 million, both experiencing an increase in ADR and occupancy.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our room revenues and associated key operating measures for our Macau and Las Vegas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 September 30,</w:t>
            </w:r>
          </w:p>
        </w:tc>
        <w:tc>
          <w:tcPr>
            <w:tcW w:w="1480" w:type="dxa"/>
            <w:vAlign w:val="bottom"/>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66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Percent Change (a)</w:t>
            </w: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Total room revenues (in thousands)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100,038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85,142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ADR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324"/>
        </w:trPr>
        <w:tc>
          <w:tcPr>
            <w:tcW w:w="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Total room revenues (in thousands)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313,527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287,789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ADR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(a)  Except occupancy, which is presented as a percentage point change.</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201"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Food and beverage revenues increased 3.3%, or $15.2 million, to $476.7 million for the nine months ended September 30, 2014, from $461.5 million for the same period of 2013. Our Las Vegas Operations accounted for $9.6 million of the increase, while our Macau Operations accounted for $5.6 million, both primarily from an increase in revenues at its restaurants.</w:t>
      </w:r>
    </w:p>
    <w:p>
      <w:pPr>
        <w:spacing w:after="0" w:line="181"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Promotional allowances increased 7.1%, or $19.2 million to $290.5 million for the nine months ended September 30, 2014, from $271.4 million for the same period of 2013. As a percentage of total casino revenues, promotional allowances were 8.6% for the nine months ended September 30, 2014 compared to 8.4% for the same period of 2013.</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costs and expenses</w:t>
      </w:r>
    </w:p>
    <w:p>
      <w:pPr>
        <w:spacing w:after="0" w:line="22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Operating costs and expenses increased 2.1%, or $65.5 million, to $3,244.9 million for the nine months ended September 30, 2014, up from $3,179.4 million for the same period of 2013.</w:t>
      </w:r>
    </w:p>
    <w:p>
      <w:pPr>
        <w:spacing w:after="0" w:line="170"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Casino expenses increased 2.4%, or $49.9 million, to $2,112.4 million for the nine months ended September 30, 2014, from $2,062.5 million for the same period of 2013, primarily due to higher gaming taxes from the 39.0% gross win tax incurred at our Macau Operations.</w:t>
      </w:r>
    </w:p>
    <w:p>
      <w:pPr>
        <w:spacing w:after="0" w:line="17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Room expenses increased 11.1%, or $11.2 million, to $112.2 million for the nine months ended September 30, 2014 from $101.0 million for the same period of 2013. The increase is due to certain room expenses from our Las Vegas Operations to maintain a premium guest experience and expenses associated with the increase in occupancy over the prior year at both our Macau and Las Vegas Operations.</w:t>
      </w:r>
    </w:p>
    <w:p>
      <w:pPr>
        <w:spacing w:after="0" w:line="181"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Food and beverage expenses increased 5.3%, or $13.4 million, to $266.9 million for the nine months ended September 30, 2014, from $253.5 million for the same period of 2013. The increase in food and beverage expenses is primarily a result of higher costs in the current period for entertainment at Wynn Las Vegas nightclubs.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General and administrative expenses increased 10.3%, or $34.3 million, to $366.6 million for the nine months ended September 30, 2014 from $332.3 million in the same period of 2013 primarily from our Macau Operations. Our Macau Operations experienced an increase compared to the prior year in labor costs, along with certain property maintenance and repair expenses and other miscellaneous items. Our Macau Operations incurred additional general and administrative labor costs associated with a new 2014 bonus program for non-management employees.</w:t>
      </w:r>
    </w:p>
    <w:p>
      <w:pPr>
        <w:spacing w:after="0" w:line="171"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Pre-opening costs were $14.8 million for the nine months ended September 30, 2014, compared to $1.6 million for the same period of 2013 and were associated with the design and planning for Wynn Palace. We expect our pre-opening costs to increase in the future as the construction and development of Wynn Palace progresses toward the expected completion in the first half of 2016.</w:t>
      </w:r>
    </w:p>
    <w:p>
      <w:pPr>
        <w:spacing w:after="0" w:line="181"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Depreciation and amortization decreased 16.1%, or $45.0 million, to $234.0 million for the nine months ended September 30, 2014, down from $279.1 million for the same period of 2013 due to certain Las Vegas Operations assets with a five year useful life becoming fully depreciated.</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 net of capitalized interest</w:t>
      </w:r>
    </w:p>
    <w:p>
      <w:pPr>
        <w:spacing w:after="0" w:line="225"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Interest expense, net of capitalized interest, increased 6.0%, or $13.4 million, to $236.1 million for the nine months ended September 30, 2014, up from $222.7 million for the same period of 2013, attributable to $30.2 million increase in interest expense partially offset by a $16.8 million increase in capitalized interest. During 2013, we completed issuances of $500 million 4 1/4% senior notes, $600 million 5 1/4% senior notes and exercised our option to increase the senior term loan facility by $200 million. During the first quarter of 2014, we issued an additional $750 million of 5 1/4% senior notes. These issuances of long-term debt were partially offset by the principal repayment $500 million 7 7/8% first mortgage notes through a cash tender offer in May 2013 and redemption of untendered notes in November 2013. Capitalized interest increased due to the construction costs of Wynn Palace. Capitalized interest will continue to increase with the ongoing borrowings and construction costs related to Wynn Palace.</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25"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We incurred a loss of $7.4 million on the extinguishment of debt for the nine months ended September 30, 2014 compared to a loss of $26.6 million for the same period of 2013. During the nine months ended September 30, 2014, the loss was due to the premium paid on the purchase of first mortgage notes due in 2020 through open market transactions and the write-off of related unamortized deferred financing costs and original issue discount. During the nine months ended September 30, 2013, the loss was primarily from the premium paid in the cash tender offer of our first mortgage notes due in 2017 and the write-off of related unamortized deferred financing costs and original issue discount.</w:t>
      </w:r>
    </w:p>
    <w:p>
      <w:pPr>
        <w:spacing w:after="0" w:line="17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incurred a loss of $1.5 million for the nine months ended September 30, 2014, from the decrease in the fair value of our interest rate swaps compared to a gain of $13.1 million from the increase in fair value for the same period in 2013. For further information on our interest rate swaps, see Item 3 – “Quantitative and Qualitative Disclosures about Market Risk.”</w:t>
      </w:r>
    </w:p>
    <w:p>
      <w:pPr>
        <w:spacing w:after="0" w:line="181"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Interest income was $16.1 million for the nine months ended September 30, 2014, compared to $11.6 million for the same period in 2013. During 2014 and 2013, our short-term investment strategy has been to preserve capital while retaining sufficient liquidity. The majority of our short-term investments were in time deposits, fixed deposits and money market accounts with a maturity of three months or less.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For the nine months ended September 30, 2014 and 2013, we recorded a tax expense of $8.3 million and a tax benefit of $11.3 million, respectively. Our income tax expense is primarily related to an increase in U.S. profitability. Our income tax benefit in the prior year is primarily related to a decrease in deferred tax liabilities reduced by foreign taxes assessable on the dividends of Wynn Macau, S.A. and foreign tax provisions related to international marketing offices.</w:t>
      </w:r>
    </w:p>
    <w:p>
      <w:pPr>
        <w:spacing w:after="0" w:line="133"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Since June 30, 2010, we have no longer considered our portion of the tax earnings and profits of Wynn Macau, Limited to be permanently invested. No additional U.S. tax provision has been made with respect to amounts not considered permanently invested as we anticipate that U.S. foreign tax credits should be sufficient to eliminate any U.S. tax provision relating to repatriation. We have not provided deferred U.S. income taxes or foreign withholding taxes on temporary differences as these amounts are permanently reinvested. For the nine months ended September 30, 2014 and 2013, we recognized income tax</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benefits related to excess tax deductions associated with stock compensation costs of $6.6 million and $10.8 million, respectively.</w:t>
      </w:r>
    </w:p>
    <w:p>
      <w:pPr>
        <w:spacing w:after="0" w:line="171"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Wynn Resorts (Macau) S.A. has received a 5-year exemption from Macau’s 12% Complementary Tax on casino gaming profits through December 31, 2015. Accordingly, we were exempt from the payment of $80.4 million and $76.7 million in such taxes during the nine months ended September 30, 2014 and 2013, respectively. Our non-gaming profits remain subject to the Macau Complementary Tax and casino winnings remain subject to the Macau Special Gaming tax and other levies together totaling 39% in accordance with our concession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February 2014, we received notification that the IRS completed its examination of our 2012 U.S. income tax return and had no changes.</w:t>
      </w:r>
    </w:p>
    <w:p>
      <w:pPr>
        <w:spacing w:after="0" w:line="183"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In March 2013, the Financial Services Bureau commenced an examination of the 2009, 2010, and 2011 Macau income tax returns of Wynn Resorts (Macau) S.A. In August 2014, we received the preliminary results of these examinations. We believe that our liability for uncertain tax positions is adequate with respect to these years.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225"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In October 2009, Wynn Macau, Limited, our indirect wholly owned subsidiary and the developer, owner and operator of Wynn Macau, listed its ordinary shares of common stock on The Stock Exchange of Hong Kong Limited. Wynn Macau, Limited sold 1,437,500,000 shares (27.7%) of its common stock through an initial public offering. We recorded net income attributable to noncontrolling interests of $192.2 million for the nine months ended September 30, 2014, compared to $198.9 million for the nine months ended September 30, 2013. This represents the noncontrolling interests’ share of net income from Wynn Macau, Limited during each quarter.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229" w:lineRule="exact"/>
        <w:rPr>
          <w:sz w:val="20"/>
          <w:szCs w:val="20"/>
          <w:color w:val="auto"/>
        </w:rPr>
      </w:pPr>
    </w:p>
    <w:p>
      <w:pPr>
        <w:ind w:right="40" w:firstLine="432"/>
        <w:spacing w:after="0" w:line="285" w:lineRule="auto"/>
        <w:rPr>
          <w:sz w:val="20"/>
          <w:szCs w:val="20"/>
          <w:color w:val="auto"/>
        </w:rPr>
      </w:pPr>
      <w:r>
        <w:rPr>
          <w:rFonts w:ascii="Arial" w:cs="Arial" w:eastAsia="Arial" w:hAnsi="Arial"/>
          <w:sz w:val="16"/>
          <w:szCs w:val="16"/>
          <w:color w:val="auto"/>
        </w:rPr>
        <w:t>We use Adjusted Property EBITDA to manage the operating results of our segments. Adjusted Property EBITDA is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segments and to compare the operating performance of our properties with those of our competitors.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78"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following table summarizes Adjusted Property EBITDA (in thousands) for our Macau and Las Vegas Operations as reviewed by management and summarized in Notes to Condensed Consolidated Financial Statements, Note 16 – “Segment Information.” That footnote also presents a reconciliation of Adjusted Property EBITDA to net income.</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3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Macau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325,529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329,106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1,016,858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949,905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Las Vegas Operations</w:t>
            </w:r>
          </w:p>
        </w:tc>
        <w:tc>
          <w:tcPr>
            <w:tcW w:w="18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133,250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106,515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403,962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362,529</w:t>
            </w: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458,779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435,621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1,420,820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1,312,434</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896"/>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20" w:firstLine="432"/>
        <w:spacing w:after="0" w:line="312" w:lineRule="auto"/>
        <w:rPr>
          <w:sz w:val="20"/>
          <w:szCs w:val="20"/>
          <w:color w:val="auto"/>
        </w:rPr>
      </w:pPr>
      <w:r>
        <w:rPr>
          <w:rFonts w:ascii="Arial" w:cs="Arial" w:eastAsia="Arial" w:hAnsi="Arial"/>
          <w:sz w:val="16"/>
          <w:szCs w:val="16"/>
          <w:color w:val="auto"/>
        </w:rPr>
        <w:t>Adjusted Property EBITDA at our Macau Operations decreased year-over-year by 1.1% for the three months ended September 30, 2014 due to a decline in VIP turnover partially offset by table games win from our mass market gaming operations. Adjusted Property EBITDA at our Macau Operations increased year-over-year by 7.0% for the nine months ended September 30, 2014 due to stronger performance from our mass market gaming operations.</w:t>
      </w:r>
    </w:p>
    <w:p>
      <w:pPr>
        <w:spacing w:after="0" w:line="14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Adjusted Property EBITDA at our Las Vegas Operations increased year-over-year by 25.1% and 11.4% for the three and nine months ended September 30, 2014, respectively, driven by our net revenue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220" w:firstLine="432"/>
        <w:spacing w:after="0" w:line="255" w:lineRule="auto"/>
        <w:rPr>
          <w:sz w:val="20"/>
          <w:szCs w:val="20"/>
          <w:color w:val="auto"/>
        </w:rPr>
      </w:pPr>
      <w:r>
        <w:rPr>
          <w:rFonts w:ascii="Arial" w:cs="Arial" w:eastAsia="Arial" w:hAnsi="Arial"/>
          <w:sz w:val="18"/>
          <w:szCs w:val="18"/>
          <w:color w:val="auto"/>
        </w:rPr>
        <w:t>Our operating cash flows primarily consist of our operating income generated by our Macau and Las Vegas Operations (excluding depreciation and other non-cash charges), interest paid, and changes in working capital accounts such as receivables, inventories, prepaid expenses, and payables. Our table games play both in Macau and Las Vegas is a mix of cash play and credit play, while our slot machine play is conducted primarily on a cash basis. A significant portion of our table games revenue is attributable to the play of a limited number of premium international customers that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89" w:lineRule="exact"/>
        <w:rPr>
          <w:sz w:val="20"/>
          <w:szCs w:val="20"/>
          <w:color w:val="auto"/>
        </w:rPr>
      </w:pPr>
    </w:p>
    <w:p>
      <w:pPr>
        <w:jc w:val="both"/>
        <w:ind w:right="580" w:firstLine="432"/>
        <w:spacing w:after="0" w:line="264" w:lineRule="auto"/>
        <w:rPr>
          <w:sz w:val="20"/>
          <w:szCs w:val="20"/>
          <w:color w:val="auto"/>
        </w:rPr>
      </w:pPr>
      <w:r>
        <w:rPr>
          <w:rFonts w:ascii="Arial" w:cs="Arial" w:eastAsia="Arial" w:hAnsi="Arial"/>
          <w:sz w:val="18"/>
          <w:szCs w:val="18"/>
          <w:color w:val="auto"/>
        </w:rPr>
        <w:t>Net cash provided by operations for the nine months ended September 30, 2014, was $974.1 million compared to $1,281.3 million provided by operations for the nine months ended September 30, 2013. The decline in cash provided by operations was primarily due to a decrease in our accounts payable and accrued expenses and customer deposits, partially offset by increased operating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Net cash used in investing activities for the nine months ended September 30, 2014 was $565.5 million compared to net cash used in investing activities of $490.6 million for the same period in 2013. During the nine months ended September 30, 2014 we had $707.1 million in capital expenditures, net of construction payables and retention, primarily for Wynn Palace construction. Net cash used in investing activities for the nine months ended September 30, 2014 was partially offset by proceeds of $199.9 million provided from restricted cash that we applied to repayment of certain Wynn Palace related construction and development costs. Capital expenditures for the nine months ended September 30, 2013 were $324.8 million and related to site preparation costs for Wynn Palace land and various renovations at our resorts including Wynn Macau guest room renovations.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Net cash flows provided by financing activities was $48.9 million for the nine months ended September 30, 2014 primarily attributable to proceeds of $825.5 million from the issuance of senior notes, partially offset by the payment of dividends of $690.4 million and open market repurchases of $68.4 million in principal of first mortgage notes. Net cash flows used in financing activities of $476.8 million for the nine months ended September 30, 2013 was primarily for the payment of dividends of $631.7 million, principal payments of $275.8 million on long-term debt and the restriction of $243.0 million for purposes of redeeming first mortgage notes. These uses of funds were offset by proceeds of $697.8 million from the issuance of senior notes.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2" w:right="25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As of September 30, 2014, we had approximately $2,890.9 million of cash and cash equivalents and $250.7 million of available-for-sale investments in domestic debt securities. Cash and cash equivalents include cash in bank and fixed deposits, investments in money market funds, domestic and foreign bank time deposits and commercial paper, all with maturities of less than 90 days. Our cash is available for operations, debt service and retirement, development activities, general corporate purposes and enhancements to our resorts. Of these amounts, Wynn Macau, Limited and its subsidiaries held $1,680.2 million in cash, of which we own 72.18%. If our portion of this cash was repatriated to the U.S. on September 30, 2014, approximately 87% of this amount would be subject to U.S. tax in the year of repatriation. Wynn Resorts, Limited, which is not a guarantor of the debt of its subsidiaries, held $862.9 million (including cash of its subsidiaries other than those of Wynn Las Vegas and Wynn Macau) and $250.7 million of cash and available-for-sale investments, respectively. Wynn Las Vegas, LLC held cash balances of $347.7 million.</w:t>
      </w:r>
    </w:p>
    <w:p>
      <w:pPr>
        <w:spacing w:after="0" w:line="179"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Our credit facilities consist of a $950 million equivalent fully funded senior secured term loan facility (the "Wynn Macau Senior Term Loan") and a $1.55 billion equivalent senior secured revolving credit facility (the "Wynn Macau Senior Revolving Credit Facility" and together with the Wynn Macau Senior Term Loan, the "Wynn Macau Credit Facilities"). Borrowings under the Wynn Macau Credit Facilities, which consist of both Hong Kong and United States dollar tranches, will be used to fund the design, development, construction and pre-opening expenses of Wynn Palace, and for general corporate purposes. As of September 30, 2014, the Company had $1.48 billion of available borrowing capacity under the Wynn Macau Senior Revolving Credit Facility.</w:t>
      </w:r>
    </w:p>
    <w:p>
      <w:pPr>
        <w:spacing w:after="0" w:line="193"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We continually seek out new opportunities for additional gaming or related businesses in the United States and worldwide. On September 17, 2014, the MGC designated Wynn MA, LLC, an indirect wholly owned subsidiary of the Company, the award winner of the Greater Boston (Region A) gaming license. On November 4, 2014, a vote upheld the expanded gaming law in Massachusetts. On November 7, 2014, the gaming license awarded to us became effective. We will develop and construct a fully integrated resort in Everett, Massachusetts.</w:t>
      </w:r>
    </w:p>
    <w:p>
      <w:pPr>
        <w:spacing w:after="0" w:line="187"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We believe that cash flow from operations, availability under our bank credit facilities and our existing cash balances will be adequate to satisfy our anticipated uses of capital over the next twelve months. If any additional financing became necessary, we cannot provide assurance that future borrowings will be available.</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Off Balance Sheet Arrangements</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September 30, 2014, we had unsecured outstanding letters of credit totaling $16.7 million.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There have been no material changes outside the ordinary course of our business during the nine months ended September 30, 2014 to our contractual obligations or off balance sheet arrangements as disclosed in our Annual Report on Form 10-K for the year ended December 31, 2013, except as discussed above under “Financing Activities.”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Liquidity Matters</w:t>
      </w:r>
    </w:p>
    <w:p>
      <w:pPr>
        <w:spacing w:after="0" w:line="225"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Wynn Resorts is a holding company and, as a result, our ability to pay dividends is highly dependent on our ability to obtain funds and our subsidiaries’ ability to provide funds to us. Restrictions imposed by our Wynn Las Vegas and Wynn Macau debt instruments restrict our ability to pay dividends. Specifically, Wynn Las Vegas, LLC and certain of its subsidiaries are restricted under the indentures governing its first mortgage notes from making certain “restricted payments” as defined in the indentures. These restricted payments include the payment of dividends or distributions to any direct or indirect holders of equity interests of Wynn Las Vegas, LLC. These restricted payments may not be made unless certain financial and non-financial criteria have been satisfied. While the Wynn Macau Credit Facilities contain similar restrictions, Wynn Macau currently satisfies all requirements, including its leverage ratio, which must be met in order to pay dividends and is presently able to pay dividends in accordance with the Wynn Macau Credit Facilities.</w:t>
      </w:r>
    </w:p>
    <w:p>
      <w:pPr>
        <w:spacing w:after="0" w:line="167"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Wynn Las Vegas, LLC intends to fund its operations and capital requirements from cash on hand and operating cash flow. We cannot assure you however, that our Las Vegas Operations will generate sufficient cash flow from operations or the availability of additional indebtedness will be sufficient to enable us to service and repay Wynn Las Vegas, LLC’s indebtedness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2" w:right="27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and to fund its other liquidity needs. Similarly, we expect that our Macau Operations will fund Wynn Resorts (Macau) S.A.’s debt service obligations with existing cash, operating cash flow and availability under the Wynn Macau Credit Facilities. However, we cannot assure you that operating cash flows will be sufficient to do so. We may refinance all or a portion of our indebtedness on or before maturity. We cannot assure you that we will be able to refinance any of the indebtedness on acceptable terms or at all.</w:t>
      </w:r>
    </w:p>
    <w:p>
      <w:pPr>
        <w:spacing w:after="0" w:line="187"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1 - "Financial Statements", Note 14 "Commitments and Contingencies".</w:t>
      </w:r>
    </w:p>
    <w:p>
      <w:pPr>
        <w:spacing w:after="0" w:line="181"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 Any repurchases might be made using a variety of methods, which may include open market purchases, privately negotiated transactions, or by any combination of those methods, in compliance with applicable securities laws and regulations.</w:t>
      </w:r>
    </w:p>
    <w:p>
      <w:pPr>
        <w:spacing w:after="0" w:line="154"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would require us to obtain additional financing. We may decide to conduct any such development through Wynn Resorts or through subsidiaries separate from the Las Vegas or Macau-related entities.</w:t>
      </w:r>
    </w:p>
    <w:p>
      <w:pPr>
        <w:spacing w:after="0" w:line="171"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Company’s articles of incorporation provide that, to the extent required by the gaming 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an unsuitable person or its affiliates are subject to redemption by the Company.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would increase our leverage ratio.</w:t>
      </w:r>
    </w:p>
    <w:p>
      <w:pPr>
        <w:spacing w:after="0" w:line="178"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On February 18, 2012, the Board of Directors of Wynn Resorts determined that Aruze USA, Inc., Universal Entertainment Corporation and Mr. Kazuo Okada are “unsuitable” under the provision of our articles of incorporation and redeemed and canceled all of Aruze USA, Inc.’s, 24,549,222 shares of Wynn Resorts’ common stock. Pursuant to our articles of incorporation, we issued the Redemption Note to Aruze USA, Inc. in redemption of the shares. For additional information on the redemption and the Redemption Note, see Note 14 “Commitments and Contingencies.”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2013. There has been no material change to these policies for the nine months ended September 30,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related disclosure at Notes to Condensed Consolidated Financial Statements, Note 2 "Summary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including risks and uncertainties in Item 1A - "Risk Factors" and other factors we describe from time to time in our periodic filings with the SEC, such as:</w:t>
      </w:r>
    </w:p>
    <w:p>
      <w:pPr>
        <w:spacing w:after="0" w:line="23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or enforcement actions and probity investigations;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violations of law by Mr. Kazuo Okada, a former shareholder of ours;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valuation of the promissory note we issued in connection with the redemption of Mr. Okada’s shares;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violations by us of the Foreign Corrupt Practices Act or applicable anti-money laundering laws;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w:t>
      </w:r>
    </w:p>
    <w:p>
      <w:pPr>
        <w:spacing w:after="0" w:line="117" w:lineRule="exact"/>
        <w:rPr>
          <w:rFonts w:ascii="Arial" w:cs="Arial" w:eastAsia="Arial" w:hAnsi="Arial"/>
          <w:sz w:val="18"/>
          <w:szCs w:val="18"/>
          <w:color w:val="auto"/>
        </w:rPr>
      </w:pPr>
    </w:p>
    <w:p>
      <w:pPr>
        <w:ind w:left="660" w:right="18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uncertainties over the development and success of new gaming and resort properties (including our ability to secure federal, state and local permits and approvals necessary for our construction projects);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tourism and trends reflecting current domestic and international economic conditions;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doing business in foreign locations such as Macau;</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gaming laws or regulations (including stricter smoking regulations in Macau);</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legalization of gaming in certain jurisdictions;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environmental regulation on management and construction of projects;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subsidiaries’ ability to pay us dividends and distributions;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relationships with Macau games promoters;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debts;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maintenance of our concession from the Macau government;</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exchange rates;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cybersecurity risk including misappropriation of customer information or other breaches of information security;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U.S. laws regarding healthcare;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federal, foreign, or state tax laws or the administration of such laws;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 and from governmental intervention in the financial markets;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117" w:lineRule="exact"/>
        <w:rPr>
          <w:rFonts w:ascii="Arial" w:cs="Arial" w:eastAsia="Arial" w:hAnsi="Arial"/>
          <w:sz w:val="18"/>
          <w:szCs w:val="18"/>
          <w:color w:val="auto"/>
        </w:rPr>
      </w:pPr>
    </w:p>
    <w:p>
      <w:pPr>
        <w:ind w:left="660" w:right="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or the impact of extreme weather patterns or a natural disaster may have on the travel and leisure industry; and</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consequences of military conflicts and any future security alerts and/or terrorist attacks.</w:t>
      </w:r>
    </w:p>
    <w:p>
      <w:pPr>
        <w:spacing w:after="0" w:line="2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ectPr>
          <w:pgSz w:w="11900" w:h="16838" w:orient="portrait"/>
          <w:cols w:equalWidth="0" w:num="1">
            <w:col w:w="11420"/>
          </w:cols>
          <w:pgMar w:left="240" w:top="122" w:right="239" w:bottom="1054"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2" w:right="239" w:bottom="1054" w:gutter="0" w:footer="0" w:header="0"/>
          <w:type w:val="continuous"/>
        </w:sectPr>
      </w:pPr>
    </w:p>
    <w:bookmarkStart w:id="44" w:name="page45"/>
    <w:bookmarkEnd w:id="4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Risks</w:t>
      </w:r>
    </w:p>
    <w:p>
      <w:pPr>
        <w:spacing w:after="0" w:line="22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Swap Information</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have entered into floating-for-fixed interest rate swap arrangements relating to certain of our floating-rate debt facilities. We measure the fair value of our interest rate swaps on a recurring basis. Changes in the fair values of our interest rate swaps for each reporting period recorded are, and will continue to be, recognized as an increase (decrease) in swap fair value in our Condensed Consolidated Statements of Income, as the swaps do not qualify for hedge accounting.</w:t>
      </w:r>
    </w:p>
    <w:p>
      <w:pPr>
        <w:spacing w:after="0" w:line="187"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We currently have three interest rate swap agreements intended to hedge a portion of the underlying interest rate risk on borrowings under our Wynn Macau Credit Facilities. Under two of the swap agreements, we pay a fixed interest rate (excluding the applicable interest margin) of 0.73% on notional amounts corresponding to borrowings of HK$3.95 billion (approximately $509.4 million) incurred under the Wynn Macau Senior Term Loan in exchange for receipts on the same amount at a variable interest rate based on the applicable HIBOR at the time of payment. These interest rate swaps fix the all-in interest rate on such amounts at 2.48% to 3.23%. These interest rate swap agreements mature in July 2017.</w:t>
      </w:r>
    </w:p>
    <w:p>
      <w:pPr>
        <w:spacing w:after="0" w:line="17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Under the third swap agreement, we pay a fixed interest rate (excluding the applicable interest margin) of 0.68% on notional amounts corresponding to borrowings of $243.8 million incurred under the Wynn Macau Senior Term Loan in exchange for receipts on the same amount at a variable-rate based on the applicable LIBOR at the time of payment. This interest rate swap fixes the all-in interest rate on such amounts at 2.43% to 3.18%. This interest rate swap agreement matures in July 2017.</w:t>
      </w:r>
    </w:p>
    <w:p>
      <w:pPr>
        <w:spacing w:after="0" w:line="18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As of September 30, 2014 and December 31, 2013, we recorded an asset of $8.9 million and $10.3 million, respectively, for our interest rate swaps in deposits and other assets.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Sensitivity</w:t>
      </w:r>
    </w:p>
    <w:p>
      <w:pPr>
        <w:spacing w:after="0" w:line="22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As of September 30, 2014, approximately 96% of our long-term debt was based on fixed rates. Based on our borrowings as of September 30, 2014, an assumed 1% change in the variable rates would cause our annual interest cost to change by $3.0 million.</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Risks</w:t>
      </w:r>
    </w:p>
    <w:p>
      <w:pPr>
        <w:spacing w:after="0" w:line="22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7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spacing w:after="0" w:line="181"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Wynn Macau’s results of operations, financial condition, and ability to service its debt. To date, we have not engaged in hedging activities intended to protect against foreign currency risk. The amount of our cash balances that are denominated in foreign currencies, primarily the Hong Kong dollar, can change significantly, representing approximately 12% of our September 30, 2014 cash balances. Based on our balances at September 30, 2014, an assumed 1% change in the dollar/Hong Kong dollar exchange rate would cause a foreign currency transaction gain/loss of approximately $6.3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firstLine="440"/>
        <w:spacing w:after="0" w:line="269" w:lineRule="auto"/>
        <w:tabs>
          <w:tab w:leader="none" w:pos="677"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Disclosure Controls and Procedures</w:t>
      </w:r>
      <w:r>
        <w:rPr>
          <w:rFonts w:ascii="Arial" w:cs="Arial" w:eastAsia="Arial" w:hAnsi="Arial"/>
          <w:sz w:val="17"/>
          <w:szCs w:val="17"/>
          <w:color w:val="auto"/>
        </w:rPr>
        <w:t>. The Company’s management, with the participation of the Company’s Chief Executive Officer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82" w:lineRule="exact"/>
        <w:rPr>
          <w:rFonts w:ascii="Arial" w:cs="Arial" w:eastAsia="Arial" w:hAnsi="Arial"/>
          <w:sz w:val="17"/>
          <w:szCs w:val="17"/>
          <w:color w:val="auto"/>
        </w:rPr>
      </w:pPr>
    </w:p>
    <w:p>
      <w:pPr>
        <w:jc w:val="both"/>
        <w:ind w:right="60" w:firstLine="440"/>
        <w:spacing w:after="0" w:line="264" w:lineRule="auto"/>
        <w:tabs>
          <w:tab w:leader="none" w:pos="687"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r>
        <w:rPr>
          <w:rFonts w:ascii="Arial" w:cs="Arial" w:eastAsia="Arial" w:hAnsi="Arial"/>
          <w:sz w:val="18"/>
          <w:szCs w:val="18"/>
          <w:color w:val="auto"/>
        </w:rPr>
        <w:t>. There were no changes in our internal control over financial reporting (as such term is defined in Rules</w:t>
      </w:r>
      <w:r>
        <w:rPr>
          <w:rFonts w:ascii="Arial" w:cs="Arial" w:eastAsia="Arial" w:hAnsi="Arial"/>
          <w:sz w:val="18"/>
          <w:szCs w:val="18"/>
          <w:i w:val="1"/>
          <w:iCs w:val="1"/>
          <w:color w:val="auto"/>
        </w:rPr>
        <w:t xml:space="preserve"> </w:t>
      </w:r>
      <w:r>
        <w:rPr>
          <w:rFonts w:ascii="Arial" w:cs="Arial" w:eastAsia="Arial" w:hAnsi="Arial"/>
          <w:sz w:val="18"/>
          <w:szCs w:val="18"/>
          <w:color w:val="auto"/>
        </w:rPr>
        <w:t>13a-15(f) and 15d-15(f) under the Exchange Act) during the quarter to which this report relates that materially affected, or are reasonably likely to materially affect, our internal control over financial reporting.</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122" w:right="27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Notes to Condensed Consolidated Financial Statements, Note 14 “Commitments and Contingencies” in this Quarterly Report on Form 10-Q</w:t>
      </w:r>
    </w:p>
    <w:p>
      <w:pPr>
        <w:spacing w:after="0" w:line="18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July 2014, Wynn Resorts (Macau) S.A., an indirect subsidiary of Wynn Macau Limited, was contacted by the Macau Commission Against Corruption of Macau (“CCAC”) requesting certain information related to its land in the Cotai area of Macau. Wynn Resorts (Macau) S.A. is cooperating with CCAC's request.</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 description of our risk factors can be found in Item 1A of our Annual Report on Form 10-K for the year ended December 31, 2013. There were no material changes to those risk factors during the nine months ended September 30, 2014.</w:t>
      </w:r>
    </w:p>
    <w:p>
      <w:pPr>
        <w:spacing w:after="0" w:line="24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Dividend Restrictions</w:t>
      </w:r>
    </w:p>
    <w:p>
      <w:pPr>
        <w:spacing w:after="0" w:line="22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On January 30, 2014, we announced a cash dividend of $1.25 per share under our Board approved quarterly cash dividend program. The cash dividend was paid on February 27, 2014 to stockholders of record as of February 13, 2014. On May 1, 2014 the Company announced a cash dividend of $1.25 per share, paid on May 29, 2014 to stockholders of record as of May 15, 2014. On July 29, 2014 the Company announced a cash dividend of $1.25, per share, payable on August 26, 2014 to stockholders of record on August 12, 2014. On October 28, 2014, the Company announced a cash dividend of $2.50 per share, payable on November 25, 2014 to stockholders of record on November 12, 2014. The cash dividend announced on October 28, 2014 includes our new quarterly dividend of $1.50 per share and an additional cash dividend of $1.00 per share.</w:t>
      </w:r>
    </w:p>
    <w:p>
      <w:pPr>
        <w:spacing w:after="0" w:line="178"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Wynn Resorts is a holding company and, as a result, our ability to pay dividends is dependent on our ability to obtain funds and our subsidiaries’ ability to provide funds to us. Restrictions imposed by our subsidiaries’ debt instruments significantly restrict certain key subsidiaries holding a majority of our assets, including Wynn Las Vegas, LLC and Wynn Resorts (Macau) S.A. from making dividends or distributions to Wynn Resorts. Specifically, Wynn Las Vegas, LLC and certain of its subsidiaries are restricted under the indentures governing its first mortgage notes from making certain “restricted payments” as defined in the indentures. These restricted payments include the payment of dividends or distributions to any direct or indirect holders of equity interests of Wynn Las Vegas, LLC. Restricted payments cannot be made unless certain financial and non-financial criteria have been satisfied. While the Wynn Macau Credit Facilities contain similar restrictions, Wynn Macau currently satisfies all requirements, including its leverage ratio, which be met in order to pay dividends and is presently able to pay dividends in accordance with the Wynn Macau Credit Facilities. On March 28, 2014, the Wynn Macau, Limited Board of Directors recommended the payment of a HK$0.98 per share dividend that was approved by the shareholders of Wynn Macau, Limited at their annual meeting on May 15, 2014 and subsequently paid on June 6, 2014. On August 21, 2014, the Wynn Macau, Limited Board of Directors approved a dividend of HK$0.70 per share that was paid on September 23, 2014.</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In September 2014, we repurchased 547 shares in satisfaction of tax withholding obligations on vested restricted stock, at an average price of $184.71 per share, for a total expenditure of $0.1 million.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122" w:right="27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p>
      <w:pPr>
        <w:ind w:left="820" w:hanging="65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Exhibits</w:t>
      </w: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35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60"/>
        <w:spacing w:after="0"/>
        <w:tabs>
          <w:tab w:leader="none" w:pos="10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829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14" w:lineRule="exact"/>
        <w:rPr>
          <w:sz w:val="20"/>
          <w:szCs w:val="20"/>
          <w:color w:val="auto"/>
        </w:rPr>
      </w:pPr>
    </w:p>
    <w:p>
      <w:pPr>
        <w:ind w:left="680"/>
        <w:spacing w:after="0"/>
        <w:tabs>
          <w:tab w:leader="none" w:pos="10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Second Amended and Restated Articles of Incorporation of the Registrant. (1)</w:t>
      </w:r>
    </w:p>
    <w:p>
      <w:pPr>
        <w:spacing w:after="0" w:line="77" w:lineRule="exact"/>
        <w:rPr>
          <w:sz w:val="20"/>
          <w:szCs w:val="20"/>
          <w:color w:val="auto"/>
        </w:rPr>
      </w:pPr>
    </w:p>
    <w:p>
      <w:pPr>
        <w:ind w:left="680"/>
        <w:spacing w:after="0"/>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Seventh Amended and Restated Bylaws of the Registrant, as amended. (2)</w:t>
      </w:r>
    </w:p>
    <w:p>
      <w:pPr>
        <w:spacing w:after="0" w:line="63" w:lineRule="exact"/>
        <w:rPr>
          <w:sz w:val="20"/>
          <w:szCs w:val="20"/>
          <w:color w:val="auto"/>
        </w:rPr>
      </w:pPr>
    </w:p>
    <w:p>
      <w:pPr>
        <w:ind w:left="1080" w:right="3640" w:hanging="580"/>
        <w:spacing w:after="0" w:line="277" w:lineRule="auto"/>
        <w:tabs>
          <w:tab w:leader="none" w:pos="1060" w:val="left"/>
        </w:tabs>
        <w:rPr>
          <w:sz w:val="20"/>
          <w:szCs w:val="20"/>
          <w:color w:val="auto"/>
        </w:rPr>
      </w:pPr>
      <w:r>
        <w:rPr>
          <w:rFonts w:ascii="Arial" w:cs="Arial" w:eastAsia="Arial" w:hAnsi="Arial"/>
          <w:sz w:val="18"/>
          <w:szCs w:val="18"/>
          <w:color w:val="auto"/>
        </w:rPr>
        <w:t>*31.1</w:t>
        <w:tab/>
        <w:t>Certification of Chief Executive Officer of Periodic Report Pursuant to Rule 13a – 14(a) and Rule 15d – 14(a).</w:t>
      </w:r>
    </w:p>
    <w:p>
      <w:pPr>
        <w:spacing w:after="0" w:line="8" w:lineRule="exact"/>
        <w:rPr>
          <w:sz w:val="20"/>
          <w:szCs w:val="20"/>
          <w:color w:val="auto"/>
        </w:rPr>
      </w:pPr>
    </w:p>
    <w:p>
      <w:pPr>
        <w:ind w:left="1080" w:right="3700" w:hanging="580"/>
        <w:spacing w:after="0" w:line="277" w:lineRule="auto"/>
        <w:tabs>
          <w:tab w:leader="none" w:pos="1060" w:val="left"/>
        </w:tabs>
        <w:rPr>
          <w:sz w:val="20"/>
          <w:szCs w:val="20"/>
          <w:color w:val="auto"/>
        </w:rPr>
      </w:pPr>
      <w:r>
        <w:rPr>
          <w:rFonts w:ascii="Arial" w:cs="Arial" w:eastAsia="Arial" w:hAnsi="Arial"/>
          <w:sz w:val="18"/>
          <w:szCs w:val="18"/>
          <w:color w:val="auto"/>
        </w:rPr>
        <w:t>*31.2</w:t>
        <w:tab/>
        <w:t>Certification of Chief Financial Officer of Periodic Report Pursuant to Rule 13a – 14(a) and Rule 15d – 14(a).</w:t>
      </w:r>
    </w:p>
    <w:p>
      <w:pPr>
        <w:spacing w:after="0" w:line="8"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Certification of CEO and CFO Pursuant to 18 U.S.C. Section 1350.</w:t>
      </w:r>
    </w:p>
    <w:p>
      <w:pPr>
        <w:spacing w:after="0" w:line="63" w:lineRule="exact"/>
        <w:rPr>
          <w:sz w:val="20"/>
          <w:szCs w:val="20"/>
          <w:color w:val="auto"/>
        </w:rPr>
      </w:pPr>
    </w:p>
    <w:p>
      <w:pPr>
        <w:ind w:left="1080" w:hanging="539"/>
        <w:spacing w:after="0" w:line="255" w:lineRule="auto"/>
        <w:tabs>
          <w:tab w:leader="none" w:pos="1060" w:val="left"/>
        </w:tabs>
        <w:rPr>
          <w:sz w:val="20"/>
          <w:szCs w:val="20"/>
          <w:color w:val="auto"/>
        </w:rPr>
      </w:pPr>
      <w:r>
        <w:rPr>
          <w:rFonts w:ascii="Arial" w:cs="Arial" w:eastAsia="Arial" w:hAnsi="Arial"/>
          <w:sz w:val="18"/>
          <w:szCs w:val="18"/>
          <w:color w:val="auto"/>
        </w:rPr>
        <w:t>*101</w:t>
        <w:tab/>
        <w:t>The following financial information from the Company's Quarterly Report on Form 10-Q for the quarter ended September 30, 2014, filed with the SEC on November 7, 2014 formatted in Extensible Business Reporting Language (XBRL): (i) the Condensed Consolidated Balance Sheets at September 30, 2014 and December 31, 2013, (ii) the Condensed Consolidated Statements of Income for the three and nine months ended September 30, 2014 and 2013, (iii) the Condensed Consolidated Statements of Comprehensive Income for the three and nine months ended September 30, 2014 and 2013, (iv) the Condensed Consolidated Statements of Cash Flows for the nine months ended September 30, 2014 and 2013, (v) the Condensed Consolidated Statement of Stockholders’ Equity at September 30, 2014 and (vi) Notes to Condensed Consolidated Financial Statements.</w:t>
      </w:r>
    </w:p>
    <w:p>
      <w:pPr>
        <w:spacing w:after="0" w:line="21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Wynn Resorts, Limited agrees to furnish to the U.S. Securities and Exchange Commission, upon request, a copy of each agreement with respect to long-term debt not filed herewith in reliance upon the exemption from filing applicable to any series of debt which does not exceed 10% of the total consolidated assets of the company.</w:t>
      </w:r>
    </w:p>
    <w:p>
      <w:pPr>
        <w:spacing w:after="0" w:line="235"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4701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ind w:left="500" w:right="180" w:hanging="492"/>
        <w:spacing w:after="0" w:line="250"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 and incorporated herein by reference.</w:t>
      </w: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with Form 10-Q on August 8, 2014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122" w:right="27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November 7,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Stephen Cootey</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780"/>
          </w:cols>
          <w:pgMar w:left="240" w:top="122" w:right="87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171" w:lineRule="exact"/>
        <w:rPr>
          <w:sz w:val="20"/>
          <w:szCs w:val="20"/>
          <w:color w:val="auto"/>
        </w:rPr>
      </w:pPr>
    </w:p>
    <w:p>
      <w:pPr>
        <w:ind w:left="820" w:hanging="812"/>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71" w:lineRule="exact"/>
        <w:rPr>
          <w:rFonts w:ascii="Arial" w:cs="Arial" w:eastAsia="Arial" w:hAnsi="Arial"/>
          <w:sz w:val="18"/>
          <w:szCs w:val="18"/>
          <w:color w:val="auto"/>
        </w:rPr>
      </w:pPr>
    </w:p>
    <w:p>
      <w:pPr>
        <w:jc w:val="both"/>
        <w:ind w:left="820" w:right="140" w:hanging="812"/>
        <w:spacing w:after="0" w:line="264"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820" w:right="100" w:hanging="812"/>
        <w:spacing w:after="0" w:line="308" w:lineRule="auto"/>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820" w:right="120" w:hanging="812"/>
        <w:spacing w:after="0" w:line="264"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802"/>
        <w:spacing w:after="0" w:line="286" w:lineRule="auto"/>
        <w:tabs>
          <w:tab w:leader="none" w:pos="16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802"/>
        <w:spacing w:after="0" w:line="264"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802"/>
        <w:spacing w:after="0" w:line="342" w:lineRule="auto"/>
        <w:tabs>
          <w:tab w:leader="none" w:pos="16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802"/>
        <w:spacing w:after="0" w:line="264"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820" w:right="20" w:hanging="812"/>
        <w:spacing w:after="0" w:line="308" w:lineRule="auto"/>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620" w:right="300" w:hanging="802"/>
        <w:spacing w:after="0" w:line="342" w:lineRule="auto"/>
        <w:tabs>
          <w:tab w:leader="none" w:pos="16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802"/>
        <w:spacing w:after="0" w:line="277"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2014</w:t>
      </w:r>
    </w:p>
    <w:p>
      <w:pPr>
        <w:spacing w:after="0" w:line="25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Stephen A. Wynn</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Chairman of the Board and</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66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Stephen Cootey, certify that:</w:t>
      </w:r>
    </w:p>
    <w:p>
      <w:pPr>
        <w:spacing w:after="0" w:line="171" w:lineRule="exact"/>
        <w:rPr>
          <w:sz w:val="20"/>
          <w:szCs w:val="20"/>
          <w:color w:val="auto"/>
        </w:rPr>
      </w:pPr>
    </w:p>
    <w:p>
      <w:pPr>
        <w:ind w:left="820" w:hanging="812"/>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71" w:lineRule="exact"/>
        <w:rPr>
          <w:rFonts w:ascii="Arial" w:cs="Arial" w:eastAsia="Arial" w:hAnsi="Arial"/>
          <w:sz w:val="18"/>
          <w:szCs w:val="18"/>
          <w:color w:val="auto"/>
        </w:rPr>
      </w:pPr>
    </w:p>
    <w:p>
      <w:pPr>
        <w:jc w:val="both"/>
        <w:ind w:left="820" w:right="140" w:hanging="812"/>
        <w:spacing w:after="0" w:line="264"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820" w:right="100" w:hanging="812"/>
        <w:spacing w:after="0" w:line="308" w:lineRule="auto"/>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820" w:right="120" w:hanging="812"/>
        <w:spacing w:after="0" w:line="264"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802"/>
        <w:spacing w:after="0" w:line="286" w:lineRule="auto"/>
        <w:tabs>
          <w:tab w:leader="none" w:pos="16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802"/>
        <w:spacing w:after="0" w:line="264"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802"/>
        <w:spacing w:after="0" w:line="342" w:lineRule="auto"/>
        <w:tabs>
          <w:tab w:leader="none" w:pos="16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802"/>
        <w:spacing w:after="0" w:line="264"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820" w:right="20" w:hanging="812"/>
        <w:spacing w:after="0" w:line="308" w:lineRule="auto"/>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620" w:right="300" w:hanging="802"/>
        <w:spacing w:after="0" w:line="342" w:lineRule="auto"/>
        <w:tabs>
          <w:tab w:leader="none" w:pos="16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802"/>
        <w:spacing w:after="0" w:line="277"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2014</w:t>
      </w:r>
    </w:p>
    <w:p>
      <w:pPr>
        <w:spacing w:after="0" w:line="25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Stephen Cootey</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66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September 30, 2014 as filed with the Securities and Exchange Commission on the date hereof (the “Report”), Stephen A. Wynn, as Chief Executive Officer of the Company and Stephen Cootey, as Chief Financial Officer of the Company, each hereby certifies, pursuant to 18 U.S.C. Section 1350, as adopted pursuant to Section 906 of the Sarbanes-Oxley Act of 2002, that, to the best of his knowledge:</w:t>
      </w:r>
    </w:p>
    <w:p>
      <w:pPr>
        <w:spacing w:after="0" w:line="133"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9878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340"/>
              <w:spacing w:after="0"/>
              <w:rPr>
                <w:sz w:val="20"/>
                <w:szCs w:val="20"/>
                <w:color w:val="auto"/>
              </w:rPr>
            </w:pPr>
            <w:r>
              <w:rPr>
                <w:rFonts w:ascii="Arial" w:cs="Arial" w:eastAsia="Arial" w:hAnsi="Arial"/>
                <w:sz w:val="18"/>
                <w:szCs w:val="18"/>
                <w:color w:val="auto"/>
              </w:rPr>
              <w:t>Stephen A. Wynn</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340"/>
              <w:spacing w:after="0"/>
              <w:rPr>
                <w:sz w:val="20"/>
                <w:szCs w:val="20"/>
                <w:color w:val="auto"/>
              </w:rPr>
            </w:pPr>
            <w:r>
              <w:rPr>
                <w:rFonts w:ascii="Arial" w:cs="Arial" w:eastAsia="Arial" w:hAnsi="Arial"/>
                <w:sz w:val="18"/>
                <w:szCs w:val="18"/>
                <w:color w:val="auto"/>
              </w:rPr>
              <w:t>Chairman of the Board and Chief Executive Officer</w:t>
            </w:r>
          </w:p>
        </w:tc>
      </w:tr>
      <w:tr>
        <w:trPr>
          <w:trHeight w:val="270"/>
        </w:trPr>
        <w:tc>
          <w:tcPr>
            <w:tcW w:w="840" w:type="dxa"/>
            <w:vAlign w:val="bottom"/>
          </w:tcPr>
          <w:p>
            <w:pPr>
              <w:spacing w:after="0"/>
              <w:rPr>
                <w:sz w:val="23"/>
                <w:szCs w:val="23"/>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(Principal Executive Officer)</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340"/>
              <w:spacing w:after="0"/>
              <w:rPr>
                <w:sz w:val="20"/>
                <w:szCs w:val="20"/>
                <w:color w:val="auto"/>
              </w:rPr>
            </w:pPr>
            <w:r>
              <w:rPr>
                <w:rFonts w:ascii="Arial" w:cs="Arial" w:eastAsia="Arial" w:hAnsi="Arial"/>
                <w:sz w:val="18"/>
                <w:szCs w:val="18"/>
                <w:color w:val="auto"/>
              </w:rPr>
              <w:t>November 7, 2014</w:t>
            </w:r>
          </w:p>
        </w:tc>
      </w:tr>
      <w:tr>
        <w:trPr>
          <w:trHeight w:val="405"/>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/s/ Stephen Cootey</w:t>
            </w:r>
          </w:p>
        </w:tc>
      </w:tr>
      <w:tr>
        <w:trPr>
          <w:trHeight w:val="27"/>
        </w:trPr>
        <w:tc>
          <w:tcPr>
            <w:tcW w:w="84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340"/>
              <w:spacing w:after="0"/>
              <w:rPr>
                <w:sz w:val="20"/>
                <w:szCs w:val="20"/>
                <w:color w:val="auto"/>
              </w:rPr>
            </w:pPr>
            <w:r>
              <w:rPr>
                <w:rFonts w:ascii="Arial" w:cs="Arial" w:eastAsia="Arial" w:hAnsi="Arial"/>
                <w:sz w:val="18"/>
                <w:szCs w:val="18"/>
                <w:color w:val="auto"/>
              </w:rPr>
              <w:t>Stephen Cootey</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340"/>
              <w:spacing w:after="0"/>
              <w:rPr>
                <w:sz w:val="20"/>
                <w:szCs w:val="20"/>
                <w:color w:val="auto"/>
              </w:rPr>
            </w:pPr>
            <w:r>
              <w:rPr>
                <w:rFonts w:ascii="Arial" w:cs="Arial" w:eastAsia="Arial" w:hAnsi="Arial"/>
                <w:sz w:val="18"/>
                <w:szCs w:val="18"/>
                <w:color w:val="auto"/>
              </w:rPr>
              <w:t>Chief Financial Officer and Treasurer</w:t>
            </w:r>
          </w:p>
        </w:tc>
      </w:tr>
      <w:tr>
        <w:trPr>
          <w:trHeight w:val="270"/>
        </w:trPr>
        <w:tc>
          <w:tcPr>
            <w:tcW w:w="840" w:type="dxa"/>
            <w:vAlign w:val="bottom"/>
          </w:tcPr>
          <w:p>
            <w:pPr>
              <w:spacing w:after="0"/>
              <w:rPr>
                <w:sz w:val="23"/>
                <w:szCs w:val="23"/>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(Principal Financial and Accounting Officer)</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340"/>
              <w:spacing w:after="0"/>
              <w:rPr>
                <w:sz w:val="20"/>
                <w:szCs w:val="20"/>
                <w:color w:val="auto"/>
              </w:rPr>
            </w:pPr>
            <w:r>
              <w:rPr>
                <w:rFonts w:ascii="Arial" w:cs="Arial" w:eastAsia="Arial" w:hAnsi="Arial"/>
                <w:sz w:val="18"/>
                <w:szCs w:val="18"/>
                <w:color w:val="auto"/>
              </w:rPr>
              <w:t>November 7, 2014</w:t>
            </w:r>
          </w:p>
        </w:tc>
      </w:tr>
    </w:tbl>
    <w:p>
      <w:pPr>
        <w:spacing w:after="0" w:line="94"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3"/>
    </w:lvl>
  </w:abstractNum>
  <w:abstractNum w:abstractNumId="3">
    <w:nsid w:val="66EF438D"/>
    <w:multiLevelType w:val="hybridMultilevel"/>
    <w:lvl w:ilvl="0">
      <w:lvlJc w:val="left"/>
      <w:lvlText w:val="(%1)"/>
      <w:numFmt w:val="decimal"/>
      <w:start w:val="3"/>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2019-12-07T03:19:17Z</dcterms:created>
  <dcterms:modified xsi:type="dcterms:W3CDTF">2019-12-07T03:19:17Z</dcterms:modified>
</cp:coreProperties>
</file>