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Billings Craig Scott</w:t>
              </w:r>
            </w:hyperlink>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4"/>
            <w:vMerge w:val="continue"/>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tcBorders>
              <w:bottom w:val="single" w:sz="8" w:color="0000EE"/>
            </w:tcBorders>
            <w:gridSpan w:val="4"/>
            <w:vMerge w:val="continue"/>
          </w:tcPr>
          <w:p>
            <w:pPr>
              <w:spacing w:after="0"/>
              <w:rPr>
                <w:sz w:val="5"/>
                <w:szCs w:val="5"/>
                <w:color w:val="auto"/>
              </w:rPr>
            </w:pPr>
          </w:p>
        </w:tc>
        <w:tc>
          <w:tcPr>
            <w:tcW w:w="600" w:type="dxa"/>
            <w:vAlign w:val="bottom"/>
            <w:vMerge w:val="restart"/>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gridSpan w:val="4"/>
          </w:tcPr>
          <w:p>
            <w:pPr>
              <w:spacing w:after="0"/>
              <w:rPr>
                <w:sz w:val="4"/>
                <w:szCs w:val="4"/>
                <w:color w:val="auto"/>
              </w:rPr>
            </w:pPr>
          </w:p>
        </w:tc>
        <w:tc>
          <w:tcPr>
            <w:tcW w:w="6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6"/>
                <w:szCs w:val="6"/>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restart"/>
          </w:tcPr>
          <w:p>
            <w:pPr>
              <w:ind w:left="140"/>
              <w:spacing w:after="0" w:line="133" w:lineRule="exact"/>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line="13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6"/>
            <w:vMerge w:val="continue"/>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80" w:type="dxa"/>
            <w:vAlign w:val="bottom"/>
            <w:gridSpan w:val="2"/>
            <w:vMerge w:val="restart"/>
          </w:tcPr>
          <w:p>
            <w:pPr>
              <w:ind w:left="560"/>
              <w:spacing w:after="0"/>
              <w:rPr>
                <w:sz w:val="20"/>
                <w:szCs w:val="20"/>
                <w:color w:val="auto"/>
              </w:rPr>
            </w:pPr>
            <w:r>
              <w:rPr>
                <w:rFonts w:ascii="Arial" w:cs="Arial" w:eastAsia="Arial" w:hAnsi="Arial"/>
                <w:sz w:val="17"/>
                <w:szCs w:val="17"/>
                <w:color w:val="0000FF"/>
              </w:rPr>
              <w:t>CFO</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11/09/2021</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8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NV</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4"/>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20"/>
          </w:tcPr>
          <w:p>
            <w:pPr>
              <w:ind w:left="3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40" w:type="dxa"/>
            <w:vAlign w:val="bottom"/>
            <w:tcBorders>
              <w:bottom w:val="single" w:sz="8" w:color="2C2C2C"/>
            </w:tcBorders>
            <w:gridSpan w:val="5"/>
          </w:tcPr>
          <w:p>
            <w:pPr>
              <w:jc w:val="right"/>
              <w:ind w:right="55"/>
              <w:spacing w:after="0"/>
              <w:rPr>
                <w:sz w:val="20"/>
                <w:szCs w:val="20"/>
                <w:color w:val="auto"/>
              </w:rPr>
            </w:pPr>
            <w:r>
              <w:rPr>
                <w:rFonts w:ascii="Arial" w:cs="Arial" w:eastAsia="Arial" w:hAnsi="Arial"/>
                <w:sz w:val="17"/>
                <w:szCs w:val="17"/>
                <w:color w:val="0000FF"/>
              </w:rPr>
              <w:t>11/09/2021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52,715</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146,405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59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shares of common stock, par value $0.01 per share, of Wynn Resorts, Limited granted pursuant to the Company's Amended and Restated 2014 Omnibus Incentive Plan, in connection with an employment agreement executed on November 9, 2021. Vesting of the shares is conditioned on continued service through November 9, 2024, with 1/3 of the shares vesting on each of the three anniversary dates from the date of the grant; provided that if the reporting person's employment with the Company is terminated, certain accelerated vesting provisions may apply.</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Craig</w:t>
      </w:r>
      <w:r>
        <w:rPr>
          <w:sz w:val="20"/>
          <w:szCs w:val="20"/>
          <w:color w:val="auto"/>
        </w:rPr>
        <w:tab/>
      </w:r>
      <w:r>
        <w:rPr>
          <w:rFonts w:ascii="Arial" w:cs="Arial" w:eastAsia="Arial" w:hAnsi="Arial"/>
          <w:sz w:val="15"/>
          <w:szCs w:val="15"/>
          <w:color w:val="0000FF"/>
        </w:rPr>
        <w:t>11/12/2021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Scott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1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0198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99174"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2021-11-13T00:43:09Z</dcterms:created>
  <dcterms:modified xsi:type="dcterms:W3CDTF">2021-11-13T00:43:09Z</dcterms:modified>
</cp:coreProperties>
</file>