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ind w:left="8100"/>
        <w:spacing w:after="0"/>
        <w:rPr>
          <w:sz w:val="20"/>
          <w:szCs w:val="20"/>
          <w:color w:val="auto"/>
        </w:rPr>
      </w:pPr>
      <w:r>
        <w:rPr>
          <w:rFonts w:ascii="Arial" w:cs="Arial" w:eastAsia="Arial" w:hAnsi="Arial"/>
          <w:sz w:val="15"/>
          <w:szCs w:val="15"/>
          <w:b w:val="1"/>
          <w:bCs w:val="1"/>
          <w:color w:val="auto"/>
        </w:rPr>
        <w:t>Registration Nos. 333-111064, 333-111064-01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6% Convertible Subordinated Debentures due 2015 and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Shares of Common Stock Issuable Upon Conversion of the Debentures</w:t>
      </w:r>
    </w:p>
    <w:p>
      <w:pPr>
        <w:spacing w:after="0" w:line="148"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color w:val="auto"/>
        </w:rPr>
        <w:t>On July 7, 2003, Wynn Resorts, Limited consummated a private offering of $200 million aggregate principal amount of its 6% Convertible Subordinated Debentures due 2015. Subsequently, on July 30, 2003, Wynn Resorts, Limited completed the sale of an additional $50 million aggregate principal amount of the debentures as a result of the full exercise of an option granted to the initial purchasers. Selling securityholders will use this prospectus to resell the debentures, the guarantees associated with the debentures and the shares of our common stock issuable upon conversion of the debentures.</w:t>
      </w:r>
    </w:p>
    <w:p>
      <w:pPr>
        <w:spacing w:after="0" w:line="99" w:lineRule="exact"/>
        <w:rPr>
          <w:sz w:val="24"/>
          <w:szCs w:val="24"/>
          <w:color w:val="auto"/>
        </w:rPr>
      </w:pPr>
    </w:p>
    <w:p>
      <w:pPr>
        <w:ind w:right="260" w:firstLine="456"/>
        <w:spacing w:after="0" w:line="306" w:lineRule="auto"/>
        <w:rPr>
          <w:sz w:val="20"/>
          <w:szCs w:val="20"/>
          <w:color w:val="auto"/>
        </w:rPr>
      </w:pPr>
      <w:r>
        <w:rPr>
          <w:rFonts w:ascii="Arial" w:cs="Arial" w:eastAsia="Arial" w:hAnsi="Arial"/>
          <w:sz w:val="16"/>
          <w:szCs w:val="16"/>
          <w:color w:val="auto"/>
        </w:rPr>
        <w:t>The debentures bear interest at a rate of 6% per annum. We will pay interest on the debentures on July 15 and January 15 of each year. The debentures mature on July 15, 2015. We may not redeem the debentures prior to July 20, 2007. The debentures have been issued only in denominations of $1,000 and any integral multiple thereof. Holders may require us to repurchase the debentures for cash upon a change of control.</w:t>
      </w:r>
    </w:p>
    <w:p>
      <w:pPr>
        <w:spacing w:after="0" w:line="93" w:lineRule="exact"/>
        <w:rPr>
          <w:sz w:val="24"/>
          <w:szCs w:val="24"/>
          <w:color w:val="auto"/>
        </w:rPr>
      </w:pPr>
    </w:p>
    <w:p>
      <w:pPr>
        <w:ind w:right="20" w:firstLine="456"/>
        <w:spacing w:after="0" w:line="290" w:lineRule="auto"/>
        <w:rPr>
          <w:sz w:val="20"/>
          <w:szCs w:val="20"/>
          <w:color w:val="auto"/>
        </w:rPr>
      </w:pPr>
      <w:r>
        <w:rPr>
          <w:rFonts w:ascii="Arial" w:cs="Arial" w:eastAsia="Arial" w:hAnsi="Arial"/>
          <w:sz w:val="16"/>
          <w:szCs w:val="16"/>
          <w:color w:val="auto"/>
        </w:rPr>
        <w:t>After the original issuance of the debentures, we contributed a portion of the proceeds from the sale of the debentures to our wholly owned subsidiary, Wynn Resorts Funding, LLC (the “Guarantor”), which purchased and pledged as security for the debentures U.S. government securities in an amount sufficient to pay scheduled interest payments on the debentures up to and including July 15, 2006. We also pledged the membership interests of the Guarantor to secure our obligations under the indenture governing the debentures. Other than these pledges of U.S. government securities and membership interests of the Guarantor, the debentures are our subordinated unsecured obligations and are junior in right of payment to all existing and future senior debt of Wynn Resorts. At March 31, 2004, Wynn Resorts had $1.6 billion of senior indebtedness outstanding, including $1 billion available for borrowing under our credit facilities and $150.5 million available for borrowing under our FF&amp;E facility.</w:t>
      </w:r>
    </w:p>
    <w:p>
      <w:pPr>
        <w:spacing w:after="0" w:line="105" w:lineRule="exact"/>
        <w:rPr>
          <w:sz w:val="24"/>
          <w:szCs w:val="24"/>
          <w:color w:val="auto"/>
        </w:rPr>
      </w:pPr>
    </w:p>
    <w:p>
      <w:pPr>
        <w:ind w:right="100" w:firstLine="456"/>
        <w:spacing w:after="0" w:line="298" w:lineRule="auto"/>
        <w:rPr>
          <w:sz w:val="20"/>
          <w:szCs w:val="20"/>
          <w:color w:val="auto"/>
        </w:rPr>
      </w:pPr>
      <w:r>
        <w:rPr>
          <w:rFonts w:ascii="Arial" w:cs="Arial" w:eastAsia="Arial" w:hAnsi="Arial"/>
          <w:sz w:val="16"/>
          <w:szCs w:val="16"/>
          <w:color w:val="auto"/>
        </w:rPr>
        <w:t>The debentures are convertible at any time before the maturity date into shares of our common stock at an initial conversion price of $23.00 per share. The conversion price is subject to certain adjustments upon the occurrence of specified events. The initial conversion price is equivalent to a conversion rate of approximately 43.4782 shares per $1,000 principal amount of debentures. Our common stock is quoted on The Nasdaq National Market under the symbol “WYNN.” The last reported bid price of our common stock on May 26, 2004 was $39.00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420" w:firstLine="456"/>
        <w:spacing w:after="0" w:line="256"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the debentures and our common stock issuable upon conversion of the debentures involves risks. See “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000000"/>
        </w:rPr>
        <w:t>”</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beginning on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not receive any of the proceeds from the sale of the debentures or the shares of common stock by the selling securityholders. The debentures and the shares of common stock may be offered by the selling securityholders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w:t>
      </w:r>
    </w:p>
    <w:p>
      <w:pPr>
        <w:spacing w:after="0" w:line="93" w:lineRule="exact"/>
        <w:rPr>
          <w:sz w:val="24"/>
          <w:szCs w:val="24"/>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debentures offered hereby or the shares of our common stock issuable upon conversion of the debentures. Any representation to the contrary is unlawful.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May 27,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200" w:type="dxa"/>
            <w:vAlign w:val="bottom"/>
            <w:gridSpan w:val="4"/>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THE OFFERING</w:t>
              </w:r>
            </w:hyperlink>
          </w:p>
        </w:tc>
        <w:tc>
          <w:tcPr>
            <w:tcW w:w="5660" w:type="dxa"/>
            <w:vAlign w:val="bottom"/>
            <w:gridSpan w:val="1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RATIO OF EARNINGS TO FIXED CHARGES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USE OF PROCEEDS</w:t>
              </w:r>
            </w:hyperlink>
          </w:p>
        </w:tc>
        <w:tc>
          <w:tcPr>
            <w:tcW w:w="350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DEBENTURES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DESCRIPTION OF CAPITAL STOCK</w:t>
              </w:r>
            </w:hyperlink>
          </w:p>
        </w:tc>
        <w:tc>
          <w:tcPr>
            <w:tcW w:w="3940" w:type="dxa"/>
            <w:vAlign w:val="bottom"/>
            <w:gridSpan w:val="6"/>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UNITED STATES FEDERAL INCOME TAX CONSEQUENCES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SELLING SECURITYHOLDERS</w:t>
              </w:r>
            </w:hyperlink>
          </w:p>
        </w:tc>
        <w:tc>
          <w:tcPr>
            <w:tcW w:w="2240" w:type="dxa"/>
            <w:vAlign w:val="bottom"/>
            <w:tcBorders>
              <w:top w:val="single" w:sz="8" w:color="0000EE"/>
            </w:tcBorders>
            <w:gridSpan w:val="7"/>
          </w:tcPr>
          <w:p>
            <w:pPr>
              <w:spacing w:after="0"/>
              <w:rPr>
                <w:sz w:val="17"/>
                <w:szCs w:val="17"/>
                <w:color w:val="auto"/>
              </w:rPr>
            </w:pPr>
          </w:p>
        </w:tc>
        <w:tc>
          <w:tcPr>
            <w:tcW w:w="2220" w:type="dxa"/>
            <w:vAlign w:val="bottom"/>
            <w:gridSpan w:val="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4920" w:type="dxa"/>
            <w:vAlign w:val="bottom"/>
            <w:gridSpan w:val="10"/>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5500" w:type="dxa"/>
            <w:vAlign w:val="bottom"/>
            <w:gridSpan w:val="1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77"/>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 filed on May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on April 20, 2004; May 5, 2004; May 12, 2004; May 13, 2004; and May 20,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8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diseases, such as severe acute respiratory syndrome, may have on the travel and leisure industry; and</w:t>
      </w:r>
    </w:p>
    <w:p>
      <w:pPr>
        <w:spacing w:after="0" w:line="99" w:lineRule="exact"/>
        <w:rPr>
          <w:rFonts w:ascii="Arial" w:cs="Arial" w:eastAsia="Arial" w:hAnsi="Arial"/>
          <w:sz w:val="16"/>
          <w:szCs w:val="16"/>
          <w:color w:val="auto"/>
        </w:rPr>
      </w:pPr>
    </w:p>
    <w:p>
      <w:pPr>
        <w:ind w:left="800" w:right="3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or incorporated by reference herein and does not contain all of the information that may be important to you. We urge you to read this entire prospectus carefully, including the financial data and related notes and the “Risk Factors” section beginning on page 8 before making an investment decision. You should read this summary together with the more detailed information contained elsewhere in this prospectus and in our financial statements and accompanying notes and the other information incorporated by reference 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opened,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Wynn Las Vegas, including the new golf course construction, to cost approximately $2.6 billion to design, construct, develop, equip and open, including the cost of approximately 217 acres of land, capitalized interest on indebtedness of the Wynn Las Vegas entities, pre-opening expenses and all financing fees. Ground-breaking for Wynn Las Vegas occurred on October 31, 2002, with an opening to the general public scheduled for April 2005. The overall scope and general design of Wynn Las Vegas is complete and the construction of the project is currently on schedule and within budget. We continue to evaluate and refine certain elements of the project design and are implementing certain project design changes that are included in the project budget and that will not significantly extend the construction schedule. We are also actively exploring certain additions on the Wynn Las Vegas site as well as the development of our adjacent parcel of approximately 20 acres fronting the Strip. These additional developments might be initiated before the opening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2002, our 82.5% owned indirect subsidiary, Wynn Resorts (Macau), S.A. (“Wynn Macau, S.A.”), entered into a 20-year concession agreement with the government of Macau to construct and operate one or more 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and one sub-concessionaire permitted to operate a casino gaming business in Macau.</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invested approximately $23.8 million in Wynn Macau, S.A. to date. In addition, we have loaned $10 million to Wynn Macau, S.A., bearing interest at 6.25% and payable on demand. We will invest additional capital in the Wynn Macau Companies as part of the financing of the Macau opportunity. We have additional capital available from a portion of the net proceeds we received from our initial public offering (including as a result of the exercise of the overallotment option in connection therewith), the net proceeds of our original issuance of the debentures and our public offering of common stock consummated on May 12, 2004. The minority investors in the Wynn Macau Companies are obligated, subject to certain limitations, to make additional capital contributions in proportion to their economic interests to fund the construction, development and other activities of the Wynn Macau Companies. The Wynn Macau Companies’ first casino resort in Macau is referred to herein as “Wynn Macau.”</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continuing work on the design of Wynn Macau, as well as our efforts to lease the land and obtain the financing to be used for Wynn Macau. Wynn Macau, S.A. has engaged the services of architects and designers, has selected a prime construction contractor and is in discussions to arrange the additional financing that would be required to complete Wynn Macau, however, we have not yet finalized the budget for its construction and development. We will not begin construction of Wynn Macau, other than preparatory construction work, until a number of objectives and conditions are met, including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and the legislation was referred to committee. Although we expect the legislation to be enacted in the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other than the Guarantor, have no obligation to pay any amounts due on the debentures or to provide us with funds for our payment obligations. Our subsidiaries currently have no material operations or earnings, and the debt agreements of the Wynn Las Vegas entities contain significant restrictions on those entities’ ability to distribute funds to us. See “Risk Factors—Risks Related to the Securities—As a holding company, we will depend primarily on our subsidiaries to fund our debt service obligations under the debentures, and our subsidiaries may not provide us with sufficient funds to meet those obligations.”</w:t>
      </w:r>
    </w:p>
    <w:p>
      <w:pPr>
        <w:spacing w:after="0" w:line="13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12, 2004, we sold 7,000,000 shares of our common stock in an underwritten public offering. The net proceeds from the offering, after deducting discounts and commissions and estimated expenses, were approximately $267.9 million. We intend to use a portion of the proceeds from the offering to redeem approximately $122.4 million in aggregate principal amount of the outstanding 12% Second Mortgage Notes due 2010 of Wynn Las Vegas, LLC and Wynn Las Vegas Capital Corp. We intend to use the remaining net proceeds from the offering to help finance Wynn Macau and for general corporate purposes, including possibly financing potential future acquisitions or other investments. Deutsche Bank Securities Inc. acted as sole book-running manager of the offering. J.P. Morgan Securities Inc., Banc of America Securities LLC and Bear, Stearns &amp; Co. Inc. acted as co-managers.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brief summary of the terms of this offering. For a more complete description of the debentures, see “Description of the Debentures” in this prospectus.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Debentures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6% Convertible Subordinated Debentures due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Maturity of Debentures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July 15,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6% per annum on the principal amount, payable semiannually in arrears on July 15 and January 15 of each year.</w:t>
      </w:r>
    </w:p>
    <w:p>
      <w:pPr>
        <w:spacing w:after="0" w:line="18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Conversion Rights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You will have the option to convert your debentures, in whole or in part, into shares of our common stock at any time prior to maturity, unless previously purchased by us in connection with a redemption or at your option upon a change of control, at the conversion price.</w:t>
      </w:r>
    </w:p>
    <w:p>
      <w:pPr>
        <w:spacing w:after="0" w:line="4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ind w:left="3900"/>
        <w:spacing w:after="0" w:line="290" w:lineRule="auto"/>
        <w:rPr>
          <w:sz w:val="20"/>
          <w:szCs w:val="20"/>
          <w:color w:val="auto"/>
        </w:rPr>
      </w:pPr>
      <w:r>
        <w:rPr>
          <w:rFonts w:ascii="Arial" w:cs="Arial" w:eastAsia="Arial" w:hAnsi="Arial"/>
          <w:sz w:val="16"/>
          <w:szCs w:val="16"/>
          <w:color w:val="auto"/>
        </w:rPr>
        <w:t>At the initial conversion price of $23.00, for each $1,000 of aggregate principal amount of debentures converted, we will deliver approximately 43.4782 shares of our common stock. Upon conversion, we may elect to deliver cash in lieu of shares of common stock or a combination of cash and shares of common stock. If we elect to deliver cash or a combination of cash and shares of common stock in lieu of cash upon conversion, we will give you notice of this intent within two business days of your election to convert. The amount of cash to be delivered in lieu of the common stock will be determined based on a three trading day average commencing on the third trading day after your election to convert.</w:t>
      </w:r>
    </w:p>
    <w:p>
      <w:pPr>
        <w:spacing w:after="0" w:line="24" w:lineRule="exact"/>
        <w:rPr>
          <w:sz w:val="20"/>
          <w:szCs w:val="20"/>
          <w:color w:val="auto"/>
        </w:rPr>
      </w:pPr>
    </w:p>
    <w:p>
      <w:pPr>
        <w:ind w:left="3900"/>
        <w:spacing w:after="0" w:line="256" w:lineRule="auto"/>
        <w:rPr>
          <w:sz w:val="20"/>
          <w:szCs w:val="20"/>
          <w:color w:val="auto"/>
        </w:rPr>
      </w:pPr>
      <w:r>
        <w:rPr>
          <w:rFonts w:ascii="Arial" w:cs="Arial" w:eastAsia="Arial" w:hAnsi="Arial"/>
          <w:sz w:val="18"/>
          <w:szCs w:val="18"/>
          <w:color w:val="auto"/>
        </w:rPr>
        <w:t>The conversion price and the number of shares delivered on conversion are subject to adjustment upon certain events including, without limitation, if we make distributions or dividends prior to July 20, 2007 to all or substantially all of the holders of our common stock to the extent that such dividend or distribution is payable in cash.</w:t>
      </w:r>
    </w:p>
    <w:p>
      <w:pPr>
        <w:sectPr>
          <w:pgSz w:w="11900" w:h="16838" w:orient="portrait"/>
          <w:cols w:equalWidth="0" w:num="1">
            <w:col w:w="11420"/>
          </w:cols>
          <w:pgMar w:left="240" w:top="459"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Guarantor has guaranteed the debentures on a senior secured basis (the “subsidiary guarantee”). The Guarantor is a limited liability company formed in connection with the original issuance of the debentures that has no business or assets other than the securities deposited as contemplated under the caption “Description of the Debentures—Security.” Wynn Resorts, as the parent company of the Guarantor, has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owe under the debentures and the subsidiary guarantee. The indenture governing the debentures provides that the Guarantee will be released at such time as the security for the Guarantor’s obligation is terminated. See “Description of Debentures—Guarantee.”</w:t>
      </w:r>
    </w:p>
    <w:p>
      <w:pPr>
        <w:spacing w:after="0" w:line="114"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rPr>
              <w:t>Security</w:t>
            </w: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88"/>
              </w:rPr>
              <w:t>Wynn Resorts contributed approximately $44.0 million of the net proceeds from the sale of the debentures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93"/>
              </w:rPr>
              <w:t>to the Guarantor, which purchased U.S. government securities that we expect will be sufficient upon</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93"/>
              </w:rPr>
              <w:t>receipt of scheduled principal and interest payments thereon to provide for the payment in full of the</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96"/>
              </w:rPr>
              <w:t>scheduled interest payments on the debentures up to and including July 15, 2006 when due. See</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89"/>
              </w:rPr>
              <w:t>“Description of the Debentures—Security.” The Guarantor has pledged such U.S. government securities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92"/>
              </w:rPr>
              <w:t>as security for its guarantee for the exclusive benefit of the holders of the debentures (and not for the</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89"/>
              </w:rPr>
              <w:t>benefit of any of our other creditors). We have pledged the membership interests of the Guarantor for the</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88"/>
              </w:rPr>
              <w:t>benefit of the holders of the debentures (and not for the benefit of any of our other creditors) to secure our</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94"/>
              </w:rPr>
              <w:t>obligations under the indenture governing the debentures. We were responsible for determining the</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95"/>
              </w:rPr>
              <w:t>sufficiency of the U.S. government securities pledged as described above. The debentures are not</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rPr>
              <w:t>otherwise secured.</w:t>
            </w:r>
          </w:p>
        </w:tc>
        <w:tc>
          <w:tcPr>
            <w:tcW w:w="0" w:type="dxa"/>
            <w:vAlign w:val="bottom"/>
          </w:tcPr>
          <w:p>
            <w:pPr>
              <w:spacing w:after="0"/>
              <w:rPr>
                <w:sz w:val="1"/>
                <w:szCs w:val="1"/>
                <w:color w:val="auto"/>
              </w:rPr>
            </w:pPr>
          </w:p>
        </w:tc>
      </w:tr>
      <w:tr>
        <w:trPr>
          <w:trHeight w:val="426"/>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rPr>
              <w:t>Ranking</w:t>
            </w: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w w:val="86"/>
              </w:rPr>
              <w:t>Your right to payment under these debentures is our general subordinated unsecured (except as set forth in</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rPr>
              <w:t>“Description of the Debentures—Security”) obligation and will rank:</w:t>
            </w:r>
          </w:p>
        </w:tc>
        <w:tc>
          <w:tcPr>
            <w:tcW w:w="0" w:type="dxa"/>
            <w:vAlign w:val="bottom"/>
          </w:tcPr>
          <w:p>
            <w:pPr>
              <w:spacing w:after="0"/>
              <w:rPr>
                <w:sz w:val="1"/>
                <w:szCs w:val="1"/>
                <w:color w:val="auto"/>
              </w:rPr>
            </w:pPr>
          </w:p>
        </w:tc>
      </w:tr>
      <w:tr>
        <w:trPr>
          <w:trHeight w:val="318"/>
        </w:trPr>
        <w:tc>
          <w:tcPr>
            <w:tcW w:w="3480" w:type="dxa"/>
            <w:vAlign w:val="bottom"/>
          </w:tcPr>
          <w:p>
            <w:pPr>
              <w:spacing w:after="0"/>
              <w:rPr>
                <w:sz w:val="24"/>
                <w:szCs w:val="24"/>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91"/>
              </w:rPr>
              <w:t>junior in right of payment to all of the existing and future senior indebtedness of Wynn Resorts,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9"/>
              </w:rPr>
              <w:t>including its guarantees of $1.6 billion principal amount of secured indebtedness of the Wynn Las</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Vegas entities;</w:t>
            </w: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4"/>
                <w:szCs w:val="24"/>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rPr>
              <w:t>equally with any existing and future subordinated indebtedness; and</w:t>
            </w: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4"/>
                <w:szCs w:val="24"/>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89"/>
              </w:rPr>
              <w:t>effectively subordinated to any existing and future indebtedness and liabilities of our subsidiaries.</w:t>
            </w:r>
          </w:p>
        </w:tc>
        <w:tc>
          <w:tcPr>
            <w:tcW w:w="0" w:type="dxa"/>
            <w:vAlign w:val="bottom"/>
          </w:tcPr>
          <w:p>
            <w:pPr>
              <w:spacing w:after="0"/>
              <w:rPr>
                <w:sz w:val="1"/>
                <w:szCs w:val="1"/>
                <w:color w:val="auto"/>
              </w:rPr>
            </w:pPr>
          </w:p>
        </w:tc>
      </w:tr>
      <w:tr>
        <w:trPr>
          <w:trHeight w:val="318"/>
        </w:trPr>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9"/>
              </w:rPr>
              <w:t>At March 31, 2004, we had approximately $1.8 billion of indebtedness outstanding, of which $1.6</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billion would have been senior indebtedness, including $1 billion available for borrowing under</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5"/>
              </w:rPr>
              <w:t>our credit facilities and $150.5 million available for borrowing under our FF&amp;E facility. Other</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3"/>
              </w:rPr>
              <w:t>than the Guarantee, at the parent level, we do not currently have any secured indebtedness.</w:t>
            </w: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rPr>
              <w:t>Sinking Fund</w:t>
            </w:r>
          </w:p>
        </w:tc>
        <w:tc>
          <w:tcPr>
            <w:tcW w:w="960" w:type="dxa"/>
            <w:vAlign w:val="bottom"/>
          </w:tcPr>
          <w:p>
            <w:pPr>
              <w:ind w:left="480"/>
              <w:spacing w:after="0"/>
              <w:rPr>
                <w:sz w:val="20"/>
                <w:szCs w:val="20"/>
                <w:color w:val="auto"/>
              </w:rPr>
            </w:pPr>
            <w:r>
              <w:rPr>
                <w:rFonts w:ascii="Arial" w:cs="Arial" w:eastAsia="Arial" w:hAnsi="Arial"/>
                <w:sz w:val="18"/>
                <w:szCs w:val="18"/>
                <w:color w:val="auto"/>
                <w:w w:val="95"/>
              </w:rPr>
              <w:t>None.</w:t>
            </w: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w w:val="98"/>
              </w:rPr>
              <w:t>Redemption of Debentures at Our Option</w:t>
            </w:r>
          </w:p>
        </w:tc>
        <w:tc>
          <w:tcPr>
            <w:tcW w:w="7940" w:type="dxa"/>
            <w:vAlign w:val="bottom"/>
            <w:gridSpan w:val="2"/>
            <w:vMerge w:val="restart"/>
          </w:tcPr>
          <w:p>
            <w:pPr>
              <w:ind w:left="480"/>
              <w:spacing w:after="0"/>
              <w:rPr>
                <w:sz w:val="20"/>
                <w:szCs w:val="20"/>
                <w:color w:val="auto"/>
              </w:rPr>
            </w:pPr>
            <w:r>
              <w:rPr>
                <w:rFonts w:ascii="Arial" w:cs="Arial" w:eastAsia="Arial" w:hAnsi="Arial"/>
                <w:sz w:val="18"/>
                <w:szCs w:val="18"/>
                <w:color w:val="auto"/>
                <w:w w:val="89"/>
              </w:rPr>
              <w:t>We may redeem all or a portion of the debentures at any time on or after July 20, 2007 at the redemption</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7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3960" w:right="40"/>
        <w:spacing w:after="0" w:line="290" w:lineRule="auto"/>
        <w:rPr>
          <w:sz w:val="20"/>
          <w:szCs w:val="20"/>
          <w:color w:val="auto"/>
        </w:rPr>
      </w:pPr>
      <w:r>
        <w:rPr>
          <w:rFonts w:ascii="Arial" w:cs="Arial" w:eastAsia="Arial" w:hAnsi="Arial"/>
          <w:sz w:val="16"/>
          <w:szCs w:val="16"/>
          <w:color w:val="auto"/>
        </w:rPr>
        <w:t>prices set forth in this prospectus under the caption, “Description of the Debentures—Optional Redemption.” 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 See “Description of the Debentures—Optional Redemption.”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debentures are subject to redemption requirements imposed by gaming laws and regulations of gaming authorities in Nevada or other jurisdictions. See “Description of the Debentures—Mandatory Disposition Pursuant to Gaming Laws.”</w:t>
      </w:r>
    </w:p>
    <w:p>
      <w:pPr>
        <w:spacing w:after="0" w:line="19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Nevada Regulatory Requirement</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The registration of the debentures, the Guarantee and the common stock issuable upon conversion of the debentures pursuant to this registration statement qualifies as a public offering under Nevada law and requires us to make an application or obtain a ruling from the Nevada State Gaming Control Board Chairman. The Nevada State Gaming Control Board Chairman has issued an administrative ruling that it was not necessary for us to submit an application for prior approval of the registration of the debentures, the Guarantee and shares of our common stock.</w:t>
      </w:r>
    </w:p>
    <w:p>
      <w:pPr>
        <w:spacing w:after="0" w:line="17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Change of Control</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Upon a change of control (as defined in the indenture governing the debentures) of Wynn Resorts occurring at any time, each holder may require us to purchase all or a portion of such holder’s debentures for cash at a price equal to 100% of the issue price of the debentures to be purchased plus accrued and unpaid interest, if any, to, but excluding, the date of purchase. See “Description of the Debentures— Purchase of Debentures at the Option of Holders upon a Change of Control.”</w:t>
      </w:r>
    </w:p>
    <w:p>
      <w:pPr>
        <w:spacing w:after="0" w:line="21"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ind w:left="3900"/>
        <w:spacing w:after="0" w:line="289" w:lineRule="auto"/>
        <w:rPr>
          <w:sz w:val="20"/>
          <w:szCs w:val="20"/>
          <w:color w:val="auto"/>
        </w:rPr>
      </w:pPr>
      <w:r>
        <w:rPr>
          <w:rFonts w:ascii="Arial" w:cs="Arial" w:eastAsia="Arial" w:hAnsi="Arial"/>
          <w:sz w:val="16"/>
          <w:szCs w:val="16"/>
          <w:color w:val="auto"/>
        </w:rPr>
        <w:t>A “change of control” includes, among other things, the occurrence of any event that constitutes a “change of control” pursuant to (i) the indenture governing our subsidiaries’ 12% second mortgage notes due 2010, (ii) our subsidiaries’ credit facilities effective October 30, 2002 for construction financing and working capital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ectPr>
          <w:pgSz w:w="11900" w:h="16838" w:orient="portrait"/>
          <w:cols w:equalWidth="0" w:num="1">
            <w:col w:w="11400"/>
          </w:cols>
          <w:pgMar w:left="240" w:top="459" w:right="2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86"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DTC Eligibility</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The debentures were issued in book-entry form and are represented by one or more permanent global certificates deposited with a custodian for and registered in the name of a nominee of DTC in New York, New York. Beneficial interests in any such securities are shown on, and transfers are effected only through, records maintained by DTC and its direct and indirect participants, and any such interest may not be exchanged for certificated securities, except in limited circumstances. See “Description of the Debentures—Book-Entry System.”</w:t>
      </w:r>
    </w:p>
    <w:p>
      <w:pPr>
        <w:spacing w:after="0" w:line="107"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Trading</w:t>
            </w:r>
          </w:p>
        </w:tc>
        <w:tc>
          <w:tcPr>
            <w:tcW w:w="8020" w:type="dxa"/>
            <w:vAlign w:val="bottom"/>
          </w:tcPr>
          <w:p>
            <w:pPr>
              <w:ind w:left="500"/>
              <w:spacing w:after="0"/>
              <w:rPr>
                <w:sz w:val="20"/>
                <w:szCs w:val="20"/>
                <w:color w:val="auto"/>
              </w:rPr>
            </w:pPr>
            <w:r>
              <w:rPr>
                <w:rFonts w:ascii="Arial" w:cs="Arial" w:eastAsia="Arial" w:hAnsi="Arial"/>
                <w:sz w:val="18"/>
                <w:szCs w:val="18"/>
                <w:color w:val="auto"/>
                <w:w w:val="87"/>
              </w:rPr>
              <w:t>We do not intend to list the debentures on any national securities exchange. The debentures initially sold to</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qualified institutional buyers are eligible for trading in the PORTAL market. However, the debentures</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89"/>
              </w:rPr>
              <w:t>resold pursuant to this prospectus will no longer be eligible for trading in the PORTAL market. There may</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rPr>
              <w:t>not be an active or liquid market for the debentures.</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9"/>
              </w:rPr>
              <w:t>Trading Symbol for Our Common Stock</w:t>
            </w:r>
          </w:p>
        </w:tc>
        <w:tc>
          <w:tcPr>
            <w:tcW w:w="8020" w:type="dxa"/>
            <w:vAlign w:val="bottom"/>
            <w:vMerge w:val="restart"/>
          </w:tcPr>
          <w:p>
            <w:pPr>
              <w:ind w:left="500"/>
              <w:spacing w:after="0"/>
              <w:rPr>
                <w:sz w:val="20"/>
                <w:szCs w:val="20"/>
                <w:color w:val="auto"/>
              </w:rPr>
            </w:pPr>
            <w:r>
              <w:rPr>
                <w:rFonts w:ascii="Arial" w:cs="Arial" w:eastAsia="Arial" w:hAnsi="Arial"/>
                <w:sz w:val="18"/>
                <w:szCs w:val="18"/>
                <w:color w:val="auto"/>
              </w:rPr>
              <w:t>Our common stock is listed on the Nasdaq National Market under the symbol “WYNN.”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8020" w:type="dxa"/>
            <w:vAlign w:val="bottom"/>
          </w:tcPr>
          <w:p>
            <w:pPr>
              <w:ind w:left="500"/>
              <w:spacing w:after="0"/>
              <w:rPr>
                <w:sz w:val="20"/>
                <w:szCs w:val="20"/>
                <w:color w:val="auto"/>
              </w:rPr>
            </w:pPr>
            <w:r>
              <w:rPr>
                <w:rFonts w:ascii="Arial" w:cs="Arial" w:eastAsia="Arial" w:hAnsi="Arial"/>
                <w:sz w:val="18"/>
                <w:szCs w:val="18"/>
                <w:color w:val="auto"/>
                <w:w w:val="90"/>
              </w:rPr>
              <w:t>See “Risk Factors” and other information included in, and incorporated by reference into, this prospectus</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for a discussion of factors you should carefully consider before deciding to invest in the debentures.</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8020" w:type="dxa"/>
            <w:vAlign w:val="bottom"/>
          </w:tcPr>
          <w:p>
            <w:pPr>
              <w:ind w:left="2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into this prospectus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the debentures and our common stock could decline substantially.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Securities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holding company, we will depend primarily on our subsidiaries to fund our debt service obligations under the debentures, and our subsidiaries may not provide us with sufficient funds to meet those obligations.</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holding company with no operations of our own, our cash flow needs, and therefore our ability to fund our debt service obligations under the debentures, are primarily dependent upon our subsidiaries, including the Wynn Las Vegas entities and the Wynn Macau Companies. Before the opening of Wynn Las Vegas, which is expected to occur in April 2005, and the possible opening of Wynn Macau, which continues to be subject to certain conditions, we will have no material operations or earnings. While approximately $302.5 million in unrestricted cash was available at the holding company level as of March 31, 2004 and while, to the extent such funds are not required to be applied to the construction of Wynn Las Vegas in accordance with the debt obligations of the Wynn Las Vegas entities, we may receive up to $50 million from the completion guarantor after the completion of Wynn Las Vegas, there can be no assurance that such funds will be available to pay scheduled interest payments on the debentures when they become due.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 Wynn Las Vegas entities will be permitted to distribute funds to us to cover certain corporate overhead, and, following completion of Wynn Las Vegas, will be permitted to pay limited management fees to us under certain conditions (including achieving agreed-upon financial ratios), we do not expect to have any significant cash flow at the holding company level from the Wynn Las Vegas entities for a considerable period of time, which may extend beyond July 15, 2006 (the end of the three-year period for which scheduled interest payments on the debentures are secured). In addition, in the event we go forward with Wynn Macau, we expect that any financial arrangements entered into by the Wynn Macau Companies will contain similar restrictions on distributions to us. If we decide not to go forward with Wynn Macau, we do not expect to receive any distributions from the Wynn Macau Companies. Further, our subsidiaries are separate and distinct legal entities and, other than the Guarantor, have no obligation to pay any amounts due on the debentures or to provide us with funds for our payment obligations, whether by dividends, distributions, loans or other payments.</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these restrictions and the likelihood that our subsidiaries will not have significant cash flow for a considerable period of time, we may not have sufficient funds available to service the debt obligations of the debentures beyond the three year period for which scheduled interest payments on the debentures are secured.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receive payment is junior to certain of our existing and future indebtedness.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debentures are unsecured and subordinated in right of payment to all of our existing and future senior indebtedness, including our guarantees of $1.6 billion principal amount of secured indebtedness of the Wynn Las Vegas entities. As a result, in the event of bankruptcy, liquidation or reorganization or upon acceleration of the debentures due to an event of default under the indenture governing the debentures, and in specific other events, our assets will be available to pay obligations on the debentures only after all senior indebtedness has been paid in full in cash or other payment satisfactory to the holders of senior indebtedness. There may not be sufficient assets remaining to pay amounts due on any or all of the debentures then outstanding. Furthermore, we are a holding company and conduct substantially all of our operations through our subsidiaries, none of whom (other than the Guarantor) are guaranteeing our obligations under, or have any obligations to pay any amounts due 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the debentures. As a result, the debentures will be effectively subordinated to all of the indebtedness and other liabilities of our subsidiaries (other than the Guarantor). Our rights and the rights of our creditors, including holders of the debentures, to participate in the assets of any of our subsidiaries (other than the Guarantor) upon their liquidation or recapitalization will generally be subject to the prior claims of those subsidiaries’ creditors. At March 31, 2004, our subsidiaries had approximately $503.6 million of outstanding liabilities and had assets constituting approximately 82% of our consolidated assets.</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event of a bankruptcy, liquidation or reorganization relating to us, holders of the debentures will participate with trade creditors and all other holders of subordinated indebtedness in the assets remaining after we have satisfied all of the senior indebtedness. However, because the indenture governing the debentures requires that cash, securities or other property otherwise distributable to holders of the debentures in a bankruptcy or similar proceeding be paid to holders of senior indebtedness instead, holders of the debentures may receive less, ratably, than holders of trade payables in any such proceeding. In any of these cases, we may not have sufficient funds to pay all of the our creditors, and holders of debentures may receive less, ratably, than the holders of senior indebtedness.</w:t>
      </w:r>
    </w:p>
    <w:p>
      <w:pPr>
        <w:spacing w:after="0" w:line="8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we fail to deliver our common stock upon conversion of a debenture and thereafter because we are the subject of bankruptcy proceedings, a holder’s claim for damages arising from our failure could also be subordinated to all of our existing and future indebtedness.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March 31, 2004, the debentures are effectively subordinated to approximately $1.6 billion of senior indebtedness, including $1 billion available for borrowing under our credit facilities and $150.5 million available for borrowing under our FF&amp;E facility.</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indenture governing the debentures does not restrict our ability to incur additional indebtedness or to take other actions that could negatively impact holders of the debentures.</w:t>
      </w:r>
    </w:p>
    <w:p>
      <w:pPr>
        <w:spacing w:after="0" w:line="3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not restricted under the terms of the indenture governing the debentures from incurring additional indebtedness, including senior indebtedness. In addition, the limited covenants applicable to the debentures do not require us to achieve or maintain any minimum financial results relating to our financial position or results of operations. Our ability to recapitalize, incur additional indebtedness and take a number of other actions that are not limited by the terms of the debentures or the indenture governing the debentures could have the effect of diminishing our ability to make payments on the debentures when due.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repurchase the debentures in cash upon the occurrence of a change of control.</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Holders of the debentures have the right to require us to repurchase the debentures upon the occurrence of a change of control. We may not have sufficient funds to make the required repurchase in cash at such time or the ability to arrange necessary financing on acceptable terms. In addition, our ability to repurchase the debentures in cash may be limited by law or the terms of other agreements relating to our indebtedness outstanding at the time. For more information, see “Description of the Debentures—Purchase of Debentures at the Option of Holders upon a Change of Control.”</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As a holder of the debentures or a holder of the common stock issuable upon conversion of the debentures, you may be required to comply with registration, licensing, qualification or other requirements under gaming laws or dispose of your securities.</w:t>
      </w:r>
    </w:p>
    <w:p>
      <w:pPr>
        <w:spacing w:after="0" w:line="3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gaming authority of any jurisdiction in which we currently or in the future conduct or propose to conduct gaming may require that a holder of the debentures or a holder of the common stock issuable upon conversion of the debentures be registered, licensed, qualified or found suitable, or comply with any other requirement under applicable gaming laws. If you purchase or otherwise accept an interest in the debentures, by the terms of the indenture governing the debentures, you will agree to comply with all of these requirements,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46" w:lineRule="exact"/>
        <w:rPr>
          <w:sz w:val="20"/>
          <w:szCs w:val="20"/>
          <w:color w:val="auto"/>
        </w:rPr>
      </w:pPr>
    </w:p>
    <w:p>
      <w:pPr>
        <w:ind w:left="800" w:right="2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you to sell your debentures or beneficial interest in the debentures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redeem your debentures (possibly within less than 30 days following the notice of redemption if requested or prescribed by the gaming authority) at a price equal to the lesser of:</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your cost;</w:t>
      </w:r>
    </w:p>
    <w:p>
      <w:pPr>
        <w:spacing w:after="0" w:line="76" w:lineRule="exact"/>
        <w:rPr>
          <w:rFonts w:ascii="Arial" w:cs="Arial" w:eastAsia="Arial" w:hAnsi="Arial"/>
          <w:sz w:val="18"/>
          <w:szCs w:val="18"/>
          <w:color w:val="auto"/>
        </w:rPr>
      </w:pPr>
    </w:p>
    <w:p>
      <w:pPr>
        <w:ind w:left="1260" w:right="380" w:hanging="455"/>
        <w:spacing w:after="0" w:line="332"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100% of the principal amount of the debentures, plus accrued and unpaid interest, if any, to the redemption date or the date of any failure to comply, whichever is earlier; and any other amount required by applicable law or by order of any gaming authority.</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debentures will also provide that as soon as you are required to sell your debentures as a result of a gaming authority action, you will, to the extent required by applicable gaming laws, have no further right:</w:t>
      </w:r>
    </w:p>
    <w:p>
      <w:pPr>
        <w:spacing w:after="0" w:line="49"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debentures; or</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from us any interest, dividends or any other distributions or payments, or any remuneration in any form, relating to the debentures, except the redemption price we refer to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Debentures—Mandatory Disposition Pursuant to Gaming Laws.”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our articles of incorporation provide that, to the extent a gaming authority determines that you or your affiliates are unsuitable or to the extent deemed necessary or advisable by the board of directors, we may redeem shares of our common stock that you or your affiliates own or control. The redemption price will be the amount, if any, required by the gaming authority or, if the gaming authority does not determine the price, the sum deemed to be the fair value by the board of directors. If we determine the redemption price, the redemption price will not exceed the closing price of the common stock on the principal national securities exchange on which the common stock is listed on the trading date on the day before the redemption notice is given. If the common stock is not listed on a national securities exchange, the redemption price will not exceed the closing sale price of the common stock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we elect. However, if the gaming authorities were to find you or your affiliate unsuitable to own our voting securities, it could also determine that you or your affiliate is unsuitable to hold a promissory note for the purchase of such voting securities by us, and could determine not to approve the issuance of the promissory note to you or your affiliate.</w:t>
      </w:r>
    </w:p>
    <w:p>
      <w:pPr>
        <w:spacing w:after="0" w:line="114"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The price of our common stock, and therefore the price of the debentures, may fluctuate significantly, which may make it difficult for you to resell the debentures, or the common stock issuable upon conversion of the debentures, when you want or at prices you find attractive.</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price of shares of our common stock on the Nasdaq National Market constantly changes. We expect that the market price of our common stock will continue to fluctuate. Because the debentures are convertible into shares of our common stock, volatility or depressed prices for our common stock could have a similar effect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trading price of the debentures. Holders who receive common stock upon conversion also will be subject to the risk of volatility and depressed prices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debentures may not develop or continue.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debentures were a new issue of securities. Although the debentures initially sold to qualified institutional buyers are eligible for trading in the PORTAL market, the debentures resold pursuant to this prospectus will no longer be eligible for trading in the PORTAL market. We do not intend to list the debentures on any national securities exchange or automated quotation system. We cannot assure you that an active or sustained trading market for the debentures will develop or continue or that holders will be able to sell their debentures at prices they desire.</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Moreover, even if holders are able to sell their debentures, we cannot assure you as to the price at which any sales will be made. Future trading prices of the debentures will depend on many factors, including, among other things, prevailing interest rates, our operating results, the price of our common stock and the market for similar securities. Historically, the market for convertible debt has been subject to disruptions that have caused volatility in prices. It is possible that the market for the debentures will be subject to disruptions, which may have a negative effect on the holders of the debentures, regardless of our prospects or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debentures will dilute the ownership interest of existing stockholders.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conversion of some or all of the debentures will dilute the ownership interests of existing stockholders. Any sales in the public market of the common stock issuable upon such conversion, or the perception that such sales could occur, could materially adversely affect the prevailing market price for our common stock and could impair our future ability to raise capital through an offering of equity or equity-linked securities. In addition, the existence of the debentures may encourage short selling by market participants because the conversion of the debentures could depress the price of our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Société des Bains de Mer et du Cercle des Etrangers à Monaco, a société anonyme Monegasque organized under the laws of the Principality of Monaco (“SBM”), and in connection therewith we sold 3,000,000 shares of our common stock to SBM for $45 million in a privately negotiated, all cash transaction. In return, SBM has agreed, subject to certain exceptions, to refrain from transferring its shares prior to April 1, 2005, and will be entitled to certain registration rights thereafter. As of March 31, 2004, we had outstanding approximately 43,000,000 such “restricted” shares of common stock, approximately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as of March 31, 2004, there were 2,038,000 shares of common stock reserved and subject to issuance upon exercise of outstanding options, warrants or other convertible rights (including 25,000 shares of common stock subject to option grants that have been approved by the board of directors but not yet granted). Lastly, we have granted our Chairman and Chief Executive Officer, Stephen A. Wynn, demand and piggyback registration rights with respect to any shares of our common stock he purchases from Aruze USA.</w:t>
      </w:r>
    </w:p>
    <w:p>
      <w:pPr>
        <w:spacing w:after="0" w:line="11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prices for the debentures will be directly affected by the trading prices for our common stock, which is impossible to predict.</w:t>
      </w:r>
    </w:p>
    <w:p>
      <w:pPr>
        <w:spacing w:after="0" w:line="10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price of our common stock could be affected by possible sales of our common stock by investors who view the debentures as a more attractive means of equity participation in Wynn Resorts and by hedging or arbitrage trading activity that may develop involving the common stock. The arbitrage could, in turn, affect the trading prices of the debentures.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delay or otherwise impede the trustee’s ability to foreclose on the collateral securing the debentures.</w:t>
      </w:r>
    </w:p>
    <w:p>
      <w:pPr>
        <w:spacing w:after="0" w:line="77" w:lineRule="exact"/>
        <w:rPr>
          <w:sz w:val="20"/>
          <w:szCs w:val="20"/>
          <w:color w:val="auto"/>
        </w:rPr>
      </w:pPr>
    </w:p>
    <w:p>
      <w:pPr>
        <w:ind w:right="220" w:firstLine="456"/>
        <w:spacing w:after="0" w:line="331" w:lineRule="auto"/>
        <w:rPr>
          <w:sz w:val="20"/>
          <w:szCs w:val="20"/>
          <w:color w:val="auto"/>
        </w:rPr>
      </w:pPr>
      <w:r>
        <w:rPr>
          <w:rFonts w:ascii="Arial" w:cs="Arial" w:eastAsia="Arial" w:hAnsi="Arial"/>
          <w:sz w:val="15"/>
          <w:szCs w:val="15"/>
          <w:color w:val="auto"/>
        </w:rPr>
        <w:t>We pledged 100% of the membership interests in the Guarantor to the trustee to secure our obligations under the indenture governing the debentures. Federal bankruptcy law could substantially delay or prevent the ability of the trustee under the indenture, whom we refer to as the trustee, to foreclose upon the collateral securing the debentures. If we and our subsidiaries become debtors in cases under the United States Bankruptcy Code, there can be no assurance:</w:t>
      </w:r>
    </w:p>
    <w:p>
      <w:pPr>
        <w:spacing w:after="0" w:line="2"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payments under the debentures would be made;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the trustee could foreclose upon or sell the collateral;</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term or other conditions of the debentures or any rights of the holders could be altered in a bankruptcy case without the trustee’s or your consent;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or to what extent holders of the debentures would be compensated for any delay in payment or decline in the collateral’s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earnings were insufficient to cover our fixed charges by $16.9 million, $17.7 million, $46.1 million and $139.3 million for the period from inception to December 31, 2000, and for the years ended December 31, 2001, 2002 and 2003, respectively. Earnings were insufficient to cover fixed charges by $29.9 million and $40.2 million for the quarter ended March 31, 2003 and 2004, respectively. For purposes of these calculations, earnings consist of income from continuing operations before provision for income taxes and before fixed charges. Fixed charges include interest expense and a portion of rental expense deemed a reasonable approximation of the interest factor.</w:t>
      </w:r>
    </w:p>
    <w:p>
      <w:pPr>
        <w:spacing w:after="0" w:line="12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DEBENTURES</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debentures were issued under an indenture among us, Wynn Resorts Funding, LLC and U.S. Bank National Association, as trustee. The pledges referred to below under the caption “—Security” are governed by a pledge and security agreement and a collateral pledge and security agreement (collectively, the “pledge agreements”), which define the terms of the pledges that will secure the payment of scheduled interest payments on the debentures when due, up to and including the interest payment due on July 15, 2006.</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summary does not purport to be complete, and is subject to, and is qualified in its entirety by reference to, all of the provisions of the debentures, the indenture, the registration rights agreement and the pledge agreements. We urge you to read the indenture, the registration rights agreement and the pledge agreements and the form of the debentures, which you may obtain from us upon request. Wherever particular provisions or defined terms of the indenture or the form of debenture are referred to, these provisions or defined terms are incorporated into this prospectus by reference. As used in this description, all references to “Wynn Resorts,” “our company,” “we,” “us” or “our” mean Wynn Resorts, Limited, excluding, unless otherwise expressly stated or the context otherwise requires, its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debentures are subordinated unsecured (except as described under “—Security” below) obligations of Wynn Resorts and are subordinate in right of payment as described under “—Subordination of Debentures.” The debentures are convertible into our shares of common stock as described under “— Conversion Rights.” The debentures are limited to $250,000,000 aggregate principal amount and will mature on July 15, 2015, unless earlier converted into common stock, redeemed at our option, or purchased by us at your option upon a change of control.</w:t>
      </w:r>
    </w:p>
    <w:p>
      <w:pPr>
        <w:spacing w:after="0" w:line="9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Interest on the debentures accrues at the rate per annum shown on the cover page of this prospectus and is payable semiannually in arrears on July 15 and January 15 of each year. Interest on the debentures accrues from July 7, 2003 or, if interest has already been paid, from the date it was most recently paid. Any payment required to be made on any day that is not a business day will be made on the next succeeding business day. The payment made on the next succeeding business day will be treated as though it were paid on the original due date. We will make each interest payment to the holders of record of the debentures at the close of business on the immediately preceding July 1 and January 1, whether or not such day is a business day. Interest payable upon redemption will be paid to the person to whom principal is payable. Interest on the debentures will be computed on the basis of a 360-day year comprised of twelve 30 day months. Interest will cease to accrue on a debenture upon its maturity, conversion or purchase by us.</w:t>
      </w:r>
    </w:p>
    <w:p>
      <w:pPr>
        <w:spacing w:after="0" w:line="105"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Debentures may be presented for conversion at the office of the conversion agent, and for exchange or registration of transfer at the office of the registrar, each such agent initially being the trustee. We will pay the principal of, and interest on, the debentures at the office or agency maintained by us in the Borough of Manhattan in New York City. We reserve the right to pay interest to holders of the debentures by check mailed to the holders at their registered addresses.</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However, a holder of debentures with an aggregate principal amount in excess of $1,000,000 will be paid by wire transfer in immediately available funds. Except under limited circumstances, the debentures will be issued only in fully registered book-entry form, without coupons, and will be represented by one or more global notes. The debentures shall be issued only in denominations of $1,000 of principal amount and any integral multiple of $1,000. There will be no service charge for any registration of transfer or exchange of debentures. We may, however, require holders to pay a sum sufficient to cover any tax, assessment or other governmental charge payable in connection with any transfer or exchange.</w:t>
      </w:r>
    </w:p>
    <w:p>
      <w:pPr>
        <w:spacing w:after="0" w:line="10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indenture does not contain any restriction on us or our subsidiaries regarding the payment of dividends, the incurrence of indebtedness or the repurchase of securities, and does not contain any financial covenants. Other than as described under “—Purchase of Debentures at the Option of Holders upon a Change of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 xml:space="preserve">the indenture contains no covenants or other provisions that afford protection to holders of debentures in the event of a highly leveraged transaction. </w:t>
      </w:r>
      <w:r>
        <w:rPr>
          <w:rFonts w:ascii="Arial" w:cs="Arial" w:eastAsia="Arial" w:hAnsi="Arial"/>
          <w:sz w:val="18"/>
          <w:szCs w:val="18"/>
          <w:b w:val="1"/>
          <w:bCs w:val="1"/>
          <w:color w:val="auto"/>
        </w:rPr>
        <w:t>Guarantee</w:t>
      </w:r>
    </w:p>
    <w:p>
      <w:pPr>
        <w:spacing w:after="0" w:line="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wholly owned subsidiary Wynn Resorts Funding, LLC (“Guarantor”) has guaranteed the debentures on a senior secured basis (the “subsidiary guarantee”). The Guarantor is a limited liability company formed in connection with the initial issuance of the debentures that has no business or assets other than the securities deposited as contemplated under the caption “—Security” below. The indenture prohibits, until such time as the pledge agreements are terminated, the Guarantor from incurring any indebtedness (other than the guarantee of the debentures) or other liabilities, conducting any business other than holding and maintaining the securities deposited as contemplated under the caption “—Security” below, amending its organizational documents and issuing any equity interests. We have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will owe under the debentures and the subsidiary guarantee. The indenture provides that the Guarantee will be released at such time as the pledge agreements are terminated.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contributed approximately $44.0 million of the net proceed from the original issuance of the debentures to the Guarantor, which used such proceeds to purchase U.S. government securities in an amount that we believe will be sufficient upon receipt of scheduled interest and principal payments of such securities to provide for payment in full when due of scheduled interest payments on the debentures up to and including the interest payment due on July 15, 2006. If at any time the value of the collateral exceeds 100% of the amount sufficient to provide payment in full of such secured scheduled cash interest payments, the excess collateral may be released from the securities account upon the Guarantor’s request. If at any time the value of the collateral is less than 100% of the amount sufficient to provide payment in full of the remaining secured scheduled cash interest payments, the Guarantor will deposit funds into the securities account in an amount equal to such difference.</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Guarantor has pledged such U.S. government securities as security for its guarantee for the exclusive benefit of the holders of the debentures (and not for the benefit of any of our other creditors). Immediately prior to an interest payment date, the collateral agent will release from the securities account to the trustee proceeds sufficient to pay the interest then due on the debentures. A failure to pay interest on the debentures when due for any scheduled interest payment date on or prior to July 15, 2006 will constitute an immediate event of default under the indenture, with no grace period.</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Wynn Resorts has pledged its 100% member’s interest in the Guarantor to the collateral agent to secure its obligations under the indenture and the collateral documents. The U.S. government securities held by the Guarantor, the securities account and Wynn Resorts’ member’s interest in the Guarantor are collectively referred to as the “Collateral.”</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pledged U.S. government securities and the other Collateral, among other things, secure the repayment of the principal amount on the debentures until such time as the collateral pledge and security agreement is terminated. If prior to July 15, 2006:</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under the debentures occurs and is continuing; and</w:t>
      </w:r>
    </w:p>
    <w:p>
      <w:pPr>
        <w:spacing w:after="0" w:line="76" w:lineRule="exact"/>
        <w:rPr>
          <w:rFonts w:ascii="Arial" w:cs="Arial" w:eastAsia="Arial" w:hAnsi="Arial"/>
          <w:sz w:val="18"/>
          <w:szCs w:val="18"/>
          <w:color w:val="auto"/>
        </w:rPr>
      </w:pPr>
    </w:p>
    <w:p>
      <w:pPr>
        <w:jc w:val="both"/>
        <w:ind w:left="800" w:right="260" w:hanging="346"/>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or the holders of 25% in aggregate principal amount of the debentures accelerate the debentures by declaring the principal amount of the debentures to be immediately due and payable (by written consent, at a meeting of debenture holders or otherwise), except for the occurrence of an event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 default relating to our bankruptcy, insolvency or reorganization, upon which the debentures will be accelerated automatically,</w:t>
      </w:r>
    </w:p>
    <w:p>
      <w:pPr>
        <w:spacing w:after="0" w:line="171" w:lineRule="exact"/>
        <w:rPr>
          <w:sz w:val="20"/>
          <w:szCs w:val="20"/>
          <w:color w:val="auto"/>
        </w:rPr>
      </w:pPr>
    </w:p>
    <w:p>
      <w:pPr>
        <w:ind w:right="700"/>
        <w:spacing w:after="0" w:line="325" w:lineRule="auto"/>
        <w:rPr>
          <w:sz w:val="20"/>
          <w:szCs w:val="20"/>
          <w:color w:val="auto"/>
        </w:rPr>
      </w:pPr>
      <w:r>
        <w:rPr>
          <w:rFonts w:ascii="Arial" w:cs="Arial" w:eastAsia="Arial" w:hAnsi="Arial"/>
          <w:sz w:val="16"/>
          <w:szCs w:val="16"/>
          <w:color w:val="auto"/>
        </w:rPr>
        <w:t>then the proceeds from the pledged U.S. government securities will be promptly released for payment to debenture holders, subject to the automatic stay provisions of bankruptcy law, if applicable, and subject to the prompt distribution of proceeds from the securities account as follows:</w:t>
      </w:r>
    </w:p>
    <w:p>
      <w:pPr>
        <w:spacing w:after="0" w:line="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amount equal to any accrued and unpaid interest would be distributed from the securities account in payment of accrued interest; and</w:t>
      </w:r>
    </w:p>
    <w:p>
      <w:pPr>
        <w:spacing w:after="0" w:line="99" w:lineRule="exact"/>
        <w:rPr>
          <w:rFonts w:ascii="Arial" w:cs="Arial" w:eastAsia="Arial" w:hAnsi="Arial"/>
          <w:sz w:val="16"/>
          <w:szCs w:val="16"/>
          <w:color w:val="auto"/>
        </w:rPr>
      </w:pPr>
    </w:p>
    <w:p>
      <w:pPr>
        <w:ind w:left="800" w:right="56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However, if any event of default is cured prior to the acceleration of the debentures by the trustee or holders of the debentures referred to above, the trustee and the holders of the debentures will not be able to accelerate the debentures as a result of that event of default and no proceeds from the pledged U.S. government securities will be released for payment to debenture holders.</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For example, if the first two interest payments were made when due but the third interest payment was not made when due and the debenture holders promptly exercised their right to declare the principal amount of the debentures to be immediately due and payable prior to the Company curing such failure to pay interest, then, assuming automatic stay provisions of bankruptcy law are inapplicable and the proceeds of the pledged U.S. government securities are promptly distributed from the securities account,</w:t>
      </w:r>
    </w:p>
    <w:p>
      <w:pPr>
        <w:spacing w:after="0" w:line="49" w:lineRule="exact"/>
        <w:rPr>
          <w:sz w:val="20"/>
          <w:szCs w:val="20"/>
          <w:color w:val="auto"/>
        </w:rPr>
      </w:pPr>
    </w:p>
    <w:p>
      <w:pPr>
        <w:ind w:left="800" w:right="42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amount equal to the interest payment due on the third interest payment would be distributed from the securities account in payment of accrued interest; and</w:t>
      </w:r>
    </w:p>
    <w:p>
      <w:pPr>
        <w:spacing w:after="0" w:line="37" w:lineRule="exact"/>
        <w:rPr>
          <w:rFonts w:ascii="Arial" w:cs="Arial" w:eastAsia="Arial" w:hAnsi="Arial"/>
          <w:sz w:val="18"/>
          <w:szCs w:val="18"/>
          <w:color w:val="auto"/>
        </w:rPr>
      </w:pPr>
    </w:p>
    <w:p>
      <w:pPr>
        <w:ind w:left="800" w:right="56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Once we make the interest payment due on the debentures on or about July 15, 2006, all of the remaining pledged U.S. government securities, if any, will be released to the Guarantor from the securities account and distributed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Except to the extent described above under “—Security,” the debentures are subordinated, unsecured obligations of Wynn Resorts and are junior in right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payment to all existing and future senior debt of Wynn Resorts, including its guarantees of $1.6 billion principal amount of our subsidiaries’ secured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The debentures rank equally with all existing and future subordinated indebtedness of Wynn Resorts. See “—Subordination of Debentures.”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debentures are effectively subordinated to our subsidiaries’ indebtedness and liabilities, including trade payables. As of March 31, 2004,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had approximately $1.7 billion of total indebtedness and liabilities to which the debentures were effectively subordinated. As of March 31, 2004,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our subsidiaries had $1.8 billion of total indebtedness outstanding, including $1 billion available for borrowing under our subsidiaries’ credit facilities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$150.5 million available for borrowing under our subsidiaries’ FF&amp;E facility. See “Capitalization.” The debentures do not contain any limitation on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indebtedness ranking senior to or on a parity with the indebtedness evidenced by the debentures that we may hereafter incur.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8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You may convert your debentures, in whole or in part, into shares of our common stock at any time prior to the close of business on the business day immediately preceding the final maturity date of the debentures, subject to prior redemption of the debentures at our option or upon a change of control. The initial conversion rate for the debentures is equal to 43.4782 shares of common stock per $1,000 principal amount of debentures, subject to adjustment as described below, which represents an initial conversion price of approximately $23.00 per share.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conversion of a debenture, a holder will not receive, except as described below, accrued interest on the principal amount of the debentures. Our delivery to the holder of the full number of shares of common stock into which the debenture is convertible, together with any cash payment for such holder’s fractional shares, or cash or a combination of cash and shares of common stock in lieu thereof, will be deemed:</w:t>
      </w:r>
    </w:p>
    <w:p>
      <w:pPr>
        <w:spacing w:after="0" w:line="46"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satisfy our obligation to pay the principal amount of the debenture;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satisfy our obligation to pay the accrued cash interest, if any, attributable to the period from the issue date through the conversion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accrued cash interest, if any, is deemed paid in full rather than cancelled, extinguished or forfeited.</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lieu of delivery of shares of our common stock upon notice of conversion of any debentures (for all or any portion of the debentures), we may elect to pay holders surrendering debentures an amount in cash per debenture (or a portion of a debenture) equal to the Applicable Stock Price multiplied by the conversion rate in effect on the conversion date. The “Applicable Stock Price” is equal to the average of the Sale Prices (as defined below) of our common stock over the three-Trading Day (as defined below) period starting the third Trading Day following the conversion date of the debentures appropriately adjusted to take into account the occurrence, during such three-Trading Day period, of certain events with respect to the common stock listed under “—Conversion Rate Adjustments.” We will inform the holders through the trustee no later than two business days following the conversion date of our election to deliver shares of our common stock or to pay cash in lieu of delivery of such shares, unless we have already informed holders of our election in connection with our optional redemption of the debentures as described under “—Optional Redemption.” If we elect to deliver all of such payment in shares of our common stock, the shares will be delivered through the conversion agent no later than the third business day following the determination of the Applicable Stock Price. If we elect to pay all or a portion of such payment in cash, the payment, including any delivery of our common stock, will be made to holders surrendering debentures no later than the tenth business day following the applicable conversion date. If an event of default, as described under “—Events of Default” below (other than a default in a cash payment upon conversion of the debentures), has occurred and is continuing, we may not pay cash upon conversion of any debentures or portion of a debenture (other than cash for fractional shares).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have submitted your debentures for redemption upon a change of control, you may convert your debentures only if you withdraw your redemption election. You may convert your debentures in part so long as the part is $1,000 principal amount or an integral multiple of $1,000. If any debentures are converted during the period after a record date for an interest payment date but before the opening of business on the next interest payment date, then the debentures must be accompanied by funds equal to the interest payable for such period on that interest payment date on the converted principal amount, unless we have specified a redemption date following a change of control during that period.</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debentures. Instead, we will pay cash equal to the Sale Price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convert your debenture into common stock you must do the following (or comply with DTC procedures for doing so in respect of your beneficial interest in debentures evidenced by a global debenture held by DTC):</w:t>
      </w:r>
    </w:p>
    <w:p>
      <w:pPr>
        <w:spacing w:after="0" w:line="37" w:lineRule="exact"/>
        <w:rPr>
          <w:sz w:val="20"/>
          <w:szCs w:val="20"/>
          <w:color w:val="auto"/>
        </w:rPr>
      </w:pPr>
    </w:p>
    <w:p>
      <w:pPr>
        <w:ind w:left="800" w:right="42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debenture or facsimile of the conversion notice and deliver this notice to the conversion agent;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surrender the debenture to the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720" w:hanging="6"/>
        <w:spacing w:after="0" w:line="503" w:lineRule="auto"/>
        <w:tabs>
          <w:tab w:leader="none" w:pos="7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required, pay funds equal to interest payable on the next interest payment date. The date you comply with these requirements is the conversion date under the indenture.</w:t>
      </w:r>
    </w:p>
    <w:p>
      <w:pPr>
        <w:spacing w:after="0"/>
        <w:rPr>
          <w:sz w:val="20"/>
          <w:szCs w:val="20"/>
          <w:color w:val="auto"/>
        </w:rPr>
      </w:pPr>
      <w:r>
        <w:rPr>
          <w:rFonts w:ascii="Arial" w:cs="Arial" w:eastAsia="Arial" w:hAnsi="Arial"/>
          <w:sz w:val="18"/>
          <w:szCs w:val="18"/>
          <w:b w:val="1"/>
          <w:bCs w:val="1"/>
          <w:color w:val="auto"/>
        </w:rPr>
        <w:t>Conversion Rate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price will be adjusted for:</w:t>
      </w:r>
    </w:p>
    <w:p>
      <w:pPr>
        <w:spacing w:after="0" w:line="7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dividends or distributions on shares of our common stock payable in shares of our common stock or other capital stock of Wynn Resorts;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subdivisions, combinations or certain reclassifications of shares of our common stock;</w:t>
      </w:r>
    </w:p>
    <w:p>
      <w:pPr>
        <w:spacing w:after="0" w:line="76" w:lineRule="exact"/>
        <w:rPr>
          <w:rFonts w:ascii="Arial" w:cs="Arial" w:eastAsia="Arial" w:hAnsi="Arial"/>
          <w:sz w:val="18"/>
          <w:szCs w:val="18"/>
          <w:color w:val="auto"/>
        </w:rPr>
      </w:pPr>
    </w:p>
    <w:p>
      <w:pPr>
        <w:ind w:left="800" w:hanging="346"/>
        <w:spacing w:after="0" w:line="290"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distributions to all holders of our shares of common stock of our assets (including shares of capital stock, of or similar equity interests in, a subsidiary or other business unit of ours) or debt securities or certain rights to purchase our securities (excluding any consideration paid in connection with a tender offer described in the bullet below, any cash dividends subject to a Pre-Dividend Adjustment (as defined below) and any other cash dividends or cash distributions, other than, with respect to any consecutive 12-month period, the amount, if any, by which the aggregate amount of all cash dividends and distributions occurring during such 12-month period (other than cash dividends for which a Pre-Dividend Adjustment was made) together with cash or other consideration payable in respect of certain tender offers for our common stock consummated in such 12-month period exceeds on a per share basis 10% of the Sale Price on the day preceding the date of declaration of such dividend or other distribution); and</w:t>
      </w:r>
    </w:p>
    <w:p>
      <w:pPr>
        <w:spacing w:after="0" w:line="23" w:lineRule="exact"/>
        <w:rPr>
          <w:rFonts w:ascii="Arial" w:cs="Arial" w:eastAsia="Arial" w:hAnsi="Arial"/>
          <w:sz w:val="16"/>
          <w:szCs w:val="16"/>
          <w:color w:val="auto"/>
        </w:rPr>
      </w:pPr>
    </w:p>
    <w:p>
      <w:pPr>
        <w:ind w:left="800" w:right="80" w:hanging="346"/>
        <w:spacing w:after="0" w:line="25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successful completion of a tender offer made by us or any of our subsidiaries for our common stock that involved the payment of aggregate consideration in an amount that (together with cash or other consideration payable in respect of certain tender offers for our common stock consummated, and all other cash distributions to all or substantially all holders of our common stock made (other than cash dividends for which a Pre-Dividend Adjustment was made), in the 12 months preceding the expiration of such expired tender offer) exceeded an amount equal to 10% of the product of the Sale Price on the last day of such expired tender offer and the number of shares of common stock outstanding at the expiration of such expired tender offer.</w:t>
      </w:r>
    </w:p>
    <w:p>
      <w:pPr>
        <w:spacing w:after="0" w:line="13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the event that we pay a dividend or make a distribution on shares of our common stock in accordance with the third bullet above, the conversion price will be adjusted based on the market value of the securities so distributed relative to the market value of our common stock, in each case based on the average Sale Prices of those securities for the 10 Trading Days commencing on and including the fifth Trading Day after the date on which “ex-dividend trading” commences for such dividend or distribution on Nasdaq, the New York Stock Exchange or such other national or regional exchange or market on which the securities are then listed or quoted.</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prior to July 20, 2007, we will adjust the conversion rate (a “Pre-Dividend Adjustment”) if we declare a dividend or distribution to all or substantially all of the holders of our common stock, to the extent that such dividend or distribution is payable in cash. If we declare such a dividend or distribution, the conversion rate shall be increased to equal the number determined by multiplying the conversion rate in effect immediately prior to such date of determination by the following ratio: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80010</wp:posOffset>
            </wp:positionV>
            <wp:extent cx="364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Price—Dividend Adjustment Amount)</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“Pre-Dividend Sale Price” will be calculated as the average Sale Price for the three consecutive Trading Days ending on the date immediately preceding the ex-dividend date for such dividend or distribution. The “Dividend Adjustment Amount” will be calculated as the full amount of the dividend or distribution to the extent payable in cash applicable to one share of common stock.</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adjustment to the conversion rate or the ability of a holder of a debenture to convert will be made if Wynn Resorts provides that holders of debentures will participate in the transaction without conversion 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certain other cases. In addition, if we adopt a stockholder rights plan, in lieu of an adjustment to the conversion ratio, the debentures will become entitled to receive upon conversion, in addition to the common stock issuable, any associated rights to the same extent as holders of our common stock generally.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permits us to increase the conversion rate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taxable distribution to holders of shares of common stock that results in an adjustment of the conversion price;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the conversion price at our discretion,</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holders of the debentures may, in certain circumstances, be deemed to have received a distribution subject to federal income tax as a dividend. See “United States Federal Income Tax Consequences.”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“Sale Price” of the common stock on any date means the closing sale price per share (or if no closing sale price is reported, the average of the bid and ask prices or, if more than one in either case, the average of the average bid and the average ask prices) on such date as reported in composite transactions for the Nasdaq or the principal United States securities exchange on which the common stock is traded or, if the common stock is not listed on Nasdaq or a United States national or regional securities exchange, as reported by the National Quotation Bureau Incorporated.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“Trading Day” means a day during which trading in securities generally occurs on Nasdaq or, if the common stock is not listed on Nasdaq, on the principal national or regional securities exchange on which the common stock is then listed or, if the common stock is not listed on a national or regional securities exchange, on the principal other market on which the common stock is then traded.</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than with respect to a Pre-Dividend Adjustment, we will not be required to make any adjustment to the conversion rate until the cumulative adjustments amount to 1.0% or more of the conversion rate. Any adjustment not made will be taken into account in subsequent adjustments. We will compute all adjustments to the conversion rate and will give notice of any adjustments by issuing a press release and publishing such information on our website.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Debentures at the Option of Holders upon a Change of Control</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change of control occurs, you will have the right to require us to purchase all or any part of your debentures not previously called for redemption 30 business days after the occurrence of such change of control for cash at a purchase price equal to 100% of the principal amount of the debentures, plus accrued and unpaid interest, up to, but excluding, the purchase date. Debentures submitted for purchase must be in integral multiples of $1,000 principal amount. We will mail to the trustee and to each holder a written notice of the change of control within 10 business days after the occurrence of such change of control. This notice shall state certain specified information, including:</w:t>
      </w:r>
    </w:p>
    <w:p>
      <w:pPr>
        <w:spacing w:after="0" w:line="48"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date of and events causing the change of control;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holders’ right to convert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right to require us to purchase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required for exercise of the purchase option upon the change of control;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and address of the paying and conversion agents.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must deliver written notice of your exercise of this purchase right to the paying agent prior to the close of business on the business day prior to the change of control purchase date. The written notice must specify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debentures for which the purchase right is being exercised. If you wish to withdraw this election, you must provide a written notice of withdrawal to the paying agent at any time prior to the close of business on the business day prior to the change of control purchase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is:</w:t>
      </w:r>
    </w:p>
    <w:p>
      <w:pPr>
        <w:spacing w:after="0" w:line="77" w:lineRule="exact"/>
        <w:rPr>
          <w:sz w:val="20"/>
          <w:szCs w:val="20"/>
          <w:color w:val="auto"/>
        </w:rPr>
      </w:pPr>
    </w:p>
    <w:p>
      <w:pPr>
        <w:ind w:right="140" w:firstLine="464"/>
        <w:spacing w:after="0" w:line="256" w:lineRule="auto"/>
        <w:tabs>
          <w:tab w:leader="none" w:pos="7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(excluding cash payments for fractional shares) that consists of something other than all or substantially all common equity that:</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Nasdaq or any similar United States system of automated dissemination of quotations of securities prices; or</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occurrence of any event that constitutes a “change of control” pursuant to (i) the indenture governing our subsidiaries’ 12% second mortgage notes due 2010, (ii) our subsidiaries’ credit facilities effective October 30, 2002 for construction financing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under the indenture:</w:t>
      </w:r>
    </w:p>
    <w:p>
      <w:pPr>
        <w:spacing w:after="0" w:line="7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the provisions of Rule 13e-4 and Rule 14e-1, if applicable, under the Exchange 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if required, under the Exchange Act;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in connection with any offer by us to purchase the debentures upon a change of control.</w:t>
      </w:r>
    </w:p>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change of control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change of control purchase feature is not part of a plan by management to adopt a series of anti-takeover provisions. Instead, the change of control purchase feature is a result of negotiations between us and the initial purchasers of the debentures.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could, in the future, enter into certain transactions, including recapitalizations, that would not constitute a change of control but would increase the amount of debt, including senior indebtedness, outstanding or otherwise adversely affecting a holder. Neither we nor our subsidiaries are prohibited from incurring debt, including senior indebtedness, under the indenture. The incurrence of significant amounts of additional debt could adversely affect our ability to service our debt, including the debentures.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our debt agreements that we may enter into in the future may prohibit our redemption or repurchase of the debentures and provide that a change of control constitutes an event of default.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 change of control were to occur, we may not have sufficient funds to pay the change of control purchase price for the debentures tendered by holders. In addition, we may in the future incur debt that has similar change of control provisions that permit holders of this future debt to accelerate or require us to repurchase this future debt upon the occurrence of events similar to a change of control. We may not purchase any debenture at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 when the subordination provisions of the indenture otherwise would prohibit us from making such repurchase. Our failure to repurchase the debentures upon a change of control where holders have properly exercised their repurchase rights will result in an event of default under the indenture, whether or not the purchase is permitted by the subordination provisions of the indenture. Any such default may, in turn, cause a default under existing or future Senior Indebtedness. See “—Subordination of Debentures”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There is no sinking fund for the debentures. On or after July 20, 2007, we will be entitled to redeem the debentures at any time as a whole, or from time to time in part, on at least 30 but no more than 60 days’ notice, at the redemption prices set out below, together with accrued and unpaid interest to, but excluding, the date fixed for redemption. However,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redemption prices of a debenture per $1,000 principal amount if redeemed during the periods described below.</w:t>
      </w:r>
    </w:p>
    <w:p>
      <w:pPr>
        <w:spacing w:after="0" w:line="141"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 2007 through July 14, 2008</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2008 through July 14, 2009</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2009 through July 14, 2010</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2010 through July 14, 2011</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2011 through July 14, 2012</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2012 through July 14, 2013</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2013</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do not redeem all of the debentures, the trustee will select the debentures to be redeemed in principal amounts of $1,000 or whole multiples of $1,000 by lot, on a pro rata basis, or in accordance with any other method the trustee considers fair and appropriate. If any debentures are to be redeemed in part only, a new debenture or debentures in principal amount equal to the unredeemed principal portion thereof will be issued. If a portion of a holder’s debentures is selected for partial redemption and the holder converts a portion of its debentures, the converted portion will be deemed to be taken from the portion selected for redemption.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Disposition Pursuant to Gaming Laws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debentures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we will have the right, at our option, to:</w:t>
      </w:r>
    </w:p>
    <w:p>
      <w:pPr>
        <w:spacing w:after="0" w:line="49" w:lineRule="exact"/>
        <w:rPr>
          <w:sz w:val="20"/>
          <w:szCs w:val="20"/>
          <w:color w:val="auto"/>
        </w:rPr>
      </w:pPr>
    </w:p>
    <w:p>
      <w:pPr>
        <w:ind w:left="900" w:right="6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debentures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the debentures of the holder or beneficial owner at a redemption price equal to:</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principal amount of the debentures plus accrued and unpaid interest, if any;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debentures,</w:t>
      </w:r>
    </w:p>
    <w:p>
      <w:pPr>
        <w:spacing w:after="0" w:line="158"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 each case, together with accrued and unpaid interest on the debentures, if any, to the earlier of (1) the date of redemption or such earlier date as is required by the gaming authority or (2) the date of the finding of unsuitability by the gaming authority, which may be less than 30 days following the notice of redemption.</w:t>
      </w:r>
    </w:p>
    <w:p>
      <w:pPr>
        <w:spacing w:after="0" w:line="4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debentures will not be licensed, qualified or found suitable, the holder or beneficial owner will not have any further rights with respect to the debentures to:</w:t>
      </w:r>
    </w:p>
    <w:p>
      <w:pPr>
        <w:spacing w:after="0" w:line="3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debentures; or</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debentures, or any remuneration in any form from us for services rendered or otherwise, except the redemption price of the debentures.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not required to pay or reimburse any holder or beneficial owner of debentures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into any other entity or convey, transfer or lease our properties and assets substantially as an entirety to any entity, unless:</w:t>
      </w:r>
    </w:p>
    <w:p>
      <w:pPr>
        <w:spacing w:after="0" w:line="37" w:lineRule="exact"/>
        <w:rPr>
          <w:sz w:val="20"/>
          <w:szCs w:val="20"/>
          <w:color w:val="auto"/>
        </w:rPr>
      </w:pPr>
    </w:p>
    <w:p>
      <w:pPr>
        <w:ind w:left="800" w:right="44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is a U.S. domestic corporation, limited liability company, partnership, trust or other entity, and expressly assumes our obligations on the debentures and under the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transaction complies with these requirements.</w:t>
      </w:r>
    </w:p>
    <w:p>
      <w:pPr>
        <w:spacing w:after="0" w:line="19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case of any such consolidation, merger, conveyance or transfer, the successor entity will succeed to and be substituted for us as obligor on the debentures, with the same effect as if it had been named in the indenture as our company.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covenant described above includes a phrase relating to the conveyance, transfer, or lease of our properties and assets “substantially as an entirety”. There is no precise, established definition of the phrase “substantially as an entirety” under applicable law. In interpreting this phrase, courts among other things, make a subjective determination as to the portion of assets conveyed, considering many factors, including the value of assets conveyed, the proportion of an entity’s income derived from the assets conveyed and the significance of those assets to the ongoing business of the entity. To the extent the meaning of such phrase is uncertain, uncertainty will exist as to whether or not this covenant applies.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to the extent described under “—Security” above, the payment of principal of and interest (including liquidated damages, if any) on the debentures is subordinated in right of payment, as set forth in the indenture, to the prior payment in full in cash or cash equivalents of all Senior Indebtedness whether outstanding on the date of the indenture or thereafter incurred. The debentures also are effectively subordinated to all indebtedness and other liabilities, including trade payables and lease obligations, if any, of our subsidiaries. In the event of any insolvency or bankruptcy case or proceeding, or any receivership, liquidation, reorganization or other similar case or proceeding in connection therewith, relating to us or to our assets, or any liquidation, dissolution or other winding-up of us, whether voluntary or involuntary, or any assignment for the benefit of creditors or other marshaling of assets or liabilities of us, the holders of Senior Indebtedness will be entitled to receive payment in full in cash or cash equivalents of all Senior Indebtedness, or provision shall be made for such payment in full, before the holders of debentures will be entitled to receive any payment or distribution of any kind or character (other than Permitted Payments); and any payment or distribution of our assets of any kind or character, whether in cash, property or securities (other than Permitted Payments) by set-off or otherwise, to which the holders of the debentures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concurrent payment or distribution to the holders of such Senior Indebtedness.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upon the occurrence of any Payment Default until such Payment Default shall have been cured or waived in writing or shall have ceased to exist or such Designated Senior Indebtedness shall have been discharged or paid in full in cash or cash equivalents.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during a Payment Blockage Period arising as a result of a Non-Payment Default.</w:t>
      </w:r>
    </w:p>
    <w:p>
      <w:pPr>
        <w:spacing w:after="0" w:line="93"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The Payment Blockage Period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179 days thereafter (provided that any Designated Senior Indebtedness as to which notice was given shall not theretofore have been accelerated);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waived or ceases to exist;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Designated Senior Indebtedness is discharged or paid in full; or</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Payment Blockage Period shall have been terminated by written notice to the trustee or us from the trustee or such other representative initiating such Payment Blockage Period;</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which we will resume making any and all required payments in respect of the debentures,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notwithstanding the provisions of the preceding four paragraphs, any payment or distribution shall be received by the trustee or any holder of the debentures which is prohibited by such provisions, then and in such event such payment shall be held in trust for the benefit of, and paid over and delivered by such trustee or holder to the trustee or any other representatives of holders of Senior Indebtedness, as their interest may appear, for application to Senior Indebtedness. After all Senior Indebtedness is paid in full and until the debentures are paid in full, holders of the debentures shall be subrogated (equally and ratably with all other indebtedness that is equal in right of payment to the debentures) to the rights of holders of Senior Indebtedness to receive distributions applicable to Senior Indebtedness to the extent that distributions otherwise payable to the holders of the debentures have been applied to the payment of Senior Indebtedness. See “—Events of Default” below.</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“Designated Senior Indebtedness” means any of our Senior Indebtedness, the principal amount of which is $50.0 million or more and that has been designated as “Designated Senior Indebtedness.”</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“Hedging Obligations” means, with respect to any specified person, the obligations of such person under (1) interest rate swap agreements, interest rate cap agreements and interest rate collar agreements and (2) other agreements or arrangements designed to protect such person against fluctuations in interest rates.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“Indebtedness” means, with respect to any specified person, any indebtedness of such person, whether or not contingent, but without duplication:</w:t>
      </w:r>
    </w:p>
    <w:p>
      <w:pPr>
        <w:spacing w:after="0" w:line="10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7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“Non-Payment Default” means any default or event of default with respect to any Designated Senior Indebtedness other than any Payment Default pursuant to which the maturity thereof may be accelerated.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“Payment Default” means a default in payment, whether at scheduled maturity, upon scheduled installment, by acceleration or otherwise, of principal of, or premium, if any or interest on Designated Senior Indebtedness beyond any applicable grace period.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“Permitted Junior Securities” means any payment or distribution in the form of equity securities or subordinated securities of us or any successor obligor that, in the case of any such subordinated securities, are subordinated in right of payment to all Senior Indebtedness that may at the time be outstanding to at least the same extent as the debentures are so subordinated.</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“Permitted Payments” means (i) payments of principal of or liquidated damages, if any, or interest on the debentures as described under “—Security” above and (ii) any payments or distributions in the form of Permitted Junior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“Senior Indebtedness” means the principal of, interest on, fees, costs and expenses in connection with and other amounts due on Indebtedness of the Company, whether outstanding on the date of the Indenture or thereafter created, incurred, assumed or guaranteed by the Company, unless, in the instrument creating or evidencing or pursuant to which such Indebtedness is outstanding, it is expressly provided that such Indebtedness is not senior in right of payment to the debentures.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“Senior Indebtedness” shall not include:</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or other obligations of Wynn Resorts that by their terms rank equal or junior in right of payment to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of Wynn Resorts that by operation of law is subordinate to any of Wynn Resorts’ general unsecured obligations;</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payable or other liabilities owed or owing by Wynn Resorts to trade creditors, including guarantees thereof or instruments evidencing such liabilities;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owed by Wynn Resorts for compensation to employees or for services rendered to Wynn Resorts;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Wynn Resorts’ indebtedness to any subsidiary or any other affiliate of Wynn Resorts or any of such affiliate’s subsidiaries, as outstanding on the date hereof;</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stock of Wynn Resorts;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evidenced by any guarantee of any indebtedness ranking equal or junior in right of payment to the debentures;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of the United States Code, is without recourse to Wynn Resorts.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for payments contemplated under “—Security” above, the debentures are also effectively subordinated to all liabilities, including trade payables and lease obligations, if any, of our subsidiaries. Any right by us to receive the assets of any of our subsidiaries upon the liquidation or reorganization thereof, and the consequent right of the holders of the debentures to participate in these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subsidiaries are separate and distinct legal entities and, other than the Guarantor, have no obligation, contingent or otherwise, to pay any amounts due pursuant to the debentures or to make any funds available therefor, whether by dividends, loans or other payments. In addition, the payment of dividends and the making of loans and advances to us by our subsidiaries may be subject to statutory, contractual or other restrictions and are dependent upon the earnings or financial condition of those subsidiaries and subject to various business considerations. As a result, we may be unable to gain access to the cash flow or assets of our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defines an event of default as one or more of the following:</w:t>
      </w:r>
    </w:p>
    <w:p>
      <w:pPr>
        <w:spacing w:after="0" w:line="77" w:lineRule="exact"/>
        <w:rPr>
          <w:sz w:val="20"/>
          <w:szCs w:val="20"/>
          <w:color w:val="auto"/>
        </w:rPr>
      </w:pPr>
    </w:p>
    <w:p>
      <w:pPr>
        <w:ind w:left="900" w:right="2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before July 15, 2006, default in payment of any interest or liquidated damages upon any of the debentures when due and payable, whether or not such payment is prohibited by the subordination provisions in the indenture;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July 15, 2006, default in payment of any interest or liquidated damages upon any of the debentures when due and payable, whether or not such payment is prohibited by the subordination provisions in the indenture, if such failure continues for 30 days;</w:t>
      </w:r>
    </w:p>
    <w:p>
      <w:pPr>
        <w:spacing w:after="0" w:line="37"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in payment of the principal amount, redemption price, or change of control purchase price with respect to any debenture when such payment becomes due and payable, whether or not such payment is prohibited by the subordination provisions in the indenture;</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Wynn Resorts or any of its subsidiaries to comply with any of its other agreements in the debentures or the indenture upon receipt of notice of such default and Wynn Resorts’ failure to cure such default, cause such default to be cured, or obtain a waiver thereof, within 60 days after receipt by Wynn Resorts of such notice;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failure of Wynn Resorts or any of its subsidiaries to make any payment by the end of any applicable grace period after maturity of Indebtedness, in an amount (taken together with amounts under (6)) in excess of $20 million and continuance of such failure; provided, that if any such failure shall cease or be cured, waived, rescinded or annulled, then the event of default by reason thereof shall be deemed not to have occurred;</w:t>
      </w:r>
    </w:p>
    <w:p>
      <w:pPr>
        <w:spacing w:after="0" w:line="12"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acceleration of Indebtedness of Wynn Resorts or any of its subsidiaries in an amount (taken together with amounts under (5)) in excess of $20 million because of a default with respect to such Indebtedness, without, in the case of (5) or (6), such Indebtedness having been discharged or such acceleration having been cured, waived, rescinded or annulled, for a period of 60 days after written notice to Wynn Resorts by the trustee or to Wynn Resorts and the trustee by the holders of not less than 25% in aggregate principal amount of the debentures then outstanding; provided, that if any such acceleration shall cease or be cured, waived, rescinded or annulled, then the event of default by reason thereof shall be deemed not to have occurred;</w:t>
      </w:r>
    </w:p>
    <w:p>
      <w:pPr>
        <w:spacing w:after="0" w:line="49"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final non-appealable judgments not covered by insurance aggregating in excess of $20 million rendered against Wynn Resorts or any of our subsidiaries, which judgments are not stayed, bonded or discharged within 60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bankruptcy, insolvency or reorganization of Wynn Resorts or any of its significant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Wynn Resorts or the Guarantor for 30 days after receipt of written notice from the trustee to comply with its agreements contained in the pledge agreement and the guarantee;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 of the pledge agreements or the guarantee cease to be in full force and effect, or enforceable, prior to the expiration in accordance with such agreement or guarantee’s terms.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an event of default, other than an event of default described in clause (8) above, shall have happened and be continuing, either the trustee or the holders of not less than 25% in aggregate principal amount of the debentures then outstanding may declare the principal amount of the debentures as of the date of such declaration plus accrued interest, if any, through the date of such declaration to be immediately due and payable. If an event of default described in clause (8) above shall occur, the principal amount of the debentures as of the date on which such event occurs plus accrued interest, if any, through the date on which such event occurs shall automatically become and be immediately due and payable.</w:t>
      </w:r>
    </w:p>
    <w:p>
      <w:pPr>
        <w:spacing w:after="0" w:line="10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After acceleration, the holders of a majority in aggregate principal amount of the debentures may, under certain circumstances, rescind and annul such acceleration if all events of default, other than the non-payment of accelerated principal or other specified amount, have been cured or waived.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declaration of the acceleration of the debentures, the holders of a majority in aggregate principal amount of the debentures may waive, on behalf of all of the holders of the debentures, any default and its consequences, except an event of default described in paragraphs (1), (2) or (3) above, a default in respect of a provision that cannot be amended without the consent of all of the holders of the debentures or a default that constitutes a failure to convert any debentures into shares of common stock. Other than the duty to act with the required care during an event of default, the trustee is not obligated to exercise any of its rights or powers at the request of the holders unless the holders shall have offered to the trustee reasonable indemnity. Generally, the holders of a majority in aggregate principal amount of the debentures have the right to direct the time, method and place of conducting any proceeding for any remedy available to the trustee or exercising any trust or power conferred on the trustee.</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holder does have any right to institute any proceeding under the indenture, or for the appointment of a receiver or a trustee, or for any other remedy under the indenture, unless:</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debentures;</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 least 25% in aggregate principal amount of the debentures have made a written request and have offered reasonable indemnity to the trustee to institute the proceeding;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holder or holders offer to the trustee security or indemnity satisfactory to the trustee against any loss, liability or expense; and</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has failed to institute the proceeding and has not received direction inconsistent with the original request from the holders of a majority in aggregate principal amount of the debentures within 60 days after the original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may, however, sue to enforce the payment of the principal amount plus accrued and unpaid interest, redemption price, change of control purchase price or liquidated damages with respect to any debenture on or after the due date or to enforce the right, if any, to convert any debenture without following the procedures listed in (1) through (3) above.</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will furnish the trustee an annual statement by our officers as to whether or not we are in default in the performance of the indenture and, if so, specifying all known defaults.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trustee may, without the consent of the holders of the debentures, enter into supplemental indentures for, among others, one or more of the following purposes:</w:t>
      </w:r>
    </w:p>
    <w:p>
      <w:pPr>
        <w:spacing w:after="0" w:line="37" w:lineRule="exact"/>
        <w:rPr>
          <w:sz w:val="20"/>
          <w:szCs w:val="20"/>
          <w:color w:val="auto"/>
        </w:rPr>
      </w:pPr>
    </w:p>
    <w:p>
      <w:pPr>
        <w:ind w:left="800" w:right="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obligations under the indenture and the debentures;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our covenants, or surrender any of our rights, or add any rights for the benefit of the holders of debentures;</w:t>
      </w:r>
    </w:p>
    <w:p>
      <w:pPr>
        <w:spacing w:after="0" w:line="76"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to correct or supplement any provision in the indenture, or to make any other provisions with respect to matters or questions arising under the indenture, so long as the interests of holders of debentures are not adversely affected in any material respect under the indenture;</w:t>
      </w:r>
    </w:p>
    <w:p>
      <w:pPr>
        <w:spacing w:after="0" w:line="45"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the debentures or to facilitate the administration of the trust thereunder by the trustee in accordance with such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increase the conversion rate, provided the increase will not adversely effect the interests of holders of debentures in any material respect; and</w:t>
      </w:r>
    </w:p>
    <w:p>
      <w:pPr>
        <w:spacing w:after="0" w:line="99"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modify the provisions of the indenture or the pledge agreements relating to the pledge of securities as contemplated under “—Security” above in a manner that does not adversely affect the interests of the holders of debentures;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provided that any amendment described in the third bullet point above made solely to conform the provisions of the indenture to the description of the debentures contained in this prospectus will not be deemed to adversely affect the interests of holders of the debentures.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With certain exceptions, the indenture or the rights of the holders of the debentures may be modified by us and the trustee with the consent of the holders of a majority in aggregate principal amount of the debentures then outstanding, but no such modification may be made without the consent of the holder of each outstanding debenture affected thereby that would:</w:t>
      </w:r>
    </w:p>
    <w:p>
      <w:pPr>
        <w:spacing w:after="0" w:line="46" w:lineRule="exact"/>
        <w:rPr>
          <w:sz w:val="20"/>
          <w:szCs w:val="20"/>
          <w:color w:val="auto"/>
        </w:rPr>
      </w:pPr>
    </w:p>
    <w:p>
      <w:pPr>
        <w:ind w:left="800" w:right="260" w:hanging="346"/>
        <w:spacing w:after="0" w:line="298"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maturity of any payment of principal of, or any premium on, any debentures, or reduce the principal amount or the interest rate of any debenture, or change any place of payment where, or the coin or currency in which, any debenture or any premium is payable, or impair the right to institute suit for the enforcement of any such payment on or after the maturity thereof (or, in the case of redemption or repayment, on or after the redemption date or the repayment date, as the case may be) or adversely affect the conversion or repurchase provisions in the indenture;</w:t>
      </w:r>
    </w:p>
    <w:p>
      <w:pPr>
        <w:spacing w:after="0" w:line="18" w:lineRule="exact"/>
        <w:rPr>
          <w:rFonts w:ascii="Arial" w:cs="Arial" w:eastAsia="Arial" w:hAnsi="Arial"/>
          <w:sz w:val="16"/>
          <w:szCs w:val="16"/>
          <w:color w:val="auto"/>
        </w:rPr>
      </w:pPr>
    </w:p>
    <w:p>
      <w:pPr>
        <w:ind w:left="800" w:right="3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debentures, the consent of whose holders is required for any such modification, or the consent of whose holders is required for any waiver of compliance with certain provisions of the indenture or certain defaults thereunder and their consequences provided for in the indenture;</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debenture affected thereby;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release the Guarantor from any of its obligations under the guarantee other than in accordance with the terms of the indenture and pledge agreement.</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foregoing, any amendment to, or waiver of, the provisions of the indenture relating to subordination that adversely affects the rights of the holders of the debentures will require the consent of the holders of at least 75% in aggregate principal amount of debentures then outstanding.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debentures or by depositing with the trustee, the paying agent or the conversion agent, if applicable, after the debentures have become due and payable, whether at stated maturity, or any redemption date, or a change of control purchase date, or upon conversion or otherwise, cash or common stock (as applicable under the terms of the indenture) sufficient to pay all of the outstanding debentures and paying all other sums payable under the indenture by our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appointed the trustee as the paying agent and conversion agent, acting through its corporate trust office. We reserve the right to:</w:t>
      </w:r>
    </w:p>
    <w:p>
      <w:pPr>
        <w:spacing w:after="0" w:line="100"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vary or terminate the appointment of the paying agent or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 as the paying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appoint additional paying agents or conversion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paying agent or conversion agent acts.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debentures surrendered for payment, redemption, registration of transfer or exchange or conversion shall, if surrendered to any person other than the trustee, be delivered to the trustee. All debentures delivered to the trustee shall be cancelled promptly by the trustee. No debentures shall be authenticated in exchange for any debentures cancelled as provided in the indenture.</w:t>
      </w:r>
    </w:p>
    <w:p>
      <w:pPr>
        <w:spacing w:after="0" w:line="12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may, to the extent permitted by law, purchase debentures in the open market or by tender offer at any price or by private agreement. Any debentures purchased by us may, to the extent permitted by law, be reissued or resold or may, at our option, be surrendered to the trustee for cancellation. Any debentures surrendered for cancellation may not be reissued or resold and will be promptly cancelled. Any debentures held by us or one of our subsidiaries shall be disregarded for voting purposes in connection with any notice, waiver, consent or direction requiring the vote or concurrence of note 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will replace mutilated, destroyed, stolen or lost debentures at the holder’s expense upon delivery to the trustee of the mutilated debentures, or evidence of the loss, theft or destruction of the debentures satisfactory to us and the trustee. In the case of a lost, stolen or destroyed note, indemnity satisfactory to the trustee and us may be required at the expense of the holder of such note before a replacement note will be issued.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Bank National Association serves as the trustee under the indenture. The trustee is permitted to deal with us and any of our affiliates with the same rights as if it were not trustee. However, under the Trust Indenture Act, if the trustee acquires any conflicting interest and there exists a default with respect to the debentures, the trustee must eliminate such conflict or resign.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holders of a majority in principal amount of all outstanding debentures have the right to direct the time, method and place of conducting any proceeding for exercising any remedy or power available to the trustee. However, any such direction may not conflict with any law or the indenture, may not be unduly prejudicial to the rights of another holder or the trustee and may not involve the trustee in personal liability.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indenture and the debentures are governed by and construed in accordance with the laws of the State of New York including, without limitation, Section 5-1401 of the New York General Obligations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debentures are currently represented by one or more global securities. Each global security has been deposited with, or on behalf of, DTC and be registered in the name of a nominee of DTC. Except under circumstances described below, the debentures will not be issued in definitive form.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DTC was created to hold securities for persons that have accounts with DTC or its nominee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issuance of a global security, DTC credits on its book-entry registration and transfer system the accounts of persons designated by the initial purchasers with the respective principal amounts at maturity of the debentures represented by the global security. Ownership of beneficial interests in a global security are limited to participants or persons that may hold interests through participants. Owners of beneficial interests in the debentures represented by the global securities hold their interests pursuant to the procedures and practices of DTC. Ownership of beneficial interests in a global security are shown on, and the transfer of that ownership will be effected only through, records maintained by DTC or its nominee (with respect to interests of persons other than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are not entitled to have debentures represented by that global security registered in their names, will not receive or be entitled to receive physical delivery of debentures in definitive form and are not considered the owners or holders thereof under the indenture. Beneficial owners are not holders and are not entitled to any rights provided to the holders of debentures under the global securities or the indenture. Principal and interest payments, if any, on debentures registered in the name of DTC or its nominee will be made to DTC or its nominee, as the case may be, as the registered owner of the relevant global security. Neither Wynn Resorts, the Guarantor, the trustee, any paying agent nor the registrar for the debentures will have any responsibility or liability for any aspect of the records relating to or payments made on account of beneficial interests in a global security or for maintaining, supervising or reviewing any records relating to such beneficial interests.</w:t>
      </w:r>
    </w:p>
    <w:p>
      <w:pPr>
        <w:spacing w:after="0" w:line="10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have been informed that DTC’s practice is to credit participants’ accounts on that payment date with payments in amounts proportionate to their respective beneficial interests in the principal amount of the relevant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global security as shown on the records of DTC or its nominee, unless DTC has reason to believe that it will not receive payment on that payment date. We also expect that payments by participants to owners of beneficial interests in a global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DTC has advised us that it will take any action permitted to be taken by a holder of debentures, including the presentation of debentures for transfer, only at the direction of one or more participants to whose account with DTC interests in the debentures are credited, and only in respect of the principal amount of the debentures represented by the debentures as to which the participant or participants has or have given such direction.</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DTC is at any time unwilling or unable to continue as a depository and a successor depository is not appointed by us within 90 days, if we decide to discontinue use of the system of book-entry transfer through DTC (or any successor depositary) or if an event of default under the indenture has occurred and is continuing, we will issue debentures in definitive form in exchange for the entire global security for the debentures. In any such instance, an owner of a beneficial interest in a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$1,000 principal amount and integral multiples thereof, unless otherwise specified by us.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is expected to follow the foregoing procedures in order to facilitate transfers of interests in the global security among the participants of DTC, it is under no obligation to perform or continue to perform these procedures, and such procedures may be discontinued at any time. Neither Wynn Resorts, the Guarantor, the trustee, any paying agent nor the registrar for the debentures will have any responsibility or liability for the performance by DTC or its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440" w:firstLine="456"/>
        <w:spacing w:after="0" w:line="323" w:lineRule="auto"/>
        <w:rPr>
          <w:sz w:val="20"/>
          <w:szCs w:val="20"/>
          <w:color w:val="auto"/>
        </w:rPr>
      </w:pPr>
      <w:r>
        <w:rPr>
          <w:rFonts w:ascii="Arial" w:cs="Arial" w:eastAsia="Arial" w:hAnsi="Arial"/>
          <w:sz w:val="15"/>
          <w:szCs w:val="15"/>
          <w:color w:val="auto"/>
        </w:rPr>
        <w:t>We and the Guarantor have entered into a registration rights agreement with the initial purchasers of the debentures. A holder who sells debentures or shares of common stock issued upon conversion of the debentures pursuant to this registration statement generally will be required to be named as a selling securityholder in the related prospectus, deliver a prospectus to purchasers and be bound by certain provisions of the registration rights agreement that are applicable to such holder, including certain indemnification provisions, and will be subject to certain civil liability provisions under the Securities Act.</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registration rights agreement, we agreed to use our commercially reasonable best efforts to keep this registration statement effective until the earlier of (i) the date when holders are able to sell all of the debentures and shares of common stock issuable upon conversion of the debentures immediately without restriction pursuant to the volume limitation provisions of Rule 144 under the Securities Act or otherwise, (ii) the sale pursuant to the shelf registration statement of all the debentures and all of the shares of common stock issuable upon conversion of the debentures, (iii) July 3, 2005 and (iv) the date no debentures or shares of common stock issuable upon conversion of the debentures are outstanding, subject to certain permitted exceptions.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the Guarantor will be permitted to suspend the use of this prospectus under certain circumstances relating to pending corporate developments for a period not to exceed 45 days in any three-month period and not to exceed an aggregate of 90 days in any 12-month period. We and the Guarantor will pay predetermined liquidated damages as described herein (“liquidated damages”) to holders of debentures, if a shelf registration statement is not timely filed or made effective or shall cease to be effective or fail to be usable or if the prospectus is unavailable for the periods in excess of those permitted above. Such liquidated damages shall accrue until such failure to file or become effective or unavailability is cured, in respect of any debentures at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rate per year equal to 0.25% for the first 90-day period after the occurrence of such event and 0.50% thereafter of the aggregate principal amount thereof as of the end of any such period. So long as the failure to file or become effective or unavailability continues, we and the Guarantor will pay liquidated damages in cash semi-annually in arrears, with the first semi-annual payment due on the first interest payment date, as applicable, following the date on which such liquidated damages begin to accrue. If a holder has converted some or all of its debentures into common stock, the holder will be entitled to receive equivalent amounts based on the aggregate principal amount of the debentures converted. When such registration default is cured, accrued and unpaid liquidated damages will be paid in cash to the record holder as of the date of such cure.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summary herein of certain provisions of the registration rights agreement is subject to, and is qualified in its entirety by reference to, all the provisions of the registration rights agreement, a copy of which is available from us upon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March 31, 2004, there were 82,168,484 shares of common stock outstanding. In addition, as of March 31, 2004, there were 2,038,000 shares of common stock reserved and subject to issuance upon exercise of outstanding options, warrants or other convertible rights (including 25,000 shares of common stock subject to option grants that have been approved by the board of directors but not yet granted).</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2004, there were no shares of preferred stock authorized or outstanding.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If Mr. Wynn chooses to purchase less than all of the shares owned by Aruze USA, pursuant to an agreement between the Company and Mr. Wynn, the Company has the right to require him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17" w:lineRule="auto"/>
        <w:rPr>
          <w:sz w:val="20"/>
          <w:szCs w:val="20"/>
          <w:color w:val="auto"/>
        </w:rPr>
      </w:pPr>
      <w:r>
        <w:rPr>
          <w:rFonts w:ascii="Arial" w:cs="Arial" w:eastAsia="Arial" w:hAnsi="Arial"/>
          <w:sz w:val="16"/>
          <w:szCs w:val="16"/>
          <w:color w:val="auto"/>
        </w:rPr>
        <w:t xml:space="preserve">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voting power, voting as a single class.</w:t>
      </w:r>
    </w:p>
    <w:p>
      <w:pPr>
        <w:spacing w:after="0" w:line="7" w:lineRule="exact"/>
        <w:rPr>
          <w:sz w:val="20"/>
          <w:szCs w:val="20"/>
          <w:color w:val="auto"/>
        </w:rPr>
      </w:pPr>
    </w:p>
    <w:p>
      <w:pPr>
        <w:ind w:right="340" w:firstLine="456"/>
        <w:spacing w:after="0" w:line="27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serving staggered three-year terms, with as near as possible to one-third, and at least one-fourth, of the board of directors being elected each year. In addition, Wynn Resorts’ articles of incorporation require the vote of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stock entitled to vote in the election of directors to amend the classified board provision. As a result, at least two annual meetings of stockholders may be necessary to change a majority of the directors.</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Indemnification of Directors and Officers. </w:t>
      </w:r>
      <w:r>
        <w:rPr>
          <w:rFonts w:ascii="Arial" w:cs="Arial" w:eastAsia="Arial" w:hAnsi="Arial"/>
          <w:sz w:val="16"/>
          <w:szCs w:val="16"/>
          <w:color w:val="auto"/>
        </w:rPr>
        <w:t>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240" w:top="459"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6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an investment in debentures and common stock received upon a conversion of debentures. This summary is based upon existing United States federal income tax law, which is subject to change or different interpretations, possibly with retroactive effect. This summary does not discuss all aspects of United States federal income taxation which may be important to particular investors in light of their individual investment circumstances, such as debentures held by investors subject to special tax rules (e.g., financial institutions, insurance companies, broker-dealers and tax-exempt investors (including foreign tax-exempt organizations and foreign private foundations)) or to persons that will hold debentures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discuss any state, local, or non-United States tax considerations. This summary assumes that investors will hold their debentures, and common stock received pursuant to a conversion of debentures, as “capital assets” (generally, property held for investment) under the Internal Revenue Code of 1986 (the “Code”). Each prospective investor is urged to consult his tax advisor regarding the United States federal, state, local, and non-United States income and other tax considerations of an investment in debentures.</w:t>
      </w:r>
    </w:p>
    <w:p>
      <w:pPr>
        <w:spacing w:after="0" w:line="11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this summary, a “U.S. Holder” is a beneficial owner of debentures that is, for United States federal income tax purposes, (i) an individual who is a citizen or resident of the United States, (ii) a corporation, partnership, or other entity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 A beneficial owner of debentures, or common stock received upon a conversion of debentures, that is not a U.S. Holder is referred to herein as a “Non-U.S. Holder.”</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treat debentures as indebtedness for United States federal income tax purposes and the summary below assumes that the debentures are characterized as indebtedness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Payments of interest on debentures made to a U.S. Holder will be subject to tax as ordinary income when received or accrued in accordance with such holder’s method of tax accounting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Discount</w:t>
      </w:r>
    </w:p>
    <w:p>
      <w:pPr>
        <w:spacing w:after="0" w:line="83"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If a holder acquires debentures at a price that is less than the stated redemption price at maturity, the holder may be deemed to have acquired debentures with market discount. A holder who acquires debentures with market discount that is more than a statutorily-defined de minimis amount will generally be required to recognize ordinary income upon a taxable disposition of debentures in an amount equal to the lesser of (i) the amount of gain recognized or (ii) accrued market discount not previously included in income. Such market discount will accrue ratably or, at the election of the holder, under a constant yield method over the remaining term of debentures. A holder will also be required to defer the deduction of a portion of any interest paid or accrued on indebtedness incurred to purchase or carry debentures acquired with market discount. Alternatively, a holder may elect to include market discount in income currently as it accrues on all market discount instruments acquired by such holder in the taxable year of the election and thereafter, in which case the foregoing rules will not apply. A holder will not recognize income for any accrued market discount attributable to debentures surrendered for conversion into our common stock. Upon disposition of such common stock received, however, any gain will be treated as ordinary income to the extent of such accrued market discount not previously included in income.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Premium</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holder acquires debentures at a price that is greater than the stated redemption price at maturity, the holder will generally be treated as having acquired the debentures with bond premium. The amount of such premium will be included in the adjusted tax basis of debentures which may result in a capital loss upon sale, exchange, redemption, repurchase, or other disposition of debentures. In lieu of the foregoing, the holder may elect to amortize such premium, as an offset to interest accrued or received on debentures, using a constant yield method over the remaining term of debentures.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Solely for Common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holder converts debentures, and we deliver solely common stock in the conversion, a holder will generally not recognize gain or loss except to the extent of cash received in lieu of a fractional share of our common stock. A holder will generally recognize capital gain (except to the extent of accrued market discount not previously included in income as described above) or loss, for United States federal income tax purposes, equal to the difference between the amount of cash received and the adjusted tax basis in such fractional share. Such gain or loss will generally be long-term if the holder’s holding period in respect of debentures is more than one year. A holder’s tax basis in the common stock received upon conversion should generally equal such holder’s adjusted tax basis in debentures tendered in the conversion, less the tax basis allocated to any fractional share for which cash is received.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 and Cash</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holder converts debentures, and we deliver a combination of cash and common stock in satisfaction of our conversion obligation, a holder will generally not recognize loss, but will generally recognize capital gain (except to the extent of accrued market discount not previously included in income as described above), if any, on debentures so converted in an amount equal to the lesser of the amount of (i) gain “realized” (i.e., the excess, if any, of the fair market value of the common stock received upon the exchange plus cash received over the adjusted tax basis in debentures tendered in exchange therefor) or (ii) cash received. Such gain will generally be long-term if the holder’s holding period in respect of such debentures is more than one year. A holder’s tax basis in the common stock received should generally equal the adjusted tax basis in debentures tendered in exchange therefor, decreased by the cash received, and increased by an amount of gain recognized.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Conversion Solely for Cash, or other Disposition of Debentures or Common Stock</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Upon the sale, exchange, conversion solely for cash, or other disposition of debentures (other than a conversion of debentures into our common stock, or our common stock and cash, as described above) or our common stock previously received pursuant to a conversion of debentures, a holder will generally recognize capital gain (except to the extent of accrued market discount not previously included in income as described above) or loss equal to the difference between (i) the amount of cash and the fair market value of any property received upon such disposition and (ii) the holder’s adjusted tax basis in debentures or common stock previously received pursuant to a conversion of debentures. Such gain or loss will be long-term if the holder’s holding period in respect of such debentures is more than one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Sale, or Other Disposition of Debentures—Amounts Received Attributable to Accrued But Unpaid Interest</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Common stock, cash, or a combination thereof received upon a conversion, sale, or other disposition of debentures which is attributable to accrued but unpaid interest on debentures will be excluded from the amount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realized upon such disposition. Any such cash or common stock received will be deemed to be a payment in respect of such accrued but unpaid interest and, in the case of a cash method holder, will be subject to tax as ordinary interest income upon receipt. The holder’s tax basis in any common stock received will be equal to the amount of the interest income attributable thereto and the holding period of the common stock will commence with the date of receipt.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Dividends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at any time we make a distribution of property to our stockholders that would be subject to tax as a dividend for United States federal income tax purposes and, in accordance with the anti-dilution provisions of debentures, the conversion rate of debentures is increased, including any such adjustments pursuant to dividends paid or distributions made by us prior to July 20, 2007, such increase may be deemed to be the payment of a taxable dividend, for United States federal income tax purposes, to holders of debentures. For example, an increase in the conversion rate in the event of distributions of our debt instruments, or our assets, or an increase in the event of an extraordinary cash dividend, generally will result in deemed dividend treatment to holders of debentures, but an increase in the event of stock dividends or the distribution of rights to subscribe for our common stock generally will not.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Paid on Common Stock</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Cash distributions, if any, paid on our common stock generally will be treated as dividend income to the extent of our current or accumulated earnings and profits as determined for United States federal income tax purposes. Cash distributions in excess of our current and accumulated earnings and profits will be treated as a tax-free return of capital to the extent of the holder’s adjusted tax basis in the common stock and thereafter as capital gain from the sale or exchange of such common stock. Dividends received by a corporate U.S. Holder may be eligible for a dividends received deduction. Dividends received by certain noncorporate U.S. Holders, including individuals, will generally be subject to tax at the lower applicable capital gain rate, provided certain holding period requirements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Payments of interest on debentures made to a Non-U.S. Holder will not be subject to United States federal income or withholding tax provided that (i) such holder is not a controlled foreign corporation that is related to us through stock ownership and (ii) the statement requirements set forth in section 871(h) or 881(c) of the Code are satisfied, as discussed below. Notwithstanding the above, a Non-U.S. Holder that is engaged in the conduct of a United States trade or business will be subject to (i) United States federal income tax on a net income basis on interest that is effectively connected with the conduct of such trade or business and</w:t>
      </w:r>
    </w:p>
    <w:p>
      <w:pPr>
        <w:spacing w:after="0" w:line="3" w:lineRule="exact"/>
        <w:rPr>
          <w:sz w:val="20"/>
          <w:szCs w:val="20"/>
          <w:color w:val="auto"/>
        </w:rPr>
      </w:pPr>
    </w:p>
    <w:p>
      <w:pPr>
        <w:ind w:right="120" w:firstLine="8"/>
        <w:spacing w:after="0" w:line="261"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Non-U.S. Holder is a corporation, a United States branch profits tax equal to 30% of its “effectively connected earnings and profits” as adjusted for the taxable year, unless the holder qualifies for an exemption from such tax or a lower tax rate under an applicable treaty.</w:t>
      </w:r>
    </w:p>
    <w:p>
      <w:pPr>
        <w:spacing w:after="0" w:line="12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statement requirement referred to in the preceding paragraph generally will be satisfied if the beneficial owner of debentures certifies on Internal Revenue Service Form W-8BEN, under penalties of perjury, that it is not a United States person and provides its name and address or otherwise satisfies applicable documentation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Constructive Dividends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Dividends paid or constructive dividends deemed paid (see “U.S. Holders—Constructive Dividends” above) to a Non-U.S. Holder generally will be subject to United States federal withholding tax at a 30% rate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reduction (a) by an applicable treaty if the Non-U.S. Holder provides an Internal Revenue Service Form W-8BEN certifying that it is entitled to such treaty benefits or (b) upon the receipt of an Internal Revenue Service Form W-8ECI from a Non-U.S. Holder claiming that the payments are effectively connected with the conduct of a United States trade or business. Notwithstanding the above, a Non-U.S. Holder that is engaged in the conduct of a United States trade or business will be subject to (i) United States federal income tax on a net income basis on the receipt of a dividend or a constructive dividend that is effectively connected with the conduct of such trade or business and (ii) if the Non-U.S. Holder is a corporation, a United States branch profits tax as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conversion of debentures solely for common stock, a Non-U.S. Holder will generally not be subject to United States federal income tax. See “—Sale, Exchange or Redemption of Debentures or Common Stock Received upon Conversion of Debentures” below, however, regarding the taxation of cash received, including cash received in lieu of a fractional share of common stock, upon a conversion. See “—Interest” above regarding the taxation of shares received in respect of accrued but unpaid interest on debentures.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Redemption of Debentures or Common Stock Received Upon Conversion of Debentures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Non-U.S. Holder generally will not be subject to United States federal income tax on gain recognized on a sale, exchange, redemption, a conversion of debentures for stock and cash, or other disposition of debentures or common stock received upon conversion of debentures (including the receipt of cash in lieu of a fractional share) unless (i) the gain is effectively connected with the conduct of a trade or business within the United States by the Non-U.S. Holder, (ii) in the case of a Non-U.S. Holder who is a nonresident alien individual, such holder is present in the United States for 183 or more days during the taxable year and certain other requirements are met, or (iii) we are a “United States real property holding corporation” (a “USRPHC”) and, in the case of a disposition of our common stock, our common stock is not regularly traded on an established securities market at the time of disposition, and other conditions described below are not met. Any such gain that is effectively connected with the conduct of a United States trade or business by a Non-U.S. Holder will be subject to United States federal income tax on a net income basis and, if such Non-U.S. Holder is a corporation, may also be subject to the 30% United States branch profits tax described above.</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for United States federal income tax purposes we believe that we are, and anticipate that we will likely continue to be a USRPHC, a Non-U.S. Holder could be subject to tax on any gain realized on a disposition of our debentures or common stock and to a 10% withholding tax (creditable against such tax liability) on the gross amount realized (“FIRPTA tax and withholding”). In the case of a disposition of our common stock, we believe that our common stock is presently “regularly traded” on an established securities market because it is traded on the Nasdaq National Market and is regularly quoted by brokers and/or dealers making a market in our common stock. If our common stock is regularly traded at the time of disposition, withholding generally will not be required and, provided that the Non-U.S. Holder is not otherwise subject to tax under clauses (i) or (ii) in the immediately preceding paragraph, a Non-U.S. Holder who did not own more than 5% of the value of our common stock, actually or constructively, at any time during the shorter of the five-year period preceding the disposition or the Non-U.S. Holder’s holding period, should not be subject to United States federal income tax on any gain realized on the disposition of our common stock. It is possible, however, that, because of our concentrated ownership, our common stock will not be considered regularly traded despite being quoted on the Nasdaq National Market and regularly quoted by market makers. As a result, a Non-U.S. Holder could be subject to FIRPTA tax and withholding on a disposition of our debentures or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Information returns will be filed annually with the Internal Revenue Service and provided to each Non-U.S. Holder with respect to any payments on debentures or our common stock and the proceeds from their sale or other disposition that are subject to withholding tax or that are exempt from United States withholding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pursuant to an income tax treaty or other reason. Copies of these information returns also may be made available under the provisions of a specific treaty or agreement to the tax authorities of the country in which the Non-U.S. Holder resides. Under certain circumstances, the Code imposes a backup withholding obligation. Interest, dividends, or constructive dividends paid to a Non-U.S. Holder of debentures or common stock generally will be exempt from backup withholding if the Non-U.S. Holder provides a properly executed Internal Revenue Service Form W-8BEN or otherwise establishes an exemption.</w:t>
      </w:r>
    </w:p>
    <w:p>
      <w:pPr>
        <w:spacing w:after="0" w:line="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payment of the proceeds from the disposition of debentures or our common stock to or through the United States office of any broker, United States or foreign, will be subject to information reporting and possible backup withholding unless the owner certifies as to its non-United States status under penalties of perjury or otherwise establishes an exemption, provided that the broker does not have actual knowledge or reason to know that the holder is a United States person or that the conditions of any other exemption are not, in fact, satisfied. The payment of the proceeds from the disposition of debentures or our common stock to or through a non-United States office of a non-United States broker will not be subject to information reporting or backup withholding unless the non-United States broker has certain types of relationships with the United States (a “United States related person”). In the case of the payment of the proceeds from the disposition of debentures or common stock to or through a non-United States office of a broker that is either a United States person or a United States related person, the Treasury regulations require information reporting (but not backup withholding) on the payment unless the broker has documentary evidence in its files that the owner is a Non-U.S. Holder and the broker has no knowledge or reason to know otherwise.</w:t>
      </w:r>
    </w:p>
    <w:p>
      <w:pPr>
        <w:spacing w:after="0" w:line="10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United States federal income tax liability, if any, if the Non-U.S. Holder provides, on a timely basis, the required information to the Internal Revenue Service.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debentures were originally issued by us and sold by Deutsche Bank Securities and SG Cowen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debentures listed below and the shares of common stock issued upon conversion of such debentures.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 below sets forth the name of each selling securityholder, the principal amount at maturity of debentures that each selling securityholder may offer pursuant to this prospectus and the number of shares of common stock into which such debentures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principal amounts of the debentures provided in the table below is based on information provided to us by each of the selling securityholders on or before May 19, 2004, and the percentages are based on $250,000,000 principal amount at maturity of debentures outstanding. The number of shares of common stock that may be sold is calculated based on the current conversion price of $23.00 per share.</w:t>
      </w:r>
    </w:p>
    <w:p>
      <w:pPr>
        <w:spacing w:after="0" w:line="9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Since the date on which each selling securityholder provided this information, each selling securityholder identified below may have sold, transferred or otherwise disposed of all or a portion of its debentures in a transaction exempt from the registration requirements of the Securities Act. Information concerning the selling securityholders may change from time to time and any changed information will be set forth in amendments to the registration statement or supplements to this prospectus to the extent required. In addition, the conversion ratio, and therefore the number of shares of our common stock issuable upon conversion of the debentures, is subject to adjustment. Accordingly, the number of shares of common stock issuable upon conversion of the debentures may increase or decrease.</w:t>
      </w:r>
    </w:p>
    <w:p>
      <w:pPr>
        <w:spacing w:after="0" w:line="13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selling securityholders may from time to time offer and sell any or all of the securities under this prospectus. Because the selling securityholders are not obligated to sell the debentures or the shares of common stock issuable upon conversion of the debentures, we cannot estimate the amount of the debentures or how many shares of common stock that the selling securityholders will hold upon consummation of any such sales.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Principal</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Amount at</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5"/>
              </w:rPr>
              <w:t>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Common</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Offered</w:t>
            </w: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8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 of Selling Security Holder</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Owned(1)</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Hereby(1)</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Owned(2)</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Sold(2)</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Akela Capital Master Fund,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8,500,000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369,564</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369,564</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Arbitex Master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130,434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26,086</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LLCx</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BAMCO, Inc., on behalf of its investment advisory clients</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32,000,000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9,555,087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1,391,302</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3"/>
          </w:tcPr>
          <w:p>
            <w:pPr>
              <w:spacing w:after="0" w:line="138" w:lineRule="exact"/>
              <w:rPr>
                <w:sz w:val="20"/>
                <w:szCs w:val="20"/>
                <w:color w:val="auto"/>
              </w:rPr>
            </w:pPr>
            <w:r>
              <w:rPr>
                <w:rFonts w:ascii="Arial" w:cs="Arial" w:eastAsia="Arial" w:hAnsi="Arial"/>
                <w:sz w:val="14"/>
                <w:szCs w:val="14"/>
                <w:color w:val="auto"/>
              </w:rPr>
              <w:t>Barclays Global Investors Diversified Alpha Plus Funds</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c/o Forest Investment Management, LLC</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150,000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6,521</w:t>
            </w:r>
          </w:p>
        </w:tc>
        <w:tc>
          <w:tcPr>
            <w:tcW w:w="3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36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BNP Paribas Equity Strategies, SNC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431,000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BP Amoco PLC Master Trust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848,000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848,000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36,869</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36,869</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Canyon Capital Arbitrage Master Fund,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Canyon Value Realization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130,434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Canyon Value Realization Fund (Cayman),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Canyon Value Realization Mac 18, Ltd. (RMF)</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43,478</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43,478</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CooperNeff Convertible Strategies (Cayman) Master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426,000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426,000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18,521</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18,521</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DBAG—LONDON</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13,000,000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10,790,000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10,790,000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469,129</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469,129</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Durango Investments,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Equitec Group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43,478</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43,478</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937,000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2,475,000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107,608</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107,608</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Forest Multi-Strategy Master Fund SPC, on behalf of its Multi-Strategy Segregated</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Portfolio</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750,000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750,000</w:t>
            </w:r>
          </w:p>
        </w:tc>
        <w:tc>
          <w:tcPr>
            <w:tcW w:w="1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3,250,000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141,304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141,304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10,000,000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434,782</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Grace Convertible Arbitrage Fund,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173,912</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173,912</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Highbridge International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15,000,000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Hotel Union &amp; Hotel Industry of Hawaii Pension Plan</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331,000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14,391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13,043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13,043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 c/o Forest Investment Management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2,025,000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88,043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88,043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Marsico Capital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20,000,000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5,534,215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869,564</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Morgan Stanley &amp; Co., Incorporated . . . . . .. . . . . . . .</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10,000,000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6,538,670</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Morgan Stanley Convertible Securities Trust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National Bank of Canada c/o Putnam Lovell NBF Securities Inc.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4,675,000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4,675,000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203,260</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203,260</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Newport Alternative Income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Nisswa Master Fund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86,956</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86,956</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OIP Limited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78,260</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78,260</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14,000,000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608,694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608,694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RBC Alternative Assets LP c/o Forest Investment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97,000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4,217</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 c/o Forest Investment Management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9,782</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9,782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Silvercreek II Limited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1,930,000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83,912</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83,912</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Silvercreek Limited Partnership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4,110,000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4,110,000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178,695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178,695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Singlehedge U.S. Convertible Arbitrage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 Fund SPC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304,000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304,000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13,217</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13,217</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 c/o Forest Investment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113,000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SSI Blended Market Neutral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23,043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23,043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SSI Hedged Convertible Market Neutral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878,000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38,173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38,173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Sturgeon Limited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2,652</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2,652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25,000,000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Tempo Master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347,825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347,825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Northwestern Mutual Life Insurance Company—General Account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7,950,000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345,651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345,651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w w:val="96"/>
              </w:rPr>
              <w:t>The Northwestern Mutual Life Insurance Company—Group Annuity Separate Account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25,000,000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c/o Forest Investment Management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Viacom Inc. Pension Plan Master Trust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Whitebox Convertible Arbitrage Partners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27,000,000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27,000,000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14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1,173,911</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1,173,911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Whitebox Diversified Convertible Arbitrage Partners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4 Fund c/o Forest Investment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Zurich Institutional Benchmark Master Fund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4,347</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6"/>
              </w:rPr>
              <w:t>Zurich Institutional Benchmarks Master Fund Ltd. c/o Forest Investment Management</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225,000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w:t>
            </w:r>
          </w:p>
        </w:tc>
        <w:tc>
          <w:tcPr>
            <w:tcW w:w="1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2,080,000</w:t>
            </w:r>
          </w:p>
        </w:tc>
        <w:tc>
          <w:tcPr>
            <w:tcW w:w="680" w:type="dxa"/>
            <w:vAlign w:val="bottom"/>
          </w:tcPr>
          <w:p>
            <w:pPr>
              <w:jc w:val="right"/>
              <w:spacing w:after="0"/>
              <w:rPr>
                <w:sz w:val="20"/>
                <w:szCs w:val="20"/>
                <w:color w:val="auto"/>
              </w:rPr>
            </w:pPr>
            <w:r>
              <w:rPr>
                <w:rFonts w:ascii="Arial" w:cs="Arial" w:eastAsia="Arial" w:hAnsi="Arial"/>
                <w:sz w:val="14"/>
                <w:szCs w:val="14"/>
                <w:color w:val="auto"/>
              </w:rPr>
              <w:t>2,080,000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90,434</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90,434</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0" w:right="7940" w:firstLine="2"/>
        <w:spacing w:after="0" w:line="230" w:lineRule="auto"/>
        <w:tabs>
          <w:tab w:leader="none" w:pos="344"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less than 0.1% of the Debentures outstanding. ** Represents less than 0.01%.</w:t>
      </w:r>
    </w:p>
    <w:p>
      <w:pPr>
        <w:spacing w:after="0" w:line="1" w:lineRule="exact"/>
        <w:rPr>
          <w:sz w:val="20"/>
          <w:szCs w:val="20"/>
          <w:color w:val="auto"/>
        </w:rPr>
      </w:pPr>
    </w:p>
    <w:p>
      <w:pPr>
        <w:ind w:left="340" w:right="26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may include debentures purchased in one or more transactions pursuant to Rule 144 of the Securities Act from a group of unidentifiable sellers, which may include one or more of the selling security holders previously, or currently, listed in this table.</w:t>
      </w:r>
    </w:p>
    <w:p>
      <w:pPr>
        <w:ind w:lef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As a result, the number of shares of common stock issuable upon conversion of the debentures may increase or decrease in the future.</w:t>
      </w:r>
    </w:p>
    <w:p>
      <w:pPr>
        <w:ind w:left="340" w:right="380" w:hanging="332"/>
        <w:spacing w:after="0" w:line="297"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Calculated based on Rule 13d-3(d)(i) of the Exchange Act, using 82,168,484 common shares outstanding as of May 3, 2004. In calculating this amount for each holder, we treated as outstanding the number of shares of common stock issuable upon conversion of all that holder’s debentures, but we did not assume conversion of any other holder’s debentures.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debentures and the underlying common stock are being registered to permit the resale of such securities by the holders of such securities from time to time after the date of this prospectus. We will not receive any of the proceeds from the sale by the selling securityholders of the debentures or the common stock. We will bear the fees and expenses incurred in connection with our obligation to register the debentures and the underlying common stock. However, the selling securityholders will pay all underwriting discounts, commissions and agent’s commissions, if any.</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selling securityholders may offer and sell the debentures and the common stock into which the debentures are convertible from time to time in one or more transactions at fixed prices, at prevailing market prices at the time of sale, at varying prices determined at the time of sale or at negotiated prices. These prices will be determined by the selling securityholder or by agreement between such holder and underwriters or dealers who may receive fees or commissions in connection with such sale. Such sales may be effected by a variety of methods, including the following:</w:t>
      </w:r>
    </w:p>
    <w:p>
      <w:pPr>
        <w:spacing w:after="0" w:line="18" w:lineRule="exact"/>
        <w:rPr>
          <w:sz w:val="20"/>
          <w:szCs w:val="20"/>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agree to it prior to the distribution, through one or more underwriters on a firm commitment or best-efforts basis;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sales of the debentures and the common stock into which the debentures are convertible or otherwise, the selling securityholders may enter into hedging transactions with broker-dealers, which may in turn engage in short sales of the offered securities, short and deliver the debentures and the common stock into which the debentures are convertible to close out such short positions, or loan or pledge the debentures and the common stock into which the debentures are convertible to broker-dealers that in turn may sell such securities.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material arrangement with any underwriter, broker, dealer or other agent is entered into for the sale of any debentures and the common stock into which the debentures are convertible through a secondary distribution or a purchase by a broker or dealer, or if other material changes are made in the plan of distribution of the debentures and the common stock into which the debentures are convertible, a prospectus supplement will be filed, if necessary, under the Securities Act disclosing the material terms and conditions of such arrangement. The underwriter or underwriters with respect to an underwritten offering of debentures and the common stock into which the debentures are convertible and the other material terms and conditions of the underwriting will be set forth in a prospectus supplement relating to such offering and, if an underwriting syndicate is used, the managing underwriter or underwriters will be set forth on the cover of the prospectus supplement. In connection with the sale of the debentures and the common stock into which the debentures are convertible, underwriters will receive compensation in the form of underwriting discounts or commissions and may also receive commissions from purchasers of debentures and underlying common stock for whom they may act as agent. Underwriters may sell to or through dealers, and such dealers may receive compensation in the form of discounts, concessions or commissions from the underwriters or commissions from the purchasers for whom they may act as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securityholders and any underwriter, broker-dealer or agent regarding the sale of the debentures or the underlying common stock by the selling securityholders. Selling securityholders may decide not to sell all or a portion of the debentures or the underlying common stock offered by them pursuant to this prospectus or may decide not to sell debentures or the underlying common stock under this prospectus. In addition, any selling securityholder may transfer, devise or give the debentures or the underlying common stock by other means not described in this prospectus. Any debentures or underlying common stock covered by this prospectus that qualify for sale pursuant to Rule 144 or Rule 144A of the Securities Act may be sold under Rule 144 or Rule 144A rather than pursuant to this prospectus.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selling securityholders and any underwriters, broker-dealers or agents participating in the distribution of the debentures and the common stock into which the debentures are convertible may be deemed to be “underwriters” within the meaning of the Securities Act, and any profit on the sale of the debentures or common stock by the selling securityholders and any commissions received by any such underwriters, broker-dealers or agents may be deemed to be underwriting commissions under the Securities Act. If the selling securityholders were deemed to be underwriters, the selling securityholders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selling securityholders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debentures and the common stock into which the debentures are convertible by the selling securityholders and any other relevant person. Furthermore, Regulation M may restrict the ability of any person engaged in the distribution of the debentures and the common stock into which the debentures are convertible to engage in market-making activities with respect to the particular debentures and the common stock into which the debentures are convertible being distributed. All of the above may affect the marketability of the debentures and the common stock into which the debentures are convertible and the ability of any person or entity to engage in market-making activities with respect to the debentures and the common stock into which the debentures are convertible.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securities laws of certain states, the debentures and the common stock into which the debentures are convertible may be sold in those states only through registered or licensed brokers or dealers. In addition, in certain states the debentures and the common stock into which the debentures are convertible may not be sold unless the debentures and the common stock into which the debentures are convertible have been registered or qualified for sale in the state or an exemption from registration or qualification is available and complied with.</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agreed to indemnify the selling securityholders against certain civil liabilities, including certain liabilities arising under the Securities Act, and the selling securityholders will be entitled to contribution from us in connection with those liabilities. The selling securityholders will indemnify us against certain civil liabilities, including liabilities arising under the Securities Act, and will be entitled to contribution from the selling securityholders in connection with those liabilities.</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permitted to suspend the use of this prospectus under certain circumstances relating to corporate developments, public filings with the SEC and similar events for a period not to exceed 45 days in any three-month period and not to exceed an aggregate of 90 days in any 12-month period. If the duration of such suspension exceeds any of the periods above-mentioned, we have agreed to pay liquidated damages. See “Description of Debentures—Registration Rights.”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Certain legal matters regarding the debentures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from Wynn Resorts’ Annual Report on Form 10-K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lvl w:ilvl="1">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2)"/>
      <w:numFmt w:val="decimal"/>
      <w:start w:val="1"/>
    </w:lvl>
  </w:abstractNum>
  <w:abstractNum w:abstractNumId="18">
    <w:nsid w:val="737B8DDC"/>
    <w:multiLevelType w:val="hybridMultilevel"/>
    <w:lvl w:ilvl="0">
      <w:lvlJc w:val="left"/>
      <w:lvlText w:val="•"/>
      <w:numFmt w:val="bullet"/>
      <w:start w:val="1"/>
    </w:lvl>
    <w:lvl w:ilvl="1">
      <w:lvlJc w:val="left"/>
      <w:lvlText w:val="(%2)"/>
      <w:numFmt w:val="decimal"/>
      <w:start w:val="2"/>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lvl w:ilvl="1">
      <w:lvlJc w:val="left"/>
      <w:lvlText w:val="(%2)"/>
      <w:numFmt w:val="lowerLetter"/>
      <w:start w:val="1"/>
    </w:lvl>
  </w:abstractNum>
  <w:abstractNum w:abstractNumId="21">
    <w:nsid w:val="4516DD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3006C83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4"/>
    </w:lvl>
    <w:lvl w:ilvl="1">
      <w:lvlJc w:val="left"/>
      <w:lvlText w:val="(%2)"/>
      <w:numFmt w:val="lowerLetter"/>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9"/>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lowerRoman"/>
      <w:start w:val="2"/>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2019-12-20T16:40:03Z</dcterms:created>
  <dcterms:modified xsi:type="dcterms:W3CDTF">2019-12-20T16:40:03Z</dcterms:modified>
</cp:coreProperties>
</file>