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60" w:right="1820" w:hanging="452"/>
        <w:spacing w:after="0" w:line="438"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2008</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65"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7"/>
              </w:rPr>
              <w:t>NEVADA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66"/>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52"/>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284"/>
        </w:trPr>
        <w:tc>
          <w:tcPr>
            <w:tcW w:w="2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9"/>
        </w:trPr>
        <w:tc>
          <w:tcPr>
            <w:tcW w:w="2600" w:type="dxa"/>
            <w:vAlign w:val="bottom"/>
          </w:tcPr>
          <w:p>
            <w:pPr>
              <w:spacing w:after="0"/>
              <w:rPr>
                <w:sz w:val="24"/>
                <w:szCs w:val="24"/>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820"/>
        <w:spacing w:after="0" w:line="207" w:lineRule="exact"/>
        <w:tabs>
          <w:tab w:leader="none" w:pos="3860" w:val="left"/>
          <w:tab w:leader="none" w:pos="5460" w:val="left"/>
          <w:tab w:leader="none" w:pos="74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8"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May 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640" w:type="dxa"/>
            <w:vAlign w:val="bottom"/>
            <w:gridSpan w:val="14"/>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1160" w:type="dxa"/>
            <w:vAlign w:val="bottom"/>
          </w:tcPr>
          <w:p>
            <w:pPr>
              <w:spacing w:after="0"/>
              <w:rPr>
                <w:sz w:val="19"/>
                <w:szCs w:val="19"/>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Item 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6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1160" w:type="dxa"/>
            <w:vAlign w:val="bottom"/>
          </w:tcPr>
          <w:p>
            <w:pPr>
              <w:spacing w:after="0"/>
              <w:rPr>
                <w:sz w:val="24"/>
                <w:szCs w:val="24"/>
                <w:color w:val="auto"/>
              </w:rPr>
            </w:pPr>
          </w:p>
        </w:tc>
      </w:tr>
      <w:tr>
        <w:trPr>
          <w:trHeight w:val="286"/>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2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2008 (unaudited) and December 31, 2007</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8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 – Three months ended March 31, 2008 and 2007</w:t>
              </w:r>
            </w:hyperlink>
          </w:p>
        </w:tc>
        <w:tc>
          <w:tcPr>
            <w:tcW w:w="104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20" w:type="dxa"/>
            <w:vAlign w:val="bottom"/>
            <w:gridSpan w:val="11"/>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Cash Flows (unaudited) – Three months ended March 31, 2008 and 2007</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20" w:type="dxa"/>
            <w:vAlign w:val="bottom"/>
            <w:tcBorders>
              <w:top w:val="single" w:sz="8" w:color="0000EE"/>
            </w:tcBorders>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0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06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Quantitative and Qualitative Disclosures About Market Risk</w:t>
              </w:r>
            </w:hyperlink>
          </w:p>
        </w:tc>
        <w:tc>
          <w:tcPr>
            <w:tcW w:w="5100" w:type="dxa"/>
            <w:vAlign w:val="bottom"/>
            <w:gridSpan w:val="6"/>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60" w:type="dxa"/>
            <w:vAlign w:val="bottom"/>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43"/>
        </w:trPr>
        <w:tc>
          <w:tcPr>
            <w:tcW w:w="6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Other Information</w:t>
            </w:r>
          </w:p>
        </w:tc>
        <w:tc>
          <w:tcPr>
            <w:tcW w:w="7640" w:type="dxa"/>
            <w:vAlign w:val="bottom"/>
            <w:gridSpan w:val="8"/>
          </w:tcPr>
          <w:p>
            <w:pPr>
              <w:spacing w:after="0"/>
              <w:rPr>
                <w:sz w:val="24"/>
                <w:szCs w:val="24"/>
                <w:color w:val="auto"/>
              </w:rPr>
            </w:pPr>
          </w:p>
        </w:tc>
        <w:tc>
          <w:tcPr>
            <w:tcW w:w="1160" w:type="dxa"/>
            <w:vAlign w:val="bottom"/>
          </w:tcPr>
          <w:p>
            <w:pPr>
              <w:spacing w:after="0"/>
              <w:rPr>
                <w:sz w:val="24"/>
                <w:szCs w:val="24"/>
                <w:color w:val="auto"/>
              </w:rPr>
            </w:pPr>
          </w:p>
        </w:tc>
      </w:tr>
      <w:tr>
        <w:trPr>
          <w:trHeight w:val="286"/>
        </w:trPr>
        <w:tc>
          <w:tcPr>
            <w:tcW w:w="620" w:type="dxa"/>
            <w:vAlign w:val="bottom"/>
          </w:tcPr>
          <w:p>
            <w:pPr>
              <w:spacing w:after="0"/>
              <w:rPr>
                <w:sz w:val="20"/>
                <w:szCs w:val="20"/>
                <w:color w:val="auto"/>
              </w:rPr>
            </w:pPr>
            <w:r>
              <w:rPr>
                <w:rFonts w:ascii="Arial" w:cs="Arial" w:eastAsia="Arial" w:hAnsi="Arial"/>
                <w:sz w:val="18"/>
                <w:szCs w:val="18"/>
                <w:color w:val="auto"/>
              </w:rPr>
              <w:t>Item IA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60" w:type="dxa"/>
            <w:vAlign w:val="bottom"/>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60" w:type="dxa"/>
            <w:vAlign w:val="bottom"/>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Borders>
              <w:top w:val="single" w:sz="8" w:color="0000EE"/>
            </w:tcBorders>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120" w:type="dxa"/>
            <w:vAlign w:val="bottom"/>
            <w:gridSpan w:val="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90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w:t>
              </w:r>
            </w:hyperlink>
          </w:p>
        </w:tc>
        <w:tc>
          <w:tcPr>
            <w:tcW w:w="580" w:type="dxa"/>
            <w:vAlign w:val="bottom"/>
            <w:tcBorders>
              <w:top w:val="single" w:sz="8" w:color="0000EE"/>
            </w:tcBorders>
            <w:gridSpan w:val="2"/>
          </w:tcPr>
          <w:p>
            <w:pPr>
              <w:spacing w:after="0"/>
              <w:rPr>
                <w:sz w:val="24"/>
                <w:szCs w:val="24"/>
                <w:color w:val="auto"/>
              </w:rPr>
            </w:pPr>
          </w:p>
        </w:tc>
        <w:tc>
          <w:tcPr>
            <w:tcW w:w="8780" w:type="dxa"/>
            <w:vAlign w:val="bottom"/>
            <w:gridSpan w:val="10"/>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3"/>
        </w:trPr>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0" w:type="dxa"/>
            <w:vAlign w:val="bottom"/>
            <w:gridSpan w:val="8"/>
          </w:tcPr>
          <w:p>
            <w:pPr>
              <w:jc w:val="right"/>
              <w:ind w:right="32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65,994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109,025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61,263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22,438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258,720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31,322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89,879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3,247,333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3,031,403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39,765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71,544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3,761,532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3,647,256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39,584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26,242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69,328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40,514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253,780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2,079,177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1,954,084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2,413,313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2,272,236</w:t>
            </w:r>
          </w:p>
        </w:tc>
        <w:tc>
          <w:tcPr>
            <w:tcW w:w="0" w:type="dxa"/>
            <w:vAlign w:val="bottom"/>
          </w:tcPr>
          <w:p>
            <w:pPr>
              <w:spacing w:after="0"/>
              <w:rPr>
                <w:sz w:val="1"/>
                <w:szCs w:val="1"/>
                <w:color w:val="auto"/>
              </w:rPr>
            </w:pPr>
          </w:p>
        </w:tc>
      </w:tr>
      <w:tr>
        <w:trPr>
          <w:trHeight w:val="221"/>
        </w:trPr>
        <w:tc>
          <w:tcPr>
            <w:tcW w:w="766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1,463,915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1,461,949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(115,696)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1,348,219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1,375,020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3,761,532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3,647,256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9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Casino</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$125,134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173,093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70,563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77,185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53,855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vMerge w:val="continue"/>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326,737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368,318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(39,136)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(37,384)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vMerge w:val="continue"/>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287,601</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330,934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Casino</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68,550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19,082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46,860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37,533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50,957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3,874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39,480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20,513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vMerge w:val="continue"/>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296,474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272,176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unconsolidated affiliates</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Operating (loss) income</w:t>
            </w: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gridSpan w:val="2"/>
            <w:vMerge w:val="continue"/>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(8,592)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(19,692)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vMerge w:val="continue"/>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(20,175)</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(21,442)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 (28,767)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(loss)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(28,767)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39,480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20,513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(15,242)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6,036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49,431</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8"/>
              </w:rPr>
              <w:t>(238,469)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(8,631)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8"/>
              </w:rPr>
              <w:t>(254,813)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(29,993)</w:t>
            </w: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125,000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124,855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80" w:type="dxa"/>
            <w:vAlign w:val="bottom"/>
          </w:tcPr>
          <w:p>
            <w:pPr>
              <w:spacing w:after="0"/>
              <w:rPr>
                <w:sz w:val="18"/>
                <w:szCs w:val="18"/>
                <w:color w:val="auto"/>
              </w:rPr>
            </w:pP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(80,527)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146,521</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65,994</w:t>
            </w:r>
          </w:p>
        </w:tc>
        <w:tc>
          <w:tcPr>
            <w:tcW w:w="6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March 31, 2008,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currently constructing Encore at Wynn Las Vegas (“Encore”). Encore is expected to open to the public in December 2008.</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2008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2007.</w:t>
      </w:r>
    </w:p>
    <w:p>
      <w:pPr>
        <w:spacing w:after="0" w:line="193" w:lineRule="exact"/>
        <w:rPr>
          <w:sz w:val="20"/>
          <w:szCs w:val="20"/>
          <w:color w:val="auto"/>
        </w:rPr>
      </w:pPr>
    </w:p>
    <w:p>
      <w:pPr>
        <w:ind w:left="240" w:right="790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2008 and December 31, 2007, approximately 58% and 53% respectively, of the Company’s markers were due from customers residing 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foreign countries, primarily in Asia. Business or economic conditions or other significant events in these countries could affect the collectibility of such receivables.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Three Months Ended</w:t>
            </w:r>
          </w:p>
        </w:tc>
      </w:tr>
      <w:tr>
        <w:trPr>
          <w:trHeight w:val="16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14,317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14,021</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0" w:type="dxa"/>
            <w:vAlign w:val="bottom"/>
          </w:tcPr>
          <w:p>
            <w:pPr>
              <w:spacing w:after="0"/>
              <w:rPr>
                <w:sz w:val="18"/>
                <w:szCs w:val="18"/>
                <w:color w:val="auto"/>
              </w:rPr>
            </w:pPr>
          </w:p>
        </w:tc>
      </w:tr>
      <w:tr>
        <w:trPr>
          <w:trHeight w:val="222"/>
        </w:trPr>
        <w:tc>
          <w:tcPr>
            <w:tcW w:w="882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23,053</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21,962</w:t>
            </w: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expenses advertising costs the first time the advertising takes place. For the three months ended March 31, 2008 and 2007, advertising costs totaled approximately $6.5 million each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September 2006, the Financial Accounting Standard Board (the “FASB”) issued Statement of Financial Accounting Standards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adoption of this statement did not have a material impact the Company’s consolidated financial statements.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this statement did not have a material impact on the Company’s consolidated financial statements.</w:t>
      </w:r>
    </w:p>
    <w:p>
      <w:pPr>
        <w:spacing w:after="0" w:line="11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the Company’s financial position, results of operations or cash flows.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paid for the three months ended March 31, 2008 and 2007 totaled approximately $4.4 million and $5.6 million, respectively. Interest capitalized for the three months ended March 31, 2008 and 2007 totaled approximately $15.9 million and $4.4 million, respectively.</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During the three months ended March 31, 2008 and 2007, capital expenditures includes an increase of approximately $17.7 million and $26.7 million, respectively, in construction payables and retention recorded through amounts due to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$138,538</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Hotel</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14,661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163,062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109,025</w:t>
            </w:r>
          </w:p>
        </w:tc>
        <w:tc>
          <w:tcPr>
            <w:tcW w:w="260" w:type="dxa"/>
            <w:vAlign w:val="bottom"/>
          </w:tcPr>
          <w:p>
            <w:pPr>
              <w:spacing w:after="0"/>
              <w:rPr>
                <w:sz w:val="19"/>
                <w:szCs w:val="19"/>
                <w:color w:val="auto"/>
              </w:rPr>
            </w:pP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603,838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603,838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1,209,194</w:t>
            </w:r>
          </w:p>
        </w:tc>
        <w:tc>
          <w:tcPr>
            <w:tcW w:w="2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1,209,562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668,246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655,754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1,103,910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865,130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3,629,442</w:t>
            </w:r>
          </w:p>
        </w:tc>
        <w:tc>
          <w:tcPr>
            <w:tcW w:w="26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3,378,538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(382,109)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(347,135)</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$ 3,247,333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$ 3,031,403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2008 and December 31, 2007, construction in progress includes costs capitalized in conjunction with Encore.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8980" w:type="dxa"/>
            <w:vAlign w:val="bottom"/>
          </w:tcPr>
          <w:p>
            <w:pPr>
              <w:spacing w:after="0"/>
              <w:rPr>
                <w:sz w:val="14"/>
                <w:szCs w:val="14"/>
                <w:color w:val="auto"/>
              </w:rPr>
            </w:pPr>
          </w:p>
        </w:tc>
        <w:tc>
          <w:tcPr>
            <w:tcW w:w="110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01"/>
        </w:trPr>
        <w:tc>
          <w:tcPr>
            <w:tcW w:w="8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 net of</w:t>
            </w:r>
          </w:p>
        </w:tc>
        <w:tc>
          <w:tcPr>
            <w:tcW w:w="2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8"/>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original issue discount of $10,373 and $10,816, respectively</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$ 1,689,627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$ 1,689,184</w:t>
            </w:r>
          </w:p>
        </w:tc>
      </w:tr>
      <w:tr>
        <w:trPr>
          <w:trHeight w:val="208"/>
        </w:trPr>
        <w:tc>
          <w:tcPr>
            <w:tcW w:w="8980" w:type="dxa"/>
            <w:vAlign w:val="bottom"/>
          </w:tcPr>
          <w:p>
            <w:pPr>
              <w:spacing w:after="0"/>
              <w:rPr>
                <w:sz w:val="20"/>
                <w:szCs w:val="20"/>
                <w:color w:val="auto"/>
              </w:rPr>
            </w:pPr>
            <w:r>
              <w:rPr>
                <w:rFonts w:ascii="Arial" w:cs="Arial" w:eastAsia="Arial" w:hAnsi="Arial"/>
                <w:sz w:val="18"/>
                <w:szCs w:val="18"/>
                <w:color w:val="auto"/>
              </w:rPr>
              <w:t>$900 million Revolving Credit Facility; due August 15, 2011;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8980" w:type="dxa"/>
            <w:vAlign w:val="bottom"/>
          </w:tcPr>
          <w:p>
            <w:pPr>
              <w:ind w:left="220"/>
              <w:spacing w:after="0"/>
              <w:rPr>
                <w:sz w:val="20"/>
                <w:szCs w:val="20"/>
                <w:color w:val="auto"/>
              </w:rPr>
            </w:pPr>
            <w:r>
              <w:rPr>
                <w:rFonts w:ascii="Arial" w:cs="Arial" w:eastAsia="Arial" w:hAnsi="Arial"/>
                <w:sz w:val="18"/>
                <w:szCs w:val="18"/>
                <w:color w:val="auto"/>
              </w:rPr>
              <w:t>interest at LIBOR plus 1.625%</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125,000</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2"/>
              </w:rPr>
              <w:t>$225 million Term Loan Facility; $112.5 million due September 30, 2012 with the remaining $112.5 million due August 15,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225,000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40,950</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40,950</w:t>
            </w:r>
          </w:p>
        </w:tc>
      </w:tr>
      <w:tr>
        <w:trPr>
          <w:trHeight w:val="27"/>
        </w:trPr>
        <w:tc>
          <w:tcPr>
            <w:tcW w:w="8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2,080,577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1,955,134</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(1,400)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(1,050)</w:t>
            </w:r>
          </w:p>
        </w:tc>
      </w:tr>
      <w:tr>
        <w:trPr>
          <w:trHeight w:val="27"/>
        </w:trPr>
        <w:tc>
          <w:tcPr>
            <w:tcW w:w="8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$ 2,079,177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$ 1,954,084</w:t>
            </w:r>
          </w:p>
        </w:tc>
      </w:tr>
      <w:tr>
        <w:trPr>
          <w:trHeight w:val="20"/>
        </w:trPr>
        <w:tc>
          <w:tcPr>
            <w:tcW w:w="8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2008, management believes the Company was in compliance with all debt covenants.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 net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 Limited</w:t>
      </w:r>
    </w:p>
    <w:p>
      <w:pPr>
        <w:spacing w:after="0" w:line="90"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On August 15, 2005, the Company loaned $80 million to Wynn Resorts who then loaned those funds through its subsidiaries to Wynn Macau, S.A. as part of the financing of Wynn Macau, Wynn Resorts’ casino resort facility in the Macau Special Administrative Region of the People’s Republic of China (“Macau”), which opened to the public on September 6, 2006. Interest accrues at 7.5% per annum. Unpaid principal and interest is due at maturity on August 15, 2012.</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Included in the balances as of March 31, 2008 and December 31, 2007, was approximately $9.9 and $8.4 million, respectively, of accrued interest receivable related to this note.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March 31, 2008, the Company’s net due to affiliates was primarily comprised of construction payables of approximately $74.8 million, construction retention of approximately $50.1 million, a management fee of approximately $51.7 million (equal to 1.5% of net revenues and payable upon meeting certain leverage ratios as specified in the documents governing the Company’s Credit Facilities), and other net amounts receivable from affiliates totaling $28 million (including corporate allocations discussed below).</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31, 2007, the Company’s net due to affiliates was primarily comprised of construction payables of approximately $65.7 million, construction retention of approximately $41.6 million, a management fee of approximately $47.4 million (equal to 1.5% of revenues and payable upon meeting certain leverage ratios as specified in the documents governing the Company’s Credit Facilities), and other net amounts receivable from affiliates totaling $35.2 million (including corporate allocations discussed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accompanying condensed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allocation methods include specific identification, relative cost, square footage and headcount. Wynn Resorts maintains corporate offices at Wynn Las Vegas without charge from the Company. The Company settles these corporate allocation charges with Wynn Resorts on a periodic basis as discussed in “Amounts Due to Affiliates, Net” above. During the three months ended March 31, 2008 and 2007, approximately $4 million and $5.2 million, respectively, was charged to the Company for such corporate allocations.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including household services, construction work and other personal services. The cost of these services is transferred to Wynn Resorts on a periodic basis. Mr. Wynn and these other officers have amounts on deposit with Wynn Resorts to prepay any such items, which are replenished on an ongoing basis as needed. As of March 31, 2008 and December 31, 2007, Wynn Resorts owed Mr. Wynn and the other officers approximately $382,475 and $357,145,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Charges and Other</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Property charges and other for the three months ended March 31, 2008 and 2007 were $20.5 million and $1.1 million, respectively. Property charges generally include costs related to the retirement of assets for remodels and asset abandonments. Property charges and other for the three months ended March 31, 2008 include $17.8 million of costs associated with Spamalot at Wynn Las Vegas which will close in July 2008. The costs included the production rights that were included in intangible assets, show production costs that were included in other assets and certain other property and equipment. In March 2008, the Company, together with the producers, elected to end the show’s run at Wynn Las Vegas in July 2008, pursuant to their contract. The remaining property charges were related to miscellaneous renovations and abandonments. Property charges for the three months ended March 31, 2007 were related to renovations to portions of the Le Rêve Theater.</w:t>
      </w:r>
    </w:p>
    <w:p>
      <w:pPr>
        <w:spacing w:after="0" w:line="222" w:lineRule="exact"/>
        <w:rPr>
          <w:sz w:val="20"/>
          <w:szCs w:val="20"/>
          <w:color w:val="auto"/>
        </w:rPr>
      </w:pPr>
    </w:p>
    <w:p>
      <w:pPr>
        <w:ind w:right="87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Encore</w:t>
      </w:r>
    </w:p>
    <w:p>
      <w:pPr>
        <w:spacing w:after="0" w:line="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Encore Construction and Development. </w:t>
      </w:r>
      <w:r>
        <w:rPr>
          <w:rFonts w:ascii="Arial" w:cs="Arial" w:eastAsia="Arial" w:hAnsi="Arial"/>
          <w:sz w:val="18"/>
          <w:szCs w:val="18"/>
          <w:color w:val="auto"/>
        </w:rPr>
        <w:t>Encore will include a 2,034 all-suite hotel tower, an approximately 72,000 square foot casino,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convention and meeting space, as well as restaurants, a nightclub, swimming pools, a spa and salon and retail outlets. The Company commenced construction of Encore on April 28, 2006 and expects to open it to the public in December 2008.</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project budget is currently estimated at approximately $2.2 billion for Encore and related capital improvements. The project is being funded from the Company’s existing Credit Facilities, remaining proceeds from the First Mortgage Notes and operating cash flow from Wynn Las Vegas. To the extent additional funds are required, the Company will provide these amounts with additional debt and equity contributions by Wynn Resorts or additional indebtedness to be incurred by Wynn Las Vegas.</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On February 27, 2007, the Company entered into a Design Build Architectural, Engineering and Construction Services Agreement (the “Contract”) with Tutor-Saliba Corporation (“Tutor”) for the design and construction of Encore. The Contract sets forth all of the terms and conditions pursuant to which Tutor is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designing and constructing Encore. In June 2007, the Company executed the first amendment to the Contract which set the guaranteed maximum price for work under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Through March 31, 2008, the Company incurred approximately $1.2 billion of project costs related to the development and construction of Encore and related capital improvements.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March 31,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Consolidating Financial Information of Guarantors and Issuers</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March 31, 2008 and December 31, 2007, and for the three months ended March 31, 2008 and 2007.</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consolidating information is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2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7"/>
              </w:rPr>
              <w:t>Issuers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108,882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22,124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31,322</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3,042,753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204,580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3,247,333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39,765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(3,332)</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4,570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3,332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3,506,408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220,470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31,322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3,761,532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38,963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(119,171)</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188,499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191,791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Long-term debt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2,039,627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39,550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2,079,177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23,783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2,158,189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231,341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23,783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2,413,313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1,463,915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12,530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1,463,915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earnings (deficit)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(115,696)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(23,401)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7,539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(115,696)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1,348,219</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(10,871)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7,539</w:t>
            </w:r>
          </w:p>
        </w:tc>
        <w:tc>
          <w:tcPr>
            <w:tcW w:w="1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3,332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1,348,219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3,506,408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220,470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31,322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3,761,532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2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7"/>
              </w:rPr>
              <w:t>Issuers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135,094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19,956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360,218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31,052</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2,825,608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205,795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3,031,403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41,536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5,077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2,173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3,392,123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221,908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31,052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1,050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28,811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10,816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22,348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(148,607)</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189,121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191,450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Long-term debt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1,914,184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39,900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1,954,084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23,783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2,017,103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231,350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23,783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2,272,236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1,461,949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12,530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1,461,949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earnings (deficit)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(86,929)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(21,972)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7,269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1,375,020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(9,442)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7,269</w:t>
            </w:r>
          </w:p>
        </w:tc>
        <w:tc>
          <w:tcPr>
            <w:tcW w:w="1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2,173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1,375,020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3,392,123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221,908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31,052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Non-</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7"/>
              </w:rPr>
              <w:t>Guarantor</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8"/>
              </w:rPr>
              <w:t>guarantor</w:t>
            </w:r>
          </w:p>
        </w:tc>
        <w:tc>
          <w:tcPr>
            <w:tcW w:w="5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Subsidiary</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2280" w:type="dxa"/>
            <w:vAlign w:val="bottom"/>
            <w:gridSpan w:val="4"/>
          </w:tcPr>
          <w:p>
            <w:pPr>
              <w:jc w:val="right"/>
              <w:ind w:right="560"/>
              <w:spacing w:after="0"/>
              <w:rPr>
                <w:sz w:val="20"/>
                <w:szCs w:val="20"/>
                <w:color w:val="auto"/>
              </w:rPr>
            </w:pPr>
            <w:r>
              <w:rPr>
                <w:rFonts w:ascii="Arial" w:cs="Arial" w:eastAsia="Arial" w:hAnsi="Arial"/>
                <w:sz w:val="18"/>
                <w:szCs w:val="18"/>
                <w:color w:val="auto"/>
              </w:rPr>
              <w:t>$125,134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$125,134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2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70,563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280" w:type="dxa"/>
            <w:vAlign w:val="bottom"/>
            <w:gridSpan w:val="4"/>
          </w:tcPr>
          <w:p>
            <w:pPr>
              <w:jc w:val="right"/>
              <w:ind w:right="560"/>
              <w:spacing w:after="0"/>
              <w:rPr>
                <w:sz w:val="20"/>
                <w:szCs w:val="20"/>
                <w:color w:val="auto"/>
              </w:rPr>
            </w:pPr>
            <w:r>
              <w:rPr>
                <w:rFonts w:ascii="Arial" w:cs="Arial" w:eastAsia="Arial" w:hAnsi="Arial"/>
                <w:sz w:val="18"/>
                <w:szCs w:val="18"/>
                <w:color w:val="auto"/>
              </w:rPr>
              <w:t>77,185</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6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106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327,018</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(281)</w:t>
            </w:r>
          </w:p>
        </w:tc>
        <w:tc>
          <w:tcPr>
            <w:tcW w:w="680" w:type="dxa"/>
            <w:vAlign w:val="bottom"/>
          </w:tcPr>
          <w:p>
            <w:pPr>
              <w:jc w:val="right"/>
              <w:spacing w:after="0"/>
              <w:rPr>
                <w:sz w:val="20"/>
                <w:szCs w:val="20"/>
                <w:color w:val="auto"/>
              </w:rPr>
            </w:pPr>
            <w:r>
              <w:rPr>
                <w:rFonts w:ascii="Arial" w:cs="Arial" w:eastAsia="Arial" w:hAnsi="Arial"/>
                <w:sz w:val="18"/>
                <w:szCs w:val="18"/>
                <w:color w:val="auto"/>
              </w:rPr>
              <w:t>326,737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6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(39,136)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1060" w:type="dxa"/>
            <w:vAlign w:val="bottom"/>
            <w:gridSpan w:val="2"/>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287,882</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(281)</w:t>
            </w:r>
          </w:p>
        </w:tc>
        <w:tc>
          <w:tcPr>
            <w:tcW w:w="680" w:type="dxa"/>
            <w:vAlign w:val="bottom"/>
          </w:tcPr>
          <w:p>
            <w:pPr>
              <w:jc w:val="right"/>
              <w:spacing w:after="0"/>
              <w:rPr>
                <w:sz w:val="20"/>
                <w:szCs w:val="20"/>
                <w:color w:val="auto"/>
              </w:rPr>
            </w:pPr>
            <w:r>
              <w:rPr>
                <w:rFonts w:ascii="Arial" w:cs="Arial" w:eastAsia="Arial" w:hAnsi="Arial"/>
                <w:sz w:val="18"/>
                <w:szCs w:val="18"/>
                <w:color w:val="auto"/>
              </w:rPr>
              <w:t>287,601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2280" w:type="dxa"/>
            <w:vAlign w:val="bottom"/>
            <w:gridSpan w:val="4"/>
          </w:tcPr>
          <w:p>
            <w:pPr>
              <w:jc w:val="right"/>
              <w:ind w:right="560"/>
              <w:spacing w:after="0"/>
              <w:rPr>
                <w:sz w:val="20"/>
                <w:szCs w:val="20"/>
                <w:color w:val="auto"/>
              </w:rPr>
            </w:pPr>
            <w:r>
              <w:rPr>
                <w:rFonts w:ascii="Arial" w:cs="Arial" w:eastAsia="Arial" w:hAnsi="Arial"/>
                <w:sz w:val="18"/>
                <w:szCs w:val="18"/>
                <w:color w:val="auto"/>
              </w:rPr>
              <w:t>68,550</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2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19,082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280" w:type="dxa"/>
            <w:vAlign w:val="bottom"/>
            <w:gridSpan w:val="4"/>
          </w:tcPr>
          <w:p>
            <w:pPr>
              <w:jc w:val="right"/>
              <w:ind w:right="560"/>
              <w:spacing w:after="0"/>
              <w:rPr>
                <w:sz w:val="20"/>
                <w:szCs w:val="20"/>
                <w:color w:val="auto"/>
              </w:rPr>
            </w:pPr>
            <w:r>
              <w:rPr>
                <w:rFonts w:ascii="Arial" w:cs="Arial" w:eastAsia="Arial" w:hAnsi="Arial"/>
                <w:sz w:val="18"/>
                <w:szCs w:val="18"/>
                <w:color w:val="auto"/>
              </w:rPr>
              <w:t>46,860</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2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37,533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280" w:type="dxa"/>
            <w:vAlign w:val="bottom"/>
            <w:gridSpan w:val="4"/>
          </w:tcPr>
          <w:p>
            <w:pPr>
              <w:jc w:val="right"/>
              <w:ind w:right="560"/>
              <w:spacing w:after="0"/>
              <w:rPr>
                <w:sz w:val="20"/>
                <w:szCs w:val="20"/>
                <w:color w:val="auto"/>
              </w:rPr>
            </w:pPr>
            <w:r>
              <w:rPr>
                <w:rFonts w:ascii="Arial" w:cs="Arial" w:eastAsia="Arial" w:hAnsi="Arial"/>
                <w:sz w:val="18"/>
                <w:szCs w:val="18"/>
                <w:color w:val="auto"/>
              </w:rPr>
              <w:t>51,263</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(281)</w:t>
            </w:r>
          </w:p>
        </w:tc>
        <w:tc>
          <w:tcPr>
            <w:tcW w:w="680" w:type="dxa"/>
            <w:vAlign w:val="bottom"/>
          </w:tcPr>
          <w:p>
            <w:pPr>
              <w:jc w:val="right"/>
              <w:spacing w:after="0"/>
              <w:rPr>
                <w:sz w:val="20"/>
                <w:szCs w:val="20"/>
                <w:color w:val="auto"/>
              </w:rPr>
            </w:pPr>
            <w:r>
              <w:rPr>
                <w:rFonts w:ascii="Arial" w:cs="Arial" w:eastAsia="Arial" w:hAnsi="Arial"/>
                <w:sz w:val="18"/>
                <w:szCs w:val="18"/>
                <w:color w:val="auto"/>
              </w:rPr>
              <w:t>50,957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2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3,874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2280" w:type="dxa"/>
            <w:vAlign w:val="bottom"/>
            <w:gridSpan w:val="4"/>
          </w:tcPr>
          <w:p>
            <w:pPr>
              <w:jc w:val="right"/>
              <w:ind w:right="560"/>
              <w:spacing w:after="0"/>
              <w:rPr>
                <w:sz w:val="20"/>
                <w:szCs w:val="20"/>
                <w:color w:val="auto"/>
              </w:rPr>
            </w:pPr>
            <w:r>
              <w:rPr>
                <w:rFonts w:ascii="Arial" w:cs="Arial" w:eastAsia="Arial" w:hAnsi="Arial"/>
                <w:sz w:val="18"/>
                <w:szCs w:val="18"/>
                <w:color w:val="auto"/>
              </w:rPr>
              <w:t>4,314</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22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5,311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80" w:type="dxa"/>
            <w:vAlign w:val="bottom"/>
            <w:gridSpan w:val="4"/>
          </w:tcPr>
          <w:p>
            <w:pPr>
              <w:jc w:val="right"/>
              <w:ind w:right="560"/>
              <w:spacing w:after="0"/>
              <w:rPr>
                <w:sz w:val="20"/>
                <w:szCs w:val="20"/>
                <w:color w:val="auto"/>
              </w:rPr>
            </w:pPr>
            <w:r>
              <w:rPr>
                <w:rFonts w:ascii="Arial" w:cs="Arial" w:eastAsia="Arial" w:hAnsi="Arial"/>
                <w:sz w:val="18"/>
                <w:szCs w:val="18"/>
                <w:color w:val="auto"/>
              </w:rPr>
              <w:t>38,368</w:t>
            </w:r>
          </w:p>
        </w:tc>
        <w:tc>
          <w:tcPr>
            <w:tcW w:w="1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1,112</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6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20,511</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2280" w:type="dxa"/>
            <w:vAlign w:val="bottom"/>
            <w:gridSpan w:val="4"/>
          </w:tcPr>
          <w:p>
            <w:pPr>
              <w:jc w:val="right"/>
              <w:ind w:right="560"/>
              <w:spacing w:after="0"/>
              <w:rPr>
                <w:sz w:val="20"/>
                <w:szCs w:val="20"/>
                <w:color w:val="auto"/>
              </w:rPr>
            </w:pPr>
            <w:r>
              <w:rPr>
                <w:rFonts w:ascii="Arial" w:cs="Arial" w:eastAsia="Arial" w:hAnsi="Arial"/>
                <w:sz w:val="18"/>
                <w:szCs w:val="18"/>
                <w:color w:val="auto"/>
              </w:rPr>
              <w:t>295,666</w:t>
            </w:r>
          </w:p>
        </w:tc>
        <w:tc>
          <w:tcPr>
            <w:tcW w:w="18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1,089</w:t>
            </w: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(281)</w:t>
            </w:r>
          </w:p>
        </w:tc>
        <w:tc>
          <w:tcPr>
            <w:tcW w:w="680" w:type="dxa"/>
            <w:vAlign w:val="bottom"/>
          </w:tcPr>
          <w:p>
            <w:pPr>
              <w:jc w:val="right"/>
              <w:spacing w:after="0"/>
              <w:rPr>
                <w:sz w:val="20"/>
                <w:szCs w:val="20"/>
                <w:color w:val="auto"/>
              </w:rPr>
            </w:pPr>
            <w:r>
              <w:rPr>
                <w:rFonts w:ascii="Arial" w:cs="Arial" w:eastAsia="Arial" w:hAnsi="Arial"/>
                <w:sz w:val="18"/>
                <w:szCs w:val="18"/>
                <w:color w:val="auto"/>
              </w:rPr>
              <w:t>296,474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06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2"/>
            <w:vMerge w:val="continue"/>
          </w:tcPr>
          <w:p>
            <w:pPr>
              <w:spacing w:after="0"/>
              <w:rPr>
                <w:sz w:val="20"/>
                <w:szCs w:val="20"/>
                <w:color w:val="auto"/>
              </w:rPr>
            </w:pPr>
          </w:p>
        </w:tc>
        <w:tc>
          <w:tcPr>
            <w:tcW w:w="1060" w:type="dxa"/>
            <w:vAlign w:val="bottom"/>
            <w:gridSpan w:val="2"/>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(8,943)</w:t>
            </w:r>
          </w:p>
        </w:tc>
        <w:tc>
          <w:tcPr>
            <w:tcW w:w="18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(808)</w:t>
            </w:r>
          </w:p>
        </w:tc>
        <w:tc>
          <w:tcPr>
            <w:tcW w:w="140" w:type="dxa"/>
            <w:vAlign w:val="bottom"/>
          </w:tcPr>
          <w:p>
            <w:pPr>
              <w:spacing w:after="0"/>
              <w:rPr>
                <w:sz w:val="20"/>
                <w:szCs w:val="20"/>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1,159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280" w:type="dxa"/>
            <w:vAlign w:val="bottom"/>
            <w:gridSpan w:val="4"/>
          </w:tcPr>
          <w:p>
            <w:pPr>
              <w:jc w:val="right"/>
              <w:ind w:right="560"/>
              <w:spacing w:after="0"/>
              <w:rPr>
                <w:sz w:val="20"/>
                <w:szCs w:val="20"/>
                <w:color w:val="auto"/>
              </w:rPr>
            </w:pPr>
            <w:r>
              <w:rPr>
                <w:rFonts w:ascii="Arial" w:cs="Arial" w:eastAsia="Arial" w:hAnsi="Arial"/>
                <w:sz w:val="18"/>
                <w:szCs w:val="18"/>
                <w:color w:val="auto"/>
              </w:rPr>
              <w:t>1,888</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270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2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(19,071)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60" w:type="dxa"/>
            <w:vAlign w:val="bottom"/>
            <w:gridSpan w:val="2"/>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(2,641)</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6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(19,824)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270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w w:val="87"/>
              </w:rPr>
              <w:t>$ (28,767)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(1,429)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270</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1,159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(28,767)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720" w:type="dxa"/>
            <w:vAlign w:val="bottom"/>
            <w:gridSpan w:val="3"/>
          </w:tcPr>
          <w:p>
            <w:pPr>
              <w:jc w:val="right"/>
              <w:ind w:right="554"/>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Non-</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7"/>
              </w:rPr>
              <w:t>Guarantor</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8"/>
              </w:rPr>
              <w:t>guarantor</w:t>
            </w:r>
          </w:p>
        </w:tc>
        <w:tc>
          <w:tcPr>
            <w:tcW w:w="5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5"/>
              </w:rPr>
              <w:t>Issuers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Subsidiary</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173,093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173,093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72,938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77,347</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368,574</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368,318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promotional allowances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(37,384)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(37,384)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331,190</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330,934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72,215</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19,206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48,538</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32,084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52,154</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4,991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4,984</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1,533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34,272</w:t>
            </w:r>
          </w:p>
        </w:tc>
        <w:tc>
          <w:tcPr>
            <w:tcW w:w="1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1,798</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271,081</w:t>
            </w:r>
          </w:p>
        </w:tc>
        <w:tc>
          <w:tcPr>
            <w:tcW w:w="18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1,351</w:t>
            </w: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272,176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2"/>
            <w:vMerge w:val="continue"/>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58,809</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(1,095)</w:t>
            </w:r>
          </w:p>
        </w:tc>
        <w:tc>
          <w:tcPr>
            <w:tcW w:w="140" w:type="dxa"/>
            <w:vAlign w:val="bottom"/>
          </w:tcPr>
          <w:p>
            <w:pPr>
              <w:spacing w:after="0"/>
              <w:rPr>
                <w:sz w:val="20"/>
                <w:szCs w:val="20"/>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3,390</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702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(23,628)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(999)</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(21,237)</w:t>
            </w: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702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(21,442)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37,572</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702</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Guarantor</w:t>
            </w:r>
          </w:p>
        </w:tc>
        <w:tc>
          <w:tcPr>
            <w:tcW w:w="2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9"/>
              </w:rPr>
              <w:t>Issuers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(28,767)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(1,429)</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270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1,159</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(28,767)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operating activities: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38,368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1,112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3,243</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distributions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20,838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(5,407)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(15,855)</w:t>
            </w: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48,576</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585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49,431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retentions</w:t>
            </w:r>
          </w:p>
        </w:tc>
        <w:tc>
          <w:tcPr>
            <w:tcW w:w="10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(238,570)</w:t>
            </w:r>
          </w:p>
        </w:tc>
        <w:tc>
          <w:tcPr>
            <w:tcW w:w="18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(238,469)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Purchase of other assets</w:t>
            </w: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(8,631)</w:t>
            </w: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(253,991)</w:t>
            </w:r>
          </w:p>
        </w:tc>
        <w:tc>
          <w:tcPr>
            <w:tcW w:w="1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(552)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(254,813)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125,000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124,855</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124,855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(80,560)</w:t>
            </w: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146,556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65,996</w:t>
            </w:r>
          </w:p>
        </w:tc>
        <w:tc>
          <w:tcPr>
            <w:tcW w:w="6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65,994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Issuers</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37,572</w:t>
            </w:r>
          </w:p>
        </w:tc>
        <w:tc>
          <w:tcPr>
            <w:tcW w:w="32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(2,002)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702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37,572</w:t>
            </w:r>
          </w:p>
        </w:tc>
        <w:tc>
          <w:tcPr>
            <w:tcW w:w="60" w:type="dxa"/>
            <w:vAlign w:val="bottom"/>
          </w:tcPr>
          <w:p>
            <w:pPr>
              <w:spacing w:after="0"/>
              <w:rPr>
                <w:sz w:val="18"/>
                <w:szCs w:val="18"/>
                <w:color w:val="auto"/>
              </w:rPr>
            </w:pPr>
          </w:p>
        </w:tc>
      </w:tr>
      <w:tr>
        <w:trPr>
          <w:trHeight w:val="20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income (loss) to net cash provided by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34,272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36,070</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Loss from extinguishment of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r>
      <w:tr>
        <w:trPr>
          <w:trHeight w:val="208"/>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and writeoff of deferred financing costs and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60" w:type="dxa"/>
            <w:vAlign w:val="bottom"/>
            <w:shd w:val="clear" w:color="auto" w:fill="CCEEFF"/>
          </w:tcPr>
          <w:p>
            <w:pPr>
              <w:spacing w:after="0"/>
              <w:rPr>
                <w:sz w:val="19"/>
                <w:szCs w:val="19"/>
                <w:color w:val="auto"/>
              </w:rPr>
            </w:pPr>
          </w:p>
        </w:tc>
      </w:tr>
      <w:tr>
        <w:trPr>
          <w:trHeight w:val="208"/>
        </w:trPr>
        <w:tc>
          <w:tcPr>
            <w:tcW w:w="5060" w:type="dxa"/>
            <w:vAlign w:val="bottom"/>
          </w:tcPr>
          <w:p>
            <w:pPr>
              <w:ind w:left="440"/>
              <w:spacing w:after="0"/>
              <w:rPr>
                <w:sz w:val="20"/>
                <w:szCs w:val="20"/>
                <w:color w:val="auto"/>
              </w:rPr>
            </w:pPr>
            <w:r>
              <w:rPr>
                <w:rFonts w:ascii="Arial" w:cs="Arial" w:eastAsia="Arial" w:hAnsi="Arial"/>
                <w:sz w:val="18"/>
                <w:szCs w:val="18"/>
                <w:color w:val="auto"/>
                <w:w w:val="96"/>
              </w:rPr>
              <w:t>Equity in (income) loss from unconsolidated affiliates, net of</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060" w:type="dxa"/>
            <w:vAlign w:val="bottom"/>
          </w:tcPr>
          <w:p>
            <w:pPr>
              <w:ind w:left="660"/>
              <w:spacing w:after="0"/>
              <w:rPr>
                <w:sz w:val="20"/>
                <w:szCs w:val="20"/>
                <w:color w:val="auto"/>
              </w:rPr>
            </w:pPr>
            <w:r>
              <w:rPr>
                <w:rFonts w:ascii="Arial" w:cs="Arial" w:eastAsia="Arial" w:hAnsi="Arial"/>
                <w:sz w:val="18"/>
                <w:szCs w:val="18"/>
                <w:color w:val="auto"/>
              </w:rPr>
              <w:t>distributions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971</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971</w:t>
            </w:r>
          </w:p>
        </w:tc>
        <w:tc>
          <w:tcPr>
            <w:tcW w:w="60" w:type="dxa"/>
            <w:vAlign w:val="bottom"/>
          </w:tcPr>
          <w:p>
            <w:pPr>
              <w:spacing w:after="0"/>
              <w:rPr>
                <w:sz w:val="19"/>
                <w:szCs w:val="19"/>
                <w:color w:val="auto"/>
              </w:rPr>
            </w:pPr>
          </w:p>
        </w:tc>
      </w:tr>
      <w:tr>
        <w:trPr>
          <w:trHeight w:val="217"/>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1,104</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swap fair value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18,611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18,611</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(2,534)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(2,356)</w:t>
            </w:r>
          </w:p>
        </w:tc>
      </w:tr>
      <w:tr>
        <w:trPr>
          <w:trHeight w:val="216"/>
        </w:trPr>
        <w:tc>
          <w:tcPr>
            <w:tcW w:w="5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accrued expenses and other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60" w:type="dxa"/>
            <w:vAlign w:val="bottom"/>
            <w:shd w:val="clear" w:color="auto" w:fill="CCEEFF"/>
          </w:tcPr>
          <w:p>
            <w:pPr>
              <w:spacing w:after="0"/>
              <w:rPr>
                <w:sz w:val="18"/>
                <w:szCs w:val="18"/>
                <w:color w:val="auto"/>
              </w:rPr>
            </w:pPr>
          </w:p>
        </w:tc>
      </w:tr>
      <w:tr>
        <w:trPr>
          <w:trHeight w:val="223"/>
        </w:trPr>
        <w:tc>
          <w:tcPr>
            <w:tcW w:w="506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(3,894)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(3,894)</w:t>
            </w:r>
          </w:p>
        </w:tc>
      </w:tr>
      <w:tr>
        <w:trPr>
          <w:trHeight w:val="216"/>
        </w:trPr>
        <w:tc>
          <w:tcPr>
            <w:tcW w:w="5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101,155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702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102,894</w:t>
            </w:r>
          </w:p>
        </w:tc>
        <w:tc>
          <w:tcPr>
            <w:tcW w:w="60" w:type="dxa"/>
            <w:vAlign w:val="bottom"/>
            <w:shd w:val="clear" w:color="auto" w:fill="CCEEFF"/>
          </w:tcPr>
          <w:p>
            <w:pPr>
              <w:spacing w:after="0"/>
              <w:rPr>
                <w:sz w:val="18"/>
                <w:szCs w:val="18"/>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 and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retention</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(91,141)</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(7,282)</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(98,423)</w:t>
            </w: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84,327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83,625</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(13,322)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(13,479)</w:t>
            </w: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(4,631)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(1,716)</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(24,767)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(4,524)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(29,993)</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(88,892)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(38,509)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(127,401)</w:t>
            </w:r>
          </w:p>
        </w:tc>
      </w:tr>
      <w:tr>
        <w:trPr>
          <w:trHeight w:val="223"/>
        </w:trPr>
        <w:tc>
          <w:tcPr>
            <w:tcW w:w="506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42,000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42,000</w:t>
            </w:r>
          </w:p>
        </w:tc>
        <w:tc>
          <w:tcPr>
            <w:tcW w:w="60" w:type="dxa"/>
            <w:vAlign w:val="bottom"/>
          </w:tcPr>
          <w:p>
            <w:pPr>
              <w:spacing w:after="0"/>
              <w:rPr>
                <w:sz w:val="19"/>
                <w:szCs w:val="19"/>
                <w:color w:val="auto"/>
              </w:rPr>
            </w:pPr>
          </w:p>
        </w:tc>
      </w:tr>
      <w:tr>
        <w:trPr>
          <w:trHeight w:val="208"/>
        </w:trPr>
        <w:tc>
          <w:tcPr>
            <w:tcW w:w="5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financing</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06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activities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(88,892)</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(85,401)</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(12,504)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93,825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93,820</w:t>
            </w:r>
          </w:p>
        </w:tc>
        <w:tc>
          <w:tcPr>
            <w:tcW w:w="60" w:type="dxa"/>
            <w:vAlign w:val="bottom"/>
          </w:tcPr>
          <w:p>
            <w:pPr>
              <w:spacing w:after="0"/>
              <w:rPr>
                <w:sz w:val="18"/>
                <w:szCs w:val="18"/>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81,321</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81,320</w:t>
            </w:r>
          </w:p>
        </w:tc>
        <w:tc>
          <w:tcPr>
            <w:tcW w:w="60" w:type="dxa"/>
            <w:vAlign w:val="bottom"/>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93"/>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right="2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one property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applications for licenses and approvals under applicable jurisdictional laws and regulations (including gaming laws and regulations);</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addition, on April 28, 2006, we commenced construction of Encore adjacent to Wynn Las Vegas. We expect to open Encore to the public in December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90" w:lineRule="exact"/>
        <w:rPr>
          <w:sz w:val="20"/>
          <w:szCs w:val="20"/>
          <w:color w:val="auto"/>
        </w:rPr>
      </w:pPr>
    </w:p>
    <w:p>
      <w:pPr>
        <w:ind w:left="780" w:right="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 including the AAA Five Diamond, Mobil Five Star and Michelin award-winning restaurant, Alex;</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and Vertu;</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showrooms, two nightclubs and lounges.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The Tower Suites at Wynn Las Vegas is the only casino resort in the world that has been awarded both the Mobil five star and AAA five diamond distinctions. In addition, Wynn Las Vegas was recognized in November 2007 by Michelin, the esteemed European restaurant rating system. Two Michelin stars were awarded to </w:t>
      </w:r>
      <w:r>
        <w:rPr>
          <w:rFonts w:ascii="Arial" w:cs="Arial" w:eastAsia="Arial" w:hAnsi="Arial"/>
          <w:sz w:val="18"/>
          <w:szCs w:val="18"/>
          <w:i w:val="1"/>
          <w:iCs w:val="1"/>
          <w:color w:val="auto"/>
        </w:rPr>
        <w:t>Alex</w:t>
      </w:r>
      <w:r>
        <w:rPr>
          <w:rFonts w:ascii="Arial" w:cs="Arial" w:eastAsia="Arial" w:hAnsi="Arial"/>
          <w:sz w:val="18"/>
          <w:szCs w:val="18"/>
          <w:color w:val="auto"/>
        </w:rPr>
        <w:t xml:space="preserve"> and one Michelin star was awarded to each of Wing Lei and Daniel Boulud Brasserie. Additionally, Wynn Las Vegas received five red pavilions, the highest honor for Michelin rated accommodations.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response to our evaluation of Wynn Las Vegas and the reactions of our guests, we have made enhancements and refinements to the property which continued through March 2008.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constructing Encore on approximately 20 acres on the Las Vegas Strip, adjacent to Wynn Las Vegas. Encore includes a 2,034 all-suite hotel tower, an approximately 72,000 square foot casino, additional convention and meeting space, restaurants, a nightclub, swimming pools, a spa and salon and retail outlets. Encore is expected to open in December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owns approximately 147 acres immediately adjacent to both Wynn Las Vegas and Encore at Wynn Las Vegas, which is currently improved with a golf course. We are in the process of developing our plans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its further development. Conceptual plans at this point in time include additional resorts and a convention center. No construction timeline or budget has been prepared.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We currently rely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credit risk. High-end gaming also increases the potential for variability in our results.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recorded a net loss for the quarter ended March 31, 2008 of $28.8 million, compared to net income of $37.6 million recorded during the quarter ended March 31, 2007. This decrease is primarily due to a $44.3 million decrease in operating income from the casino department as explained below, the write-off of production costs and rights associated with Spamalot which will close in July 2008 and pre-opening costs associated with Encore.</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three months ended March 31, 2008 compared to the three months ended March 31,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Net revenues for the three months ended March 31, 2008 are comprised of $125.1 million in casino revenues (43.5% of total net revenues) and $162.5 million of net non-casino revenues (56.5% of total net revenues). Net revenues for the first quarter of 2007 were comprised of $173.1 million in casino revenues (52.3% of total net revenues) and $157.8 million of net non-casino revenues (47.7% of total net revenues).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March 31, 2008 of approximately $125.1 million represents a $48 million (or 27.7%) decrease from casino revenues of $173.1 million for the three months ended March 31, 2007. During the three months ended March 31, 2008, we experienced a 3% decrease in drop and a decrease in the average table games win percentage compared to the prior year quarter. Our average table games win percentage (before discounts) of 19.9% was below the expected range of 21% to 24% for the three months ended March 31, 2008. For the three months ended March 31, 2007, our average table games win percentage (before discounts) was 27.6%. Slot handle at Wynn Las Vegas decreased 2.8% during the three months ended March 31, 2008 as compared to 2007, and the slot win percentage was slightly below the expected range of 4.5% to 5.5%.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3" w:lineRule="auto"/>
        <w:rPr>
          <w:sz w:val="20"/>
          <w:szCs w:val="20"/>
          <w:color w:val="auto"/>
        </w:rPr>
      </w:pPr>
      <w:r>
        <w:rPr>
          <w:rFonts w:ascii="Arial" w:cs="Arial" w:eastAsia="Arial" w:hAnsi="Arial"/>
          <w:sz w:val="18"/>
          <w:szCs w:val="18"/>
          <w:color w:val="auto"/>
        </w:rPr>
        <w:t>For the three months ended March 31, 2008, room revenues were approximately $70.6 million, which represents a $2.3 million (or 3%) decrease over the $72.9 million generated in the three months ended March 31, 2007. This decrease is due to a decrease in both occupancy and rate as compared to the prior year. See the table below for key operating measures related to room revenue.</w:t>
      </w:r>
    </w:p>
    <w:tbl>
      <w:tblPr>
        <w:tblLayout w:type="fixed"/>
        <w:tblInd w:w="460" w:type="dxa"/>
        <w:tblCellMar>
          <w:top w:w="0" w:type="dxa"/>
          <w:left w:w="0" w:type="dxa"/>
          <w:bottom w:w="0" w:type="dxa"/>
          <w:right w:w="0" w:type="dxa"/>
        </w:tblCellMar>
      </w:tblPr>
      <w:tr>
        <w:trPr>
          <w:trHeight w:val="138"/>
        </w:trPr>
        <w:tc>
          <w:tcPr>
            <w:tcW w:w="8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gridSpan w:val="6"/>
          </w:tcPr>
          <w:p>
            <w:pPr>
              <w:jc w:val="right"/>
              <w:ind w:right="520"/>
              <w:spacing w:after="0" w:line="138" w:lineRule="exact"/>
              <w:rPr>
                <w:sz w:val="20"/>
                <w:szCs w:val="20"/>
                <w:color w:val="auto"/>
              </w:rPr>
            </w:pPr>
            <w:r>
              <w:rPr>
                <w:rFonts w:ascii="Arial" w:cs="Arial" w:eastAsia="Arial" w:hAnsi="Arial"/>
                <w:sz w:val="14"/>
                <w:szCs w:val="14"/>
                <w:b w:val="1"/>
                <w:bCs w:val="1"/>
                <w:color w:val="auto"/>
              </w:rPr>
              <w:t>Three Months Ended</w:t>
            </w:r>
          </w:p>
        </w:tc>
      </w:tr>
      <w:tr>
        <w:trPr>
          <w:trHeight w:val="161"/>
        </w:trPr>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96.2%</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non-casino revenues for the three months ended March 31, 2008 include: food and beverage revenues of approximately $77.2 million, retail revenues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$22.6 million, entertainment revenues of approximately $19.2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$12.1 million. Other non-gaming revenues for the three months ended March 31, 2007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$77.3 million, retail revenues of approximately $21.4 million, entertainment revenues of approximately $10.9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$12.6 million. Entertainment revenues increased over the prior year quarter due to Spamalot which opened in late March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and a full quarter of Le Rêve in 2008 versus only two months during the three months ended March 31, 2007, due to a remodeling of the Le Rêve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showroom in March 2007. In March 2008, together with the producers, we elected to end Spamalot’s run at Wynn Las Vegas in July 2008, pursuant to the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our contract.</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During the three months ended March 31, 2008, departmental expenses included casino expenses of $68.6 million, rooms expenses of $19.1 million, food and beverage expenses of $46.9 million, and entertainment, retail and other expenses of $37.5 million. Also included are general and administrative expenses of approximately $51 million and approximately $3.9 million charged as a provision for doubtful accounts receivable. During the three months ended March 31, 2007, departmental expenses included casino expenses of $72.2 million, room expenses of $19.2 million, food and beverage expenses of $48.5 million, and entertainment, retail and other expenses of $32.1 million. Also included are general and administrative expenses of approximately $51.5 million and approximately $5 million charged as a provision for doubtful accounts receivable. Expenses for the three months ended March 31, 2008 decreased compared to March 31, 2007 as a result of decreased revenues.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$4.3 million for the quarter ended March 31, 2008, compared to $5 million for the quarter ended March 31, 2007.</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Pre-opening costs for the three months ended March 31, 2008 were $5.3 million compared to $1.5 million for the three months ended March 31, 2007. Pre-opening costs for the three months ended March 31, 2008 were incurred with the development of Encore. We expect that pre-opening costs will increase as the opening of Encore in December 2008 approaches.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Depreciation and amortization for the three months ended March 31, 2008 was $39.5 million compared to $36.1 million for the three months ended March 31, 2007. This increase is primarily due to a decrease in the estimated lives of certain hotel room furniture, fixtures and equipment due to an anticipated ordinary course room renovation.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Property charges and other for the three months ended March 31, 2008 were $20.5 million compared to approximately $1.1 million for the three months ended March 31, 2007.</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Property charges and other for the three months ended March 31, 2008 include $17.8 million of costs associated with Spamalot at Wynn Las Vegas which will close in July 2008. The charge includes the production rights that were included in intangible assets, show production costs that were included in other assets and certain other property and equipment. In March 2008, the Company, together with the producers, elected to end the show’s run at Wynn Las Vegas in July 2008, pursuant to our contract.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response to our evaluation of Wynn Las Vegas and the reactions of our guests, we continue to make enhancements to the property. The costs relating to assets retired as a result of these enhancement and remodel efforts are expensed as property charges. During the three months ended March 31, 2008, $2.7 million of such costs were incurred at Wynn Las Vegas. During the three months ended March 31, 2007, the $1.1 million incurred related to enhancements we made to the Le Rêve theater.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Interest income decreased by $1.9 million to $2.2 million for the three months ended March 31, 2008 compared to the three months ended March 31, 2007. This decrease is primarily due to reduced average invested cash balances during the three months ended March 31, 2008 compared to the prior year’s quarter as a result of spending related to the development and construction of Encore and a decrease in the average interest earned on our invested cash balances.</w:t>
      </w:r>
    </w:p>
    <w:p>
      <w:pPr>
        <w:spacing w:after="0" w:line="8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Interest expense was $19.7 million, net of capitalized interest of $15.9 million, for the three months ended March 31, 2008, compared to $24.4 million, net of capitalized interest of $4.4 million during the three months ended March 31, 2007. Interest expense increased approximately $7.2 million related to the additional $400 million first mortgage notes issued in November 2007. This increase was offset by an approximate $11.5 million increase in capitalized interest due to the construction costs of Encore. Capitalized interest continues to increase with the ongoing borrowings and construction costs related to Encore.</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 is recorded as either an asset or liability. Changes in the fair value of our interest rate swaps are recorded as increase (or decrease) in swap fair value in each period. We recorded an expense of approximately $2.6 million for the three months ended March 31, 2008 resulting from the decrease in the fair value of our interest rate swap from December 31, 2007 to March 31, 2008. During the three months ended March 31, 2007 we recorded an expense of $1 million resulting from the decrease in the fair value of interest rate swap between December 31, 2006 and March 31, 2007. For further information on our interest rate swaps, see Item 3 – “Quantitative and Qualitative Disclosures about Market Risk.”</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operating cash flows are primarily affected by our operating income generated by Wynn Las Vegas, interest paid, and non-cash charges included in operating income. Net cash provided by operations for the three months ended March 31, 2008 was $49.4 million compared to $102.9 million provided by operations for the three months ended March 31, 2007. This decrease is primary due to the decrease in operating income as a result of reduced operating results especially in the casino department as discussed above.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We require a certain amount of cash on hand for operations. As of March 31, 2008, we had approximately $66 million of cash and cash equivalents available for new development activities, general corporate purposes, enhancements to Wynn Las Vegas, and to support the development and construction of Encore. As of March 31, 2008, our completion guarantee deposit account was approximately $31.3 million and is recorded as restricted investments in the accompanying condensed consolidated balance sheet. In addition, we have availability under our Credit Facilities as noted below under Financing Activities.</w:t>
      </w:r>
    </w:p>
    <w:p>
      <w:pPr>
        <w:spacing w:after="0" w:line="9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April 28, 2006, we commenced construction of Encore adjacent to Wynn Las Vegas. We expect to open Encore to the public in December 2008. Design and construction is progressing as expected. Current construction activities in the various project sections since groundbreaking include the following:</w:t>
      </w:r>
    </w:p>
    <w:p>
      <w:pPr>
        <w:spacing w:after="0" w:line="4"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concrete floor slabs and structural steel are complete for the hotel tower and the low-rise casino;</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Exterior glass installation is 100% complete and the tower’s illuminated “Encore” sign is operational;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Furniture and equipment installation is in progress;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Drywall is 95% complete in the convention area, 50% complete in the casino, 50% complete at the spa level, and 85% in the back of house area;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Taxi and valet tunnels are complete and exterior enclosure of the entire low rise is 60% complete.</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project budget is currently estimated at approximately $2.2 billion for Encore and related capital improvements. The project is being funded from our existing Credit Facilities, remaining proceeds from the First Mortgage Notes and operating cash flow from Wynn Las Vegas. To the extent additional funds are required, we will provide these amounts with additional debt and equity contributions from Wynn Resorts or additional indebtedness to be incurred by Wynn Las Vegas.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is designing and constructing Encore. In June 2007, we executed the first amendment to the Contract which set the guaranteed maximum price for work under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March 31, 2008, we incurred approximately $1.2 billion of project costs related to the development and construction of Encore and related capital improvements.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Second, by using the proceeds of borrowings under the Wynn Las Vegas Credit Facilities;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response to our evaluation of Wynn Las Vegas and the reaction of our guests, we continue to make certain enhancements and refinements to the property. As a result, we have incurred and will continue to incur capital expenditures relating to these enhancements and refinements. Under the terms of the Wynn Las Vegas Credit Facilities, we are permitted to make up to $272.1 million of capital expenditures in 2008, of which we have expended approximately $10 million through March 31, 2008. The spending limit may be increased to the extent funds are contributed to Wynn Las Vegas by Wynn Resorts, Limited.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As of March 31, 2008, our Credit Facilities consisted of a $900 million revolving credit facility (the “Revolver”) and a $225 million term loan facility (the “Term Loan”). For borrowings under the Term Loan we have elected, and expect to continue to elect, Eurodollar loans which bear interest at 1-month LIBOR and include a margin of 1.875% on that outstanding balance. We have a $200 million notional amount interest rate swap to essentially fix the interest on $200 million of this Term Loan. (For further information, see Item 3. “Quantitative and Qualitative Discussions about Market Risk”.)</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During the three months ended March 31, 2008, we borrowed $125 million under the Revolver. We also have $16.7 million of outstanding letters of credit that reduce our availability under the Revolver. Consequently, $758.3 million remains available under the Revolver for future borrowings for the construction of Encore or for other uses as necessary. For borrowings under the Revolver, we have elected, and expect to continue to elect, Eurodollar loans, which bear interest at 1-month LIBOR and currently include a margin of 1.625% on the outstanding balance. After opening Encore, the margin will fluctuate between a range of 1.0%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$900 million Revolver will terminate and be payable in full on August 15, 2011. The Term Loan will mature in two installments: $112.5 million will be payable on September 30, 2012 and the remaining $112.5 million will be payable on August 15, 2013.</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have been no material changes during the quarter to our contractual obligations or off-balance sheet arrangements as disclosed in our Annual Report on Form 10-K for the year ended December 31,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are restricted under the indenture governing the First Mortgage Notes from making certain “restricted payments” as defined in the indenture. These restricted payments include the payments of dividends or distributions to any direct or indirect holders of equity interests of Wynn Las Vegas, LLC. These restricted payments may not be made until Wynn Las Vegas has been completed and certain other financial and non-financial criteria have been satisfied. In addition, the Credit Facilities contain similar restrictions.</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If completion of Encore is delayed, then our debt service obligations accruing prior to the actual opening will increase correspondingly. Wynn Las Vegas intends to fund its operations and capital requirements from operating cash flow and remaining availability under our Credit Facilities. We cannot assure you, however, that Wynn Las Vegas will generate sufficient cash flow from operations or that future borrowings available to us under the Credit Facilities will be sufficient to enable us to service and repay Wynn Las Vegas, LLC’s indebtedness and to fund its other liquidity needs. We may refinance all or a portion of our indebtedness on or before maturity. We cannot assure you that we will be able to refinance any of the indebtedness on acceptable terms.</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2007. Other than some additional information related to the allowance for estimated doubtful accounts receivable below, there have been no material change to these policies for the three months ended March 31,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adoption of this statement did not have a material impact our consolidated financial statements.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this statement did not have a material impact on our consolidated financial statements.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our financial position, results of operations or cash flows.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our financial position, results of operations or cash flows.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March 31, 2008, we have one interest rate swap arrangement to hedge the underlying interest rate risk on a total of $200 million of borrowings under the Term Loan,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this borrowing under the Term Loan at approximately 5.7%, changes in fair value of our interest rate swap for each reporting period are, and will continue to be, recorded as an increase/(decrease) in swap fair value in our Condensed Consolidated Statements of Operations, as the swap does not qualify for hedge accounting.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March 31, 2008 and December 31, 2007, our interest rate swap had an approximate liability fair value of $2.2 million and an asset fair value of $0.4 million, respectively. The fair value approximates the amount the Company would pay/receive if this contract were settled at the valuation date. Fair value is estimated based upon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2008, approximately 91% of our long-term debt was based on fixed rates, including the notional amount related to our interest rate swap.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March 31, 2008, an assumed 1% change in variable rates would cause our annual interest cost to change by $1.8 million.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64"/>
        <w:spacing w:after="0" w:line="286"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IA. Risk Factors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2007. There were no material changes to those risk factors during the three months ended March 31,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40" w:type="dxa"/>
            <w:vAlign w:val="bottom"/>
            <w:gridSpan w:val="3"/>
          </w:tcPr>
          <w:p>
            <w:pPr>
              <w:ind w:left="43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5440" w:type="dxa"/>
            <w:vAlign w:val="bottom"/>
            <w:vMerge w:val="restart"/>
          </w:tcPr>
          <w:p>
            <w:pPr>
              <w:ind w:left="860"/>
              <w:spacing w:after="0"/>
              <w:rPr>
                <w:sz w:val="20"/>
                <w:szCs w:val="20"/>
                <w:color w:val="auto"/>
              </w:rPr>
            </w:pPr>
            <w:r>
              <w:rPr>
                <w:rFonts w:ascii="Arial" w:cs="Arial" w:eastAsia="Arial" w:hAnsi="Arial"/>
                <w:sz w:val="18"/>
                <w:szCs w:val="18"/>
                <w:color w:val="auto"/>
                <w:w w:val="88"/>
              </w:rPr>
              <w:t>Second Amended and Restated Articles of Organization of Wynn</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ind w:right="242"/>
              <w:spacing w:after="0"/>
              <w:rPr>
                <w:sz w:val="20"/>
                <w:szCs w:val="20"/>
                <w:color w:val="auto"/>
              </w:rPr>
            </w:pPr>
            <w:r>
              <w:rPr>
                <w:rFonts w:ascii="Arial" w:cs="Arial" w:eastAsia="Arial" w:hAnsi="Arial"/>
                <w:sz w:val="18"/>
                <w:szCs w:val="18"/>
                <w:color w:val="auto"/>
              </w:rPr>
              <w:t>3.1</w:t>
            </w:r>
          </w:p>
        </w:tc>
        <w:tc>
          <w:tcPr>
            <w:tcW w:w="5440" w:type="dxa"/>
            <w:vAlign w:val="bottom"/>
            <w:vMerge w:val="continue"/>
          </w:tcPr>
          <w:p>
            <w:pPr>
              <w:spacing w:after="0"/>
              <w:rPr>
                <w:sz w:val="18"/>
                <w:szCs w:val="18"/>
                <w:color w:val="auto"/>
              </w:rPr>
            </w:pPr>
          </w:p>
        </w:tc>
        <w:tc>
          <w:tcPr>
            <w:tcW w:w="3400" w:type="dxa"/>
            <w:vAlign w:val="bottom"/>
            <w:gridSpan w:val="2"/>
          </w:tcPr>
          <w:p>
            <w:pPr>
              <w:ind w:left="60"/>
              <w:spacing w:after="0"/>
              <w:rPr>
                <w:sz w:val="20"/>
                <w:szCs w:val="20"/>
                <w:color w:val="auto"/>
              </w:rPr>
            </w:pPr>
            <w:r>
              <w:rPr>
                <w:rFonts w:ascii="Arial" w:cs="Arial" w:eastAsia="Arial" w:hAnsi="Arial"/>
                <w:sz w:val="18"/>
                <w:szCs w:val="18"/>
                <w:color w:val="auto"/>
              </w:rPr>
              <w:t>Las Vegas, LLC. (1)</w:t>
            </w:r>
          </w:p>
        </w:tc>
        <w:tc>
          <w:tcPr>
            <w:tcW w:w="0" w:type="dxa"/>
            <w:vAlign w:val="bottom"/>
          </w:tcPr>
          <w:p>
            <w:pPr>
              <w:spacing w:after="0"/>
              <w:rPr>
                <w:sz w:val="1"/>
                <w:szCs w:val="1"/>
                <w:color w:val="auto"/>
              </w:rPr>
            </w:pPr>
          </w:p>
        </w:tc>
      </w:tr>
      <w:tr>
        <w:trPr>
          <w:trHeight w:val="316"/>
        </w:trPr>
        <w:tc>
          <w:tcPr>
            <w:tcW w:w="720" w:type="dxa"/>
            <w:vAlign w:val="bottom"/>
            <w:gridSpan w:val="2"/>
          </w:tcPr>
          <w:p>
            <w:pPr>
              <w:jc w:val="right"/>
              <w:ind w:right="242"/>
              <w:spacing w:after="0"/>
              <w:rPr>
                <w:sz w:val="20"/>
                <w:szCs w:val="20"/>
                <w:color w:val="auto"/>
              </w:rPr>
            </w:pPr>
            <w:r>
              <w:rPr>
                <w:rFonts w:ascii="Arial" w:cs="Arial" w:eastAsia="Arial" w:hAnsi="Arial"/>
                <w:sz w:val="18"/>
                <w:szCs w:val="18"/>
                <w:color w:val="auto"/>
              </w:rPr>
              <w:t>3.2</w:t>
            </w:r>
          </w:p>
        </w:tc>
        <w:tc>
          <w:tcPr>
            <w:tcW w:w="8840" w:type="dxa"/>
            <w:vAlign w:val="bottom"/>
            <w:gridSpan w:val="3"/>
          </w:tcPr>
          <w:p>
            <w:pPr>
              <w:ind w:left="860"/>
              <w:spacing w:after="0"/>
              <w:rPr>
                <w:sz w:val="20"/>
                <w:szCs w:val="20"/>
                <w:color w:val="auto"/>
              </w:rPr>
            </w:pPr>
            <w:r>
              <w:rPr>
                <w:rFonts w:ascii="Arial" w:cs="Arial" w:eastAsia="Arial" w:hAnsi="Arial"/>
                <w:sz w:val="18"/>
                <w:szCs w:val="18"/>
                <w:color w:val="auto"/>
              </w:rPr>
              <w:t>Second Amended and Restated Operating Agreement of Wynn Las Vegas, LLC. (1)</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242"/>
              <w:spacing w:after="0"/>
              <w:rPr>
                <w:sz w:val="20"/>
                <w:szCs w:val="20"/>
                <w:color w:val="auto"/>
              </w:rPr>
            </w:pPr>
            <w:r>
              <w:rPr>
                <w:rFonts w:ascii="Arial" w:cs="Arial" w:eastAsia="Arial" w:hAnsi="Arial"/>
                <w:sz w:val="18"/>
                <w:szCs w:val="18"/>
                <w:color w:val="auto"/>
              </w:rPr>
              <w:t>10.1</w:t>
            </w:r>
          </w:p>
        </w:tc>
        <w:tc>
          <w:tcPr>
            <w:tcW w:w="8840" w:type="dxa"/>
            <w:vAlign w:val="bottom"/>
            <w:gridSpan w:val="3"/>
          </w:tcPr>
          <w:p>
            <w:pPr>
              <w:ind w:left="860"/>
              <w:spacing w:after="0"/>
              <w:rPr>
                <w:sz w:val="20"/>
                <w:szCs w:val="20"/>
                <w:color w:val="auto"/>
              </w:rPr>
            </w:pPr>
            <w:r>
              <w:rPr>
                <w:rFonts w:ascii="Arial" w:cs="Arial" w:eastAsia="Arial" w:hAnsi="Arial"/>
                <w:sz w:val="18"/>
                <w:szCs w:val="18"/>
                <w:color w:val="auto"/>
                <w:w w:val="88"/>
              </w:rPr>
              <w:t>Employement Agreement, dated as of March 3, 2008, by and between Wynn Las Vegas, LLC, and David Sisk (2)</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242"/>
              <w:spacing w:after="0"/>
              <w:rPr>
                <w:sz w:val="20"/>
                <w:szCs w:val="20"/>
                <w:color w:val="auto"/>
              </w:rPr>
            </w:pPr>
            <w:r>
              <w:rPr>
                <w:rFonts w:ascii="Arial" w:cs="Arial" w:eastAsia="Arial" w:hAnsi="Arial"/>
                <w:sz w:val="18"/>
                <w:szCs w:val="18"/>
                <w:color w:val="auto"/>
                <w:w w:val="90"/>
              </w:rPr>
              <w:t>*31.1</w:t>
            </w:r>
          </w:p>
        </w:tc>
        <w:tc>
          <w:tcPr>
            <w:tcW w:w="8840" w:type="dxa"/>
            <w:vAlign w:val="bottom"/>
            <w:gridSpan w:val="3"/>
          </w:tcPr>
          <w:p>
            <w:pPr>
              <w:ind w:left="860"/>
              <w:spacing w:after="0"/>
              <w:rPr>
                <w:sz w:val="20"/>
                <w:szCs w:val="20"/>
                <w:color w:val="auto"/>
              </w:rPr>
            </w:pPr>
            <w:r>
              <w:rPr>
                <w:rFonts w:ascii="Arial" w:cs="Arial" w:eastAsia="Arial" w:hAnsi="Arial"/>
                <w:sz w:val="18"/>
                <w:szCs w:val="18"/>
                <w:color w:val="auto"/>
                <w:w w:val="91"/>
              </w:rPr>
              <w:t>Certification of Chief Executive Officer of Periodic Report Pursuant to Rule 13a – 14(a) and Rule 15d – 14(a).</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242"/>
              <w:spacing w:after="0"/>
              <w:rPr>
                <w:sz w:val="20"/>
                <w:szCs w:val="20"/>
                <w:color w:val="auto"/>
              </w:rPr>
            </w:pPr>
            <w:r>
              <w:rPr>
                <w:rFonts w:ascii="Arial" w:cs="Arial" w:eastAsia="Arial" w:hAnsi="Arial"/>
                <w:sz w:val="18"/>
                <w:szCs w:val="18"/>
                <w:color w:val="auto"/>
                <w:w w:val="90"/>
              </w:rPr>
              <w:t>*31.2</w:t>
            </w:r>
          </w:p>
        </w:tc>
        <w:tc>
          <w:tcPr>
            <w:tcW w:w="8840" w:type="dxa"/>
            <w:vAlign w:val="bottom"/>
            <w:gridSpan w:val="3"/>
          </w:tcPr>
          <w:p>
            <w:pPr>
              <w:ind w:left="860"/>
              <w:spacing w:after="0"/>
              <w:rPr>
                <w:sz w:val="20"/>
                <w:szCs w:val="20"/>
                <w:color w:val="auto"/>
              </w:rPr>
            </w:pPr>
            <w:r>
              <w:rPr>
                <w:rFonts w:ascii="Arial" w:cs="Arial" w:eastAsia="Arial" w:hAnsi="Arial"/>
                <w:sz w:val="18"/>
                <w:szCs w:val="18"/>
                <w:color w:val="auto"/>
                <w:w w:val="92"/>
              </w:rPr>
              <w:t>Certification of Chief Financial Officer of Periodic Report Pursuant to Rule 13a – 14(a) and Rule 15d – 14(a).</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242"/>
              <w:spacing w:after="0"/>
              <w:rPr>
                <w:sz w:val="20"/>
                <w:szCs w:val="20"/>
                <w:color w:val="auto"/>
              </w:rPr>
            </w:pPr>
            <w:r>
              <w:rPr>
                <w:rFonts w:ascii="Arial" w:cs="Arial" w:eastAsia="Arial" w:hAnsi="Arial"/>
                <w:sz w:val="18"/>
                <w:szCs w:val="18"/>
                <w:color w:val="auto"/>
                <w:w w:val="90"/>
              </w:rPr>
              <w:t>*32.1</w:t>
            </w:r>
          </w:p>
        </w:tc>
        <w:tc>
          <w:tcPr>
            <w:tcW w:w="8840" w:type="dxa"/>
            <w:vAlign w:val="bottom"/>
            <w:gridSpan w:val="3"/>
          </w:tcPr>
          <w:p>
            <w:pPr>
              <w:ind w:left="860"/>
              <w:spacing w:after="0"/>
              <w:rPr>
                <w:sz w:val="20"/>
                <w:szCs w:val="20"/>
                <w:color w:val="auto"/>
              </w:rPr>
            </w:pPr>
            <w:r>
              <w:rPr>
                <w:rFonts w:ascii="Arial" w:cs="Arial" w:eastAsia="Arial" w:hAnsi="Arial"/>
                <w:sz w:val="18"/>
                <w:szCs w:val="18"/>
                <w:color w:val="auto"/>
              </w:rPr>
              <w:t>Certification of CEO and CFO Pursuant to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43"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March 4, 2008 and incorporated herein by reference.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w:t>
      </w:r>
    </w:p>
    <w:p>
      <w:pPr>
        <w:spacing w:after="0" w:line="231" w:lineRule="exact"/>
        <w:rPr>
          <w:sz w:val="20"/>
          <w:szCs w:val="20"/>
          <w:color w:val="auto"/>
        </w:rPr>
      </w:pPr>
    </w:p>
    <w:p>
      <w:pPr>
        <w:spacing w:after="0"/>
        <w:tabs>
          <w:tab w:leader="none" w:pos="5560" w:val="left"/>
          <w:tab w:leader="none" w:pos="7920" w:val="left"/>
          <w:tab w:leader="none" w:pos="8260" w:val="left"/>
        </w:tabs>
        <w:rPr>
          <w:sz w:val="20"/>
          <w:szCs w:val="20"/>
          <w:color w:val="auto"/>
        </w:rPr>
      </w:pPr>
      <w:r>
        <w:rPr>
          <w:rFonts w:ascii="Arial" w:cs="Arial" w:eastAsia="Arial" w:hAnsi="Arial"/>
          <w:sz w:val="18"/>
          <w:szCs w:val="18"/>
          <w:color w:val="auto"/>
        </w:rPr>
        <w:t>Dated: May 9,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S</w:t>
      </w:r>
      <w:r>
        <w:rPr>
          <w:rFonts w:ascii="Arial" w:cs="Arial" w:eastAsia="Arial" w:hAnsi="Arial"/>
          <w:sz w:val="14"/>
          <w:szCs w:val="14"/>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David Sisk</w:t>
      </w:r>
    </w:p>
    <w:p>
      <w:pPr>
        <w:jc w:val="center"/>
        <w:ind w:left="594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40"/>
          </w:cols>
          <w:pgMar w:left="240" w:top="459" w:right="11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Andrew Pascal,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9,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 President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David R. Sisk,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9,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 Sisk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 Sisk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March 31, 2008 as filed with the Securities and Exchange Commission on the date hereof (the “Report”), Andrew Pascal, as Chief Operating Officer of the Company and David R. Sisk,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Andrew Pascal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Andrew Pascal</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216"/>
        </w:trPr>
        <w:tc>
          <w:tcPr>
            <w:tcW w:w="56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360" w:type="dxa"/>
            <w:vAlign w:val="bottom"/>
          </w:tcPr>
          <w:p>
            <w:pPr>
              <w:ind w:left="100"/>
              <w:spacing w:after="0"/>
              <w:rPr>
                <w:sz w:val="20"/>
                <w:szCs w:val="20"/>
                <w:color w:val="auto"/>
              </w:rPr>
            </w:pPr>
            <w:r>
              <w:rPr>
                <w:rFonts w:ascii="Arial" w:cs="Arial" w:eastAsia="Arial" w:hAnsi="Arial"/>
                <w:sz w:val="18"/>
                <w:szCs w:val="18"/>
                <w:color w:val="auto"/>
              </w:rPr>
              <w:t>May 9, 2008</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Sisk</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tcPr>
          <w:p>
            <w:pPr>
              <w:ind w:left="100"/>
              <w:spacing w:after="0"/>
              <w:rPr>
                <w:sz w:val="20"/>
                <w:szCs w:val="20"/>
                <w:color w:val="auto"/>
              </w:rPr>
            </w:pPr>
            <w:r>
              <w:rPr>
                <w:rFonts w:ascii="Arial" w:cs="Arial" w:eastAsia="Arial" w:hAnsi="Arial"/>
                <w:sz w:val="18"/>
                <w:szCs w:val="18"/>
                <w:color w:val="auto"/>
              </w:rPr>
              <w:t>David R. Sisk</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2"/>
        </w:trPr>
        <w:tc>
          <w:tcPr>
            <w:tcW w:w="560" w:type="dxa"/>
            <w:vAlign w:val="bottom"/>
          </w:tcPr>
          <w:p>
            <w:pPr>
              <w:spacing w:after="0"/>
              <w:rPr>
                <w:sz w:val="19"/>
                <w:szCs w:val="19"/>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360" w:type="dxa"/>
            <w:vAlign w:val="bottom"/>
          </w:tcPr>
          <w:p>
            <w:pPr>
              <w:ind w:left="100"/>
              <w:spacing w:after="0"/>
              <w:rPr>
                <w:sz w:val="20"/>
                <w:szCs w:val="20"/>
                <w:color w:val="auto"/>
              </w:rPr>
            </w:pPr>
            <w:r>
              <w:rPr>
                <w:rFonts w:ascii="Arial" w:cs="Arial" w:eastAsia="Arial" w:hAnsi="Arial"/>
                <w:sz w:val="18"/>
                <w:szCs w:val="18"/>
                <w:color w:val="auto"/>
              </w:rPr>
              <w:t>May 9, 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9"/>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2019-12-15T07:02:36Z</dcterms:created>
  <dcterms:modified xsi:type="dcterms:W3CDTF">2019-12-15T07:02:36Z</dcterms:modified>
</cp:coreProperties>
</file>