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
        <w:spacing w:after="0"/>
        <w:rPr>
          <w:sz w:val="20"/>
          <w:szCs w:val="20"/>
          <w:color w:val="auto"/>
        </w:rPr>
      </w:pPr>
      <w:r>
        <w:rPr>
          <w:rFonts w:ascii="Arial" w:cs="Arial" w:eastAsia="Arial" w:hAnsi="Arial"/>
          <w:sz w:val="28"/>
          <w:szCs w:val="28"/>
          <w:b w:val="1"/>
          <w:bCs w:val="1"/>
          <w:color w:val="auto"/>
        </w:rPr>
        <w:t>UNITED STATES</w:t>
      </w:r>
    </w:p>
    <w:p>
      <w:pPr>
        <w:spacing w:after="0" w:line="40" w:lineRule="exact"/>
        <w:rPr>
          <w:sz w:val="24"/>
          <w:szCs w:val="24"/>
          <w:color w:val="auto"/>
        </w:rPr>
      </w:pPr>
    </w:p>
    <w:p>
      <w:pPr>
        <w:jc w:val="center"/>
        <w:ind w:right="-6"/>
        <w:spacing w:after="0"/>
        <w:rPr>
          <w:sz w:val="20"/>
          <w:szCs w:val="20"/>
          <w:color w:val="auto"/>
        </w:rPr>
      </w:pPr>
      <w:r>
        <w:rPr>
          <w:rFonts w:ascii="Arial" w:cs="Arial" w:eastAsia="Arial" w:hAnsi="Arial"/>
          <w:sz w:val="28"/>
          <w:szCs w:val="28"/>
          <w:b w:val="1"/>
          <w:bCs w:val="1"/>
          <w:color w:val="auto"/>
        </w:rPr>
        <w:t>SECURITIES AND EXCHANGE COMMISSION</w:t>
      </w:r>
    </w:p>
    <w:p>
      <w:pPr>
        <w:spacing w:after="0" w:line="14" w:lineRule="exact"/>
        <w:rPr>
          <w:sz w:val="24"/>
          <w:szCs w:val="24"/>
          <w:color w:val="auto"/>
        </w:rPr>
      </w:pPr>
    </w:p>
    <w:p>
      <w:pPr>
        <w:jc w:val="center"/>
        <w:ind w:right="-6"/>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2160905</wp:posOffset>
            </wp:positionH>
            <wp:positionV relativeFrom="paragraph">
              <wp:posOffset>147320</wp:posOffset>
            </wp:positionV>
            <wp:extent cx="285178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1785" cy="7620"/>
                    </a:xfrm>
                    <a:prstGeom prst="rect">
                      <a:avLst/>
                    </a:prstGeom>
                    <a:noFill/>
                  </pic:spPr>
                </pic:pic>
              </a:graphicData>
            </a:graphic>
          </wp:anchor>
        </w:drawing>
      </w:r>
    </w:p>
    <w:p>
      <w:pPr>
        <w:spacing w:after="0" w:line="326" w:lineRule="exact"/>
        <w:rPr>
          <w:sz w:val="24"/>
          <w:szCs w:val="24"/>
          <w:color w:val="auto"/>
        </w:rPr>
      </w:pPr>
    </w:p>
    <w:p>
      <w:pPr>
        <w:jc w:val="center"/>
        <w:ind w:right="-6"/>
        <w:spacing w:after="0"/>
        <w:rPr>
          <w:sz w:val="20"/>
          <w:szCs w:val="20"/>
          <w:color w:val="auto"/>
        </w:rPr>
      </w:pPr>
      <w:r>
        <w:rPr>
          <w:rFonts w:ascii="Arial" w:cs="Arial" w:eastAsia="Arial" w:hAnsi="Arial"/>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2160905</wp:posOffset>
            </wp:positionH>
            <wp:positionV relativeFrom="paragraph">
              <wp:posOffset>53975</wp:posOffset>
            </wp:positionV>
            <wp:extent cx="285178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51785" cy="7620"/>
                    </a:xfrm>
                    <a:prstGeom prst="rect">
                      <a:avLst/>
                    </a:prstGeom>
                    <a:noFill/>
                  </pic:spPr>
                </pic:pic>
              </a:graphicData>
            </a:graphic>
          </wp:anchor>
        </w:drawing>
      </w:r>
    </w:p>
    <w:p>
      <w:pPr>
        <w:spacing w:after="0" w:line="378" w:lineRule="exact"/>
        <w:rPr>
          <w:sz w:val="24"/>
          <w:szCs w:val="24"/>
          <w:color w:val="auto"/>
        </w:rPr>
      </w:pPr>
    </w:p>
    <w:p>
      <w:pPr>
        <w:jc w:val="center"/>
        <w:ind w:right="-6"/>
        <w:spacing w:after="0"/>
        <w:rPr>
          <w:sz w:val="20"/>
          <w:szCs w:val="20"/>
          <w:color w:val="auto"/>
        </w:rPr>
      </w:pPr>
      <w:r>
        <w:rPr>
          <w:rFonts w:ascii="Arial" w:cs="Arial" w:eastAsia="Arial" w:hAnsi="Arial"/>
          <w:sz w:val="19"/>
          <w:szCs w:val="19"/>
          <w:b w:val="1"/>
          <w:bCs w:val="1"/>
          <w:color w:val="auto"/>
        </w:rPr>
        <w:t>CURRENT REPORT</w:t>
      </w:r>
    </w:p>
    <w:p>
      <w:pPr>
        <w:spacing w:after="0" w:line="21" w:lineRule="exact"/>
        <w:rPr>
          <w:sz w:val="24"/>
          <w:szCs w:val="24"/>
          <w:color w:val="auto"/>
        </w:rPr>
      </w:pPr>
    </w:p>
    <w:p>
      <w:pPr>
        <w:jc w:val="center"/>
        <w:ind w:right="-6"/>
        <w:spacing w:after="0"/>
        <w:rPr>
          <w:sz w:val="20"/>
          <w:szCs w:val="20"/>
          <w:color w:val="auto"/>
        </w:rPr>
      </w:pPr>
      <w:r>
        <w:rPr>
          <w:rFonts w:ascii="Arial" w:cs="Arial" w:eastAsia="Arial" w:hAnsi="Arial"/>
          <w:sz w:val="19"/>
          <w:szCs w:val="19"/>
          <w:b w:val="1"/>
          <w:bCs w:val="1"/>
          <w:color w:val="auto"/>
        </w:rPr>
        <w:t>PURSUANT TO SECTION 13 OR 15(d)</w:t>
      </w:r>
    </w:p>
    <w:p>
      <w:pPr>
        <w:spacing w:after="0" w:line="1" w:lineRule="exact"/>
        <w:rPr>
          <w:sz w:val="24"/>
          <w:szCs w:val="24"/>
          <w:color w:val="auto"/>
        </w:rPr>
      </w:pPr>
    </w:p>
    <w:p>
      <w:pPr>
        <w:jc w:val="center"/>
        <w:ind w:right="-6"/>
        <w:spacing w:after="0"/>
        <w:rPr>
          <w:sz w:val="20"/>
          <w:szCs w:val="20"/>
          <w:color w:val="auto"/>
        </w:rPr>
      </w:pPr>
      <w:r>
        <w:rPr>
          <w:rFonts w:ascii="Arial" w:cs="Arial" w:eastAsia="Arial" w:hAnsi="Arial"/>
          <w:sz w:val="19"/>
          <w:szCs w:val="19"/>
          <w:b w:val="1"/>
          <w:bCs w:val="1"/>
          <w:color w:val="auto"/>
        </w:rPr>
        <w:t>OF THE SECURITIES EXCHANGE ACT OF 1934</w:t>
      </w:r>
    </w:p>
    <w:p>
      <w:pPr>
        <w:spacing w:after="0" w:line="168" w:lineRule="exact"/>
        <w:rPr>
          <w:sz w:val="24"/>
          <w:szCs w:val="24"/>
          <w:color w:val="auto"/>
        </w:rPr>
      </w:pPr>
    </w:p>
    <w:p>
      <w:pPr>
        <w:jc w:val="center"/>
        <w:ind w:right="-6"/>
        <w:spacing w:after="0"/>
        <w:rPr>
          <w:sz w:val="20"/>
          <w:szCs w:val="20"/>
          <w:color w:val="auto"/>
        </w:rPr>
      </w:pPr>
      <w:r>
        <w:rPr>
          <w:rFonts w:ascii="Arial" w:cs="Arial" w:eastAsia="Arial" w:hAnsi="Arial"/>
          <w:sz w:val="19"/>
          <w:szCs w:val="19"/>
          <w:b w:val="1"/>
          <w:bCs w:val="1"/>
          <w:color w:val="auto"/>
        </w:rPr>
        <w:t>Date of Report (Date of earliest event reported): December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2168525</wp:posOffset>
            </wp:positionH>
            <wp:positionV relativeFrom="paragraph">
              <wp:posOffset>66675</wp:posOffset>
            </wp:positionV>
            <wp:extent cx="285178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1785" cy="7620"/>
                    </a:xfrm>
                    <a:prstGeom prst="rect">
                      <a:avLst/>
                    </a:prstGeom>
                    <a:noFill/>
                  </pic:spPr>
                </pic:pic>
              </a:graphicData>
            </a:graphic>
          </wp:anchor>
        </w:drawing>
      </w:r>
    </w:p>
    <w:p>
      <w:pPr>
        <w:spacing w:after="0" w:line="200" w:lineRule="exact"/>
        <w:rPr>
          <w:sz w:val="24"/>
          <w:szCs w:val="24"/>
          <w:color w:val="auto"/>
        </w:rPr>
      </w:pPr>
    </w:p>
    <w:p>
      <w:pPr>
        <w:jc w:val="center"/>
        <w:ind w:right="-6"/>
        <w:spacing w:after="0"/>
        <w:rPr>
          <w:sz w:val="20"/>
          <w:szCs w:val="20"/>
          <w:color w:val="auto"/>
        </w:rPr>
      </w:pPr>
      <w:r>
        <w:rPr>
          <w:rFonts w:ascii="Arial" w:cs="Arial" w:eastAsia="Arial" w:hAnsi="Arial"/>
          <w:sz w:val="37"/>
          <w:szCs w:val="37"/>
          <w:b w:val="1"/>
          <w:bCs w:val="1"/>
          <w:color w:val="auto"/>
        </w:rPr>
        <w:t>WYNN RESORTS, LIMITED</w:t>
      </w:r>
    </w:p>
    <w:p>
      <w:pPr>
        <w:spacing w:after="0" w:line="41" w:lineRule="exact"/>
        <w:rPr>
          <w:sz w:val="24"/>
          <w:szCs w:val="24"/>
          <w:color w:val="auto"/>
        </w:rPr>
      </w:pPr>
    </w:p>
    <w:p>
      <w:pPr>
        <w:jc w:val="center"/>
        <w:ind w:right="-6"/>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49" w:lineRule="exact"/>
        <w:rPr>
          <w:sz w:val="24"/>
          <w:szCs w:val="24"/>
          <w:color w:val="auto"/>
        </w:rPr>
      </w:pPr>
    </w:p>
    <w:tbl>
      <w:tblPr>
        <w:tblLayout w:type="fixed"/>
        <w:tblInd w:w="7" w:type="dxa"/>
        <w:tblCellMar>
          <w:top w:w="0" w:type="dxa"/>
          <w:left w:w="0" w:type="dxa"/>
          <w:bottom w:w="0" w:type="dxa"/>
          <w:right w:w="0" w:type="dxa"/>
        </w:tblCellMar>
      </w:tblPr>
      <w:tr>
        <w:trPr>
          <w:trHeight w:val="194"/>
        </w:trPr>
        <w:tc>
          <w:tcPr>
            <w:tcW w:w="920" w:type="dxa"/>
            <w:vAlign w:val="bottom"/>
          </w:tcPr>
          <w:p>
            <w:pPr>
              <w:spacing w:after="0"/>
              <w:rPr>
                <w:sz w:val="16"/>
                <w:szCs w:val="16"/>
                <w:color w:val="auto"/>
              </w:rPr>
            </w:pPr>
          </w:p>
        </w:tc>
        <w:tc>
          <w:tcPr>
            <w:tcW w:w="3020" w:type="dxa"/>
            <w:vAlign w:val="bottom"/>
            <w:gridSpan w:val="3"/>
          </w:tcPr>
          <w:p>
            <w:pPr>
              <w:jc w:val="center"/>
              <w:ind w:right="1240"/>
              <w:spacing w:after="0"/>
              <w:rPr>
                <w:sz w:val="20"/>
                <w:szCs w:val="20"/>
                <w:color w:val="auto"/>
              </w:rPr>
            </w:pPr>
            <w:r>
              <w:rPr>
                <w:rFonts w:ascii="Arial" w:cs="Arial" w:eastAsia="Arial" w:hAnsi="Arial"/>
                <w:sz w:val="15"/>
                <w:szCs w:val="15"/>
                <w:b w:val="1"/>
                <w:bCs w:val="1"/>
                <w:color w:val="auto"/>
                <w:w w:val="93"/>
              </w:rPr>
              <w:t>Nevada</w:t>
            </w:r>
          </w:p>
        </w:tc>
        <w:tc>
          <w:tcPr>
            <w:tcW w:w="3180" w:type="dxa"/>
            <w:vAlign w:val="bottom"/>
            <w:gridSpan w:val="2"/>
          </w:tcPr>
          <w:p>
            <w:pPr>
              <w:ind w:left="1240"/>
              <w:spacing w:after="0"/>
              <w:rPr>
                <w:sz w:val="20"/>
                <w:szCs w:val="20"/>
                <w:color w:val="auto"/>
              </w:rPr>
            </w:pPr>
            <w:r>
              <w:rPr>
                <w:rFonts w:ascii="Arial" w:cs="Arial" w:eastAsia="Arial" w:hAnsi="Arial"/>
                <w:sz w:val="15"/>
                <w:szCs w:val="15"/>
                <w:b w:val="1"/>
                <w:bCs w:val="1"/>
                <w:color w:val="auto"/>
              </w:rPr>
              <w:t>000-50028</w:t>
            </w:r>
          </w:p>
        </w:tc>
        <w:tc>
          <w:tcPr>
            <w:tcW w:w="2980" w:type="dxa"/>
            <w:vAlign w:val="bottom"/>
            <w:gridSpan w:val="3"/>
          </w:tcPr>
          <w:p>
            <w:pPr>
              <w:jc w:val="right"/>
              <w:ind w:right="338"/>
              <w:spacing w:after="0"/>
              <w:rPr>
                <w:sz w:val="20"/>
                <w:szCs w:val="20"/>
                <w:color w:val="auto"/>
              </w:rPr>
            </w:pPr>
            <w:r>
              <w:rPr>
                <w:rFonts w:ascii="Arial" w:cs="Arial" w:eastAsia="Arial" w:hAnsi="Arial"/>
                <w:sz w:val="15"/>
                <w:szCs w:val="15"/>
                <w:b w:val="1"/>
                <w:bCs w:val="1"/>
                <w:color w:val="auto"/>
              </w:rPr>
              <w:t>46-0484987</w:t>
            </w:r>
          </w:p>
        </w:tc>
        <w:tc>
          <w:tcPr>
            <w:tcW w:w="1160" w:type="dxa"/>
            <w:vAlign w:val="bottom"/>
          </w:tcPr>
          <w:p>
            <w:pPr>
              <w:spacing w:after="0"/>
              <w:rPr>
                <w:sz w:val="16"/>
                <w:szCs w:val="16"/>
                <w:color w:val="auto"/>
              </w:rPr>
            </w:pPr>
          </w:p>
        </w:tc>
      </w:tr>
      <w:tr>
        <w:trPr>
          <w:trHeight w:val="127"/>
        </w:trPr>
        <w:tc>
          <w:tcPr>
            <w:tcW w:w="920" w:type="dxa"/>
            <w:vAlign w:val="bottom"/>
          </w:tcPr>
          <w:p>
            <w:pPr>
              <w:spacing w:after="0"/>
              <w:rPr>
                <w:sz w:val="11"/>
                <w:szCs w:val="11"/>
                <w:color w:val="auto"/>
              </w:rPr>
            </w:pPr>
          </w:p>
        </w:tc>
        <w:tc>
          <w:tcPr>
            <w:tcW w:w="3020" w:type="dxa"/>
            <w:vAlign w:val="bottom"/>
            <w:gridSpan w:val="3"/>
          </w:tcPr>
          <w:p>
            <w:pPr>
              <w:jc w:val="center"/>
              <w:ind w:right="1260"/>
              <w:spacing w:after="0" w:line="128" w:lineRule="exact"/>
              <w:rPr>
                <w:sz w:val="20"/>
                <w:szCs w:val="20"/>
                <w:color w:val="auto"/>
              </w:rPr>
            </w:pPr>
            <w:r>
              <w:rPr>
                <w:rFonts w:ascii="Arial" w:cs="Arial" w:eastAsia="Arial" w:hAnsi="Arial"/>
                <w:sz w:val="12"/>
                <w:szCs w:val="12"/>
                <w:b w:val="1"/>
                <w:bCs w:val="1"/>
                <w:color w:val="auto"/>
                <w:w w:val="93"/>
              </w:rPr>
              <w:t>(State or other jurisdiction</w:t>
            </w:r>
          </w:p>
        </w:tc>
        <w:tc>
          <w:tcPr>
            <w:tcW w:w="3180" w:type="dxa"/>
            <w:vAlign w:val="bottom"/>
            <w:gridSpan w:val="2"/>
          </w:tcPr>
          <w:p>
            <w:pPr>
              <w:ind w:left="1220"/>
              <w:spacing w:after="0" w:line="128" w:lineRule="exact"/>
              <w:rPr>
                <w:sz w:val="20"/>
                <w:szCs w:val="20"/>
                <w:color w:val="auto"/>
              </w:rPr>
            </w:pPr>
            <w:r>
              <w:rPr>
                <w:rFonts w:ascii="Arial" w:cs="Arial" w:eastAsia="Arial" w:hAnsi="Arial"/>
                <w:sz w:val="12"/>
                <w:szCs w:val="12"/>
                <w:b w:val="1"/>
                <w:bCs w:val="1"/>
                <w:color w:val="auto"/>
              </w:rPr>
              <w:t>(Commission</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380" w:type="dxa"/>
            <w:vAlign w:val="bottom"/>
            <w:gridSpan w:val="2"/>
          </w:tcPr>
          <w:p>
            <w:pPr>
              <w:jc w:val="center"/>
              <w:ind w:right="480"/>
              <w:spacing w:after="0" w:line="128" w:lineRule="exact"/>
              <w:rPr>
                <w:sz w:val="20"/>
                <w:szCs w:val="20"/>
                <w:color w:val="auto"/>
              </w:rPr>
            </w:pPr>
            <w:r>
              <w:rPr>
                <w:rFonts w:ascii="Arial" w:cs="Arial" w:eastAsia="Arial" w:hAnsi="Arial"/>
                <w:sz w:val="12"/>
                <w:szCs w:val="12"/>
                <w:b w:val="1"/>
                <w:bCs w:val="1"/>
                <w:color w:val="auto"/>
                <w:w w:val="97"/>
              </w:rPr>
              <w:t>(I.R.S. Employer</w:t>
            </w:r>
          </w:p>
        </w:tc>
      </w:tr>
      <w:tr>
        <w:trPr>
          <w:trHeight w:val="160"/>
        </w:trPr>
        <w:tc>
          <w:tcPr>
            <w:tcW w:w="920" w:type="dxa"/>
            <w:vAlign w:val="bottom"/>
          </w:tcPr>
          <w:p>
            <w:pPr>
              <w:spacing w:after="0"/>
              <w:rPr>
                <w:sz w:val="13"/>
                <w:szCs w:val="13"/>
                <w:color w:val="auto"/>
              </w:rPr>
            </w:pPr>
          </w:p>
        </w:tc>
        <w:tc>
          <w:tcPr>
            <w:tcW w:w="3020" w:type="dxa"/>
            <w:vAlign w:val="bottom"/>
            <w:gridSpan w:val="3"/>
          </w:tcPr>
          <w:p>
            <w:pPr>
              <w:jc w:val="center"/>
              <w:ind w:right="1240"/>
              <w:spacing w:after="0"/>
              <w:rPr>
                <w:sz w:val="20"/>
                <w:szCs w:val="20"/>
                <w:color w:val="auto"/>
              </w:rPr>
            </w:pPr>
            <w:r>
              <w:rPr>
                <w:rFonts w:ascii="Arial" w:cs="Arial" w:eastAsia="Arial" w:hAnsi="Arial"/>
                <w:sz w:val="12"/>
                <w:szCs w:val="12"/>
                <w:b w:val="1"/>
                <w:bCs w:val="1"/>
                <w:color w:val="auto"/>
                <w:w w:val="93"/>
              </w:rPr>
              <w:t>of incorporation)</w:t>
            </w:r>
          </w:p>
        </w:tc>
        <w:tc>
          <w:tcPr>
            <w:tcW w:w="3180" w:type="dxa"/>
            <w:vAlign w:val="bottom"/>
            <w:gridSpan w:val="2"/>
          </w:tcPr>
          <w:p>
            <w:pPr>
              <w:ind w:left="1220"/>
              <w:spacing w:after="0"/>
              <w:rPr>
                <w:sz w:val="20"/>
                <w:szCs w:val="20"/>
                <w:color w:val="auto"/>
              </w:rPr>
            </w:pPr>
            <w:r>
              <w:rPr>
                <w:rFonts w:ascii="Arial" w:cs="Arial" w:eastAsia="Arial" w:hAnsi="Arial"/>
                <w:sz w:val="12"/>
                <w:szCs w:val="12"/>
                <w:b w:val="1"/>
                <w:bCs w:val="1"/>
                <w:color w:val="auto"/>
              </w:rPr>
              <w:t>File Number)</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380" w:type="dxa"/>
            <w:vAlign w:val="bottom"/>
            <w:gridSpan w:val="2"/>
          </w:tcPr>
          <w:p>
            <w:pPr>
              <w:jc w:val="center"/>
              <w:ind w:right="480"/>
              <w:spacing w:after="0"/>
              <w:rPr>
                <w:sz w:val="20"/>
                <w:szCs w:val="20"/>
                <w:color w:val="auto"/>
              </w:rPr>
            </w:pPr>
            <w:r>
              <w:rPr>
                <w:rFonts w:ascii="Arial" w:cs="Arial" w:eastAsia="Arial" w:hAnsi="Arial"/>
                <w:sz w:val="12"/>
                <w:szCs w:val="12"/>
                <w:b w:val="1"/>
                <w:bCs w:val="1"/>
                <w:color w:val="auto"/>
                <w:w w:val="96"/>
              </w:rPr>
              <w:t>Identification No.)</w:t>
            </w:r>
          </w:p>
        </w:tc>
      </w:tr>
      <w:tr>
        <w:trPr>
          <w:trHeight w:val="202"/>
        </w:trPr>
        <w:tc>
          <w:tcPr>
            <w:tcW w:w="3940" w:type="dxa"/>
            <w:vAlign w:val="bottom"/>
            <w:gridSpan w:val="4"/>
          </w:tcPr>
          <w:p>
            <w:pPr>
              <w:jc w:val="center"/>
              <w:ind w:right="340"/>
              <w:spacing w:after="0"/>
              <w:rPr>
                <w:sz w:val="20"/>
                <w:szCs w:val="20"/>
                <w:color w:val="auto"/>
              </w:rPr>
            </w:pPr>
            <w:r>
              <w:rPr>
                <w:rFonts w:ascii="Arial" w:cs="Arial" w:eastAsia="Arial" w:hAnsi="Arial"/>
                <w:sz w:val="15"/>
                <w:szCs w:val="15"/>
                <w:b w:val="1"/>
                <w:bCs w:val="1"/>
                <w:color w:val="auto"/>
                <w:w w:val="91"/>
              </w:rPr>
              <w:t>3131 Las Vegas Boulevard South</w:t>
            </w:r>
          </w:p>
        </w:tc>
        <w:tc>
          <w:tcPr>
            <w:tcW w:w="12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4"/>
        </w:trPr>
        <w:tc>
          <w:tcPr>
            <w:tcW w:w="920" w:type="dxa"/>
            <w:vAlign w:val="bottom"/>
          </w:tcPr>
          <w:p>
            <w:pPr>
              <w:spacing w:after="0"/>
              <w:rPr>
                <w:sz w:val="16"/>
                <w:szCs w:val="16"/>
                <w:color w:val="auto"/>
              </w:rPr>
            </w:pPr>
          </w:p>
        </w:tc>
        <w:tc>
          <w:tcPr>
            <w:tcW w:w="3020" w:type="dxa"/>
            <w:vAlign w:val="bottom"/>
            <w:gridSpan w:val="3"/>
          </w:tcPr>
          <w:p>
            <w:pPr>
              <w:ind w:left="180"/>
              <w:spacing w:after="0"/>
              <w:rPr>
                <w:sz w:val="20"/>
                <w:szCs w:val="20"/>
                <w:color w:val="auto"/>
              </w:rPr>
            </w:pPr>
            <w:r>
              <w:rPr>
                <w:rFonts w:ascii="Arial" w:cs="Arial" w:eastAsia="Arial" w:hAnsi="Arial"/>
                <w:sz w:val="15"/>
                <w:szCs w:val="15"/>
                <w:b w:val="1"/>
                <w:bCs w:val="1"/>
                <w:color w:val="auto"/>
              </w:rPr>
              <w:t>Las Vegas, Nevada</w:t>
            </w:r>
          </w:p>
        </w:tc>
        <w:tc>
          <w:tcPr>
            <w:tcW w:w="12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980" w:type="dxa"/>
            <w:vAlign w:val="bottom"/>
            <w:gridSpan w:val="3"/>
          </w:tcPr>
          <w:p>
            <w:pPr>
              <w:jc w:val="right"/>
              <w:ind w:right="518"/>
              <w:spacing w:after="0"/>
              <w:rPr>
                <w:sz w:val="20"/>
                <w:szCs w:val="20"/>
                <w:color w:val="auto"/>
              </w:rPr>
            </w:pPr>
            <w:r>
              <w:rPr>
                <w:rFonts w:ascii="Arial" w:cs="Arial" w:eastAsia="Arial" w:hAnsi="Arial"/>
                <w:sz w:val="15"/>
                <w:szCs w:val="15"/>
                <w:b w:val="1"/>
                <w:bCs w:val="1"/>
                <w:color w:val="auto"/>
              </w:rPr>
              <w:t>89109</w:t>
            </w:r>
          </w:p>
        </w:tc>
        <w:tc>
          <w:tcPr>
            <w:tcW w:w="1160" w:type="dxa"/>
            <w:vAlign w:val="bottom"/>
          </w:tcPr>
          <w:p>
            <w:pPr>
              <w:spacing w:after="0"/>
              <w:rPr>
                <w:sz w:val="16"/>
                <w:szCs w:val="16"/>
                <w:color w:val="auto"/>
              </w:rPr>
            </w:pPr>
          </w:p>
        </w:tc>
      </w:tr>
      <w:tr>
        <w:trPr>
          <w:trHeight w:val="160"/>
        </w:trPr>
        <w:tc>
          <w:tcPr>
            <w:tcW w:w="3940" w:type="dxa"/>
            <w:vAlign w:val="bottom"/>
            <w:gridSpan w:val="4"/>
          </w:tcPr>
          <w:p>
            <w:pPr>
              <w:jc w:val="center"/>
              <w:ind w:right="340"/>
              <w:spacing w:after="0"/>
              <w:rPr>
                <w:sz w:val="20"/>
                <w:szCs w:val="20"/>
                <w:color w:val="auto"/>
              </w:rPr>
            </w:pPr>
            <w:r>
              <w:rPr>
                <w:rFonts w:ascii="Arial" w:cs="Arial" w:eastAsia="Arial" w:hAnsi="Arial"/>
                <w:sz w:val="12"/>
                <w:szCs w:val="12"/>
                <w:b w:val="1"/>
                <w:bCs w:val="1"/>
                <w:color w:val="auto"/>
                <w:w w:val="91"/>
              </w:rPr>
              <w:t>(Address of principal executive offices)</w:t>
            </w:r>
          </w:p>
        </w:tc>
        <w:tc>
          <w:tcPr>
            <w:tcW w:w="12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380" w:type="dxa"/>
            <w:vAlign w:val="bottom"/>
            <w:gridSpan w:val="2"/>
          </w:tcPr>
          <w:p>
            <w:pPr>
              <w:jc w:val="center"/>
              <w:ind w:right="480"/>
              <w:spacing w:after="0"/>
              <w:rPr>
                <w:sz w:val="20"/>
                <w:szCs w:val="20"/>
                <w:color w:val="auto"/>
              </w:rPr>
            </w:pPr>
            <w:r>
              <w:rPr>
                <w:rFonts w:ascii="Arial" w:cs="Arial" w:eastAsia="Arial" w:hAnsi="Arial"/>
                <w:sz w:val="12"/>
                <w:szCs w:val="12"/>
                <w:b w:val="1"/>
                <w:bCs w:val="1"/>
                <w:color w:val="auto"/>
                <w:w w:val="97"/>
              </w:rPr>
              <w:t>(Zip Code)</w:t>
            </w:r>
          </w:p>
        </w:tc>
      </w:tr>
      <w:tr>
        <w:trPr>
          <w:trHeight w:val="592"/>
        </w:trPr>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180" w:type="dxa"/>
            <w:vAlign w:val="bottom"/>
            <w:gridSpan w:val="2"/>
          </w:tcPr>
          <w:p>
            <w:pPr>
              <w:jc w:val="center"/>
              <w:ind w:left="110"/>
              <w:spacing w:after="0"/>
              <w:rPr>
                <w:sz w:val="20"/>
                <w:szCs w:val="20"/>
                <w:color w:val="auto"/>
              </w:rPr>
            </w:pPr>
            <w:r>
              <w:rPr>
                <w:rFonts w:ascii="Arial" w:cs="Arial" w:eastAsia="Arial" w:hAnsi="Arial"/>
                <w:sz w:val="15"/>
                <w:szCs w:val="15"/>
                <w:b w:val="1"/>
                <w:bCs w:val="1"/>
                <w:color w:val="auto"/>
                <w:w w:val="93"/>
              </w:rPr>
              <w:t>(702) 770-7555</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0"/>
        </w:trPr>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180" w:type="dxa"/>
            <w:vAlign w:val="bottom"/>
            <w:gridSpan w:val="2"/>
          </w:tcPr>
          <w:p>
            <w:pPr>
              <w:jc w:val="center"/>
              <w:ind w:left="130"/>
              <w:spacing w:after="0"/>
              <w:rPr>
                <w:sz w:val="20"/>
                <w:szCs w:val="20"/>
                <w:color w:val="auto"/>
              </w:rPr>
            </w:pPr>
            <w:r>
              <w:rPr>
                <w:rFonts w:ascii="Arial" w:cs="Arial" w:eastAsia="Arial" w:hAnsi="Arial"/>
                <w:sz w:val="12"/>
                <w:szCs w:val="12"/>
                <w:b w:val="1"/>
                <w:bCs w:val="1"/>
                <w:color w:val="auto"/>
                <w:w w:val="91"/>
              </w:rPr>
              <w:t>(Registrant’s telephone number, including area code)</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361"/>
        </w:trPr>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180" w:type="dxa"/>
            <w:vAlign w:val="bottom"/>
            <w:gridSpan w:val="2"/>
          </w:tcPr>
          <w:p>
            <w:pPr>
              <w:jc w:val="center"/>
              <w:ind w:left="110"/>
              <w:spacing w:after="0"/>
              <w:rPr>
                <w:sz w:val="20"/>
                <w:szCs w:val="20"/>
                <w:color w:val="auto"/>
              </w:rPr>
            </w:pPr>
            <w:r>
              <w:rPr>
                <w:rFonts w:ascii="Arial" w:cs="Arial" w:eastAsia="Arial" w:hAnsi="Arial"/>
                <w:sz w:val="15"/>
                <w:szCs w:val="15"/>
                <w:b w:val="1"/>
                <w:bCs w:val="1"/>
                <w:color w:val="auto"/>
                <w:w w:val="95"/>
              </w:rPr>
              <w:t>Not Applicable</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0"/>
        </w:trPr>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320" w:type="dxa"/>
            <w:vAlign w:val="bottom"/>
            <w:gridSpan w:val="6"/>
          </w:tcPr>
          <w:p>
            <w:pPr>
              <w:jc w:val="center"/>
              <w:ind w:right="3940"/>
              <w:spacing w:after="0"/>
              <w:rPr>
                <w:sz w:val="20"/>
                <w:szCs w:val="20"/>
                <w:color w:val="auto"/>
              </w:rPr>
            </w:pPr>
            <w:r>
              <w:rPr>
                <w:rFonts w:ascii="Arial" w:cs="Arial" w:eastAsia="Arial" w:hAnsi="Arial"/>
                <w:sz w:val="12"/>
                <w:szCs w:val="12"/>
                <w:b w:val="1"/>
                <w:bCs w:val="1"/>
                <w:color w:val="auto"/>
                <w:w w:val="92"/>
              </w:rPr>
              <w:t>(Former name or former address, if changed since last report)</w:t>
            </w:r>
          </w:p>
        </w:tc>
      </w:tr>
      <w:tr>
        <w:trPr>
          <w:trHeight w:val="242"/>
        </w:trPr>
        <w:tc>
          <w:tcPr>
            <w:tcW w:w="9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2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489"/>
        </w:trPr>
        <w:tc>
          <w:tcPr>
            <w:tcW w:w="3940" w:type="dxa"/>
            <w:vAlign w:val="bottom"/>
            <w:gridSpan w:val="4"/>
          </w:tcPr>
          <w:p>
            <w:pPr>
              <w:spacing w:after="0"/>
              <w:rPr>
                <w:sz w:val="20"/>
                <w:szCs w:val="20"/>
                <w:color w:val="auto"/>
              </w:rPr>
            </w:pPr>
            <w:r>
              <w:rPr>
                <w:rFonts w:ascii="Arial" w:cs="Arial" w:eastAsia="Arial" w:hAnsi="Arial"/>
                <w:sz w:val="15"/>
                <w:szCs w:val="15"/>
                <w:color w:val="auto"/>
              </w:rPr>
              <w:t>Securities registered pursuant to Section 12(b) of the Act:</w:t>
            </w:r>
          </w:p>
        </w:tc>
        <w:tc>
          <w:tcPr>
            <w:tcW w:w="1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6"/>
        </w:trPr>
        <w:tc>
          <w:tcPr>
            <w:tcW w:w="920" w:type="dxa"/>
            <w:vAlign w:val="bottom"/>
          </w:tcPr>
          <w:p>
            <w:pPr>
              <w:spacing w:after="0"/>
              <w:rPr>
                <w:sz w:val="16"/>
                <w:szCs w:val="16"/>
                <w:color w:val="auto"/>
              </w:rPr>
            </w:pPr>
          </w:p>
        </w:tc>
        <w:tc>
          <w:tcPr>
            <w:tcW w:w="3020" w:type="dxa"/>
            <w:vAlign w:val="bottom"/>
            <w:gridSpan w:val="3"/>
          </w:tcPr>
          <w:p>
            <w:pPr>
              <w:jc w:val="center"/>
              <w:ind w:right="1860"/>
              <w:spacing w:after="0"/>
              <w:rPr>
                <w:sz w:val="20"/>
                <w:szCs w:val="20"/>
                <w:color w:val="auto"/>
              </w:rPr>
            </w:pPr>
            <w:r>
              <w:rPr>
                <w:rFonts w:ascii="Arial" w:cs="Arial" w:eastAsia="Arial" w:hAnsi="Arial"/>
                <w:sz w:val="15"/>
                <w:szCs w:val="15"/>
                <w:b w:val="1"/>
                <w:bCs w:val="1"/>
                <w:color w:val="auto"/>
                <w:w w:val="89"/>
              </w:rPr>
              <w:t>Title of each class</w:t>
            </w:r>
          </w:p>
        </w:tc>
        <w:tc>
          <w:tcPr>
            <w:tcW w:w="3180" w:type="dxa"/>
            <w:vAlign w:val="bottom"/>
            <w:gridSpan w:val="2"/>
          </w:tcPr>
          <w:p>
            <w:pPr>
              <w:jc w:val="center"/>
              <w:ind w:right="1940"/>
              <w:spacing w:after="0"/>
              <w:rPr>
                <w:sz w:val="20"/>
                <w:szCs w:val="20"/>
                <w:color w:val="auto"/>
              </w:rPr>
            </w:pPr>
            <w:r>
              <w:rPr>
                <w:rFonts w:ascii="Arial" w:cs="Arial" w:eastAsia="Arial" w:hAnsi="Arial"/>
                <w:sz w:val="15"/>
                <w:szCs w:val="15"/>
                <w:b w:val="1"/>
                <w:bCs w:val="1"/>
                <w:color w:val="auto"/>
                <w:w w:val="94"/>
              </w:rPr>
              <w:t>Trading Symbol(s)</w:t>
            </w:r>
          </w:p>
        </w:tc>
        <w:tc>
          <w:tcPr>
            <w:tcW w:w="4140" w:type="dxa"/>
            <w:vAlign w:val="bottom"/>
            <w:gridSpan w:val="4"/>
          </w:tcPr>
          <w:p>
            <w:pPr>
              <w:jc w:val="center"/>
              <w:ind w:right="1040"/>
              <w:spacing w:after="0"/>
              <w:rPr>
                <w:sz w:val="20"/>
                <w:szCs w:val="20"/>
                <w:color w:val="auto"/>
              </w:rPr>
            </w:pPr>
            <w:r>
              <w:rPr>
                <w:rFonts w:ascii="Arial" w:cs="Arial" w:eastAsia="Arial" w:hAnsi="Arial"/>
                <w:sz w:val="15"/>
                <w:szCs w:val="15"/>
                <w:b w:val="1"/>
                <w:bCs w:val="1"/>
                <w:color w:val="auto"/>
                <w:w w:val="90"/>
              </w:rPr>
              <w:t>Name of each exchange on which registered</w:t>
            </w:r>
          </w:p>
        </w:tc>
      </w:tr>
      <w:tr>
        <w:trPr>
          <w:trHeight w:val="20"/>
        </w:trPr>
        <w:tc>
          <w:tcPr>
            <w:tcW w:w="9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gridSpan w:val="2"/>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1"/>
        </w:trPr>
        <w:tc>
          <w:tcPr>
            <w:tcW w:w="3940" w:type="dxa"/>
            <w:vAlign w:val="bottom"/>
            <w:gridSpan w:val="4"/>
          </w:tcPr>
          <w:p>
            <w:pPr>
              <w:jc w:val="center"/>
              <w:ind w:right="940"/>
              <w:spacing w:after="0"/>
              <w:rPr>
                <w:sz w:val="20"/>
                <w:szCs w:val="20"/>
                <w:color w:val="auto"/>
              </w:rPr>
            </w:pPr>
            <w:r>
              <w:rPr>
                <w:rFonts w:ascii="Arial" w:cs="Arial" w:eastAsia="Arial" w:hAnsi="Arial"/>
                <w:sz w:val="15"/>
                <w:szCs w:val="15"/>
                <w:color w:val="auto"/>
                <w:w w:val="92"/>
              </w:rPr>
              <w:t>Common stock, par value $0.01</w:t>
            </w:r>
          </w:p>
        </w:tc>
        <w:tc>
          <w:tcPr>
            <w:tcW w:w="3180" w:type="dxa"/>
            <w:vAlign w:val="bottom"/>
            <w:gridSpan w:val="2"/>
          </w:tcPr>
          <w:p>
            <w:pPr>
              <w:jc w:val="center"/>
              <w:ind w:right="1940"/>
              <w:spacing w:after="0"/>
              <w:rPr>
                <w:sz w:val="20"/>
                <w:szCs w:val="20"/>
                <w:color w:val="auto"/>
              </w:rPr>
            </w:pPr>
            <w:r>
              <w:rPr>
                <w:rFonts w:ascii="Arial" w:cs="Arial" w:eastAsia="Arial" w:hAnsi="Arial"/>
                <w:sz w:val="15"/>
                <w:szCs w:val="15"/>
                <w:color w:val="auto"/>
              </w:rPr>
              <w:t>WYNN</w:t>
            </w:r>
          </w:p>
        </w:tc>
        <w:tc>
          <w:tcPr>
            <w:tcW w:w="120" w:type="dxa"/>
            <w:vAlign w:val="bottom"/>
          </w:tcPr>
          <w:p>
            <w:pPr>
              <w:spacing w:after="0"/>
              <w:rPr>
                <w:sz w:val="18"/>
                <w:szCs w:val="18"/>
                <w:color w:val="auto"/>
              </w:rPr>
            </w:pPr>
          </w:p>
        </w:tc>
        <w:tc>
          <w:tcPr>
            <w:tcW w:w="4020" w:type="dxa"/>
            <w:vAlign w:val="bottom"/>
            <w:gridSpan w:val="3"/>
          </w:tcPr>
          <w:p>
            <w:pPr>
              <w:jc w:val="center"/>
              <w:ind w:right="1160"/>
              <w:spacing w:after="0"/>
              <w:rPr>
                <w:sz w:val="20"/>
                <w:szCs w:val="20"/>
                <w:color w:val="auto"/>
              </w:rPr>
            </w:pPr>
            <w:r>
              <w:rPr>
                <w:rFonts w:ascii="Arial" w:cs="Arial" w:eastAsia="Arial" w:hAnsi="Arial"/>
                <w:sz w:val="15"/>
                <w:szCs w:val="15"/>
                <w:color w:val="auto"/>
                <w:w w:val="93"/>
              </w:rPr>
              <w:t>Nasdaq Global Select Market</w:t>
            </w:r>
          </w:p>
        </w:tc>
      </w:tr>
      <w:tr>
        <w:trPr>
          <w:trHeight w:val="177"/>
        </w:trPr>
        <w:tc>
          <w:tcPr>
            <w:tcW w:w="9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r>
    </w:tbl>
    <w:p>
      <w:pPr>
        <w:spacing w:after="0" w:line="290" w:lineRule="exact"/>
        <w:rPr>
          <w:sz w:val="24"/>
          <w:szCs w:val="24"/>
          <w:color w:val="auto"/>
        </w:rPr>
      </w:pPr>
    </w:p>
    <w:p>
      <w:pPr>
        <w:ind w:left="7"/>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4" w:lineRule="exact"/>
        <w:rPr>
          <w:sz w:val="24"/>
          <w:szCs w:val="24"/>
          <w:color w:val="auto"/>
        </w:rPr>
      </w:pPr>
    </w:p>
    <w:p>
      <w:pPr>
        <w:ind w:left="307" w:hanging="307"/>
        <w:spacing w:after="0"/>
        <w:tabs>
          <w:tab w:leader="none" w:pos="307"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24" w:lineRule="exact"/>
        <w:rPr>
          <w:rFonts w:ascii="MS PGothic" w:cs="MS PGothic" w:eastAsia="MS PGothic" w:hAnsi="MS PGothic"/>
          <w:sz w:val="15"/>
          <w:szCs w:val="15"/>
          <w:color w:val="auto"/>
        </w:rPr>
      </w:pPr>
    </w:p>
    <w:p>
      <w:pPr>
        <w:ind w:left="307" w:hanging="307"/>
        <w:spacing w:after="0"/>
        <w:tabs>
          <w:tab w:leader="none" w:pos="307"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24" w:lineRule="exact"/>
        <w:rPr>
          <w:rFonts w:ascii="MS PGothic" w:cs="MS PGothic" w:eastAsia="MS PGothic" w:hAnsi="MS PGothic"/>
          <w:sz w:val="15"/>
          <w:szCs w:val="15"/>
          <w:color w:val="auto"/>
        </w:rPr>
      </w:pPr>
    </w:p>
    <w:p>
      <w:pPr>
        <w:ind w:left="307" w:hanging="307"/>
        <w:spacing w:after="0"/>
        <w:tabs>
          <w:tab w:leader="none" w:pos="307"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24" w:lineRule="exact"/>
        <w:rPr>
          <w:rFonts w:ascii="MS PGothic" w:cs="MS PGothic" w:eastAsia="MS PGothic" w:hAnsi="MS PGothic"/>
          <w:sz w:val="15"/>
          <w:szCs w:val="15"/>
          <w:color w:val="auto"/>
        </w:rPr>
      </w:pPr>
    </w:p>
    <w:p>
      <w:pPr>
        <w:ind w:left="307" w:hanging="307"/>
        <w:spacing w:after="0"/>
        <w:tabs>
          <w:tab w:leader="none" w:pos="307"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13" w:lineRule="exact"/>
        <w:rPr>
          <w:sz w:val="24"/>
          <w:szCs w:val="24"/>
          <w:color w:val="auto"/>
        </w:rPr>
      </w:pPr>
    </w:p>
    <w:p>
      <w:pPr>
        <w:ind w:left="7" w:right="20"/>
        <w:spacing w:after="0" w:line="256" w:lineRule="auto"/>
        <w:rPr>
          <w:sz w:val="20"/>
          <w:szCs w:val="20"/>
          <w:color w:val="auto"/>
        </w:rPr>
      </w:pPr>
      <w:r>
        <w:rPr>
          <w:rFonts w:ascii="Arial" w:cs="Arial" w:eastAsia="Arial" w:hAnsi="Arial"/>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7"/>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38" w:lineRule="exact"/>
        <w:rPr>
          <w:sz w:val="24"/>
          <w:szCs w:val="24"/>
          <w:color w:val="auto"/>
        </w:rPr>
      </w:pPr>
    </w:p>
    <w:p>
      <w:pPr>
        <w:ind w:left="7"/>
        <w:spacing w:after="0" w:line="192"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588010</wp:posOffset>
            </wp:positionV>
            <wp:extent cx="7177405"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925" w:right="319" w:bottom="1440" w:gutter="0" w:footer="0" w:header="0"/>
        </w:sectPr>
      </w:pPr>
    </w:p>
    <w:bookmarkStart w:id="1" w:name="page2"/>
    <w:bookmarkEnd w:id="1"/>
    <w:p>
      <w:pPr>
        <w:spacing w:after="0"/>
        <w:tabs>
          <w:tab w:leader="none" w:pos="1320" w:val="left"/>
        </w:tabs>
        <w:rPr>
          <w:sz w:val="20"/>
          <w:szCs w:val="20"/>
          <w:color w:val="auto"/>
        </w:rPr>
      </w:pPr>
      <w:r>
        <w:rPr>
          <w:rFonts w:ascii="Arial" w:cs="Arial" w:eastAsia="Arial" w:hAnsi="Arial"/>
          <w:sz w:val="15"/>
          <w:szCs w:val="15"/>
          <w:b w:val="1"/>
          <w:bCs w:val="1"/>
          <w:color w:val="auto"/>
        </w:rPr>
        <w:t>Item 1.01</w:t>
      </w:r>
      <w:r>
        <w:rPr>
          <w:sz w:val="20"/>
          <w:szCs w:val="20"/>
          <w:color w:val="auto"/>
        </w:rPr>
        <w:tab/>
      </w:r>
      <w:r>
        <w:rPr>
          <w:rFonts w:ascii="Arial" w:cs="Arial" w:eastAsia="Arial" w:hAnsi="Arial"/>
          <w:sz w:val="14"/>
          <w:szCs w:val="14"/>
          <w:b w:val="1"/>
          <w:bCs w:val="1"/>
          <w:color w:val="auto"/>
        </w:rPr>
        <w:t>Entry into a Material Definitive Agreement.</w:t>
      </w:r>
    </w:p>
    <w:p>
      <w:pPr>
        <w:spacing w:after="0" w:line="308" w:lineRule="exact"/>
        <w:rPr>
          <w:sz w:val="20"/>
          <w:szCs w:val="20"/>
          <w:color w:val="auto"/>
        </w:rPr>
      </w:pPr>
    </w:p>
    <w:p>
      <w:pPr>
        <w:jc w:val="both"/>
        <w:ind w:right="360" w:firstLine="347"/>
        <w:spacing w:after="0" w:line="273" w:lineRule="auto"/>
        <w:rPr>
          <w:sz w:val="20"/>
          <w:szCs w:val="20"/>
          <w:color w:val="auto"/>
        </w:rPr>
      </w:pPr>
      <w:r>
        <w:rPr>
          <w:rFonts w:ascii="Arial" w:cs="Arial" w:eastAsia="Arial" w:hAnsi="Arial"/>
          <w:sz w:val="15"/>
          <w:szCs w:val="15"/>
          <w:color w:val="auto"/>
        </w:rPr>
        <w:t>On December 30, 2022 (Hong Kong time), Wynn Resorts (Macau) S.A ("WRM") and Palo Real Estate Company Limited ("Palo"), indirect subsidiaries of Wynn Resorts, Limited entered into the property transfer agreements (the "Property Transfer Agreements") with the government of the Macau Special Administrative Region of the People’s Republic of China ("Macau"), pursuant to which:</w:t>
      </w:r>
    </w:p>
    <w:p>
      <w:pPr>
        <w:spacing w:after="0" w:line="175" w:lineRule="exact"/>
        <w:rPr>
          <w:sz w:val="20"/>
          <w:szCs w:val="20"/>
          <w:color w:val="auto"/>
        </w:rPr>
      </w:pPr>
    </w:p>
    <w:p>
      <w:pPr>
        <w:jc w:val="both"/>
        <w:ind w:right="360" w:firstLine="340"/>
        <w:spacing w:after="0" w:line="268" w:lineRule="auto"/>
        <w:tabs>
          <w:tab w:leader="none" w:pos="531" w:val="left"/>
        </w:tabs>
        <w:numPr>
          <w:ilvl w:val="0"/>
          <w:numId w:val="2"/>
        </w:numPr>
        <w:rPr>
          <w:rFonts w:ascii="Arial" w:cs="Arial" w:eastAsia="Arial" w:hAnsi="Arial"/>
          <w:sz w:val="15"/>
          <w:szCs w:val="15"/>
          <w:color w:val="auto"/>
        </w:rPr>
      </w:pPr>
      <w:r>
        <w:rPr>
          <w:rFonts w:ascii="Arial" w:cs="Arial" w:eastAsia="Arial" w:hAnsi="Arial"/>
          <w:sz w:val="15"/>
          <w:szCs w:val="15"/>
          <w:color w:val="auto"/>
        </w:rPr>
        <w:t>WRM and Palo will revert the casino areas (the “Casino Areas”) in Wynn Macau and Wynn Palace as designated by the Gaming Inspection and Coordination Bureau of Macau and the relevant gaming equipment to the Macau government without compensation and free of encumbrance on December 31, 2022 pursuant to the Macau Law No. 16/2001 (the “Macau Gaming Law”), as amended by Law No. 7/2022 and the gaming concession contract entered into between WRM and the Macau government on 24 June 2002; and</w:t>
      </w:r>
    </w:p>
    <w:p>
      <w:pPr>
        <w:spacing w:after="0" w:line="178" w:lineRule="exact"/>
        <w:rPr>
          <w:rFonts w:ascii="Arial" w:cs="Arial" w:eastAsia="Arial" w:hAnsi="Arial"/>
          <w:sz w:val="15"/>
          <w:szCs w:val="15"/>
          <w:color w:val="auto"/>
        </w:rPr>
      </w:pPr>
    </w:p>
    <w:p>
      <w:pPr>
        <w:jc w:val="both"/>
        <w:ind w:right="360" w:firstLine="340"/>
        <w:spacing w:after="0" w:line="263" w:lineRule="auto"/>
        <w:tabs>
          <w:tab w:leader="none" w:pos="591" w:val="left"/>
        </w:tabs>
        <w:numPr>
          <w:ilvl w:val="0"/>
          <w:numId w:val="2"/>
        </w:numPr>
        <w:rPr>
          <w:rFonts w:ascii="Arial" w:cs="Arial" w:eastAsia="Arial" w:hAnsi="Arial"/>
          <w:sz w:val="15"/>
          <w:szCs w:val="15"/>
          <w:color w:val="auto"/>
        </w:rPr>
      </w:pPr>
      <w:r>
        <w:rPr>
          <w:rFonts w:ascii="Arial" w:cs="Arial" w:eastAsia="Arial" w:hAnsi="Arial"/>
          <w:sz w:val="15"/>
          <w:szCs w:val="15"/>
          <w:color w:val="auto"/>
        </w:rPr>
        <w:t>upon the above reversion of the Casino Areas and the relevant gaming equipment to the Macau government, the Macau government has agreed to transfer of the Casino Areas and the relevant gaming equipment back to WRM for use of its operation of games of chance in Wynn Macau and Wynn Palace beginning on January 1, 2023 and expiring upon the expiration of the gaming concession contract. WRM will pay the Macau government an annual amount calculated based on: (i) MOP750 (equivalent to approximately $93) per square meter of the Casino Areas for the first year in March 2023, as adjusted annually in accordance with the average price index in Macau pursuant to the Macau Gaming Law for the second and third year payable in March 2024 and March 2025, respectively; and (ii) MOP2,500 (equivalent to approximately $311) per square meter of the Casino Areas for the fourth year in March 2026, as adjusted annually for the remaining years payable in March each year in accordance with the average price index in Macau pursuant to the Macau Gaming Law.</w:t>
      </w:r>
    </w:p>
    <w:p>
      <w:pPr>
        <w:spacing w:after="0" w:line="182" w:lineRule="exact"/>
        <w:rPr>
          <w:sz w:val="20"/>
          <w:szCs w:val="20"/>
          <w:color w:val="auto"/>
        </w:rPr>
      </w:pPr>
    </w:p>
    <w:p>
      <w:pPr>
        <w:jc w:val="both"/>
        <w:ind w:right="360" w:firstLine="347"/>
        <w:spacing w:after="0" w:line="273" w:lineRule="auto"/>
        <w:rPr>
          <w:sz w:val="20"/>
          <w:szCs w:val="20"/>
          <w:color w:val="auto"/>
        </w:rPr>
      </w:pPr>
      <w:r>
        <w:rPr>
          <w:rFonts w:ascii="Arial" w:cs="Arial" w:eastAsia="Arial" w:hAnsi="Arial"/>
          <w:sz w:val="15"/>
          <w:szCs w:val="15"/>
          <w:color w:val="auto"/>
        </w:rPr>
        <w:t>The foregoing summary of the Property Transfer Agreements is not complete and is qualified in its entirety by reference to the full and complete text of the Property Transfer Agreements, copies of which will be filed as exhibits to the Company’s Annual Report on Form 10-K for the period ending December 31, 2022 to be filed with the SEC.</w:t>
      </w:r>
    </w:p>
    <w:p>
      <w:pPr>
        <w:spacing w:after="0" w:line="204" w:lineRule="exact"/>
        <w:rPr>
          <w:sz w:val="20"/>
          <w:szCs w:val="20"/>
          <w:color w:val="auto"/>
        </w:rPr>
      </w:pPr>
    </w:p>
    <w:p>
      <w:pPr>
        <w:spacing w:after="0"/>
        <w:tabs>
          <w:tab w:leader="none" w:pos="1280" w:val="left"/>
        </w:tabs>
        <w:rPr>
          <w:sz w:val="20"/>
          <w:szCs w:val="20"/>
          <w:color w:val="auto"/>
        </w:rPr>
      </w:pPr>
      <w:r>
        <w:rPr>
          <w:rFonts w:ascii="Arial" w:cs="Arial" w:eastAsia="Arial" w:hAnsi="Arial"/>
          <w:sz w:val="15"/>
          <w:szCs w:val="15"/>
          <w:b w:val="1"/>
          <w:bCs w:val="1"/>
          <w:color w:val="auto"/>
        </w:rPr>
        <w:t>Item 7.01</w:t>
      </w:r>
      <w:r>
        <w:rPr>
          <w:sz w:val="20"/>
          <w:szCs w:val="20"/>
          <w:color w:val="auto"/>
        </w:rPr>
        <w:tab/>
      </w:r>
      <w:r>
        <w:rPr>
          <w:rFonts w:ascii="Arial" w:cs="Arial" w:eastAsia="Arial" w:hAnsi="Arial"/>
          <w:sz w:val="13"/>
          <w:szCs w:val="13"/>
          <w:b w:val="1"/>
          <w:bCs w:val="1"/>
          <w:color w:val="auto"/>
        </w:rPr>
        <w:t>Regulation FD Disclosure.</w:t>
      </w:r>
    </w:p>
    <w:p>
      <w:pPr>
        <w:spacing w:after="0" w:line="297" w:lineRule="exact"/>
        <w:rPr>
          <w:sz w:val="20"/>
          <w:szCs w:val="20"/>
          <w:color w:val="auto"/>
        </w:rPr>
      </w:pPr>
    </w:p>
    <w:p>
      <w:pPr>
        <w:jc w:val="both"/>
        <w:ind w:right="360" w:firstLine="347"/>
        <w:spacing w:after="0" w:line="273" w:lineRule="auto"/>
        <w:rPr>
          <w:sz w:val="20"/>
          <w:szCs w:val="20"/>
          <w:color w:val="auto"/>
        </w:rPr>
      </w:pPr>
      <w:r>
        <w:rPr>
          <w:rFonts w:ascii="Arial" w:cs="Arial" w:eastAsia="Arial" w:hAnsi="Arial"/>
          <w:sz w:val="15"/>
          <w:szCs w:val="15"/>
          <w:color w:val="auto"/>
        </w:rPr>
        <w:t>On December 30, 2022 (Hong Kong time), Wynn Macau, Limited ("WML"), an indirect subsidiary of Wynn Resorts, Limited with its ordinary shares of common stock listed on The Stock Exchange of Hong Kong Limited (the "HKSE"), filed with the HKSE an announcement that on December 30, 2022, WRM and Palo entered into the Property Transfer Agreements with the Macau government. The announcement is furnished herewith as Exhibit 99.1.</w:t>
      </w:r>
    </w:p>
    <w:p>
      <w:pPr>
        <w:spacing w:after="0" w:line="175" w:lineRule="exact"/>
        <w:rPr>
          <w:sz w:val="20"/>
          <w:szCs w:val="20"/>
          <w:color w:val="auto"/>
        </w:rPr>
      </w:pPr>
    </w:p>
    <w:p>
      <w:pPr>
        <w:jc w:val="both"/>
        <w:ind w:right="360" w:firstLine="347"/>
        <w:spacing w:after="0" w:line="273" w:lineRule="auto"/>
        <w:rPr>
          <w:sz w:val="20"/>
          <w:szCs w:val="20"/>
          <w:color w:val="auto"/>
        </w:rPr>
      </w:pPr>
      <w:r>
        <w:rPr>
          <w:rFonts w:ascii="Arial" w:cs="Arial" w:eastAsia="Arial" w:hAnsi="Arial"/>
          <w:sz w:val="15"/>
          <w:szCs w:val="15"/>
          <w:color w:val="auto"/>
        </w:rPr>
        <w:t>The information furnished pursuant to this Item 7.01 (including Exhibit 99.1)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340" w:type="dxa"/>
            <w:vAlign w:val="bottom"/>
            <w:gridSpan w:val="2"/>
          </w:tcPr>
          <w:p>
            <w:pPr>
              <w:spacing w:after="0"/>
              <w:rPr>
                <w:sz w:val="20"/>
                <w:szCs w:val="20"/>
                <w:color w:val="auto"/>
              </w:rPr>
            </w:pPr>
            <w:r>
              <w:rPr>
                <w:rFonts w:ascii="Arial" w:cs="Arial" w:eastAsia="Arial" w:hAnsi="Arial"/>
                <w:sz w:val="15"/>
                <w:szCs w:val="15"/>
                <w:b w:val="1"/>
                <w:bCs w:val="1"/>
                <w:color w:val="auto"/>
              </w:rPr>
              <w:t>Item 9.01</w:t>
            </w:r>
          </w:p>
        </w:tc>
        <w:tc>
          <w:tcPr>
            <w:tcW w:w="9920" w:type="dxa"/>
            <w:vAlign w:val="bottom"/>
            <w:gridSpan w:val="3"/>
          </w:tcPr>
          <w:p>
            <w:pPr>
              <w:spacing w:after="0"/>
              <w:rPr>
                <w:sz w:val="20"/>
                <w:szCs w:val="20"/>
                <w:color w:val="auto"/>
              </w:rPr>
            </w:pPr>
            <w:r>
              <w:rPr>
                <w:rFonts w:ascii="Arial" w:cs="Arial" w:eastAsia="Arial" w:hAnsi="Arial"/>
                <w:sz w:val="15"/>
                <w:szCs w:val="15"/>
                <w:b w:val="1"/>
                <w:bCs w:val="1"/>
                <w:color w:val="auto"/>
              </w:rPr>
              <w:t>Financial Statements and Exhibits.</w:t>
            </w:r>
          </w:p>
        </w:tc>
      </w:tr>
      <w:tr>
        <w:trPr>
          <w:trHeight w:val="382"/>
        </w:trPr>
        <w:tc>
          <w:tcPr>
            <w:tcW w:w="1340" w:type="dxa"/>
            <w:vAlign w:val="bottom"/>
            <w:gridSpan w:val="2"/>
          </w:tcPr>
          <w:p>
            <w:pPr>
              <w:ind w:left="200"/>
              <w:spacing w:after="0"/>
              <w:rPr>
                <w:sz w:val="20"/>
                <w:szCs w:val="20"/>
                <w:color w:val="auto"/>
              </w:rPr>
            </w:pPr>
            <w:r>
              <w:rPr>
                <w:rFonts w:ascii="Arial" w:cs="Arial" w:eastAsia="Arial" w:hAnsi="Arial"/>
                <w:sz w:val="15"/>
                <w:szCs w:val="15"/>
                <w:color w:val="auto"/>
              </w:rPr>
              <w:t>(d) Exhibits.</w:t>
            </w:r>
          </w:p>
        </w:tc>
        <w:tc>
          <w:tcPr>
            <w:tcW w:w="6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720" w:type="dxa"/>
            <w:vAlign w:val="bottom"/>
          </w:tcPr>
          <w:p>
            <w:pPr>
              <w:spacing w:after="0"/>
              <w:rPr>
                <w:sz w:val="24"/>
                <w:szCs w:val="24"/>
                <w:color w:val="auto"/>
              </w:rPr>
            </w:pPr>
          </w:p>
        </w:tc>
      </w:tr>
      <w:tr>
        <w:trPr>
          <w:trHeight w:val="151"/>
        </w:trPr>
        <w:tc>
          <w:tcPr>
            <w:tcW w:w="620" w:type="dxa"/>
            <w:vAlign w:val="bottom"/>
          </w:tcPr>
          <w:p>
            <w:pPr>
              <w:spacing w:after="0"/>
              <w:rPr>
                <w:sz w:val="20"/>
                <w:szCs w:val="20"/>
                <w:color w:val="auto"/>
              </w:rPr>
            </w:pPr>
            <w:r>
              <w:rPr>
                <w:rFonts w:ascii="Arial" w:cs="Arial" w:eastAsia="Arial" w:hAnsi="Arial"/>
                <w:sz w:val="12"/>
                <w:szCs w:val="12"/>
                <w:b w:val="1"/>
                <w:bCs w:val="1"/>
                <w:color w:val="auto"/>
                <w:w w:val="95"/>
              </w:rPr>
              <w:t>Exhibit No.</w:t>
            </w:r>
          </w:p>
        </w:tc>
        <w:tc>
          <w:tcPr>
            <w:tcW w:w="720" w:type="dxa"/>
            <w:vAlign w:val="bottom"/>
          </w:tcPr>
          <w:p>
            <w:pPr>
              <w:spacing w:after="0"/>
              <w:rPr>
                <w:sz w:val="13"/>
                <w:szCs w:val="13"/>
                <w:color w:val="auto"/>
              </w:rPr>
            </w:pPr>
          </w:p>
        </w:tc>
        <w:tc>
          <w:tcPr>
            <w:tcW w:w="9920" w:type="dxa"/>
            <w:vAlign w:val="bottom"/>
            <w:gridSpan w:val="3"/>
          </w:tcPr>
          <w:p>
            <w:pPr>
              <w:spacing w:after="0"/>
              <w:rPr>
                <w:sz w:val="20"/>
                <w:szCs w:val="20"/>
                <w:color w:val="auto"/>
              </w:rPr>
            </w:pPr>
            <w:r>
              <w:rPr>
                <w:rFonts w:ascii="Arial" w:cs="Arial" w:eastAsia="Arial" w:hAnsi="Arial"/>
                <w:sz w:val="12"/>
                <w:szCs w:val="12"/>
                <w:b w:val="1"/>
                <w:bCs w:val="1"/>
                <w:color w:val="auto"/>
              </w:rPr>
              <w:t>Description</w:t>
            </w:r>
          </w:p>
        </w:tc>
      </w:tr>
      <w:tr>
        <w:trPr>
          <w:trHeight w:val="20"/>
        </w:trPr>
        <w:tc>
          <w:tcPr>
            <w:tcW w:w="6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r>
      <w:tr>
        <w:trPr>
          <w:trHeight w:val="235"/>
        </w:trPr>
        <w:tc>
          <w:tcPr>
            <w:tcW w:w="620" w:type="dxa"/>
            <w:vAlign w:val="bottom"/>
          </w:tcPr>
          <w:p>
            <w:pPr>
              <w:spacing w:after="0"/>
              <w:rPr>
                <w:sz w:val="20"/>
                <w:szCs w:val="20"/>
                <w:color w:val="auto"/>
              </w:rPr>
            </w:pPr>
            <w:r>
              <w:rPr>
                <w:rFonts w:ascii="Arial" w:cs="Arial" w:eastAsia="Arial" w:hAnsi="Arial"/>
                <w:sz w:val="15"/>
                <w:szCs w:val="15"/>
                <w:color w:val="auto"/>
              </w:rPr>
              <w:t>99.1</w:t>
            </w:r>
          </w:p>
        </w:tc>
        <w:tc>
          <w:tcPr>
            <w:tcW w:w="720" w:type="dxa"/>
            <w:vAlign w:val="bottom"/>
          </w:tcPr>
          <w:p>
            <w:pPr>
              <w:spacing w:after="0"/>
              <w:rPr>
                <w:sz w:val="20"/>
                <w:szCs w:val="20"/>
                <w:color w:val="auto"/>
              </w:rPr>
            </w:pPr>
          </w:p>
        </w:tc>
        <w:tc>
          <w:tcPr>
            <w:tcW w:w="9920" w:type="dxa"/>
            <w:vAlign w:val="bottom"/>
            <w:gridSpan w:val="3"/>
          </w:tcPr>
          <w:p>
            <w:pPr>
              <w:spacing w:after="0"/>
              <w:rPr>
                <w:sz w:val="20"/>
                <w:szCs w:val="20"/>
                <w:color w:val="auto"/>
              </w:rPr>
            </w:pPr>
            <w:r>
              <w:rPr>
                <w:rFonts w:ascii="Arial" w:cs="Arial" w:eastAsia="Arial" w:hAnsi="Arial"/>
                <w:sz w:val="15"/>
                <w:szCs w:val="15"/>
                <w:color w:val="0000FF"/>
              </w:rPr>
              <w:t>Announcement of Wynn Macau, Limited, dated December 30, 2022</w:t>
            </w:r>
          </w:p>
        </w:tc>
      </w:tr>
      <w:tr>
        <w:trPr>
          <w:trHeight w:val="20"/>
        </w:trPr>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0" w:type="dxa"/>
            <w:vAlign w:val="bottom"/>
            <w:gridSpan w:val="2"/>
            <w:shd w:val="clear" w:color="auto" w:fill="0000FF"/>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r>
      <w:tr>
        <w:trPr>
          <w:trHeight w:val="211"/>
        </w:trPr>
        <w:tc>
          <w:tcPr>
            <w:tcW w:w="620" w:type="dxa"/>
            <w:vAlign w:val="bottom"/>
          </w:tcPr>
          <w:p>
            <w:pPr>
              <w:spacing w:after="0"/>
              <w:rPr>
                <w:sz w:val="20"/>
                <w:szCs w:val="20"/>
                <w:color w:val="auto"/>
              </w:rPr>
            </w:pPr>
            <w:r>
              <w:rPr>
                <w:rFonts w:ascii="Arial" w:cs="Arial" w:eastAsia="Arial" w:hAnsi="Arial"/>
                <w:sz w:val="15"/>
                <w:szCs w:val="15"/>
                <w:color w:val="auto"/>
              </w:rPr>
              <w:t>104</w:t>
            </w:r>
          </w:p>
        </w:tc>
        <w:tc>
          <w:tcPr>
            <w:tcW w:w="720" w:type="dxa"/>
            <w:vAlign w:val="bottom"/>
          </w:tcPr>
          <w:p>
            <w:pPr>
              <w:spacing w:after="0"/>
              <w:rPr>
                <w:sz w:val="18"/>
                <w:szCs w:val="18"/>
                <w:color w:val="auto"/>
              </w:rPr>
            </w:pPr>
          </w:p>
        </w:tc>
        <w:tc>
          <w:tcPr>
            <w:tcW w:w="9920" w:type="dxa"/>
            <w:vAlign w:val="bottom"/>
            <w:gridSpan w:val="3"/>
          </w:tcPr>
          <w:p>
            <w:pPr>
              <w:spacing w:after="0"/>
              <w:rPr>
                <w:sz w:val="20"/>
                <w:szCs w:val="20"/>
                <w:color w:val="auto"/>
              </w:rPr>
            </w:pPr>
            <w:r>
              <w:rPr>
                <w:rFonts w:ascii="Arial" w:cs="Arial" w:eastAsia="Arial" w:hAnsi="Arial"/>
                <w:sz w:val="15"/>
                <w:szCs w:val="15"/>
                <w:color w:val="auto"/>
              </w:rPr>
              <w:t>Cover Page Interactive Data File - the cover page XBRL tags are embedded within the Inline XBRL document</w:t>
            </w:r>
          </w:p>
        </w:tc>
      </w:tr>
      <w:tr>
        <w:trPr>
          <w:trHeight w:val="1034"/>
        </w:trPr>
        <w:tc>
          <w:tcPr>
            <w:tcW w:w="6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5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817"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5"/>
          <w:szCs w:val="15"/>
          <w:b w:val="1"/>
          <w:bCs w:val="1"/>
          <w:color w:val="auto"/>
        </w:rPr>
        <w:t>SIGNATURES</w:t>
      </w:r>
    </w:p>
    <w:p>
      <w:pPr>
        <w:spacing w:after="0" w:line="204" w:lineRule="exact"/>
        <w:rPr>
          <w:sz w:val="20"/>
          <w:szCs w:val="20"/>
          <w:color w:val="auto"/>
        </w:rPr>
      </w:pPr>
    </w:p>
    <w:p>
      <w:pPr>
        <w:ind w:firstLine="382"/>
        <w:spacing w:after="0" w:line="289"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hereunto duly authorized.</w:t>
      </w:r>
    </w:p>
    <w:p>
      <w:pPr>
        <w:spacing w:after="0" w:line="123" w:lineRule="exact"/>
        <w:rPr>
          <w:sz w:val="20"/>
          <w:szCs w:val="20"/>
          <w:color w:val="auto"/>
        </w:rPr>
      </w:pPr>
    </w:p>
    <w:p>
      <w:pPr>
        <w:ind w:left="7580"/>
        <w:spacing w:after="0"/>
        <w:rPr>
          <w:sz w:val="20"/>
          <w:szCs w:val="20"/>
          <w:color w:val="auto"/>
        </w:rPr>
      </w:pPr>
      <w:r>
        <w:rPr>
          <w:rFonts w:ascii="Arial" w:cs="Arial" w:eastAsia="Arial" w:hAnsi="Arial"/>
          <w:sz w:val="15"/>
          <w:szCs w:val="15"/>
          <w:b w:val="1"/>
          <w:bCs w:val="1"/>
          <w:color w:val="auto"/>
        </w:rPr>
        <w:t>WYNN RESORTS, LIMITED</w:t>
      </w:r>
    </w:p>
    <w:p>
      <w:pPr>
        <w:sectPr>
          <w:pgSz w:w="11900" w:h="16838" w:orient="portrait"/>
          <w:cols w:equalWidth="0" w:num="1">
            <w:col w:w="11260"/>
          </w:cols>
          <w:pgMar w:left="320" w:top="783" w:right="319" w:bottom="1440" w:gutter="0" w:footer="0" w:header="0"/>
        </w:sectPr>
      </w:pPr>
    </w:p>
    <w:p>
      <w:pPr>
        <w:spacing w:after="0" w:line="77" w:lineRule="exact"/>
        <w:rPr>
          <w:sz w:val="20"/>
          <w:szCs w:val="20"/>
          <w:color w:val="auto"/>
        </w:rPr>
      </w:pPr>
    </w:p>
    <w:p>
      <w:pPr>
        <w:ind w:left="400"/>
        <w:spacing w:after="0"/>
        <w:rPr>
          <w:sz w:val="20"/>
          <w:szCs w:val="20"/>
          <w:color w:val="auto"/>
        </w:rPr>
      </w:pPr>
      <w:r>
        <w:rPr>
          <w:rFonts w:ascii="Arial" w:cs="Arial" w:eastAsia="Arial" w:hAnsi="Arial"/>
          <w:sz w:val="13"/>
          <w:szCs w:val="13"/>
          <w:color w:val="auto"/>
        </w:rPr>
        <w:t>Dated: December 30, 2022</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tabs>
          <w:tab w:leader="none" w:pos="72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Julie Cameron-Doe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29210</wp:posOffset>
            </wp:positionV>
            <wp:extent cx="246443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64435" cy="7620"/>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2">
            <w:col w:w="6120" w:space="720"/>
            <w:col w:w="4420"/>
          </w:cols>
          <w:pgMar w:left="320" w:top="783" w:right="319" w:bottom="1440" w:gutter="0" w:footer="0" w:header="0"/>
          <w:type w:val="continuous"/>
        </w:sectPr>
      </w:pPr>
    </w:p>
    <w:p>
      <w:pPr>
        <w:ind w:left="6960"/>
        <w:spacing w:after="0"/>
        <w:rPr>
          <w:sz w:val="20"/>
          <w:szCs w:val="20"/>
          <w:color w:val="auto"/>
        </w:rPr>
      </w:pPr>
      <w:r>
        <w:rPr>
          <w:rFonts w:ascii="Arial" w:cs="Arial" w:eastAsia="Arial" w:hAnsi="Arial"/>
          <w:sz w:val="15"/>
          <w:szCs w:val="15"/>
          <w:color w:val="auto"/>
        </w:rPr>
        <w:t>Julie Cameron-Doe</w:t>
      </w:r>
    </w:p>
    <w:p>
      <w:pPr>
        <w:spacing w:after="0" w:line="24" w:lineRule="exact"/>
        <w:rPr>
          <w:sz w:val="20"/>
          <w:szCs w:val="20"/>
          <w:color w:val="auto"/>
        </w:rPr>
      </w:pPr>
    </w:p>
    <w:p>
      <w:pPr>
        <w:ind w:left="6960"/>
        <w:spacing w:after="0"/>
        <w:rPr>
          <w:sz w:val="20"/>
          <w:szCs w:val="20"/>
          <w:color w:val="auto"/>
        </w:rPr>
      </w:pPr>
      <w:r>
        <w:rPr>
          <w:rFonts w:ascii="Arial" w:cs="Arial" w:eastAsia="Arial" w:hAnsi="Arial"/>
          <w:sz w:val="15"/>
          <w:szCs w:val="15"/>
          <w:color w:val="auto"/>
        </w:rPr>
        <w:t>Chief Financial Officer</w:t>
      </w:r>
    </w:p>
    <w:p>
      <w:pPr>
        <w:spacing w:after="0" w:line="24" w:lineRule="exact"/>
        <w:rPr>
          <w:sz w:val="20"/>
          <w:szCs w:val="20"/>
          <w:color w:val="auto"/>
        </w:rPr>
      </w:pPr>
    </w:p>
    <w:p>
      <w:pPr>
        <w:ind w:left="6960"/>
        <w:spacing w:after="0"/>
        <w:rPr>
          <w:sz w:val="20"/>
          <w:szCs w:val="20"/>
          <w:color w:val="auto"/>
        </w:rPr>
      </w:pPr>
      <w:r>
        <w:rPr>
          <w:rFonts w:ascii="Arial" w:cs="Arial" w:eastAsia="Arial" w:hAnsi="Arial"/>
          <w:sz w:val="14"/>
          <w:szCs w:val="14"/>
          <w:color w:val="auto"/>
        </w:rPr>
        <w:t>(Principal Financial and Accounting Officer)</w:t>
      </w:r>
    </w:p>
    <w:p>
      <w:pPr>
        <w:sectPr>
          <w:pgSz w:w="11900" w:h="16838" w:orient="portrait"/>
          <w:cols w:equalWidth="0" w:num="1">
            <w:col w:w="11260"/>
          </w:cols>
          <w:pgMar w:left="320" w:top="783" w:right="319" w:bottom="1440" w:gutter="0" w:footer="0" w:header="0"/>
          <w:type w:val="continuous"/>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323850</wp:posOffset>
            </wp:positionV>
            <wp:extent cx="7090410" cy="101828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0410" cy="1018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2022-12-30T15:53:57Z</dcterms:created>
  <dcterms:modified xsi:type="dcterms:W3CDTF">2022-12-30T15:53:57Z</dcterms:modified>
</cp:coreProperties>
</file>