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STRZEMP JOHN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EVP, Chief Administrative Ofc</w:t>
      </w:r>
    </w:p>
    <w:p>
      <w:pPr>
        <w:spacing w:after="0" w:line="39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880" w:type="dxa"/>
            <w:vAlign w:val="bottom"/>
            <w:gridSpan w:val="7"/>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LAS VEGAS</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NV</w:t>
            </w:r>
          </w:p>
        </w:tc>
        <w:tc>
          <w:tcPr>
            <w:tcW w:w="100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8"/>
                <w:szCs w:val="18"/>
                <w:color w:val="0000FF"/>
              </w:rPr>
              <w:t>89109</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4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5"/>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5"/>
                <w:szCs w:val="15"/>
                <w:color w:val="auto"/>
              </w:rPr>
            </w:pPr>
          </w:p>
        </w:tc>
        <w:tc>
          <w:tcPr>
            <w:tcW w:w="1300" w:type="dxa"/>
            <w:vAlign w:val="bottom"/>
            <w:gridSpan w:val="3"/>
          </w:tcPr>
          <w:p>
            <w:pPr>
              <w:ind w:left="2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gridSpan w:val="3"/>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1"/>
              </w:rPr>
              <w:t>Common Stock, par value $0.01 per share</w:t>
            </w:r>
          </w:p>
        </w:tc>
        <w:tc>
          <w:tcPr>
            <w:tcW w:w="1300" w:type="dxa"/>
            <w:vAlign w:val="bottom"/>
            <w:tcBorders>
              <w:bottom w:val="single" w:sz="8" w:color="2C2C2C"/>
            </w:tcBorders>
            <w:gridSpan w:val="3"/>
          </w:tcPr>
          <w:p>
            <w:pPr>
              <w:jc w:val="right"/>
              <w:ind w:right="118"/>
              <w:spacing w:after="0"/>
              <w:rPr>
                <w:sz w:val="20"/>
                <w:szCs w:val="20"/>
                <w:color w:val="auto"/>
              </w:rPr>
            </w:pPr>
            <w:r>
              <w:rPr>
                <w:rFonts w:ascii="Arial" w:cs="Arial" w:eastAsia="Arial" w:hAnsi="Arial"/>
                <w:sz w:val="18"/>
                <w:szCs w:val="18"/>
                <w:color w:val="0000FF"/>
              </w:rPr>
              <w:t>02/21/2017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7,342</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95.97</w:t>
            </w:r>
          </w:p>
        </w:tc>
        <w:tc>
          <w:tcPr>
            <w:tcW w:w="1240" w:type="dxa"/>
            <w:vAlign w:val="bottom"/>
            <w:tcBorders>
              <w:bottom w:val="single" w:sz="8" w:color="2C2C2C"/>
            </w:tcBorders>
            <w:gridSpan w:val="2"/>
          </w:tcPr>
          <w:p>
            <w:pPr>
              <w:jc w:val="right"/>
              <w:ind w:right="297"/>
              <w:spacing w:after="0"/>
              <w:rPr>
                <w:sz w:val="20"/>
                <w:szCs w:val="20"/>
                <w:color w:val="auto"/>
              </w:rPr>
            </w:pPr>
            <w:r>
              <w:rPr>
                <w:rFonts w:ascii="Arial" w:cs="Arial" w:eastAsia="Arial" w:hAnsi="Arial"/>
                <w:sz w:val="18"/>
                <w:szCs w:val="18"/>
                <w:color w:val="0000FF"/>
              </w:rPr>
              <w:t>238,323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91"/>
              </w:rPr>
              <w:t>Common Stock, par value $0.01 per share</w:t>
            </w: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vMerge w:val="restart"/>
          </w:tcPr>
          <w:p>
            <w:pPr>
              <w:jc w:val="right"/>
              <w:ind w:right="457"/>
              <w:spacing w:after="0"/>
              <w:rPr>
                <w:sz w:val="20"/>
                <w:szCs w:val="20"/>
                <w:color w:val="auto"/>
              </w:rPr>
            </w:pPr>
            <w:r>
              <w:rPr>
                <w:rFonts w:ascii="Arial" w:cs="Arial" w:eastAsia="Arial" w:hAnsi="Arial"/>
                <w:sz w:val="18"/>
                <w:szCs w:val="18"/>
                <w:color w:val="0000FF"/>
                <w:w w:val="86"/>
              </w:rPr>
              <w:t>500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mother</w:t>
            </w:r>
            <w:r>
              <w:rPr>
                <w:rFonts w:ascii="Arial" w:cs="Arial" w:eastAsia="Arial" w:hAnsi="Arial"/>
                <w:sz w:val="22"/>
                <w:szCs w:val="22"/>
                <w:color w:val="008000"/>
                <w:w w:val="97"/>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4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60" w:type="dxa"/>
            <w:vAlign w:val="bottom"/>
            <w:gridSpan w:val="11"/>
          </w:tcPr>
          <w:p>
            <w:pPr>
              <w:jc w:val="center"/>
              <w:ind w:right="15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withheld upon vesting of previously granted restricted stock to satisfy tax withholding obligations.</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these securities, and this report shall not be deemed an admission that the reporting person is the beneficial owner of the securities for purposes of Section 16.</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Kimmarie Sinatra, attorney- </w:t>
      </w:r>
      <w:r>
        <w:rPr>
          <w:rFonts w:ascii="Arial" w:cs="Arial" w:eastAsia="Arial" w:hAnsi="Arial"/>
          <w:sz w:val="35"/>
          <w:szCs w:val="35"/>
          <w:color w:val="0000FF"/>
          <w:vertAlign w:val="subscript"/>
        </w:rPr>
        <w:t>02/22/2017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John Strzemp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864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8648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6845"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2019-12-04T00:42:52Z</dcterms:created>
  <dcterms:modified xsi:type="dcterms:W3CDTF">2019-12-04T00:42:52Z</dcterms:modified>
</cp:coreProperties>
</file>